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D6BA6"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12E48B69"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B45BF0">
                              <w:rPr>
                                <w:rFonts w:asciiTheme="majorHAnsi" w:hAnsiTheme="majorHAnsi" w:cs="Arial"/>
                                <w:b/>
                                <w:bCs/>
                                <w:color w:val="0D0D0D" w:themeColor="text1" w:themeTint="F2"/>
                                <w:sz w:val="36"/>
                                <w:szCs w:val="22"/>
                                <w:lang w:val="es-ES_tradnl"/>
                              </w:rPr>
                              <w:t>141</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42396F6A"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FF14AD">
                              <w:rPr>
                                <w:rFonts w:asciiTheme="majorHAnsi" w:hAnsiTheme="majorHAnsi" w:cs="Arial"/>
                                <w:b/>
                                <w:color w:val="0D0D0D" w:themeColor="text1" w:themeTint="F2"/>
                                <w:sz w:val="36"/>
                                <w:szCs w:val="22"/>
                                <w:lang w:val="es-ES_tradnl"/>
                              </w:rPr>
                              <w:t>932-15</w:t>
                            </w:r>
                          </w:p>
                          <w:p w14:paraId="188B4303" w14:textId="36E5E42D"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36527177" w14:textId="558E2D5D" w:rsidR="00FF14AD" w:rsidRDefault="00FF14AD" w:rsidP="00F56ECB">
                            <w:pPr>
                              <w:spacing w:line="276" w:lineRule="auto"/>
                              <w:rPr>
                                <w:rFonts w:asciiTheme="majorHAnsi" w:hAnsiTheme="majorHAnsi" w:cs="Arial"/>
                                <w:color w:val="0D0D0D" w:themeColor="text1" w:themeTint="F2"/>
                                <w:szCs w:val="22"/>
                                <w:lang w:val="es-ES_tradnl"/>
                              </w:rPr>
                            </w:pPr>
                            <w:r w:rsidRPr="00FF14AD">
                              <w:rPr>
                                <w:rFonts w:asciiTheme="majorHAnsi" w:hAnsiTheme="majorHAnsi" w:cs="Arial"/>
                                <w:color w:val="0D0D0D" w:themeColor="text1" w:themeTint="F2"/>
                                <w:szCs w:val="22"/>
                                <w:lang w:val="es-ES_tradnl"/>
                              </w:rPr>
                              <w:t>FRANCISCO POTES MOSQUERA</w:t>
                            </w:r>
                            <w:r>
                              <w:rPr>
                                <w:rFonts w:asciiTheme="majorHAnsi" w:hAnsiTheme="majorHAnsi" w:cs="Arial"/>
                                <w:color w:val="0D0D0D" w:themeColor="text1" w:themeTint="F2"/>
                                <w:szCs w:val="22"/>
                                <w:lang w:val="es-ES_tradnl"/>
                              </w:rPr>
                              <w:t xml:space="preserve"> Y FAMILIA</w:t>
                            </w:r>
                          </w:p>
                          <w:p w14:paraId="0B9F7D22" w14:textId="3283D4EE" w:rsidR="005B52B0" w:rsidRPr="00F56ECB" w:rsidRDefault="00FF14AD"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12E48B69"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B45BF0">
                        <w:rPr>
                          <w:rFonts w:asciiTheme="majorHAnsi" w:hAnsiTheme="majorHAnsi" w:cs="Arial"/>
                          <w:b/>
                          <w:bCs/>
                          <w:color w:val="0D0D0D" w:themeColor="text1" w:themeTint="F2"/>
                          <w:sz w:val="36"/>
                          <w:szCs w:val="22"/>
                          <w:lang w:val="es-ES_tradnl"/>
                        </w:rPr>
                        <w:t>141</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42396F6A"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FF14AD">
                        <w:rPr>
                          <w:rFonts w:asciiTheme="majorHAnsi" w:hAnsiTheme="majorHAnsi" w:cs="Arial"/>
                          <w:b/>
                          <w:color w:val="0D0D0D" w:themeColor="text1" w:themeTint="F2"/>
                          <w:sz w:val="36"/>
                          <w:szCs w:val="22"/>
                          <w:lang w:val="es-ES_tradnl"/>
                        </w:rPr>
                        <w:t>932-15</w:t>
                      </w:r>
                    </w:p>
                    <w:p w14:paraId="188B4303" w14:textId="36E5E42D"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36527177" w14:textId="558E2D5D" w:rsidR="00FF14AD" w:rsidRDefault="00FF14AD" w:rsidP="00F56ECB">
                      <w:pPr>
                        <w:spacing w:line="276" w:lineRule="auto"/>
                        <w:rPr>
                          <w:rFonts w:asciiTheme="majorHAnsi" w:hAnsiTheme="majorHAnsi" w:cs="Arial"/>
                          <w:color w:val="0D0D0D" w:themeColor="text1" w:themeTint="F2"/>
                          <w:szCs w:val="22"/>
                          <w:lang w:val="es-ES_tradnl"/>
                        </w:rPr>
                      </w:pPr>
                      <w:r w:rsidRPr="00FF14AD">
                        <w:rPr>
                          <w:rFonts w:asciiTheme="majorHAnsi" w:hAnsiTheme="majorHAnsi" w:cs="Arial"/>
                          <w:color w:val="0D0D0D" w:themeColor="text1" w:themeTint="F2"/>
                          <w:szCs w:val="22"/>
                          <w:lang w:val="es-ES_tradnl"/>
                        </w:rPr>
                        <w:t>FRANCISCO POTES MOSQUERA</w:t>
                      </w:r>
                      <w:r>
                        <w:rPr>
                          <w:rFonts w:asciiTheme="majorHAnsi" w:hAnsiTheme="majorHAnsi" w:cs="Arial"/>
                          <w:color w:val="0D0D0D" w:themeColor="text1" w:themeTint="F2"/>
                          <w:szCs w:val="22"/>
                          <w:lang w:val="es-ES_tradnl"/>
                        </w:rPr>
                        <w:t xml:space="preserve"> Y FAMILIA</w:t>
                      </w:r>
                    </w:p>
                    <w:p w14:paraId="0B9F7D22" w14:textId="3283D4EE" w:rsidR="005B52B0" w:rsidRPr="00F56ECB" w:rsidRDefault="00FF14AD"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64C4E421"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2C557532"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B45BF0">
                              <w:rPr>
                                <w:rFonts w:asciiTheme="minorHAnsi" w:hAnsiTheme="minorHAnsi"/>
                                <w:color w:val="FFFFFF" w:themeColor="background1"/>
                                <w:sz w:val="22"/>
                                <w:lang w:val="pt-BR"/>
                              </w:rPr>
                              <w:t>152</w:t>
                            </w:r>
                          </w:p>
                          <w:p w14:paraId="4061DBBD" w14:textId="377DCA12" w:rsidR="00627C9F" w:rsidRPr="00474CCD" w:rsidRDefault="00937D95" w:rsidP="007A5817">
                            <w:pPr>
                              <w:spacing w:line="276" w:lineRule="auto"/>
                              <w:jc w:val="right"/>
                              <w:rPr>
                                <w:rFonts w:asciiTheme="minorHAnsi" w:hAnsiTheme="minorHAnsi"/>
                                <w:color w:val="FFFFFF" w:themeColor="background1"/>
                                <w:sz w:val="22"/>
                                <w:lang w:val="pt-PT"/>
                              </w:rPr>
                            </w:pPr>
                            <w:r w:rsidRPr="00474CCD">
                              <w:rPr>
                                <w:rFonts w:asciiTheme="minorHAnsi" w:hAnsiTheme="minorHAnsi"/>
                                <w:color w:val="FFFFFF" w:themeColor="background1"/>
                                <w:sz w:val="22"/>
                                <w:lang w:val="pt-PT"/>
                              </w:rPr>
                              <w:t>7 agosto</w:t>
                            </w:r>
                            <w:r w:rsidR="00627C9F" w:rsidRPr="00474CCD">
                              <w:rPr>
                                <w:rFonts w:asciiTheme="minorHAnsi" w:hAnsiTheme="minorHAnsi"/>
                                <w:color w:val="FFFFFF" w:themeColor="background1"/>
                                <w:sz w:val="22"/>
                                <w:lang w:val="pt-PT"/>
                              </w:rPr>
                              <w:t xml:space="preserve"> 20</w:t>
                            </w:r>
                            <w:r w:rsidR="00C23BA4" w:rsidRPr="00474CCD">
                              <w:rPr>
                                <w:rFonts w:asciiTheme="minorHAnsi" w:hAnsiTheme="minorHAnsi"/>
                                <w:color w:val="FFFFFF" w:themeColor="background1"/>
                                <w:sz w:val="22"/>
                                <w:lang w:val="pt-PT"/>
                              </w:rPr>
                              <w:t>2</w:t>
                            </w:r>
                            <w:r w:rsidR="00477887" w:rsidRPr="00474CCD">
                              <w:rPr>
                                <w:rFonts w:asciiTheme="minorHAnsi" w:hAnsiTheme="minorHAnsi"/>
                                <w:color w:val="FFFFFF" w:themeColor="background1"/>
                                <w:sz w:val="22"/>
                                <w:lang w:val="pt-PT"/>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64C4E421"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2C557532"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B45BF0">
                        <w:rPr>
                          <w:rFonts w:asciiTheme="minorHAnsi" w:hAnsiTheme="minorHAnsi"/>
                          <w:color w:val="FFFFFF" w:themeColor="background1"/>
                          <w:sz w:val="22"/>
                          <w:lang w:val="pt-BR"/>
                        </w:rPr>
                        <w:t>152</w:t>
                      </w:r>
                    </w:p>
                    <w:p w14:paraId="4061DBBD" w14:textId="377DCA12" w:rsidR="00627C9F" w:rsidRPr="00474CCD" w:rsidRDefault="00937D95" w:rsidP="007A5817">
                      <w:pPr>
                        <w:spacing w:line="276" w:lineRule="auto"/>
                        <w:jc w:val="right"/>
                        <w:rPr>
                          <w:rFonts w:asciiTheme="minorHAnsi" w:hAnsiTheme="minorHAnsi"/>
                          <w:color w:val="FFFFFF" w:themeColor="background1"/>
                          <w:sz w:val="22"/>
                          <w:lang w:val="pt-PT"/>
                        </w:rPr>
                      </w:pPr>
                      <w:r w:rsidRPr="00474CCD">
                        <w:rPr>
                          <w:rFonts w:asciiTheme="minorHAnsi" w:hAnsiTheme="minorHAnsi"/>
                          <w:color w:val="FFFFFF" w:themeColor="background1"/>
                          <w:sz w:val="22"/>
                          <w:lang w:val="pt-PT"/>
                        </w:rPr>
                        <w:t>7 agosto</w:t>
                      </w:r>
                      <w:r w:rsidR="00627C9F" w:rsidRPr="00474CCD">
                        <w:rPr>
                          <w:rFonts w:asciiTheme="minorHAnsi" w:hAnsiTheme="minorHAnsi"/>
                          <w:color w:val="FFFFFF" w:themeColor="background1"/>
                          <w:sz w:val="22"/>
                          <w:lang w:val="pt-PT"/>
                        </w:rPr>
                        <w:t xml:space="preserve"> 20</w:t>
                      </w:r>
                      <w:r w:rsidR="00C23BA4" w:rsidRPr="00474CCD">
                        <w:rPr>
                          <w:rFonts w:asciiTheme="minorHAnsi" w:hAnsiTheme="minorHAnsi"/>
                          <w:color w:val="FFFFFF" w:themeColor="background1"/>
                          <w:sz w:val="22"/>
                          <w:lang w:val="pt-PT"/>
                        </w:rPr>
                        <w:t>2</w:t>
                      </w:r>
                      <w:r w:rsidR="00477887" w:rsidRPr="00474CCD">
                        <w:rPr>
                          <w:rFonts w:asciiTheme="minorHAnsi" w:hAnsiTheme="minorHAnsi"/>
                          <w:color w:val="FFFFFF" w:themeColor="background1"/>
                          <w:sz w:val="22"/>
                          <w:lang w:val="pt-PT"/>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329A76FD"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937D95">
                              <w:rPr>
                                <w:rFonts w:asciiTheme="majorHAnsi" w:hAnsiTheme="majorHAnsi"/>
                                <w:color w:val="0D0D0D" w:themeColor="text1" w:themeTint="F2"/>
                                <w:sz w:val="18"/>
                                <w:szCs w:val="22"/>
                                <w:lang w:val="es-ES"/>
                              </w:rPr>
                              <w:t>7</w:t>
                            </w:r>
                            <w:r w:rsidRPr="00890650">
                              <w:rPr>
                                <w:rFonts w:asciiTheme="majorHAnsi" w:hAnsiTheme="majorHAnsi"/>
                                <w:color w:val="0D0D0D" w:themeColor="text1" w:themeTint="F2"/>
                                <w:sz w:val="18"/>
                                <w:szCs w:val="22"/>
                                <w:lang w:val="es-ES"/>
                              </w:rPr>
                              <w:t xml:space="preserve"> de </w:t>
                            </w:r>
                            <w:r w:rsidR="00937D95">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937D95">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329A76FD"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937D95">
                        <w:rPr>
                          <w:rFonts w:asciiTheme="majorHAnsi" w:hAnsiTheme="majorHAnsi"/>
                          <w:color w:val="0D0D0D" w:themeColor="text1" w:themeTint="F2"/>
                          <w:sz w:val="18"/>
                          <w:szCs w:val="22"/>
                          <w:lang w:val="es-ES"/>
                        </w:rPr>
                        <w:t>7</w:t>
                      </w:r>
                      <w:r w:rsidRPr="00890650">
                        <w:rPr>
                          <w:rFonts w:asciiTheme="majorHAnsi" w:hAnsiTheme="majorHAnsi"/>
                          <w:color w:val="0D0D0D" w:themeColor="text1" w:themeTint="F2"/>
                          <w:sz w:val="18"/>
                          <w:szCs w:val="22"/>
                          <w:lang w:val="es-ES"/>
                        </w:rPr>
                        <w:t xml:space="preserve"> de </w:t>
                      </w:r>
                      <w:r w:rsidR="00937D95">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937D95">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78720"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EEF4EE" w14:textId="77777777" w:rsidR="00937D95"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937D95" w:rsidRPr="00937D95">
                              <w:rPr>
                                <w:rFonts w:asciiTheme="majorHAnsi" w:hAnsiTheme="majorHAnsi"/>
                                <w:color w:val="595959" w:themeColor="text1" w:themeTint="A6"/>
                                <w:sz w:val="18"/>
                                <w:szCs w:val="18"/>
                                <w:lang w:val="pt-BR"/>
                              </w:rPr>
                              <w:t>141</w:t>
                            </w:r>
                            <w:r w:rsidR="007B05C4" w:rsidRPr="00937D95">
                              <w:rPr>
                                <w:rFonts w:asciiTheme="majorHAnsi" w:hAnsiTheme="majorHAnsi"/>
                                <w:color w:val="595959" w:themeColor="text1" w:themeTint="A6"/>
                                <w:sz w:val="18"/>
                                <w:szCs w:val="18"/>
                                <w:lang w:val="pt-BR"/>
                              </w:rPr>
                              <w:t>/</w:t>
                            </w:r>
                            <w:r w:rsidR="00937D95" w:rsidRPr="00937D95">
                              <w:rPr>
                                <w:rFonts w:asciiTheme="majorHAnsi" w:hAnsiTheme="majorHAnsi"/>
                                <w:color w:val="595959" w:themeColor="text1" w:themeTint="A6"/>
                                <w:sz w:val="18"/>
                                <w:szCs w:val="18"/>
                                <w:lang w:val="pt-BR"/>
                              </w:rPr>
                              <w:t>25</w:t>
                            </w:r>
                            <w:r w:rsidRPr="00937D95">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937D95">
                              <w:rPr>
                                <w:rFonts w:asciiTheme="majorHAnsi" w:hAnsiTheme="majorHAnsi"/>
                                <w:color w:val="595959" w:themeColor="text1" w:themeTint="A6"/>
                                <w:sz w:val="18"/>
                                <w:szCs w:val="18"/>
                                <w:lang w:val="es-ES"/>
                              </w:rPr>
                              <w:t>932</w:t>
                            </w:r>
                            <w:r w:rsidR="000433C9">
                              <w:rPr>
                                <w:rFonts w:asciiTheme="majorHAnsi" w:hAnsiTheme="majorHAnsi"/>
                                <w:color w:val="595959" w:themeColor="text1" w:themeTint="A6"/>
                                <w:sz w:val="18"/>
                                <w:szCs w:val="18"/>
                                <w:lang w:val="es-ES"/>
                              </w:rPr>
                              <w:t>-</w:t>
                            </w:r>
                            <w:r w:rsidR="00937D95">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1F936D7E" w:rsidR="00113F73" w:rsidRPr="007B05C4" w:rsidRDefault="00937D95"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Francisco Potes Mosquera y familia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7 de agosto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8EEF4EE" w14:textId="77777777" w:rsidR="00937D95"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937D95" w:rsidRPr="00937D95">
                        <w:rPr>
                          <w:rFonts w:asciiTheme="majorHAnsi" w:hAnsiTheme="majorHAnsi"/>
                          <w:color w:val="595959" w:themeColor="text1" w:themeTint="A6"/>
                          <w:sz w:val="18"/>
                          <w:szCs w:val="18"/>
                          <w:lang w:val="pt-BR"/>
                        </w:rPr>
                        <w:t>141</w:t>
                      </w:r>
                      <w:r w:rsidR="007B05C4" w:rsidRPr="00937D95">
                        <w:rPr>
                          <w:rFonts w:asciiTheme="majorHAnsi" w:hAnsiTheme="majorHAnsi"/>
                          <w:color w:val="595959" w:themeColor="text1" w:themeTint="A6"/>
                          <w:sz w:val="18"/>
                          <w:szCs w:val="18"/>
                          <w:lang w:val="pt-BR"/>
                        </w:rPr>
                        <w:t>/</w:t>
                      </w:r>
                      <w:r w:rsidR="00937D95" w:rsidRPr="00937D95">
                        <w:rPr>
                          <w:rFonts w:asciiTheme="majorHAnsi" w:hAnsiTheme="majorHAnsi"/>
                          <w:color w:val="595959" w:themeColor="text1" w:themeTint="A6"/>
                          <w:sz w:val="18"/>
                          <w:szCs w:val="18"/>
                          <w:lang w:val="pt-BR"/>
                        </w:rPr>
                        <w:t>25</w:t>
                      </w:r>
                      <w:r w:rsidRPr="00937D95">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937D95">
                        <w:rPr>
                          <w:rFonts w:asciiTheme="majorHAnsi" w:hAnsiTheme="majorHAnsi"/>
                          <w:color w:val="595959" w:themeColor="text1" w:themeTint="A6"/>
                          <w:sz w:val="18"/>
                          <w:szCs w:val="18"/>
                          <w:lang w:val="es-ES"/>
                        </w:rPr>
                        <w:t>932</w:t>
                      </w:r>
                      <w:r w:rsidR="000433C9">
                        <w:rPr>
                          <w:rFonts w:asciiTheme="majorHAnsi" w:hAnsiTheme="majorHAnsi"/>
                          <w:color w:val="595959" w:themeColor="text1" w:themeTint="A6"/>
                          <w:sz w:val="18"/>
                          <w:szCs w:val="18"/>
                          <w:lang w:val="es-ES"/>
                        </w:rPr>
                        <w:t>-</w:t>
                      </w:r>
                      <w:r w:rsidR="00937D95">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1F936D7E" w:rsidR="00113F73" w:rsidRPr="007B05C4" w:rsidRDefault="00937D95"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Francisco Potes Mosquera y familia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7 de agosto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r w:rsidRPr="00625030">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474CCD"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359C877A" w:rsidR="003239B8" w:rsidRPr="00082CFE" w:rsidRDefault="00FD7A44" w:rsidP="008D2290">
            <w:pPr>
              <w:jc w:val="both"/>
              <w:rPr>
                <w:rFonts w:ascii="Cambria" w:hAnsi="Cambria"/>
                <w:bCs/>
                <w:sz w:val="20"/>
                <w:szCs w:val="20"/>
                <w:lang w:val="es-CO"/>
              </w:rPr>
            </w:pPr>
            <w:r w:rsidRPr="00082CFE">
              <w:rPr>
                <w:rFonts w:ascii="Cambria" w:hAnsi="Cambria"/>
                <w:bCs/>
                <w:sz w:val="20"/>
                <w:szCs w:val="20"/>
                <w:lang w:val="es-CO"/>
              </w:rPr>
              <w:t>Francisco Potes Mosquera</w:t>
            </w:r>
            <w:r w:rsidR="009976F7" w:rsidRPr="00082CFE">
              <w:rPr>
                <w:rFonts w:ascii="Cambria" w:hAnsi="Cambria"/>
                <w:bCs/>
                <w:sz w:val="20"/>
                <w:szCs w:val="20"/>
                <w:lang w:val="es-CO"/>
              </w:rPr>
              <w:t xml:space="preserve"> y </w:t>
            </w:r>
            <w:r w:rsidR="00082CFE" w:rsidRPr="00082CFE">
              <w:rPr>
                <w:rFonts w:ascii="Cambria" w:hAnsi="Cambria"/>
                <w:bCs/>
                <w:sz w:val="20"/>
                <w:szCs w:val="20"/>
                <w:lang w:val="es-CO"/>
              </w:rPr>
              <w:t>C</w:t>
            </w:r>
            <w:r w:rsidR="00082CFE">
              <w:rPr>
                <w:rFonts w:ascii="Cambria" w:hAnsi="Cambria"/>
                <w:bCs/>
                <w:sz w:val="20"/>
                <w:szCs w:val="20"/>
                <w:lang w:val="es-CO"/>
              </w:rPr>
              <w:t>ristián Camilo Potes Amariles</w:t>
            </w:r>
          </w:p>
        </w:tc>
      </w:tr>
      <w:tr w:rsidR="003239B8" w:rsidRPr="00413B8A"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01F57ACA" w:rsidR="003239B8" w:rsidRPr="000D05CB" w:rsidRDefault="009375C9"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435B37">
                  <w:rPr>
                    <w:rFonts w:ascii="Cambria" w:hAnsi="Cambria"/>
                    <w:b/>
                    <w:bCs/>
                    <w:color w:val="FFFFFF" w:themeColor="background1"/>
                    <w:sz w:val="20"/>
                    <w:szCs w:val="20"/>
                  </w:rPr>
                  <w:t>Presuntas víctimas</w:t>
                </w:r>
              </w:sdtContent>
            </w:sdt>
            <w:r w:rsidR="003239B8" w:rsidRPr="000D05CB">
              <w:rPr>
                <w:rFonts w:ascii="Cambria" w:hAnsi="Cambria"/>
                <w:b/>
                <w:bCs/>
                <w:color w:val="FFFFFF" w:themeColor="background1"/>
                <w:sz w:val="20"/>
                <w:szCs w:val="20"/>
              </w:rPr>
              <w:t>:</w:t>
            </w:r>
          </w:p>
        </w:tc>
        <w:tc>
          <w:tcPr>
            <w:tcW w:w="5647" w:type="dxa"/>
            <w:vAlign w:val="center"/>
          </w:tcPr>
          <w:p w14:paraId="143D44A8" w14:textId="399512DD" w:rsidR="003239B8" w:rsidRPr="00413B8A" w:rsidRDefault="00EB5535" w:rsidP="008D2290">
            <w:pPr>
              <w:jc w:val="both"/>
              <w:rPr>
                <w:rFonts w:ascii="Cambria" w:hAnsi="Cambria"/>
                <w:bCs/>
                <w:sz w:val="20"/>
                <w:szCs w:val="20"/>
              </w:rPr>
            </w:pPr>
            <w:r w:rsidRPr="00413B8A">
              <w:rPr>
                <w:rFonts w:ascii="Cambria" w:hAnsi="Cambria"/>
                <w:bCs/>
                <w:sz w:val="20"/>
                <w:szCs w:val="20"/>
              </w:rPr>
              <w:t xml:space="preserve">Francisco Potes Mosquera, Marisol Amariles, </w:t>
            </w:r>
            <w:r w:rsidR="005C017C" w:rsidRPr="00413B8A">
              <w:rPr>
                <w:rFonts w:ascii="Cambria" w:hAnsi="Cambria"/>
                <w:bCs/>
                <w:sz w:val="20"/>
                <w:szCs w:val="20"/>
              </w:rPr>
              <w:t xml:space="preserve">Valentina Potes Amariles, </w:t>
            </w:r>
            <w:r w:rsidR="004E2DBD" w:rsidRPr="00413B8A">
              <w:rPr>
                <w:rFonts w:ascii="Cambria" w:hAnsi="Cambria"/>
                <w:bCs/>
                <w:sz w:val="20"/>
                <w:szCs w:val="20"/>
              </w:rPr>
              <w:t xml:space="preserve">Cristián Camilo Potes Mosquera, </w:t>
            </w:r>
            <w:r w:rsidR="000110DA" w:rsidRPr="00413B8A">
              <w:rPr>
                <w:rFonts w:ascii="Cambria" w:hAnsi="Cambria"/>
                <w:bCs/>
                <w:sz w:val="20"/>
                <w:szCs w:val="20"/>
              </w:rPr>
              <w:t xml:space="preserve">Maritza Potes Mosquera, </w:t>
            </w:r>
            <w:r w:rsidR="00413B8A" w:rsidRPr="00413B8A">
              <w:rPr>
                <w:rFonts w:ascii="Cambria" w:hAnsi="Cambria"/>
                <w:bCs/>
                <w:sz w:val="20"/>
                <w:szCs w:val="20"/>
              </w:rPr>
              <w:t>Cristina Potes Mosquera, Eduard</w:t>
            </w:r>
            <w:r w:rsidR="005C017C">
              <w:rPr>
                <w:rFonts w:ascii="Cambria" w:hAnsi="Cambria"/>
                <w:bCs/>
                <w:sz w:val="20"/>
                <w:szCs w:val="20"/>
              </w:rPr>
              <w:t>o</w:t>
            </w:r>
            <w:r w:rsidR="00413B8A" w:rsidRPr="00413B8A">
              <w:rPr>
                <w:rFonts w:ascii="Cambria" w:hAnsi="Cambria"/>
                <w:bCs/>
                <w:sz w:val="20"/>
                <w:szCs w:val="20"/>
              </w:rPr>
              <w:t xml:space="preserve"> P</w:t>
            </w:r>
            <w:r w:rsidR="00413B8A">
              <w:rPr>
                <w:rFonts w:ascii="Cambria" w:hAnsi="Cambria"/>
                <w:bCs/>
                <w:sz w:val="20"/>
                <w:szCs w:val="20"/>
              </w:rPr>
              <w:t>otes Mosquera,</w:t>
            </w:r>
            <w:r w:rsidR="005C017C">
              <w:rPr>
                <w:rFonts w:ascii="Cambria" w:hAnsi="Cambria"/>
                <w:bCs/>
                <w:sz w:val="20"/>
                <w:szCs w:val="20"/>
              </w:rPr>
              <w:t xml:space="preserve"> Jaime Potes Mosquera, Jairo Potes Mosquera</w:t>
            </w:r>
            <w:r w:rsidR="009F0D7B">
              <w:rPr>
                <w:rFonts w:ascii="Cambria" w:hAnsi="Cambria"/>
                <w:bCs/>
                <w:sz w:val="20"/>
                <w:szCs w:val="20"/>
              </w:rPr>
              <w:t xml:space="preserve"> y Melida De Potes Mosquera</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140A7880" w:rsidR="003239B8" w:rsidRPr="000D05CB" w:rsidRDefault="00C638D0" w:rsidP="008D2290">
            <w:pPr>
              <w:jc w:val="both"/>
              <w:rPr>
                <w:rFonts w:ascii="Cambria" w:hAnsi="Cambria"/>
                <w:bCs/>
                <w:sz w:val="20"/>
                <w:szCs w:val="20"/>
              </w:rPr>
            </w:pPr>
            <w:r>
              <w:rPr>
                <w:rFonts w:ascii="Cambria" w:hAnsi="Cambria"/>
                <w:bCs/>
                <w:sz w:val="20"/>
                <w:szCs w:val="20"/>
              </w:rPr>
              <w:t>Colombia</w:t>
            </w:r>
            <w:r w:rsidR="004A6A54" w:rsidRPr="000D05CB">
              <w:rPr>
                <w:rStyle w:val="FootnoteReference"/>
                <w:rFonts w:ascii="Cambria" w:hAnsi="Cambria"/>
                <w:bCs/>
                <w:sz w:val="20"/>
                <w:szCs w:val="20"/>
              </w:rPr>
              <w:footnoteReference w:id="2"/>
            </w:r>
          </w:p>
        </w:tc>
      </w:tr>
      <w:tr w:rsidR="00223A29" w:rsidRPr="00474CCD"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466303F8" w:rsidR="00223A29" w:rsidRPr="002C6FBF" w:rsidRDefault="002F0FCF" w:rsidP="008D2290">
            <w:pPr>
              <w:jc w:val="both"/>
              <w:rPr>
                <w:rFonts w:ascii="Cambria" w:hAnsi="Cambria"/>
                <w:bCs/>
                <w:sz w:val="20"/>
                <w:szCs w:val="20"/>
                <w:lang w:val="es-CO"/>
              </w:rPr>
            </w:pPr>
            <w:r w:rsidRPr="002C6FBF">
              <w:rPr>
                <w:rFonts w:ascii="Cambria" w:hAnsi="Cambria"/>
                <w:bCs/>
                <w:sz w:val="20"/>
                <w:szCs w:val="20"/>
                <w:lang w:val="es-CO"/>
              </w:rPr>
              <w:t xml:space="preserve">Artículos </w:t>
            </w:r>
            <w:r w:rsidR="002C6FBF" w:rsidRPr="002C6FBF">
              <w:rPr>
                <w:rFonts w:ascii="Cambria" w:hAnsi="Cambria"/>
                <w:bCs/>
                <w:sz w:val="20"/>
                <w:szCs w:val="20"/>
                <w:lang w:val="es-CO"/>
              </w:rPr>
              <w:t xml:space="preserve">4 (vida), 5 (integridad personal), 8 </w:t>
            </w:r>
            <w:r w:rsidR="002C6FBF">
              <w:rPr>
                <w:rFonts w:ascii="Cambria" w:hAnsi="Cambria"/>
                <w:bCs/>
                <w:sz w:val="20"/>
                <w:szCs w:val="20"/>
                <w:lang w:val="es-CO"/>
              </w:rPr>
              <w:t>(garantías judiciales)</w:t>
            </w:r>
            <w:r w:rsidR="008E31DA">
              <w:rPr>
                <w:rFonts w:ascii="Cambria" w:hAnsi="Cambria"/>
                <w:bCs/>
                <w:sz w:val="20"/>
                <w:szCs w:val="20"/>
                <w:lang w:val="es-CO"/>
              </w:rPr>
              <w:t>,</w:t>
            </w:r>
            <w:r w:rsidR="002C6FBF">
              <w:rPr>
                <w:rFonts w:ascii="Cambria" w:hAnsi="Cambria"/>
                <w:bCs/>
                <w:sz w:val="20"/>
                <w:szCs w:val="20"/>
                <w:lang w:val="es-CO"/>
              </w:rPr>
              <w:t xml:space="preserve"> 11 (protección de la honra y la dignidad)</w:t>
            </w:r>
            <w:r w:rsidR="008E31DA">
              <w:rPr>
                <w:rFonts w:ascii="Cambria" w:hAnsi="Cambria"/>
                <w:bCs/>
                <w:sz w:val="20"/>
                <w:szCs w:val="20"/>
                <w:lang w:val="es-CO"/>
              </w:rPr>
              <w:t xml:space="preserve">, </w:t>
            </w:r>
            <w:r w:rsidR="00310E7F">
              <w:rPr>
                <w:rFonts w:ascii="Cambria" w:hAnsi="Cambria"/>
                <w:bCs/>
                <w:sz w:val="20"/>
                <w:szCs w:val="20"/>
                <w:lang w:val="es-CO"/>
              </w:rPr>
              <w:t>17 (protección a la familia)</w:t>
            </w:r>
            <w:r w:rsidR="000733F1">
              <w:rPr>
                <w:rFonts w:ascii="Cambria" w:hAnsi="Cambria"/>
                <w:bCs/>
                <w:sz w:val="20"/>
                <w:szCs w:val="20"/>
                <w:lang w:val="es-CO"/>
              </w:rPr>
              <w:t xml:space="preserve">, </w:t>
            </w:r>
            <w:r w:rsidR="008E31DA">
              <w:rPr>
                <w:rFonts w:ascii="Cambria" w:hAnsi="Cambria"/>
                <w:bCs/>
                <w:sz w:val="20"/>
                <w:szCs w:val="20"/>
                <w:lang w:val="es-CO"/>
              </w:rPr>
              <w:t>21 (propiedad privada)</w:t>
            </w:r>
            <w:r w:rsidR="00537BD4">
              <w:rPr>
                <w:rFonts w:ascii="Cambria" w:hAnsi="Cambria"/>
                <w:bCs/>
                <w:sz w:val="20"/>
                <w:szCs w:val="20"/>
                <w:lang w:val="es-CO"/>
              </w:rPr>
              <w:t>, 24 (igualdad ante la ley) y 25 (protección judicial)</w:t>
            </w:r>
            <w:r w:rsidR="002C6FBF">
              <w:rPr>
                <w:rFonts w:ascii="Cambria" w:hAnsi="Cambria"/>
                <w:bCs/>
                <w:sz w:val="20"/>
                <w:szCs w:val="20"/>
                <w:lang w:val="es-CO"/>
              </w:rPr>
              <w:t xml:space="preserve"> </w:t>
            </w:r>
            <w:r w:rsidR="008D1154">
              <w:rPr>
                <w:rFonts w:ascii="Cambria" w:hAnsi="Cambria"/>
                <w:bCs/>
                <w:sz w:val="20"/>
                <w:szCs w:val="20"/>
                <w:lang w:val="es-CO"/>
              </w:rPr>
              <w:t>de la Convención Americana sobre Derechos Humanos</w:t>
            </w:r>
            <w:r w:rsidR="008D1154">
              <w:rPr>
                <w:rStyle w:val="FootnoteReference"/>
                <w:rFonts w:ascii="Cambria" w:hAnsi="Cambria"/>
                <w:bCs/>
                <w:sz w:val="20"/>
                <w:szCs w:val="20"/>
                <w:lang w:val="es-CO"/>
              </w:rPr>
              <w:footnoteReference w:id="3"/>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52E8A559" w:rsidR="004C2312" w:rsidRPr="003239B8" w:rsidRDefault="002F0FCF" w:rsidP="002625EA">
            <w:pPr>
              <w:jc w:val="both"/>
              <w:rPr>
                <w:rFonts w:ascii="Cambria" w:hAnsi="Cambria"/>
                <w:bCs/>
                <w:sz w:val="20"/>
                <w:szCs w:val="20"/>
                <w:lang w:val="es-ES"/>
              </w:rPr>
            </w:pPr>
            <w:r>
              <w:rPr>
                <w:rFonts w:ascii="Cambria" w:hAnsi="Cambria"/>
                <w:bCs/>
                <w:sz w:val="20"/>
                <w:szCs w:val="20"/>
                <w:lang w:val="es-ES"/>
              </w:rPr>
              <w:t xml:space="preserve">27 de julio de </w:t>
            </w:r>
            <w:r w:rsidR="00500D33">
              <w:rPr>
                <w:rFonts w:ascii="Cambria" w:hAnsi="Cambria"/>
                <w:bCs/>
                <w:sz w:val="20"/>
                <w:szCs w:val="20"/>
                <w:lang w:val="es-ES"/>
              </w:rPr>
              <w:t>2015</w:t>
            </w:r>
          </w:p>
        </w:tc>
      </w:tr>
      <w:tr w:rsidR="00131425" w:rsidRPr="00474CCD"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3F07B456" w:rsidR="00131425" w:rsidRPr="002171C4" w:rsidRDefault="00DF62F2" w:rsidP="002625EA">
            <w:pPr>
              <w:jc w:val="both"/>
              <w:rPr>
                <w:rFonts w:ascii="Cambria" w:hAnsi="Cambria"/>
                <w:bCs/>
                <w:sz w:val="20"/>
                <w:szCs w:val="20"/>
                <w:lang w:val="es-ES"/>
              </w:rPr>
            </w:pPr>
            <w:r w:rsidRPr="002171C4">
              <w:rPr>
                <w:rFonts w:ascii="Cambria" w:hAnsi="Cambria"/>
                <w:bCs/>
                <w:sz w:val="20"/>
                <w:szCs w:val="20"/>
                <w:lang w:val="es-ES"/>
              </w:rPr>
              <w:t xml:space="preserve">18 de agosto de 2015, </w:t>
            </w:r>
            <w:r w:rsidR="007E58E5" w:rsidRPr="002171C4">
              <w:rPr>
                <w:rFonts w:ascii="Cambria" w:hAnsi="Cambria"/>
                <w:bCs/>
                <w:sz w:val="20"/>
                <w:szCs w:val="20"/>
                <w:lang w:val="es-ES"/>
              </w:rPr>
              <w:t>11 de noviembre de 2015</w:t>
            </w:r>
            <w:r w:rsidR="00C71C4B" w:rsidRPr="002171C4">
              <w:rPr>
                <w:rFonts w:ascii="Cambria" w:hAnsi="Cambria"/>
                <w:bCs/>
                <w:sz w:val="20"/>
                <w:szCs w:val="20"/>
                <w:lang w:val="es-ES"/>
              </w:rPr>
              <w:t xml:space="preserve">, </w:t>
            </w:r>
            <w:r w:rsidR="00BE6C1C" w:rsidRPr="002171C4">
              <w:rPr>
                <w:rFonts w:ascii="Cambria" w:hAnsi="Cambria"/>
                <w:bCs/>
                <w:sz w:val="20"/>
                <w:szCs w:val="20"/>
                <w:lang w:val="es-ES"/>
              </w:rPr>
              <w:t xml:space="preserve">23 de noviembre de 2015, </w:t>
            </w:r>
            <w:r w:rsidR="009F318C" w:rsidRPr="002171C4">
              <w:rPr>
                <w:rFonts w:ascii="Cambria" w:hAnsi="Cambria"/>
                <w:bCs/>
                <w:sz w:val="20"/>
                <w:szCs w:val="20"/>
                <w:lang w:val="es-ES"/>
              </w:rPr>
              <w:t xml:space="preserve">15 de noviembre de 2016, </w:t>
            </w:r>
            <w:r w:rsidR="00E86123" w:rsidRPr="002171C4">
              <w:rPr>
                <w:rFonts w:ascii="Cambria" w:hAnsi="Cambria"/>
                <w:bCs/>
                <w:sz w:val="20"/>
                <w:szCs w:val="20"/>
                <w:lang w:val="es-ES"/>
              </w:rPr>
              <w:t>2 de marzo de 2017</w:t>
            </w:r>
            <w:r w:rsidR="009976F7" w:rsidRPr="002171C4">
              <w:rPr>
                <w:rFonts w:ascii="Cambria" w:hAnsi="Cambria"/>
                <w:bCs/>
                <w:sz w:val="20"/>
                <w:szCs w:val="20"/>
                <w:lang w:val="es-ES"/>
              </w:rPr>
              <w:t>, 3 de agosto de 2022</w:t>
            </w:r>
            <w:r w:rsidR="002171C4" w:rsidRPr="002171C4">
              <w:rPr>
                <w:rFonts w:ascii="Cambria" w:hAnsi="Cambria"/>
                <w:bCs/>
                <w:sz w:val="20"/>
                <w:szCs w:val="20"/>
                <w:lang w:val="es-ES"/>
              </w:rPr>
              <w:t>, 8 de s</w:t>
            </w:r>
            <w:r w:rsidR="002171C4">
              <w:rPr>
                <w:rFonts w:ascii="Cambria" w:hAnsi="Cambria"/>
                <w:bCs/>
                <w:sz w:val="20"/>
                <w:szCs w:val="20"/>
                <w:lang w:val="es-ES"/>
              </w:rPr>
              <w:t>eptiembre de 2022</w:t>
            </w:r>
            <w:r w:rsidR="007648D8">
              <w:rPr>
                <w:rFonts w:ascii="Cambria" w:hAnsi="Cambria"/>
                <w:bCs/>
                <w:sz w:val="20"/>
                <w:szCs w:val="20"/>
                <w:lang w:val="es-ES"/>
              </w:rPr>
              <w:t xml:space="preserve"> </w:t>
            </w:r>
            <w:r w:rsidR="00313EDB">
              <w:rPr>
                <w:rFonts w:ascii="Cambria" w:hAnsi="Cambria"/>
                <w:bCs/>
                <w:sz w:val="20"/>
                <w:szCs w:val="20"/>
                <w:lang w:val="es-ES"/>
              </w:rPr>
              <w:t xml:space="preserve">y </w:t>
            </w:r>
            <w:r w:rsidR="007648D8">
              <w:rPr>
                <w:rFonts w:ascii="Cambria" w:hAnsi="Cambria"/>
                <w:bCs/>
                <w:sz w:val="20"/>
                <w:szCs w:val="20"/>
                <w:lang w:val="es-ES"/>
              </w:rPr>
              <w:t>1° de abril de 2023</w:t>
            </w:r>
          </w:p>
        </w:tc>
      </w:tr>
      <w:tr w:rsidR="004C2312" w:rsidRPr="0037493C"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24CFD8BD" w:rsidR="004C2312" w:rsidRPr="003239B8" w:rsidRDefault="000F0E9A" w:rsidP="008D2290">
            <w:pPr>
              <w:jc w:val="both"/>
              <w:rPr>
                <w:rFonts w:ascii="Cambria" w:hAnsi="Cambria"/>
                <w:bCs/>
                <w:sz w:val="20"/>
                <w:szCs w:val="20"/>
                <w:lang w:val="es-ES"/>
              </w:rPr>
            </w:pPr>
            <w:r>
              <w:rPr>
                <w:rFonts w:ascii="Cambria" w:hAnsi="Cambria"/>
                <w:bCs/>
                <w:sz w:val="20"/>
                <w:szCs w:val="20"/>
                <w:lang w:val="es-ES"/>
              </w:rPr>
              <w:t>19 de enero de 2023</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60E5EA16" w:rsidR="004C2312" w:rsidRPr="003239B8" w:rsidRDefault="005E561B"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R</w:t>
            </w:r>
            <w:r w:rsidR="004C2312" w:rsidRPr="003239B8">
              <w:rPr>
                <w:rFonts w:ascii="Cambria" w:hAnsi="Cambria"/>
                <w:b/>
                <w:color w:val="FFFFFF" w:themeColor="background1"/>
                <w:sz w:val="20"/>
                <w:szCs w:val="20"/>
                <w:lang w:val="es-ES"/>
              </w:rPr>
              <w:t>espuesta del Estado:</w:t>
            </w:r>
          </w:p>
        </w:tc>
        <w:tc>
          <w:tcPr>
            <w:tcW w:w="5647" w:type="dxa"/>
            <w:vAlign w:val="center"/>
          </w:tcPr>
          <w:p w14:paraId="6B47064C" w14:textId="1C70DDD4" w:rsidR="004C2312" w:rsidRPr="003239B8" w:rsidRDefault="008C35FB" w:rsidP="008D2290">
            <w:pPr>
              <w:jc w:val="both"/>
              <w:rPr>
                <w:rFonts w:ascii="Cambria" w:hAnsi="Cambria"/>
                <w:bCs/>
                <w:sz w:val="20"/>
                <w:szCs w:val="20"/>
                <w:lang w:val="es-ES"/>
              </w:rPr>
            </w:pPr>
            <w:r>
              <w:rPr>
                <w:rFonts w:ascii="Cambria" w:hAnsi="Cambria"/>
                <w:bCs/>
                <w:sz w:val="20"/>
                <w:szCs w:val="20"/>
                <w:lang w:val="es-ES"/>
              </w:rPr>
              <w:t>22 de mayo de 2023</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0FBCDEF5" w:rsidR="003239B8" w:rsidRPr="00B3745F" w:rsidRDefault="00263B6B"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3FA8A8BA" w:rsidR="003239B8" w:rsidRPr="00B3745F" w:rsidRDefault="00263B6B"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59CF21F7" w:rsidR="003239B8" w:rsidRPr="00B3745F" w:rsidRDefault="00263B6B" w:rsidP="008D2290">
            <w:pPr>
              <w:rPr>
                <w:rFonts w:ascii="Cambria" w:hAnsi="Cambria"/>
                <w:bCs/>
                <w:sz w:val="20"/>
                <w:szCs w:val="20"/>
              </w:rPr>
            </w:pPr>
            <w:r>
              <w:rPr>
                <w:rFonts w:ascii="Cambria" w:hAnsi="Cambria"/>
                <w:bCs/>
                <w:sz w:val="20"/>
                <w:szCs w:val="20"/>
              </w:rPr>
              <w:t>Sí</w:t>
            </w:r>
          </w:p>
        </w:tc>
      </w:tr>
      <w:tr w:rsidR="003239B8" w:rsidRPr="00474CCD"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3A934313" w:rsidR="003239B8" w:rsidRPr="00B3745F" w:rsidRDefault="00263B6B" w:rsidP="008D2290">
            <w:pPr>
              <w:jc w:val="both"/>
              <w:rPr>
                <w:rFonts w:ascii="Cambria" w:hAnsi="Cambria"/>
                <w:bCs/>
                <w:sz w:val="20"/>
                <w:szCs w:val="20"/>
                <w:lang w:val="es-ES"/>
              </w:rPr>
            </w:pPr>
            <w:r w:rsidRPr="0011075B">
              <w:rPr>
                <w:rFonts w:ascii="Cambria" w:hAnsi="Cambria"/>
                <w:bCs/>
                <w:sz w:val="20"/>
                <w:szCs w:val="20"/>
                <w:lang w:val="es-419" w:bidi="es-ES"/>
              </w:rPr>
              <w:t xml:space="preserve">Sí, </w:t>
            </w:r>
            <w:r>
              <w:rPr>
                <w:rFonts w:ascii="Cambria" w:hAnsi="Cambria"/>
                <w:bCs/>
                <w:sz w:val="20"/>
                <w:szCs w:val="20"/>
                <w:lang w:val="es-419" w:bidi="es-ES"/>
              </w:rPr>
              <w:t xml:space="preserve">la </w:t>
            </w:r>
            <w:r w:rsidRPr="0011075B">
              <w:rPr>
                <w:rFonts w:ascii="Cambria" w:hAnsi="Cambria"/>
                <w:bCs/>
                <w:sz w:val="20"/>
                <w:szCs w:val="20"/>
                <w:lang w:val="es-419" w:bidi="es-ES"/>
              </w:rPr>
              <w:t>Convención Americana (depósito de instrumento realizado el 31 de julio de 1973)</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37493C"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4BF8479C" w:rsidR="00EE00E9" w:rsidRPr="00DC24E3" w:rsidRDefault="002F0FCF" w:rsidP="008D2290">
            <w:pPr>
              <w:jc w:val="both"/>
              <w:rPr>
                <w:rFonts w:ascii="Cambria" w:hAnsi="Cambria"/>
                <w:bCs/>
                <w:sz w:val="20"/>
                <w:szCs w:val="20"/>
                <w:lang w:val="es-ES"/>
              </w:rPr>
            </w:pPr>
            <w:r>
              <w:rPr>
                <w:rFonts w:ascii="Cambria" w:hAnsi="Cambria"/>
                <w:bCs/>
                <w:sz w:val="20"/>
                <w:szCs w:val="20"/>
                <w:lang w:val="es-ES"/>
              </w:rPr>
              <w:t>No</w:t>
            </w:r>
          </w:p>
        </w:tc>
      </w:tr>
      <w:tr w:rsidR="003239B8" w:rsidRPr="00474CCD"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66A3D9FC" w:rsidR="003239B8" w:rsidRPr="002B5965" w:rsidRDefault="002B5965" w:rsidP="008D2290">
            <w:pPr>
              <w:jc w:val="both"/>
              <w:rPr>
                <w:rFonts w:ascii="Cambria" w:hAnsi="Cambria"/>
                <w:bCs/>
                <w:sz w:val="20"/>
                <w:szCs w:val="20"/>
                <w:lang w:val="es-CO"/>
              </w:rPr>
            </w:pPr>
            <w:r w:rsidRPr="002C6FBF">
              <w:rPr>
                <w:rFonts w:ascii="Cambria" w:hAnsi="Cambria"/>
                <w:bCs/>
                <w:sz w:val="20"/>
                <w:szCs w:val="20"/>
                <w:lang w:val="es-CO"/>
              </w:rPr>
              <w:t xml:space="preserve">Artículos 5 (integridad personal), 8 </w:t>
            </w:r>
            <w:r>
              <w:rPr>
                <w:rFonts w:ascii="Cambria" w:hAnsi="Cambria"/>
                <w:bCs/>
                <w:sz w:val="20"/>
                <w:szCs w:val="20"/>
                <w:lang w:val="es-CO"/>
              </w:rPr>
              <w:t>(garantías judiciales), 17 (protección a la familia) y 25 (protección judicial) de la Convención Americana</w:t>
            </w:r>
            <w:r w:rsidR="0003640B">
              <w:rPr>
                <w:rFonts w:ascii="Cambria" w:hAnsi="Cambria"/>
                <w:bCs/>
                <w:sz w:val="20"/>
                <w:szCs w:val="20"/>
                <w:lang w:val="es-CO"/>
              </w:rPr>
              <w:t>, en relación con su artículo 1.1 (obligación de respetar los derechos)</w:t>
            </w:r>
          </w:p>
        </w:tc>
      </w:tr>
      <w:tr w:rsidR="003239B8" w:rsidRPr="0037493C"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15C40D8D" w:rsidR="003239B8" w:rsidRPr="00DC24E3" w:rsidRDefault="00752A85" w:rsidP="008D2290">
            <w:pPr>
              <w:rPr>
                <w:rFonts w:ascii="Cambria" w:hAnsi="Cambria"/>
                <w:bCs/>
                <w:sz w:val="20"/>
                <w:szCs w:val="20"/>
                <w:lang w:val="es-ES"/>
              </w:rPr>
            </w:pPr>
            <w:r>
              <w:rPr>
                <w:rFonts w:ascii="Cambria" w:hAnsi="Cambria"/>
                <w:bCs/>
                <w:sz w:val="20"/>
                <w:szCs w:val="20"/>
                <w:lang w:val="es-ES"/>
              </w:rPr>
              <w:t>Sí</w:t>
            </w:r>
          </w:p>
        </w:tc>
      </w:tr>
      <w:tr w:rsidR="003239B8" w:rsidRPr="00B2155F"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07730F89" w:rsidR="003239B8" w:rsidRPr="00DC24E3" w:rsidRDefault="00752A85" w:rsidP="008D2290">
            <w:pPr>
              <w:rPr>
                <w:rFonts w:ascii="Cambria" w:hAnsi="Cambria"/>
                <w:bCs/>
                <w:sz w:val="20"/>
                <w:szCs w:val="20"/>
              </w:rPr>
            </w:pPr>
            <w:r>
              <w:rPr>
                <w:rFonts w:ascii="Cambria" w:hAnsi="Cambria"/>
                <w:bCs/>
                <w:sz w:val="20"/>
                <w:szCs w:val="20"/>
              </w:rPr>
              <w:t>Sí</w:t>
            </w:r>
          </w:p>
        </w:tc>
      </w:tr>
    </w:tbl>
    <w:p w14:paraId="1658BC00" w14:textId="77777777" w:rsidR="007737AC" w:rsidRDefault="007737AC" w:rsidP="003239B8">
      <w:pPr>
        <w:spacing w:before="240" w:after="240"/>
        <w:ind w:firstLine="720"/>
        <w:jc w:val="both"/>
        <w:rPr>
          <w:rFonts w:asciiTheme="majorHAnsi" w:hAnsiTheme="majorHAnsi"/>
          <w:b/>
          <w:sz w:val="20"/>
          <w:szCs w:val="20"/>
          <w:lang w:val="es-UY"/>
        </w:rPr>
      </w:pPr>
    </w:p>
    <w:p w14:paraId="56FD5D57" w14:textId="75B4060B" w:rsidR="003239B8" w:rsidRDefault="00223A29" w:rsidP="003239B8">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lastRenderedPageBreak/>
        <w:t xml:space="preserve">V. </w:t>
      </w:r>
      <w:r>
        <w:rPr>
          <w:rFonts w:asciiTheme="majorHAnsi" w:hAnsiTheme="majorHAnsi"/>
          <w:b/>
          <w:sz w:val="20"/>
          <w:szCs w:val="20"/>
          <w:lang w:val="es-UY"/>
        </w:rPr>
        <w:tab/>
      </w:r>
      <w:r w:rsidR="004241A0">
        <w:rPr>
          <w:rFonts w:asciiTheme="majorHAnsi" w:hAnsiTheme="majorHAnsi"/>
          <w:b/>
          <w:sz w:val="20"/>
          <w:szCs w:val="20"/>
          <w:lang w:val="es-UY"/>
        </w:rPr>
        <w:t>POSICIÓN DE LAS PARTES</w:t>
      </w:r>
      <w:r w:rsidR="003239B8">
        <w:rPr>
          <w:rFonts w:asciiTheme="majorHAnsi" w:hAnsiTheme="majorHAnsi"/>
          <w:b/>
          <w:sz w:val="20"/>
          <w:szCs w:val="20"/>
          <w:lang w:val="es-UY"/>
        </w:rPr>
        <w:t xml:space="preserve"> </w:t>
      </w:r>
    </w:p>
    <w:p w14:paraId="6901F992" w14:textId="2868F9D8" w:rsidR="0008158C" w:rsidRPr="00125980" w:rsidRDefault="00125980" w:rsidP="007A330F">
      <w:pPr>
        <w:pStyle w:val="ListParagraph"/>
        <w:numPr>
          <w:ilvl w:val="0"/>
          <w:numId w:val="0"/>
        </w:numPr>
        <w:ind w:left="720"/>
        <w:jc w:val="both"/>
        <w:rPr>
          <w:rFonts w:asciiTheme="majorHAnsi" w:hAnsiTheme="majorHAnsi"/>
          <w:b/>
          <w:sz w:val="20"/>
          <w:szCs w:val="20"/>
          <w:lang w:val="es-UY"/>
        </w:rPr>
      </w:pPr>
      <w:r>
        <w:rPr>
          <w:rFonts w:asciiTheme="majorHAnsi" w:hAnsiTheme="majorHAnsi"/>
          <w:b/>
          <w:sz w:val="20"/>
          <w:szCs w:val="20"/>
          <w:lang w:val="es-UY"/>
        </w:rPr>
        <w:t>La p</w:t>
      </w:r>
      <w:r w:rsidR="0008158C" w:rsidRPr="00125980">
        <w:rPr>
          <w:rFonts w:asciiTheme="majorHAnsi" w:hAnsiTheme="majorHAnsi"/>
          <w:b/>
          <w:sz w:val="20"/>
          <w:szCs w:val="20"/>
          <w:lang w:val="es-UY"/>
        </w:rPr>
        <w:t>arte peticionaria</w:t>
      </w:r>
    </w:p>
    <w:p w14:paraId="53BD3EF6" w14:textId="31CF334B" w:rsidR="006E621A" w:rsidRPr="006E621A" w:rsidRDefault="0068262A" w:rsidP="007A330F">
      <w:pPr>
        <w:pStyle w:val="ListParagraph"/>
        <w:numPr>
          <w:ilvl w:val="0"/>
          <w:numId w:val="61"/>
        </w:numPr>
        <w:ind w:left="0" w:firstLine="720"/>
        <w:jc w:val="both"/>
        <w:rPr>
          <w:rFonts w:asciiTheme="majorHAnsi" w:hAnsiTheme="majorHAnsi"/>
          <w:bCs/>
          <w:sz w:val="20"/>
          <w:szCs w:val="20"/>
          <w:lang w:val="es-UY"/>
        </w:rPr>
      </w:pPr>
      <w:r>
        <w:rPr>
          <w:sz w:val="20"/>
          <w:szCs w:val="20"/>
          <w:lang w:val="es-AR"/>
        </w:rPr>
        <w:t xml:space="preserve">La parte peticionaria denuncia </w:t>
      </w:r>
      <w:r w:rsidR="009F5A52">
        <w:rPr>
          <w:sz w:val="20"/>
          <w:szCs w:val="20"/>
          <w:lang w:val="es-AR"/>
        </w:rPr>
        <w:t xml:space="preserve">el desplazamiento forzado, la usurpación de tierras y </w:t>
      </w:r>
      <w:r w:rsidR="0072375E">
        <w:rPr>
          <w:sz w:val="20"/>
          <w:szCs w:val="20"/>
          <w:lang w:val="es-AR"/>
        </w:rPr>
        <w:t xml:space="preserve">la emisión de amenazas de muerte en perjuicio </w:t>
      </w:r>
      <w:r w:rsidR="009F5A52">
        <w:rPr>
          <w:sz w:val="20"/>
          <w:szCs w:val="20"/>
          <w:lang w:val="es-AR"/>
        </w:rPr>
        <w:t xml:space="preserve">de la familia Potes Mosquera, y la </w:t>
      </w:r>
      <w:r w:rsidR="0072375E">
        <w:rPr>
          <w:sz w:val="20"/>
          <w:szCs w:val="20"/>
          <w:lang w:val="es-AR"/>
        </w:rPr>
        <w:t xml:space="preserve">consecuente </w:t>
      </w:r>
      <w:r w:rsidR="009F5A52">
        <w:rPr>
          <w:sz w:val="20"/>
          <w:szCs w:val="20"/>
          <w:lang w:val="es-AR"/>
        </w:rPr>
        <w:t xml:space="preserve">inacción estatal </w:t>
      </w:r>
      <w:r w:rsidR="00731791">
        <w:rPr>
          <w:sz w:val="20"/>
          <w:szCs w:val="20"/>
          <w:lang w:val="es-AR"/>
        </w:rPr>
        <w:t>para</w:t>
      </w:r>
      <w:r w:rsidR="009F5A52">
        <w:rPr>
          <w:sz w:val="20"/>
          <w:szCs w:val="20"/>
          <w:lang w:val="es-AR"/>
        </w:rPr>
        <w:t xml:space="preserve"> investigar estos hechos</w:t>
      </w:r>
      <w:r w:rsidR="003F5154" w:rsidRPr="006E621A">
        <w:rPr>
          <w:sz w:val="20"/>
          <w:szCs w:val="20"/>
          <w:lang w:val="es-AR"/>
        </w:rPr>
        <w:t>.</w:t>
      </w:r>
      <w:r w:rsidR="0072375E">
        <w:rPr>
          <w:sz w:val="20"/>
          <w:szCs w:val="20"/>
          <w:lang w:val="es-AR"/>
        </w:rPr>
        <w:t xml:space="preserve"> También alega el inicio de un proceso penal </w:t>
      </w:r>
      <w:r w:rsidR="0072375E" w:rsidRPr="00CE7376">
        <w:rPr>
          <w:sz w:val="20"/>
          <w:szCs w:val="20"/>
          <w:lang w:val="es-AR"/>
        </w:rPr>
        <w:t xml:space="preserve">irregular </w:t>
      </w:r>
      <w:r w:rsidR="0093300A" w:rsidRPr="00CE7376">
        <w:rPr>
          <w:sz w:val="20"/>
          <w:szCs w:val="20"/>
          <w:lang w:val="es-AR"/>
        </w:rPr>
        <w:t xml:space="preserve">en contra </w:t>
      </w:r>
      <w:r w:rsidR="00CE7376" w:rsidRPr="00CE7376">
        <w:rPr>
          <w:sz w:val="20"/>
          <w:szCs w:val="20"/>
          <w:lang w:val="es-AR"/>
        </w:rPr>
        <w:t>del</w:t>
      </w:r>
      <w:r w:rsidR="00CE7376">
        <w:rPr>
          <w:sz w:val="20"/>
          <w:szCs w:val="20"/>
          <w:lang w:val="es-AR"/>
        </w:rPr>
        <w:t xml:space="preserve"> Sr. Francisco Potes Mosqueta </w:t>
      </w:r>
      <w:r w:rsidR="0093300A">
        <w:rPr>
          <w:sz w:val="20"/>
          <w:szCs w:val="20"/>
          <w:lang w:val="es-AR"/>
        </w:rPr>
        <w:t>como represalia por las gestiones emprendidas a nivel interno.</w:t>
      </w:r>
    </w:p>
    <w:p w14:paraId="7CFB56BF" w14:textId="1A02A3A8" w:rsidR="006E621A" w:rsidRPr="00D1715C" w:rsidRDefault="00AD2879" w:rsidP="007A330F">
      <w:pPr>
        <w:pStyle w:val="ListParagraph"/>
        <w:numPr>
          <w:ilvl w:val="0"/>
          <w:numId w:val="61"/>
        </w:numPr>
        <w:ind w:left="0" w:firstLine="720"/>
        <w:jc w:val="both"/>
        <w:rPr>
          <w:rFonts w:asciiTheme="majorHAnsi" w:hAnsiTheme="majorHAnsi"/>
          <w:bCs/>
          <w:sz w:val="20"/>
          <w:szCs w:val="20"/>
          <w:lang w:val="es-UY"/>
        </w:rPr>
      </w:pPr>
      <w:r>
        <w:rPr>
          <w:sz w:val="20"/>
          <w:szCs w:val="20"/>
          <w:lang w:val="es-AR"/>
        </w:rPr>
        <w:t xml:space="preserve">La parte peticionaria relata que </w:t>
      </w:r>
      <w:r w:rsidR="00D11320">
        <w:rPr>
          <w:sz w:val="20"/>
          <w:szCs w:val="20"/>
          <w:lang w:val="es-AR"/>
        </w:rPr>
        <w:t>el 16 de marzo de 1987</w:t>
      </w:r>
      <w:r w:rsidR="00ED6261">
        <w:rPr>
          <w:sz w:val="20"/>
          <w:szCs w:val="20"/>
          <w:lang w:val="es-AR"/>
        </w:rPr>
        <w:t xml:space="preserve"> </w:t>
      </w:r>
      <w:r w:rsidR="001F2C62">
        <w:rPr>
          <w:sz w:val="20"/>
          <w:szCs w:val="20"/>
          <w:lang w:val="es-AR"/>
        </w:rPr>
        <w:t xml:space="preserve">el Instituto Colombiano de la Reforma Agraria (“INCORA”) </w:t>
      </w:r>
      <w:r w:rsidR="00977BB4">
        <w:rPr>
          <w:sz w:val="20"/>
          <w:szCs w:val="20"/>
          <w:lang w:val="es-AR"/>
        </w:rPr>
        <w:t xml:space="preserve">le </w:t>
      </w:r>
      <w:r w:rsidR="001F2C62">
        <w:rPr>
          <w:sz w:val="20"/>
          <w:szCs w:val="20"/>
          <w:lang w:val="es-AR"/>
        </w:rPr>
        <w:t xml:space="preserve">adjudicó </w:t>
      </w:r>
      <w:r w:rsidR="00977BB4">
        <w:rPr>
          <w:sz w:val="20"/>
          <w:szCs w:val="20"/>
          <w:lang w:val="es-AR"/>
        </w:rPr>
        <w:t>al señor Eliud Potes López, padre de los hermanos Potes Mosquera, un predio</w:t>
      </w:r>
      <w:r w:rsidR="00E5367F">
        <w:rPr>
          <w:sz w:val="20"/>
          <w:szCs w:val="20"/>
          <w:lang w:val="es-AR"/>
        </w:rPr>
        <w:t xml:space="preserve"> </w:t>
      </w:r>
      <w:r w:rsidR="00C61E61">
        <w:rPr>
          <w:sz w:val="20"/>
          <w:szCs w:val="20"/>
          <w:lang w:val="es-AR"/>
        </w:rPr>
        <w:t xml:space="preserve">rural </w:t>
      </w:r>
      <w:r w:rsidR="00E5367F">
        <w:rPr>
          <w:sz w:val="20"/>
          <w:szCs w:val="20"/>
          <w:lang w:val="es-AR"/>
        </w:rPr>
        <w:t>denominado “El Esfuerzo” en el municipio de Novita, departamento del Chocó.</w:t>
      </w:r>
      <w:r w:rsidR="00CE62B7">
        <w:rPr>
          <w:sz w:val="20"/>
          <w:szCs w:val="20"/>
          <w:lang w:val="es-AR"/>
        </w:rPr>
        <w:t xml:space="preserve"> </w:t>
      </w:r>
      <w:r w:rsidR="00433C73">
        <w:rPr>
          <w:sz w:val="20"/>
          <w:szCs w:val="20"/>
          <w:lang w:val="es-AR"/>
        </w:rPr>
        <w:t>E</w:t>
      </w:r>
      <w:r w:rsidR="006961A4">
        <w:rPr>
          <w:sz w:val="20"/>
          <w:szCs w:val="20"/>
          <w:lang w:val="es-AR"/>
        </w:rPr>
        <w:t xml:space="preserve">n 2005 </w:t>
      </w:r>
      <w:r w:rsidR="00433C73">
        <w:rPr>
          <w:sz w:val="20"/>
          <w:szCs w:val="20"/>
          <w:lang w:val="es-AR"/>
        </w:rPr>
        <w:t>aquel</w:t>
      </w:r>
      <w:r w:rsidR="006961A4">
        <w:rPr>
          <w:sz w:val="20"/>
          <w:szCs w:val="20"/>
          <w:lang w:val="es-AR"/>
        </w:rPr>
        <w:t xml:space="preserve"> y su familia fueron víctimas de desplazamiento forzado debido a </w:t>
      </w:r>
      <w:r w:rsidR="00F5540C">
        <w:rPr>
          <w:sz w:val="20"/>
          <w:szCs w:val="20"/>
          <w:lang w:val="es-AR"/>
        </w:rPr>
        <w:t xml:space="preserve">la presencia de grupos al margen de la ley </w:t>
      </w:r>
      <w:r w:rsidR="00E71776">
        <w:rPr>
          <w:sz w:val="20"/>
          <w:szCs w:val="20"/>
          <w:lang w:val="es-AR"/>
        </w:rPr>
        <w:t>cerca d</w:t>
      </w:r>
      <w:r w:rsidR="00F5540C">
        <w:rPr>
          <w:sz w:val="20"/>
          <w:szCs w:val="20"/>
          <w:lang w:val="es-AR"/>
        </w:rPr>
        <w:t>el predio que habitaban.</w:t>
      </w:r>
      <w:r w:rsidR="004E49CF">
        <w:rPr>
          <w:sz w:val="20"/>
          <w:szCs w:val="20"/>
          <w:lang w:val="es-AR"/>
        </w:rPr>
        <w:t xml:space="preserve"> Señala que</w:t>
      </w:r>
      <w:r w:rsidR="00684F19">
        <w:rPr>
          <w:sz w:val="20"/>
          <w:szCs w:val="20"/>
          <w:lang w:val="es-AR"/>
        </w:rPr>
        <w:t xml:space="preserve"> tras el</w:t>
      </w:r>
      <w:r w:rsidR="004E49CF">
        <w:rPr>
          <w:sz w:val="20"/>
          <w:szCs w:val="20"/>
          <w:lang w:val="es-AR"/>
        </w:rPr>
        <w:t xml:space="preserve"> fallecimiento del </w:t>
      </w:r>
      <w:r w:rsidR="003A3A14">
        <w:rPr>
          <w:sz w:val="20"/>
          <w:szCs w:val="20"/>
          <w:lang w:val="es-AR"/>
        </w:rPr>
        <w:t xml:space="preserve">señor </w:t>
      </w:r>
      <w:r w:rsidR="00684F19">
        <w:rPr>
          <w:sz w:val="20"/>
          <w:szCs w:val="20"/>
          <w:lang w:val="es-AR"/>
        </w:rPr>
        <w:t xml:space="preserve">Eliud </w:t>
      </w:r>
      <w:r w:rsidR="003A3A14">
        <w:rPr>
          <w:sz w:val="20"/>
          <w:szCs w:val="20"/>
          <w:lang w:val="es-AR"/>
        </w:rPr>
        <w:t>Potes López en 2008, su familia se enteró</w:t>
      </w:r>
      <w:r w:rsidR="00AB0E7C">
        <w:rPr>
          <w:sz w:val="20"/>
          <w:szCs w:val="20"/>
          <w:lang w:val="es-AR"/>
        </w:rPr>
        <w:t xml:space="preserve"> de</w:t>
      </w:r>
      <w:r w:rsidR="003A3A14">
        <w:rPr>
          <w:sz w:val="20"/>
          <w:szCs w:val="20"/>
          <w:lang w:val="es-AR"/>
        </w:rPr>
        <w:t xml:space="preserve"> que el predio </w:t>
      </w:r>
      <w:r w:rsidR="002F691D">
        <w:rPr>
          <w:sz w:val="20"/>
          <w:szCs w:val="20"/>
          <w:lang w:val="es-AR"/>
        </w:rPr>
        <w:t xml:space="preserve">que les pertenecía </w:t>
      </w:r>
      <w:r w:rsidR="003A3A14">
        <w:rPr>
          <w:sz w:val="20"/>
          <w:szCs w:val="20"/>
          <w:lang w:val="es-AR"/>
        </w:rPr>
        <w:t>estaba siendo objeto de usur</w:t>
      </w:r>
      <w:r w:rsidR="00D52C14">
        <w:rPr>
          <w:sz w:val="20"/>
          <w:szCs w:val="20"/>
          <w:lang w:val="es-AR"/>
        </w:rPr>
        <w:t>p</w:t>
      </w:r>
      <w:r w:rsidR="003A3A14">
        <w:rPr>
          <w:sz w:val="20"/>
          <w:szCs w:val="20"/>
          <w:lang w:val="es-AR"/>
        </w:rPr>
        <w:t>ación</w:t>
      </w:r>
      <w:r w:rsidR="00E97D74">
        <w:rPr>
          <w:sz w:val="20"/>
          <w:szCs w:val="20"/>
          <w:lang w:val="es-AR"/>
        </w:rPr>
        <w:t xml:space="preserve"> por la Agencia Nacional de Hidrocarburos (en adelante “ANH”) y por una familia de apellido López Ben</w:t>
      </w:r>
      <w:r w:rsidR="001C24AD">
        <w:rPr>
          <w:sz w:val="20"/>
          <w:szCs w:val="20"/>
          <w:lang w:val="es-AR"/>
        </w:rPr>
        <w:t>í</w:t>
      </w:r>
      <w:r w:rsidR="00E97D74">
        <w:rPr>
          <w:sz w:val="20"/>
          <w:szCs w:val="20"/>
          <w:lang w:val="es-AR"/>
        </w:rPr>
        <w:t>te</w:t>
      </w:r>
      <w:r w:rsidR="001C24AD">
        <w:rPr>
          <w:sz w:val="20"/>
          <w:szCs w:val="20"/>
          <w:lang w:val="es-AR"/>
        </w:rPr>
        <w:t>z</w:t>
      </w:r>
      <w:r w:rsidR="00744D9D">
        <w:rPr>
          <w:sz w:val="20"/>
          <w:szCs w:val="20"/>
          <w:lang w:val="es-AR"/>
        </w:rPr>
        <w:t>, quienes se presentaban como dueños del terreno ante la ANH para obtener una licencia minera</w:t>
      </w:r>
      <w:r w:rsidR="0023319C">
        <w:rPr>
          <w:sz w:val="20"/>
          <w:szCs w:val="20"/>
          <w:lang w:val="es-AR"/>
        </w:rPr>
        <w:t xml:space="preserve"> y una reparación por parte de la entidad</w:t>
      </w:r>
      <w:r w:rsidR="003A3A14">
        <w:rPr>
          <w:sz w:val="20"/>
          <w:szCs w:val="20"/>
          <w:lang w:val="es-AR"/>
        </w:rPr>
        <w:t>.</w:t>
      </w:r>
    </w:p>
    <w:p w14:paraId="1F8D1AE1" w14:textId="7ABA807C" w:rsidR="00D1715C" w:rsidRPr="00B7660A" w:rsidRDefault="00D1715C" w:rsidP="007A330F">
      <w:pPr>
        <w:pStyle w:val="ListParagraph"/>
        <w:numPr>
          <w:ilvl w:val="0"/>
          <w:numId w:val="61"/>
        </w:numPr>
        <w:ind w:left="0" w:firstLine="720"/>
        <w:jc w:val="both"/>
        <w:rPr>
          <w:rFonts w:asciiTheme="majorHAnsi" w:hAnsiTheme="majorHAnsi"/>
          <w:bCs/>
          <w:sz w:val="20"/>
          <w:szCs w:val="20"/>
          <w:lang w:val="es-UY"/>
        </w:rPr>
      </w:pPr>
      <w:r>
        <w:rPr>
          <w:sz w:val="20"/>
          <w:szCs w:val="20"/>
          <w:lang w:val="es-AR"/>
        </w:rPr>
        <w:t>Ante ello, la parte peticionaria refiere que el señor Francisco Potes Mosquera (en adelante “el Sr. Potes Mosquera” o “la presunta víctima”)</w:t>
      </w:r>
      <w:r w:rsidR="005764CB">
        <w:rPr>
          <w:sz w:val="20"/>
          <w:szCs w:val="20"/>
          <w:lang w:val="es-AR"/>
        </w:rPr>
        <w:t xml:space="preserve"> se apersonó ante la ANH, </w:t>
      </w:r>
      <w:r w:rsidR="005967C0">
        <w:rPr>
          <w:sz w:val="20"/>
          <w:szCs w:val="20"/>
          <w:lang w:val="es-AR"/>
        </w:rPr>
        <w:t>la cual</w:t>
      </w:r>
      <w:r w:rsidR="005764CB">
        <w:rPr>
          <w:sz w:val="20"/>
          <w:szCs w:val="20"/>
          <w:lang w:val="es-AR"/>
        </w:rPr>
        <w:t xml:space="preserve"> reconoció a </w:t>
      </w:r>
      <w:r w:rsidR="00942466">
        <w:rPr>
          <w:sz w:val="20"/>
          <w:szCs w:val="20"/>
          <w:lang w:val="es-AR"/>
        </w:rPr>
        <w:t xml:space="preserve">la </w:t>
      </w:r>
      <w:r w:rsidR="005764CB">
        <w:rPr>
          <w:sz w:val="20"/>
          <w:szCs w:val="20"/>
          <w:lang w:val="es-AR"/>
        </w:rPr>
        <w:t xml:space="preserve">familia </w:t>
      </w:r>
      <w:r w:rsidR="00942466">
        <w:rPr>
          <w:sz w:val="20"/>
          <w:szCs w:val="20"/>
          <w:lang w:val="es-AR"/>
        </w:rPr>
        <w:t xml:space="preserve">Potes Mosquera </w:t>
      </w:r>
      <w:r w:rsidR="005764CB">
        <w:rPr>
          <w:sz w:val="20"/>
          <w:szCs w:val="20"/>
          <w:lang w:val="es-AR"/>
        </w:rPr>
        <w:t>como legítimos propietarios del predio</w:t>
      </w:r>
      <w:r w:rsidR="00801300">
        <w:rPr>
          <w:sz w:val="20"/>
          <w:szCs w:val="20"/>
          <w:lang w:val="es-AR"/>
        </w:rPr>
        <w:t>,</w:t>
      </w:r>
      <w:r w:rsidR="005764CB">
        <w:rPr>
          <w:sz w:val="20"/>
          <w:szCs w:val="20"/>
          <w:lang w:val="es-AR"/>
        </w:rPr>
        <w:t xml:space="preserve"> </w:t>
      </w:r>
      <w:r w:rsidR="00801300">
        <w:rPr>
          <w:sz w:val="20"/>
          <w:szCs w:val="20"/>
          <w:lang w:val="es-AR"/>
        </w:rPr>
        <w:t>desestimando</w:t>
      </w:r>
      <w:r w:rsidR="005764CB">
        <w:rPr>
          <w:sz w:val="20"/>
          <w:szCs w:val="20"/>
          <w:lang w:val="es-AR"/>
        </w:rPr>
        <w:t xml:space="preserve"> las solicitudes de la familia López</w:t>
      </w:r>
      <w:r w:rsidR="00893E1E">
        <w:rPr>
          <w:sz w:val="20"/>
          <w:szCs w:val="20"/>
          <w:lang w:val="es-AR"/>
        </w:rPr>
        <w:t xml:space="preserve"> </w:t>
      </w:r>
      <w:r w:rsidR="001C24AD">
        <w:rPr>
          <w:sz w:val="20"/>
          <w:szCs w:val="20"/>
          <w:lang w:val="es-AR"/>
        </w:rPr>
        <w:t>Benítez</w:t>
      </w:r>
      <w:r w:rsidR="00233E75">
        <w:rPr>
          <w:sz w:val="20"/>
          <w:szCs w:val="20"/>
          <w:lang w:val="es-AR"/>
        </w:rPr>
        <w:t xml:space="preserve">. Nara que </w:t>
      </w:r>
      <w:r w:rsidR="007323A3">
        <w:rPr>
          <w:sz w:val="20"/>
          <w:szCs w:val="20"/>
          <w:lang w:val="es-AR"/>
        </w:rPr>
        <w:t xml:space="preserve">el 13 de febrero de 2012 </w:t>
      </w:r>
      <w:r w:rsidR="005764CB">
        <w:rPr>
          <w:sz w:val="20"/>
          <w:szCs w:val="20"/>
          <w:lang w:val="es-AR"/>
        </w:rPr>
        <w:t>denunció a los miembros de dicha familia por el delito de usurpación de tierras.</w:t>
      </w:r>
      <w:r w:rsidR="000342A6">
        <w:rPr>
          <w:sz w:val="20"/>
          <w:szCs w:val="20"/>
          <w:lang w:val="es-AR"/>
        </w:rPr>
        <w:t xml:space="preserve"> No obstante, señala que </w:t>
      </w:r>
      <w:r w:rsidR="001F1788">
        <w:rPr>
          <w:sz w:val="20"/>
          <w:szCs w:val="20"/>
          <w:lang w:val="es-AR"/>
        </w:rPr>
        <w:t>es</w:t>
      </w:r>
      <w:r w:rsidR="007C7D58">
        <w:rPr>
          <w:sz w:val="20"/>
          <w:szCs w:val="20"/>
          <w:lang w:val="es-AR"/>
        </w:rPr>
        <w:t>t</w:t>
      </w:r>
      <w:r w:rsidR="001F1788">
        <w:rPr>
          <w:sz w:val="20"/>
          <w:szCs w:val="20"/>
          <w:lang w:val="es-AR"/>
        </w:rPr>
        <w:t xml:space="preserve">as personas continuaron ejerciendo minería ilegal sobre el terreno y </w:t>
      </w:r>
      <w:r w:rsidR="00E21215">
        <w:rPr>
          <w:sz w:val="20"/>
          <w:szCs w:val="20"/>
          <w:lang w:val="es-AR"/>
        </w:rPr>
        <w:t>comenzaron a proferir amenazas de muerte contr</w:t>
      </w:r>
      <w:r w:rsidR="001F1788">
        <w:rPr>
          <w:sz w:val="20"/>
          <w:szCs w:val="20"/>
          <w:lang w:val="es-AR"/>
        </w:rPr>
        <w:t>a</w:t>
      </w:r>
      <w:r w:rsidR="00E21215">
        <w:rPr>
          <w:sz w:val="20"/>
          <w:szCs w:val="20"/>
          <w:lang w:val="es-AR"/>
        </w:rPr>
        <w:t xml:space="preserve"> e</w:t>
      </w:r>
      <w:r w:rsidR="001F1788">
        <w:rPr>
          <w:sz w:val="20"/>
          <w:szCs w:val="20"/>
          <w:lang w:val="es-AR"/>
        </w:rPr>
        <w:t xml:space="preserve">l Sr. Potes Mosquera y </w:t>
      </w:r>
      <w:r w:rsidR="00E21215">
        <w:rPr>
          <w:sz w:val="20"/>
          <w:szCs w:val="20"/>
          <w:lang w:val="es-AR"/>
        </w:rPr>
        <w:t>su familia.</w:t>
      </w:r>
    </w:p>
    <w:p w14:paraId="7BB476B2" w14:textId="79733D2D" w:rsidR="00B7660A" w:rsidRPr="00545D3D" w:rsidRDefault="008E584B" w:rsidP="007A330F">
      <w:pPr>
        <w:pStyle w:val="ListParagraph"/>
        <w:numPr>
          <w:ilvl w:val="0"/>
          <w:numId w:val="61"/>
        </w:numPr>
        <w:ind w:left="0" w:firstLine="720"/>
        <w:jc w:val="both"/>
        <w:rPr>
          <w:rFonts w:asciiTheme="majorHAnsi" w:hAnsiTheme="majorHAnsi"/>
          <w:bCs/>
          <w:sz w:val="20"/>
          <w:szCs w:val="20"/>
          <w:lang w:val="es-UY"/>
        </w:rPr>
      </w:pPr>
      <w:r>
        <w:rPr>
          <w:sz w:val="20"/>
          <w:szCs w:val="20"/>
          <w:lang w:val="es-AR"/>
        </w:rPr>
        <w:t>Los peticionarios</w:t>
      </w:r>
      <w:r w:rsidR="00CE55F7">
        <w:rPr>
          <w:sz w:val="20"/>
          <w:szCs w:val="20"/>
          <w:lang w:val="es-AR"/>
        </w:rPr>
        <w:t xml:space="preserve"> indican que el proceso ante fiscalía sufrió varias demoras, entre ellas, </w:t>
      </w:r>
      <w:r w:rsidR="00353144">
        <w:rPr>
          <w:sz w:val="20"/>
          <w:szCs w:val="20"/>
          <w:lang w:val="es-AR"/>
        </w:rPr>
        <w:t>que miembros de la familia López</w:t>
      </w:r>
      <w:r w:rsidR="00BB0E95">
        <w:rPr>
          <w:sz w:val="20"/>
          <w:szCs w:val="20"/>
          <w:lang w:val="es-AR"/>
        </w:rPr>
        <w:t xml:space="preserve"> Benítez</w:t>
      </w:r>
      <w:r w:rsidR="00353144">
        <w:rPr>
          <w:sz w:val="20"/>
          <w:szCs w:val="20"/>
          <w:lang w:val="es-AR"/>
        </w:rPr>
        <w:t xml:space="preserve"> amenazaron a</w:t>
      </w:r>
      <w:r w:rsidR="00D165BD">
        <w:rPr>
          <w:sz w:val="20"/>
          <w:szCs w:val="20"/>
          <w:lang w:val="es-AR"/>
        </w:rPr>
        <w:t xml:space="preserve"> </w:t>
      </w:r>
      <w:r w:rsidR="001B644B">
        <w:rPr>
          <w:sz w:val="20"/>
          <w:szCs w:val="20"/>
          <w:lang w:val="es-AR"/>
        </w:rPr>
        <w:t>vari</w:t>
      </w:r>
      <w:r w:rsidR="00D165BD">
        <w:rPr>
          <w:sz w:val="20"/>
          <w:szCs w:val="20"/>
          <w:lang w:val="es-AR"/>
        </w:rPr>
        <w:t>o</w:t>
      </w:r>
      <w:r w:rsidR="001B644B">
        <w:rPr>
          <w:sz w:val="20"/>
          <w:szCs w:val="20"/>
          <w:lang w:val="es-AR"/>
        </w:rPr>
        <w:t>s</w:t>
      </w:r>
      <w:r w:rsidR="00D165BD">
        <w:rPr>
          <w:sz w:val="20"/>
          <w:szCs w:val="20"/>
          <w:lang w:val="es-AR"/>
        </w:rPr>
        <w:t xml:space="preserve"> fiscales</w:t>
      </w:r>
      <w:r w:rsidR="004B6A28">
        <w:rPr>
          <w:sz w:val="20"/>
          <w:szCs w:val="20"/>
          <w:lang w:val="es-AR"/>
        </w:rPr>
        <w:t>, quien</w:t>
      </w:r>
      <w:r w:rsidR="001B644B">
        <w:rPr>
          <w:sz w:val="20"/>
          <w:szCs w:val="20"/>
          <w:lang w:val="es-AR"/>
        </w:rPr>
        <w:t>es</w:t>
      </w:r>
      <w:r w:rsidR="004B6A28">
        <w:rPr>
          <w:sz w:val="20"/>
          <w:szCs w:val="20"/>
          <w:lang w:val="es-AR"/>
        </w:rPr>
        <w:t xml:space="preserve"> tuv</w:t>
      </w:r>
      <w:r w:rsidR="001B644B">
        <w:rPr>
          <w:sz w:val="20"/>
          <w:szCs w:val="20"/>
          <w:lang w:val="es-AR"/>
        </w:rPr>
        <w:t>ier</w:t>
      </w:r>
      <w:r w:rsidR="004B6A28">
        <w:rPr>
          <w:sz w:val="20"/>
          <w:szCs w:val="20"/>
          <w:lang w:val="es-AR"/>
        </w:rPr>
        <w:t>o</w:t>
      </w:r>
      <w:r w:rsidR="001B644B">
        <w:rPr>
          <w:sz w:val="20"/>
          <w:szCs w:val="20"/>
          <w:lang w:val="es-AR"/>
        </w:rPr>
        <w:t>n</w:t>
      </w:r>
      <w:r w:rsidR="004B6A28">
        <w:rPr>
          <w:sz w:val="20"/>
          <w:szCs w:val="20"/>
          <w:lang w:val="es-AR"/>
        </w:rPr>
        <w:t xml:space="preserve"> que declararse impedido</w:t>
      </w:r>
      <w:r w:rsidR="001B644B">
        <w:rPr>
          <w:sz w:val="20"/>
          <w:szCs w:val="20"/>
          <w:lang w:val="es-AR"/>
        </w:rPr>
        <w:t>s</w:t>
      </w:r>
      <w:r w:rsidR="004B6A28">
        <w:rPr>
          <w:sz w:val="20"/>
          <w:szCs w:val="20"/>
          <w:lang w:val="es-AR"/>
        </w:rPr>
        <w:t xml:space="preserve"> para seguir conociendo la investigación</w:t>
      </w:r>
      <w:r w:rsidR="00604A40">
        <w:rPr>
          <w:sz w:val="20"/>
          <w:szCs w:val="20"/>
          <w:lang w:val="es-AR"/>
        </w:rPr>
        <w:t>.</w:t>
      </w:r>
      <w:r w:rsidR="00B441CB">
        <w:rPr>
          <w:sz w:val="20"/>
          <w:szCs w:val="20"/>
          <w:lang w:val="es-AR"/>
        </w:rPr>
        <w:t xml:space="preserve"> </w:t>
      </w:r>
      <w:r w:rsidR="00604A40">
        <w:rPr>
          <w:sz w:val="20"/>
          <w:szCs w:val="20"/>
          <w:lang w:val="es-AR"/>
        </w:rPr>
        <w:t>T</w:t>
      </w:r>
      <w:r w:rsidR="00B441CB">
        <w:rPr>
          <w:sz w:val="20"/>
          <w:szCs w:val="20"/>
          <w:lang w:val="es-AR"/>
        </w:rPr>
        <w:t>ambién aduce</w:t>
      </w:r>
      <w:r w:rsidR="00604A40">
        <w:rPr>
          <w:sz w:val="20"/>
          <w:szCs w:val="20"/>
          <w:lang w:val="es-AR"/>
        </w:rPr>
        <w:t>n</w:t>
      </w:r>
      <w:r w:rsidR="00B441CB">
        <w:rPr>
          <w:sz w:val="20"/>
          <w:szCs w:val="20"/>
          <w:lang w:val="es-AR"/>
        </w:rPr>
        <w:t xml:space="preserve"> que hubo </w:t>
      </w:r>
      <w:r w:rsidR="005734E3">
        <w:rPr>
          <w:sz w:val="20"/>
          <w:szCs w:val="20"/>
          <w:lang w:val="es-AR"/>
        </w:rPr>
        <w:t xml:space="preserve">irregularidades, en particular porque </w:t>
      </w:r>
      <w:r w:rsidR="00632A2F">
        <w:rPr>
          <w:sz w:val="20"/>
          <w:szCs w:val="20"/>
          <w:lang w:val="es-AR"/>
        </w:rPr>
        <w:t>se programó una audiencia de acusación, que fue suspendida, se escuchó a la defensa, pero no a las presuntas víctimas y se programó una audiencia de preclusión, con lo cual cerró el caso de usurpación de tierras</w:t>
      </w:r>
      <w:r w:rsidR="00ED7192">
        <w:rPr>
          <w:sz w:val="20"/>
          <w:szCs w:val="20"/>
          <w:lang w:val="es-AR"/>
        </w:rPr>
        <w:t xml:space="preserve"> (no precisa</w:t>
      </w:r>
      <w:r w:rsidR="007D6BC6">
        <w:rPr>
          <w:sz w:val="20"/>
          <w:szCs w:val="20"/>
          <w:lang w:val="es-AR"/>
        </w:rPr>
        <w:t>n</w:t>
      </w:r>
      <w:r w:rsidR="00ED7192">
        <w:rPr>
          <w:sz w:val="20"/>
          <w:szCs w:val="20"/>
          <w:lang w:val="es-AR"/>
        </w:rPr>
        <w:t xml:space="preserve"> la fecha)</w:t>
      </w:r>
      <w:r w:rsidR="004B6A28">
        <w:rPr>
          <w:sz w:val="20"/>
          <w:szCs w:val="20"/>
          <w:lang w:val="es-AR"/>
        </w:rPr>
        <w:t>. Agregan que las amenazas contra el Sr. Potes Mosquera</w:t>
      </w:r>
      <w:r w:rsidR="00DD2DFE">
        <w:rPr>
          <w:sz w:val="20"/>
          <w:szCs w:val="20"/>
          <w:lang w:val="es-AR"/>
        </w:rPr>
        <w:t xml:space="preserve"> aumentaron, tanto en persona como a su teléfono, por lo que radicó una nueva denuncia por amenazas</w:t>
      </w:r>
      <w:r w:rsidR="008B72DD">
        <w:rPr>
          <w:sz w:val="20"/>
          <w:szCs w:val="20"/>
          <w:lang w:val="es-AR"/>
        </w:rPr>
        <w:t xml:space="preserve"> </w:t>
      </w:r>
      <w:r w:rsidR="006452D5">
        <w:rPr>
          <w:sz w:val="20"/>
          <w:szCs w:val="20"/>
          <w:lang w:val="es-AR"/>
        </w:rPr>
        <w:t>ante la</w:t>
      </w:r>
      <w:r w:rsidR="008B72DD">
        <w:rPr>
          <w:sz w:val="20"/>
          <w:szCs w:val="20"/>
          <w:lang w:val="es-AR"/>
        </w:rPr>
        <w:t xml:space="preserve"> fiscalía</w:t>
      </w:r>
      <w:r w:rsidR="006452D5">
        <w:rPr>
          <w:sz w:val="20"/>
          <w:szCs w:val="20"/>
          <w:lang w:val="es-AR"/>
        </w:rPr>
        <w:t xml:space="preserve">, </w:t>
      </w:r>
      <w:r w:rsidR="00BD30B0">
        <w:rPr>
          <w:sz w:val="20"/>
          <w:szCs w:val="20"/>
          <w:lang w:val="es-AR"/>
        </w:rPr>
        <w:t>la policía y la secretaría de gobierno del municipio de Condoto, Chocó</w:t>
      </w:r>
      <w:r w:rsidR="006452D5">
        <w:rPr>
          <w:sz w:val="20"/>
          <w:szCs w:val="20"/>
          <w:lang w:val="es-AR"/>
        </w:rPr>
        <w:t>;</w:t>
      </w:r>
      <w:r w:rsidR="00BD30B0">
        <w:rPr>
          <w:sz w:val="20"/>
          <w:szCs w:val="20"/>
          <w:lang w:val="es-AR"/>
        </w:rPr>
        <w:t xml:space="preserve"> </w:t>
      </w:r>
      <w:r w:rsidR="00293CFE">
        <w:rPr>
          <w:sz w:val="20"/>
          <w:szCs w:val="20"/>
          <w:lang w:val="es-AR"/>
        </w:rPr>
        <w:t xml:space="preserve">también </w:t>
      </w:r>
      <w:r w:rsidR="006452D5">
        <w:rPr>
          <w:sz w:val="20"/>
          <w:szCs w:val="20"/>
          <w:lang w:val="es-AR"/>
        </w:rPr>
        <w:t xml:space="preserve">solicitó protección </w:t>
      </w:r>
      <w:r w:rsidR="00293CFE">
        <w:rPr>
          <w:sz w:val="20"/>
          <w:szCs w:val="20"/>
          <w:lang w:val="es-AR"/>
        </w:rPr>
        <w:t>a la Unidad Nacional de Protección, sin obtener respuesta alguna</w:t>
      </w:r>
      <w:r w:rsidR="00BD30B0">
        <w:rPr>
          <w:sz w:val="20"/>
          <w:szCs w:val="20"/>
          <w:lang w:val="es-AR"/>
        </w:rPr>
        <w:t>.</w:t>
      </w:r>
    </w:p>
    <w:p w14:paraId="78AB2551" w14:textId="63128FD9" w:rsidR="00E96082" w:rsidRDefault="00E906F4" w:rsidP="007A330F">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Por su parte,</w:t>
      </w:r>
      <w:r w:rsidR="00540BD6">
        <w:rPr>
          <w:rFonts w:asciiTheme="majorHAnsi" w:hAnsiTheme="majorHAnsi"/>
          <w:bCs/>
          <w:sz w:val="20"/>
          <w:szCs w:val="20"/>
          <w:lang w:val="es-UY"/>
        </w:rPr>
        <w:t xml:space="preserve"> las mismas personas </w:t>
      </w:r>
      <w:r w:rsidR="003015BC">
        <w:rPr>
          <w:rFonts w:asciiTheme="majorHAnsi" w:hAnsiTheme="majorHAnsi"/>
          <w:bCs/>
          <w:sz w:val="20"/>
          <w:szCs w:val="20"/>
          <w:lang w:val="es-UY"/>
        </w:rPr>
        <w:t xml:space="preserve">a las </w:t>
      </w:r>
      <w:r w:rsidR="00540BD6">
        <w:rPr>
          <w:rFonts w:asciiTheme="majorHAnsi" w:hAnsiTheme="majorHAnsi"/>
          <w:bCs/>
          <w:sz w:val="20"/>
          <w:szCs w:val="20"/>
          <w:lang w:val="es-UY"/>
        </w:rPr>
        <w:t xml:space="preserve">que </w:t>
      </w:r>
      <w:r>
        <w:rPr>
          <w:rFonts w:asciiTheme="majorHAnsi" w:hAnsiTheme="majorHAnsi"/>
          <w:bCs/>
          <w:sz w:val="20"/>
          <w:szCs w:val="20"/>
          <w:lang w:val="es-UY"/>
        </w:rPr>
        <w:t xml:space="preserve">el Sr. </w:t>
      </w:r>
      <w:r w:rsidR="00EC0B00">
        <w:rPr>
          <w:rFonts w:asciiTheme="majorHAnsi" w:hAnsiTheme="majorHAnsi"/>
          <w:bCs/>
          <w:sz w:val="20"/>
          <w:szCs w:val="20"/>
          <w:lang w:val="es-UY"/>
        </w:rPr>
        <w:t>Potes Mosquera</w:t>
      </w:r>
      <w:r w:rsidR="00540BD6">
        <w:rPr>
          <w:rFonts w:asciiTheme="majorHAnsi" w:hAnsiTheme="majorHAnsi"/>
          <w:bCs/>
          <w:sz w:val="20"/>
          <w:szCs w:val="20"/>
          <w:lang w:val="es-UY"/>
        </w:rPr>
        <w:t xml:space="preserve"> denunció presentaron</w:t>
      </w:r>
      <w:r w:rsidR="00961910">
        <w:rPr>
          <w:rFonts w:asciiTheme="majorHAnsi" w:hAnsiTheme="majorHAnsi"/>
          <w:bCs/>
          <w:sz w:val="20"/>
          <w:szCs w:val="20"/>
          <w:lang w:val="es-UY"/>
        </w:rPr>
        <w:t xml:space="preserve"> a su vez</w:t>
      </w:r>
      <w:r w:rsidR="00540BD6">
        <w:rPr>
          <w:rFonts w:asciiTheme="majorHAnsi" w:hAnsiTheme="majorHAnsi"/>
          <w:bCs/>
          <w:sz w:val="20"/>
          <w:szCs w:val="20"/>
          <w:lang w:val="es-UY"/>
        </w:rPr>
        <w:t xml:space="preserve"> una denuncia en </w:t>
      </w:r>
      <w:r w:rsidR="007C738C">
        <w:rPr>
          <w:rFonts w:asciiTheme="majorHAnsi" w:hAnsiTheme="majorHAnsi"/>
          <w:bCs/>
          <w:sz w:val="20"/>
          <w:szCs w:val="20"/>
          <w:lang w:val="es-UY"/>
        </w:rPr>
        <w:t xml:space="preserve">su </w:t>
      </w:r>
      <w:r w:rsidR="00540BD6">
        <w:rPr>
          <w:rFonts w:asciiTheme="majorHAnsi" w:hAnsiTheme="majorHAnsi"/>
          <w:bCs/>
          <w:sz w:val="20"/>
          <w:szCs w:val="20"/>
          <w:lang w:val="es-UY"/>
        </w:rPr>
        <w:t>contra por los delitos de daño en bien ajeno</w:t>
      </w:r>
      <w:r w:rsidR="00027BF7">
        <w:rPr>
          <w:rFonts w:asciiTheme="majorHAnsi" w:hAnsiTheme="majorHAnsi"/>
          <w:bCs/>
          <w:sz w:val="20"/>
          <w:szCs w:val="20"/>
          <w:lang w:val="es-UY"/>
        </w:rPr>
        <w:t>, falsedad en documento</w:t>
      </w:r>
      <w:r w:rsidR="00174D04">
        <w:rPr>
          <w:rFonts w:asciiTheme="majorHAnsi" w:hAnsiTheme="majorHAnsi"/>
          <w:bCs/>
          <w:sz w:val="20"/>
          <w:szCs w:val="20"/>
          <w:lang w:val="es-UY"/>
        </w:rPr>
        <w:t xml:space="preserve"> y</w:t>
      </w:r>
      <w:r w:rsidR="00540BD6">
        <w:rPr>
          <w:rFonts w:asciiTheme="majorHAnsi" w:hAnsiTheme="majorHAnsi"/>
          <w:bCs/>
          <w:sz w:val="20"/>
          <w:szCs w:val="20"/>
          <w:lang w:val="es-UY"/>
        </w:rPr>
        <w:t xml:space="preserve"> </w:t>
      </w:r>
      <w:r w:rsidR="00174D04">
        <w:rPr>
          <w:rFonts w:asciiTheme="majorHAnsi" w:hAnsiTheme="majorHAnsi"/>
          <w:bCs/>
          <w:sz w:val="20"/>
          <w:szCs w:val="20"/>
          <w:lang w:val="es-UY"/>
        </w:rPr>
        <w:t>daño ambiental, entre otros.</w:t>
      </w:r>
      <w:r w:rsidR="003D67FF">
        <w:rPr>
          <w:rFonts w:asciiTheme="majorHAnsi" w:hAnsiTheme="majorHAnsi"/>
          <w:bCs/>
          <w:sz w:val="20"/>
          <w:szCs w:val="20"/>
          <w:lang w:val="es-UY"/>
        </w:rPr>
        <w:t xml:space="preserve"> </w:t>
      </w:r>
      <w:r w:rsidR="00F90EB5">
        <w:rPr>
          <w:rFonts w:asciiTheme="majorHAnsi" w:hAnsiTheme="majorHAnsi"/>
          <w:bCs/>
          <w:sz w:val="20"/>
          <w:szCs w:val="20"/>
          <w:lang w:val="es-UY"/>
        </w:rPr>
        <w:t>En el curso de</w:t>
      </w:r>
      <w:r w:rsidR="003D67FF">
        <w:rPr>
          <w:rFonts w:asciiTheme="majorHAnsi" w:hAnsiTheme="majorHAnsi"/>
          <w:bCs/>
          <w:sz w:val="20"/>
          <w:szCs w:val="20"/>
          <w:lang w:val="es-UY"/>
        </w:rPr>
        <w:t xml:space="preserve"> este proceso, el 18 de marzo de 2015 </w:t>
      </w:r>
      <w:r w:rsidR="00B713D9">
        <w:rPr>
          <w:rFonts w:asciiTheme="majorHAnsi" w:hAnsiTheme="majorHAnsi"/>
          <w:bCs/>
          <w:sz w:val="20"/>
          <w:szCs w:val="20"/>
          <w:lang w:val="es-UY"/>
        </w:rPr>
        <w:t xml:space="preserve">aquel </w:t>
      </w:r>
      <w:r w:rsidR="003D67FF">
        <w:rPr>
          <w:rFonts w:asciiTheme="majorHAnsi" w:hAnsiTheme="majorHAnsi"/>
          <w:bCs/>
          <w:sz w:val="20"/>
          <w:szCs w:val="20"/>
          <w:lang w:val="es-UY"/>
        </w:rPr>
        <w:t xml:space="preserve">recibió una llamada de la policía judicial informándole que ese mismo día se realizaría </w:t>
      </w:r>
      <w:r w:rsidR="001B4C4C">
        <w:rPr>
          <w:rFonts w:asciiTheme="majorHAnsi" w:hAnsiTheme="majorHAnsi"/>
          <w:bCs/>
          <w:sz w:val="20"/>
          <w:szCs w:val="20"/>
          <w:lang w:val="es-UY"/>
        </w:rPr>
        <w:t>una audiencia en la ciudad de Quibdó, Chocó</w:t>
      </w:r>
      <w:r w:rsidR="00961910">
        <w:rPr>
          <w:rFonts w:asciiTheme="majorHAnsi" w:hAnsiTheme="majorHAnsi"/>
          <w:bCs/>
          <w:sz w:val="20"/>
          <w:szCs w:val="20"/>
          <w:lang w:val="es-UY"/>
        </w:rPr>
        <w:t>;</w:t>
      </w:r>
      <w:r w:rsidR="001B4C4C">
        <w:rPr>
          <w:rFonts w:asciiTheme="majorHAnsi" w:hAnsiTheme="majorHAnsi"/>
          <w:bCs/>
          <w:sz w:val="20"/>
          <w:szCs w:val="20"/>
          <w:lang w:val="es-UY"/>
        </w:rPr>
        <w:t xml:space="preserve"> </w:t>
      </w:r>
      <w:r w:rsidR="00961910">
        <w:rPr>
          <w:rFonts w:asciiTheme="majorHAnsi" w:hAnsiTheme="majorHAnsi"/>
          <w:bCs/>
          <w:sz w:val="20"/>
          <w:szCs w:val="20"/>
          <w:lang w:val="es-UY"/>
        </w:rPr>
        <w:t>a lo que</w:t>
      </w:r>
      <w:r w:rsidR="001B4C4C">
        <w:rPr>
          <w:rFonts w:asciiTheme="majorHAnsi" w:hAnsiTheme="majorHAnsi"/>
          <w:bCs/>
          <w:sz w:val="20"/>
          <w:szCs w:val="20"/>
          <w:lang w:val="es-UY"/>
        </w:rPr>
        <w:t xml:space="preserve"> él replicó que resid</w:t>
      </w:r>
      <w:r w:rsidR="00FB2050">
        <w:rPr>
          <w:rFonts w:asciiTheme="majorHAnsi" w:hAnsiTheme="majorHAnsi"/>
          <w:bCs/>
          <w:sz w:val="20"/>
          <w:szCs w:val="20"/>
          <w:lang w:val="es-UY"/>
        </w:rPr>
        <w:t>ía</w:t>
      </w:r>
      <w:r w:rsidR="001B4C4C">
        <w:rPr>
          <w:rFonts w:asciiTheme="majorHAnsi" w:hAnsiTheme="majorHAnsi"/>
          <w:bCs/>
          <w:sz w:val="20"/>
          <w:szCs w:val="20"/>
          <w:lang w:val="es-UY"/>
        </w:rPr>
        <w:t xml:space="preserve"> en Bogotá</w:t>
      </w:r>
      <w:r w:rsidR="0091099C">
        <w:rPr>
          <w:rFonts w:asciiTheme="majorHAnsi" w:hAnsiTheme="majorHAnsi"/>
          <w:bCs/>
          <w:sz w:val="20"/>
          <w:szCs w:val="20"/>
          <w:lang w:val="es-UY"/>
        </w:rPr>
        <w:t xml:space="preserve"> y solicitó que aplazaran la audiencia para asistir, pero </w:t>
      </w:r>
      <w:r w:rsidR="00FB2050">
        <w:rPr>
          <w:rFonts w:asciiTheme="majorHAnsi" w:hAnsiTheme="majorHAnsi"/>
          <w:bCs/>
          <w:sz w:val="20"/>
          <w:szCs w:val="20"/>
          <w:lang w:val="es-UY"/>
        </w:rPr>
        <w:t>señala que la audiencia se llevó a cabo sin su presencia, ni la de su defensor</w:t>
      </w:r>
      <w:r w:rsidR="00B713D9">
        <w:rPr>
          <w:rFonts w:asciiTheme="majorHAnsi" w:hAnsiTheme="majorHAnsi"/>
          <w:bCs/>
          <w:sz w:val="20"/>
          <w:szCs w:val="20"/>
          <w:lang w:val="es-UY"/>
        </w:rPr>
        <w:t>,</w:t>
      </w:r>
      <w:r w:rsidR="00FB2050">
        <w:rPr>
          <w:rFonts w:asciiTheme="majorHAnsi" w:hAnsiTheme="majorHAnsi"/>
          <w:bCs/>
          <w:sz w:val="20"/>
          <w:szCs w:val="20"/>
          <w:lang w:val="es-UY"/>
        </w:rPr>
        <w:t xml:space="preserve"> y el proceso continuó en su ausencia.</w:t>
      </w:r>
      <w:r w:rsidR="00E96082">
        <w:rPr>
          <w:rFonts w:asciiTheme="majorHAnsi" w:hAnsiTheme="majorHAnsi"/>
          <w:bCs/>
          <w:sz w:val="20"/>
          <w:szCs w:val="20"/>
          <w:lang w:val="es-UY"/>
        </w:rPr>
        <w:t xml:space="preserve"> Así, </w:t>
      </w:r>
      <w:r w:rsidR="006E78B1">
        <w:rPr>
          <w:rFonts w:asciiTheme="majorHAnsi" w:hAnsiTheme="majorHAnsi"/>
          <w:bCs/>
          <w:sz w:val="20"/>
          <w:szCs w:val="20"/>
          <w:lang w:val="es-UY"/>
        </w:rPr>
        <w:t xml:space="preserve">narra que el 10 de julio de 2015 cuando acudió a los juzgados a notificarse, fue detenido durante seis días por el </w:t>
      </w:r>
      <w:r w:rsidR="00CE1B73">
        <w:rPr>
          <w:rFonts w:asciiTheme="majorHAnsi" w:hAnsiTheme="majorHAnsi"/>
          <w:bCs/>
          <w:sz w:val="20"/>
          <w:szCs w:val="20"/>
          <w:lang w:val="es-UY"/>
        </w:rPr>
        <w:t>J</w:t>
      </w:r>
      <w:r w:rsidR="006E78B1">
        <w:rPr>
          <w:rFonts w:asciiTheme="majorHAnsi" w:hAnsiTheme="majorHAnsi"/>
          <w:bCs/>
          <w:sz w:val="20"/>
          <w:szCs w:val="20"/>
          <w:lang w:val="es-UY"/>
        </w:rPr>
        <w:t>uzgado 67</w:t>
      </w:r>
      <w:r w:rsidR="00CE1B73">
        <w:rPr>
          <w:rFonts w:asciiTheme="majorHAnsi" w:hAnsiTheme="majorHAnsi"/>
          <w:bCs/>
          <w:sz w:val="20"/>
          <w:szCs w:val="20"/>
          <w:lang w:val="es-UY"/>
        </w:rPr>
        <w:t>º P</w:t>
      </w:r>
      <w:r w:rsidR="006E78B1">
        <w:rPr>
          <w:rFonts w:asciiTheme="majorHAnsi" w:hAnsiTheme="majorHAnsi"/>
          <w:bCs/>
          <w:sz w:val="20"/>
          <w:szCs w:val="20"/>
          <w:lang w:val="es-UY"/>
        </w:rPr>
        <w:t xml:space="preserve">enal </w:t>
      </w:r>
      <w:r w:rsidR="00CE1B73">
        <w:rPr>
          <w:rFonts w:asciiTheme="majorHAnsi" w:hAnsiTheme="majorHAnsi"/>
          <w:bCs/>
          <w:sz w:val="20"/>
          <w:szCs w:val="20"/>
          <w:lang w:val="es-UY"/>
        </w:rPr>
        <w:t>M</w:t>
      </w:r>
      <w:r w:rsidR="006E78B1">
        <w:rPr>
          <w:rFonts w:asciiTheme="majorHAnsi" w:hAnsiTheme="majorHAnsi"/>
          <w:bCs/>
          <w:sz w:val="20"/>
          <w:szCs w:val="20"/>
          <w:lang w:val="es-UY"/>
        </w:rPr>
        <w:t xml:space="preserve">unicipal </w:t>
      </w:r>
      <w:r w:rsidR="008324BD">
        <w:rPr>
          <w:rFonts w:asciiTheme="majorHAnsi" w:hAnsiTheme="majorHAnsi"/>
          <w:bCs/>
          <w:sz w:val="20"/>
          <w:szCs w:val="20"/>
          <w:lang w:val="es-UY"/>
        </w:rPr>
        <w:t>de Bogotá</w:t>
      </w:r>
      <w:r w:rsidR="006E78B1">
        <w:rPr>
          <w:rFonts w:asciiTheme="majorHAnsi" w:hAnsiTheme="majorHAnsi"/>
          <w:bCs/>
          <w:sz w:val="20"/>
          <w:szCs w:val="20"/>
          <w:lang w:val="es-UY"/>
        </w:rPr>
        <w:t xml:space="preserve">, </w:t>
      </w:r>
      <w:r w:rsidR="00500502">
        <w:rPr>
          <w:rFonts w:asciiTheme="majorHAnsi" w:hAnsiTheme="majorHAnsi"/>
          <w:bCs/>
          <w:sz w:val="20"/>
          <w:szCs w:val="20"/>
          <w:lang w:val="es-UY"/>
        </w:rPr>
        <w:t xml:space="preserve">el cual decidió posteriormente no imponer medida de aseguramiento, advirtiéndole que debía </w:t>
      </w:r>
      <w:r w:rsidR="00CC0AD9">
        <w:rPr>
          <w:rFonts w:asciiTheme="majorHAnsi" w:hAnsiTheme="majorHAnsi"/>
          <w:bCs/>
          <w:sz w:val="20"/>
          <w:szCs w:val="20"/>
          <w:lang w:val="es-UY"/>
        </w:rPr>
        <w:t>permanecer en su residencia</w:t>
      </w:r>
      <w:r w:rsidR="00500502">
        <w:rPr>
          <w:rFonts w:asciiTheme="majorHAnsi" w:hAnsiTheme="majorHAnsi"/>
          <w:bCs/>
          <w:sz w:val="20"/>
          <w:szCs w:val="20"/>
          <w:lang w:val="es-UY"/>
        </w:rPr>
        <w:t>.</w:t>
      </w:r>
      <w:r w:rsidR="00FA27A3">
        <w:rPr>
          <w:rFonts w:asciiTheme="majorHAnsi" w:hAnsiTheme="majorHAnsi"/>
          <w:bCs/>
          <w:sz w:val="20"/>
          <w:szCs w:val="20"/>
          <w:lang w:val="es-UY"/>
        </w:rPr>
        <w:t xml:space="preserve"> El peticionario alega que la fiscalía presentó en dicha audiencia pruebas obtenidas mediante un allanamiento ilegal a su predio sobre el cual nunca fue informado.</w:t>
      </w:r>
    </w:p>
    <w:p w14:paraId="71840135" w14:textId="432F818C" w:rsidR="00545D3D" w:rsidRDefault="00C40FE6" w:rsidP="007A330F">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Los peticionarios indican que e</w:t>
      </w:r>
      <w:r w:rsidR="00945209">
        <w:rPr>
          <w:rFonts w:asciiTheme="majorHAnsi" w:hAnsiTheme="majorHAnsi"/>
          <w:bCs/>
          <w:sz w:val="20"/>
          <w:szCs w:val="20"/>
          <w:lang w:val="es-UY"/>
        </w:rPr>
        <w:t>l</w:t>
      </w:r>
      <w:r w:rsidR="00343F0C">
        <w:rPr>
          <w:rFonts w:asciiTheme="majorHAnsi" w:hAnsiTheme="majorHAnsi"/>
          <w:bCs/>
          <w:sz w:val="20"/>
          <w:szCs w:val="20"/>
          <w:lang w:val="es-UY"/>
        </w:rPr>
        <w:t xml:space="preserve"> </w:t>
      </w:r>
      <w:r w:rsidR="00945209">
        <w:rPr>
          <w:rFonts w:asciiTheme="majorHAnsi" w:hAnsiTheme="majorHAnsi"/>
          <w:bCs/>
          <w:sz w:val="20"/>
          <w:szCs w:val="20"/>
          <w:lang w:val="es-UY"/>
        </w:rPr>
        <w:t>Sr. Potes Mosquera</w:t>
      </w:r>
      <w:r w:rsidR="00C0282B">
        <w:rPr>
          <w:rFonts w:asciiTheme="majorHAnsi" w:hAnsiTheme="majorHAnsi"/>
          <w:bCs/>
          <w:sz w:val="20"/>
          <w:szCs w:val="20"/>
          <w:lang w:val="es-UY"/>
        </w:rPr>
        <w:t xml:space="preserve"> tenía desde el 2013 una solicitud formal de minería tradicional, por lo que no debía ser objeto de investigación por esta actividad, pues </w:t>
      </w:r>
      <w:r w:rsidR="003306F7">
        <w:rPr>
          <w:rFonts w:asciiTheme="majorHAnsi" w:hAnsiTheme="majorHAnsi"/>
          <w:bCs/>
          <w:sz w:val="20"/>
          <w:szCs w:val="20"/>
          <w:lang w:val="es-UY"/>
        </w:rPr>
        <w:t xml:space="preserve">la empezó a ejecutar en enero de 2015 </w:t>
      </w:r>
      <w:r w:rsidR="00A47C3B">
        <w:rPr>
          <w:rFonts w:asciiTheme="majorHAnsi" w:hAnsiTheme="majorHAnsi"/>
          <w:bCs/>
          <w:sz w:val="20"/>
          <w:szCs w:val="20"/>
          <w:lang w:val="es-UY"/>
        </w:rPr>
        <w:t>después de recibir respuesta de la Corporación Departamental del Chocó.</w:t>
      </w:r>
      <w:r w:rsidR="002B795A">
        <w:rPr>
          <w:rFonts w:asciiTheme="majorHAnsi" w:hAnsiTheme="majorHAnsi"/>
          <w:bCs/>
          <w:sz w:val="20"/>
          <w:szCs w:val="20"/>
          <w:lang w:val="es-UY"/>
        </w:rPr>
        <w:t xml:space="preserve"> </w:t>
      </w:r>
      <w:r w:rsidR="00B26EDE">
        <w:rPr>
          <w:rFonts w:asciiTheme="majorHAnsi" w:hAnsiTheme="majorHAnsi"/>
          <w:bCs/>
          <w:sz w:val="20"/>
          <w:szCs w:val="20"/>
          <w:lang w:val="es-UY"/>
        </w:rPr>
        <w:t>D</w:t>
      </w:r>
      <w:r w:rsidR="002B795A">
        <w:rPr>
          <w:rFonts w:asciiTheme="majorHAnsi" w:hAnsiTheme="majorHAnsi"/>
          <w:bCs/>
          <w:sz w:val="20"/>
          <w:szCs w:val="20"/>
          <w:lang w:val="es-UY"/>
        </w:rPr>
        <w:t xml:space="preserve">icha entidad otorgó un contrato para la explotación </w:t>
      </w:r>
      <w:r w:rsidR="00340D86">
        <w:rPr>
          <w:rFonts w:asciiTheme="majorHAnsi" w:hAnsiTheme="majorHAnsi"/>
          <w:bCs/>
          <w:sz w:val="20"/>
          <w:szCs w:val="20"/>
          <w:lang w:val="es-UY"/>
        </w:rPr>
        <w:t xml:space="preserve">de un yacimiento de oro y platino a una empresa </w:t>
      </w:r>
      <w:r w:rsidR="003847E3">
        <w:rPr>
          <w:rFonts w:asciiTheme="majorHAnsi" w:hAnsiTheme="majorHAnsi"/>
          <w:bCs/>
          <w:sz w:val="20"/>
          <w:szCs w:val="20"/>
          <w:lang w:val="es-UY"/>
        </w:rPr>
        <w:t xml:space="preserve">en el mismo terreno donde </w:t>
      </w:r>
      <w:r w:rsidR="00123DA0">
        <w:rPr>
          <w:rFonts w:asciiTheme="majorHAnsi" w:hAnsiTheme="majorHAnsi"/>
          <w:bCs/>
          <w:sz w:val="20"/>
          <w:szCs w:val="20"/>
          <w:lang w:val="es-UY"/>
        </w:rPr>
        <w:t>el Sr. Potes Mosquera</w:t>
      </w:r>
      <w:r w:rsidR="003847E3">
        <w:rPr>
          <w:rFonts w:asciiTheme="majorHAnsi" w:hAnsiTheme="majorHAnsi"/>
          <w:bCs/>
          <w:sz w:val="20"/>
          <w:szCs w:val="20"/>
          <w:lang w:val="es-UY"/>
        </w:rPr>
        <w:t xml:space="preserve"> ejercía su actividad, sin realizar una consulta previa con las comunidades afrodescendientes </w:t>
      </w:r>
      <w:r w:rsidR="00301A50">
        <w:rPr>
          <w:rFonts w:asciiTheme="majorHAnsi" w:hAnsiTheme="majorHAnsi"/>
          <w:bCs/>
          <w:sz w:val="20"/>
          <w:szCs w:val="20"/>
          <w:lang w:val="es-UY"/>
        </w:rPr>
        <w:t>que habitan en la zona.</w:t>
      </w:r>
    </w:p>
    <w:p w14:paraId="276F80A9" w14:textId="77777777" w:rsidR="00D75F1D" w:rsidRDefault="00D75F1D" w:rsidP="00D75F1D">
      <w:pPr>
        <w:pStyle w:val="ListParagraph"/>
        <w:numPr>
          <w:ilvl w:val="0"/>
          <w:numId w:val="0"/>
        </w:numPr>
        <w:ind w:left="720"/>
        <w:jc w:val="both"/>
        <w:rPr>
          <w:rFonts w:asciiTheme="majorHAnsi" w:hAnsiTheme="majorHAnsi"/>
          <w:bCs/>
          <w:sz w:val="20"/>
          <w:szCs w:val="20"/>
          <w:lang w:val="es-UY"/>
        </w:rPr>
      </w:pPr>
    </w:p>
    <w:p w14:paraId="7E800590" w14:textId="75309F94" w:rsidR="008233B9" w:rsidRDefault="00C02DFB" w:rsidP="007A330F">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lastRenderedPageBreak/>
        <w:t xml:space="preserve">Acerca del proceso </w:t>
      </w:r>
      <w:r w:rsidR="00F15564">
        <w:rPr>
          <w:rFonts w:asciiTheme="majorHAnsi" w:hAnsiTheme="majorHAnsi"/>
          <w:bCs/>
          <w:sz w:val="20"/>
          <w:szCs w:val="20"/>
          <w:lang w:val="es-UY"/>
        </w:rPr>
        <w:t xml:space="preserve">penal </w:t>
      </w:r>
      <w:r>
        <w:rPr>
          <w:rFonts w:asciiTheme="majorHAnsi" w:hAnsiTheme="majorHAnsi"/>
          <w:bCs/>
          <w:sz w:val="20"/>
          <w:szCs w:val="20"/>
          <w:lang w:val="es-UY"/>
        </w:rPr>
        <w:t xml:space="preserve">seguido contra el Sr. </w:t>
      </w:r>
      <w:r w:rsidR="00A720FC">
        <w:rPr>
          <w:rFonts w:asciiTheme="majorHAnsi" w:hAnsiTheme="majorHAnsi"/>
          <w:bCs/>
          <w:sz w:val="20"/>
          <w:szCs w:val="20"/>
          <w:lang w:val="es-UY"/>
        </w:rPr>
        <w:t xml:space="preserve">Francisco </w:t>
      </w:r>
      <w:r>
        <w:rPr>
          <w:rFonts w:asciiTheme="majorHAnsi" w:hAnsiTheme="majorHAnsi"/>
          <w:bCs/>
          <w:sz w:val="20"/>
          <w:szCs w:val="20"/>
          <w:lang w:val="es-UY"/>
        </w:rPr>
        <w:t xml:space="preserve">Potes Mosquera, la parte peticionaria informa </w:t>
      </w:r>
      <w:r w:rsidR="00475775">
        <w:rPr>
          <w:rFonts w:asciiTheme="majorHAnsi" w:hAnsiTheme="majorHAnsi"/>
          <w:bCs/>
          <w:sz w:val="20"/>
          <w:szCs w:val="20"/>
          <w:lang w:val="es-UY"/>
        </w:rPr>
        <w:t>que</w:t>
      </w:r>
      <w:r>
        <w:rPr>
          <w:rFonts w:asciiTheme="majorHAnsi" w:hAnsiTheme="majorHAnsi"/>
          <w:bCs/>
          <w:sz w:val="20"/>
          <w:szCs w:val="20"/>
          <w:lang w:val="es-UY"/>
        </w:rPr>
        <w:t xml:space="preserve"> en</w:t>
      </w:r>
      <w:r w:rsidR="00D6172F">
        <w:rPr>
          <w:rFonts w:asciiTheme="majorHAnsi" w:hAnsiTheme="majorHAnsi"/>
          <w:bCs/>
          <w:sz w:val="20"/>
          <w:szCs w:val="20"/>
          <w:lang w:val="es-UY"/>
        </w:rPr>
        <w:t xml:space="preserve"> </w:t>
      </w:r>
      <w:r>
        <w:rPr>
          <w:rFonts w:asciiTheme="majorHAnsi" w:hAnsiTheme="majorHAnsi"/>
          <w:bCs/>
          <w:sz w:val="20"/>
          <w:szCs w:val="20"/>
          <w:lang w:val="es-UY"/>
        </w:rPr>
        <w:t xml:space="preserve">septiembre de 2005 </w:t>
      </w:r>
      <w:r w:rsidR="008E41B9">
        <w:rPr>
          <w:rFonts w:asciiTheme="majorHAnsi" w:hAnsiTheme="majorHAnsi"/>
          <w:bCs/>
          <w:sz w:val="20"/>
          <w:szCs w:val="20"/>
          <w:lang w:val="es-UY"/>
        </w:rPr>
        <w:t>este</w:t>
      </w:r>
      <w:r>
        <w:rPr>
          <w:rFonts w:asciiTheme="majorHAnsi" w:hAnsiTheme="majorHAnsi"/>
          <w:bCs/>
          <w:sz w:val="20"/>
          <w:szCs w:val="20"/>
          <w:lang w:val="es-UY"/>
        </w:rPr>
        <w:t xml:space="preserve"> fue </w:t>
      </w:r>
      <w:r w:rsidR="00D6172F">
        <w:rPr>
          <w:rFonts w:asciiTheme="majorHAnsi" w:hAnsiTheme="majorHAnsi"/>
          <w:bCs/>
          <w:sz w:val="20"/>
          <w:szCs w:val="20"/>
          <w:lang w:val="es-UY"/>
        </w:rPr>
        <w:t>captura</w:t>
      </w:r>
      <w:r>
        <w:rPr>
          <w:rFonts w:asciiTheme="majorHAnsi" w:hAnsiTheme="majorHAnsi"/>
          <w:bCs/>
          <w:sz w:val="20"/>
          <w:szCs w:val="20"/>
          <w:lang w:val="es-UY"/>
        </w:rPr>
        <w:t>d</w:t>
      </w:r>
      <w:r w:rsidR="008E41B9">
        <w:rPr>
          <w:rFonts w:asciiTheme="majorHAnsi" w:hAnsiTheme="majorHAnsi"/>
          <w:bCs/>
          <w:sz w:val="20"/>
          <w:szCs w:val="20"/>
          <w:lang w:val="es-UY"/>
        </w:rPr>
        <w:t>o</w:t>
      </w:r>
      <w:r>
        <w:rPr>
          <w:rFonts w:asciiTheme="majorHAnsi" w:hAnsiTheme="majorHAnsi"/>
          <w:bCs/>
          <w:sz w:val="20"/>
          <w:szCs w:val="20"/>
          <w:lang w:val="es-UY"/>
        </w:rPr>
        <w:t xml:space="preserve"> </w:t>
      </w:r>
      <w:r w:rsidR="00D6172F">
        <w:rPr>
          <w:rFonts w:asciiTheme="majorHAnsi" w:hAnsiTheme="majorHAnsi"/>
          <w:bCs/>
          <w:sz w:val="20"/>
          <w:szCs w:val="20"/>
          <w:lang w:val="es-UY"/>
        </w:rPr>
        <w:t xml:space="preserve">nuevamente </w:t>
      </w:r>
      <w:r>
        <w:rPr>
          <w:rFonts w:asciiTheme="majorHAnsi" w:hAnsiTheme="majorHAnsi"/>
          <w:bCs/>
          <w:sz w:val="20"/>
          <w:szCs w:val="20"/>
          <w:lang w:val="es-UY"/>
        </w:rPr>
        <w:t xml:space="preserve">y </w:t>
      </w:r>
      <w:r w:rsidR="00E24AC4">
        <w:rPr>
          <w:rFonts w:asciiTheme="majorHAnsi" w:hAnsiTheme="majorHAnsi"/>
          <w:bCs/>
          <w:sz w:val="20"/>
          <w:szCs w:val="20"/>
          <w:lang w:val="es-UY"/>
        </w:rPr>
        <w:t>mantenid</w:t>
      </w:r>
      <w:r w:rsidR="00A720FC">
        <w:rPr>
          <w:rFonts w:asciiTheme="majorHAnsi" w:hAnsiTheme="majorHAnsi"/>
          <w:bCs/>
          <w:sz w:val="20"/>
          <w:szCs w:val="20"/>
          <w:lang w:val="es-UY"/>
        </w:rPr>
        <w:t>o</w:t>
      </w:r>
      <w:r w:rsidR="00E24AC4">
        <w:rPr>
          <w:rFonts w:asciiTheme="majorHAnsi" w:hAnsiTheme="majorHAnsi"/>
          <w:bCs/>
          <w:sz w:val="20"/>
          <w:szCs w:val="20"/>
          <w:lang w:val="es-UY"/>
        </w:rPr>
        <w:t xml:space="preserve"> en detención preventiva</w:t>
      </w:r>
      <w:r w:rsidR="001172D7">
        <w:rPr>
          <w:rFonts w:asciiTheme="majorHAnsi" w:hAnsiTheme="majorHAnsi"/>
          <w:bCs/>
          <w:sz w:val="20"/>
          <w:szCs w:val="20"/>
          <w:lang w:val="es-UY"/>
        </w:rPr>
        <w:t xml:space="preserve"> por orden del Juzgado 67 penal municipal de Bogotá durante dos años</w:t>
      </w:r>
      <w:r w:rsidR="009F409E">
        <w:rPr>
          <w:rFonts w:asciiTheme="majorHAnsi" w:hAnsiTheme="majorHAnsi"/>
          <w:bCs/>
          <w:sz w:val="20"/>
          <w:szCs w:val="20"/>
          <w:lang w:val="es-UY"/>
        </w:rPr>
        <w:t xml:space="preserve">. Menciona que solicitó la libertad por vencimiento de términos, pero </w:t>
      </w:r>
      <w:r w:rsidR="00C54530">
        <w:rPr>
          <w:rFonts w:asciiTheme="majorHAnsi" w:hAnsiTheme="majorHAnsi"/>
          <w:bCs/>
          <w:sz w:val="20"/>
          <w:szCs w:val="20"/>
          <w:lang w:val="es-UY"/>
        </w:rPr>
        <w:t>le fue denegada</w:t>
      </w:r>
      <w:r w:rsidR="00572DAF">
        <w:rPr>
          <w:rFonts w:asciiTheme="majorHAnsi" w:hAnsiTheme="majorHAnsi"/>
          <w:bCs/>
          <w:sz w:val="20"/>
          <w:szCs w:val="20"/>
          <w:lang w:val="es-UY"/>
        </w:rPr>
        <w:t>.</w:t>
      </w:r>
      <w:r w:rsidR="00394609">
        <w:rPr>
          <w:rFonts w:asciiTheme="majorHAnsi" w:hAnsiTheme="majorHAnsi"/>
          <w:bCs/>
          <w:sz w:val="20"/>
          <w:szCs w:val="20"/>
          <w:lang w:val="es-UY"/>
        </w:rPr>
        <w:t xml:space="preserve"> </w:t>
      </w:r>
      <w:r w:rsidR="00C83BCA">
        <w:rPr>
          <w:rFonts w:asciiTheme="majorHAnsi" w:hAnsiTheme="majorHAnsi"/>
          <w:bCs/>
          <w:sz w:val="20"/>
          <w:szCs w:val="20"/>
          <w:lang w:val="es-UY"/>
        </w:rPr>
        <w:t xml:space="preserve">Sostiene que el fiscal que adelantó el proceso ordenó un </w:t>
      </w:r>
      <w:r w:rsidR="00B3353B">
        <w:rPr>
          <w:rFonts w:asciiTheme="majorHAnsi" w:hAnsiTheme="majorHAnsi"/>
          <w:bCs/>
          <w:sz w:val="20"/>
          <w:szCs w:val="20"/>
          <w:lang w:val="es-UY"/>
        </w:rPr>
        <w:t>nuevo allanamiento ilegal a su predio en octubre de 2016</w:t>
      </w:r>
      <w:r w:rsidR="003E2FCA">
        <w:rPr>
          <w:rFonts w:asciiTheme="majorHAnsi" w:hAnsiTheme="majorHAnsi"/>
          <w:bCs/>
          <w:sz w:val="20"/>
          <w:szCs w:val="20"/>
          <w:lang w:val="es-UY"/>
        </w:rPr>
        <w:t>;</w:t>
      </w:r>
      <w:r w:rsidR="00B3353B">
        <w:rPr>
          <w:rFonts w:asciiTheme="majorHAnsi" w:hAnsiTheme="majorHAnsi"/>
          <w:bCs/>
          <w:sz w:val="20"/>
          <w:szCs w:val="20"/>
          <w:lang w:val="es-UY"/>
        </w:rPr>
        <w:t xml:space="preserve"> y el 14 de febrero de 2017</w:t>
      </w:r>
      <w:r w:rsidR="006755A2">
        <w:rPr>
          <w:rFonts w:asciiTheme="majorHAnsi" w:hAnsiTheme="majorHAnsi"/>
          <w:bCs/>
          <w:sz w:val="20"/>
          <w:szCs w:val="20"/>
          <w:lang w:val="es-UY"/>
        </w:rPr>
        <w:t xml:space="preserve"> añadió dos cargos en su contra durante la audiencia de acusación, que fueron los delitos de violación de reserva ecológica y de minería ilegal, pese a que no había sido imputado </w:t>
      </w:r>
      <w:r w:rsidR="00B41322">
        <w:rPr>
          <w:rFonts w:asciiTheme="majorHAnsi" w:hAnsiTheme="majorHAnsi"/>
          <w:bCs/>
          <w:sz w:val="20"/>
          <w:szCs w:val="20"/>
          <w:lang w:val="es-UY"/>
        </w:rPr>
        <w:t xml:space="preserve">sino sólo por los delitos de daños ambientales y </w:t>
      </w:r>
      <w:r w:rsidR="00C808CA">
        <w:rPr>
          <w:rFonts w:asciiTheme="majorHAnsi" w:hAnsiTheme="majorHAnsi"/>
          <w:bCs/>
          <w:sz w:val="20"/>
          <w:szCs w:val="20"/>
          <w:lang w:val="es-UY"/>
        </w:rPr>
        <w:t xml:space="preserve">de </w:t>
      </w:r>
      <w:r w:rsidR="00B41322">
        <w:rPr>
          <w:rFonts w:asciiTheme="majorHAnsi" w:hAnsiTheme="majorHAnsi"/>
          <w:bCs/>
          <w:sz w:val="20"/>
          <w:szCs w:val="20"/>
          <w:lang w:val="es-UY"/>
        </w:rPr>
        <w:t>contaminación ambiental</w:t>
      </w:r>
      <w:r w:rsidR="006755A2">
        <w:rPr>
          <w:rFonts w:asciiTheme="majorHAnsi" w:hAnsiTheme="majorHAnsi"/>
          <w:bCs/>
          <w:sz w:val="20"/>
          <w:szCs w:val="20"/>
          <w:lang w:val="es-UY"/>
        </w:rPr>
        <w:t>.</w:t>
      </w:r>
      <w:r w:rsidR="00C808CA">
        <w:rPr>
          <w:rFonts w:asciiTheme="majorHAnsi" w:hAnsiTheme="majorHAnsi"/>
          <w:bCs/>
          <w:sz w:val="20"/>
          <w:szCs w:val="20"/>
          <w:lang w:val="es-UY"/>
        </w:rPr>
        <w:t xml:space="preserve"> </w:t>
      </w:r>
      <w:r w:rsidR="00B0596A">
        <w:rPr>
          <w:rFonts w:asciiTheme="majorHAnsi" w:hAnsiTheme="majorHAnsi"/>
          <w:bCs/>
          <w:sz w:val="20"/>
          <w:szCs w:val="20"/>
          <w:lang w:val="es-UY"/>
        </w:rPr>
        <w:t>La presunta víctima a</w:t>
      </w:r>
      <w:r w:rsidR="00C808CA">
        <w:rPr>
          <w:rFonts w:asciiTheme="majorHAnsi" w:hAnsiTheme="majorHAnsi"/>
          <w:bCs/>
          <w:sz w:val="20"/>
          <w:szCs w:val="20"/>
          <w:lang w:val="es-UY"/>
        </w:rPr>
        <w:t>segura que el fiscal nunca le entregó el material probatorio que había recolectado en su contra</w:t>
      </w:r>
      <w:r w:rsidR="0037311C">
        <w:rPr>
          <w:rFonts w:asciiTheme="majorHAnsi" w:hAnsiTheme="majorHAnsi"/>
          <w:bCs/>
          <w:sz w:val="20"/>
          <w:szCs w:val="20"/>
          <w:lang w:val="es-UY"/>
        </w:rPr>
        <w:t xml:space="preserve">, </w:t>
      </w:r>
      <w:r w:rsidR="000A2AEA">
        <w:rPr>
          <w:rFonts w:asciiTheme="majorHAnsi" w:hAnsiTheme="majorHAnsi"/>
          <w:bCs/>
          <w:sz w:val="20"/>
          <w:szCs w:val="20"/>
          <w:lang w:val="es-UY"/>
        </w:rPr>
        <w:t>y</w:t>
      </w:r>
      <w:r w:rsidR="0037311C">
        <w:rPr>
          <w:rFonts w:asciiTheme="majorHAnsi" w:hAnsiTheme="majorHAnsi"/>
          <w:bCs/>
          <w:sz w:val="20"/>
          <w:szCs w:val="20"/>
          <w:lang w:val="es-UY"/>
        </w:rPr>
        <w:t xml:space="preserve"> además lo intimidaba para que aceptara cargos</w:t>
      </w:r>
      <w:r w:rsidR="005F0F53">
        <w:rPr>
          <w:rFonts w:asciiTheme="majorHAnsi" w:hAnsiTheme="majorHAnsi"/>
          <w:bCs/>
          <w:sz w:val="20"/>
          <w:szCs w:val="20"/>
          <w:lang w:val="es-UY"/>
        </w:rPr>
        <w:t xml:space="preserve">. </w:t>
      </w:r>
      <w:r w:rsidR="0010078A">
        <w:rPr>
          <w:rFonts w:asciiTheme="majorHAnsi" w:hAnsiTheme="majorHAnsi"/>
          <w:bCs/>
          <w:sz w:val="20"/>
          <w:szCs w:val="20"/>
          <w:lang w:val="es-UY"/>
        </w:rPr>
        <w:t>A</w:t>
      </w:r>
      <w:r w:rsidR="000A2AEA">
        <w:rPr>
          <w:rFonts w:asciiTheme="majorHAnsi" w:hAnsiTheme="majorHAnsi"/>
          <w:bCs/>
          <w:sz w:val="20"/>
          <w:szCs w:val="20"/>
          <w:lang w:val="es-UY"/>
        </w:rPr>
        <w:t xml:space="preserve"> raíz de estas actuaciones,</w:t>
      </w:r>
      <w:r w:rsidR="005F0F53">
        <w:rPr>
          <w:rFonts w:asciiTheme="majorHAnsi" w:hAnsiTheme="majorHAnsi"/>
          <w:bCs/>
          <w:sz w:val="20"/>
          <w:szCs w:val="20"/>
          <w:lang w:val="es-UY"/>
        </w:rPr>
        <w:t xml:space="preserve"> </w:t>
      </w:r>
      <w:r w:rsidR="000A2AEA">
        <w:rPr>
          <w:rFonts w:asciiTheme="majorHAnsi" w:hAnsiTheme="majorHAnsi"/>
          <w:bCs/>
          <w:sz w:val="20"/>
          <w:szCs w:val="20"/>
          <w:lang w:val="es-UY"/>
        </w:rPr>
        <w:t xml:space="preserve">en 2017 </w:t>
      </w:r>
      <w:r w:rsidR="0010078A">
        <w:rPr>
          <w:rFonts w:asciiTheme="majorHAnsi" w:hAnsiTheme="majorHAnsi"/>
          <w:bCs/>
          <w:sz w:val="20"/>
          <w:szCs w:val="20"/>
          <w:lang w:val="es-UY"/>
        </w:rPr>
        <w:t xml:space="preserve">el Sr. Potes Mosquera </w:t>
      </w:r>
      <w:r w:rsidR="005F0F53">
        <w:rPr>
          <w:rFonts w:asciiTheme="majorHAnsi" w:hAnsiTheme="majorHAnsi"/>
          <w:bCs/>
          <w:sz w:val="20"/>
          <w:szCs w:val="20"/>
          <w:lang w:val="es-UY"/>
        </w:rPr>
        <w:t xml:space="preserve">denunció al fiscal </w:t>
      </w:r>
      <w:r w:rsidR="00E923D4">
        <w:rPr>
          <w:rFonts w:asciiTheme="majorHAnsi" w:hAnsiTheme="majorHAnsi"/>
          <w:bCs/>
          <w:sz w:val="20"/>
          <w:szCs w:val="20"/>
          <w:lang w:val="es-UY"/>
        </w:rPr>
        <w:t>ante la Unidad Anticorrupción de la propia fiscalía por las irregularidades en este proceso</w:t>
      </w:r>
      <w:r w:rsidR="000A2AEA">
        <w:rPr>
          <w:rFonts w:asciiTheme="majorHAnsi" w:hAnsiTheme="majorHAnsi"/>
          <w:bCs/>
          <w:sz w:val="20"/>
          <w:szCs w:val="20"/>
          <w:lang w:val="es-UY"/>
        </w:rPr>
        <w:t xml:space="preserve">, y </w:t>
      </w:r>
      <w:r w:rsidR="00A206D7">
        <w:rPr>
          <w:rFonts w:asciiTheme="majorHAnsi" w:hAnsiTheme="majorHAnsi"/>
          <w:bCs/>
          <w:sz w:val="20"/>
          <w:szCs w:val="20"/>
          <w:lang w:val="es-UY"/>
        </w:rPr>
        <w:t xml:space="preserve">también </w:t>
      </w:r>
      <w:r w:rsidR="000A2AEA">
        <w:rPr>
          <w:rFonts w:asciiTheme="majorHAnsi" w:hAnsiTheme="majorHAnsi"/>
          <w:bCs/>
          <w:sz w:val="20"/>
          <w:szCs w:val="20"/>
          <w:lang w:val="es-UY"/>
        </w:rPr>
        <w:t xml:space="preserve">en 2020 ante la procuraduría, sin que ninguna de las entidades realizara gestiones a fin de </w:t>
      </w:r>
      <w:r w:rsidR="00705D64">
        <w:rPr>
          <w:rFonts w:asciiTheme="majorHAnsi" w:hAnsiTheme="majorHAnsi"/>
          <w:bCs/>
          <w:sz w:val="20"/>
          <w:szCs w:val="20"/>
          <w:lang w:val="es-UY"/>
        </w:rPr>
        <w:t>investigar al fiscal</w:t>
      </w:r>
      <w:r w:rsidR="00E923D4">
        <w:rPr>
          <w:rFonts w:asciiTheme="majorHAnsi" w:hAnsiTheme="majorHAnsi"/>
          <w:bCs/>
          <w:sz w:val="20"/>
          <w:szCs w:val="20"/>
          <w:lang w:val="es-UY"/>
        </w:rPr>
        <w:t>.</w:t>
      </w:r>
    </w:p>
    <w:p w14:paraId="19BBB187" w14:textId="40C9D695" w:rsidR="0037311C" w:rsidRPr="00890DA0" w:rsidRDefault="00156B57" w:rsidP="007A330F">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Posteriormente, en</w:t>
      </w:r>
      <w:r w:rsidR="002C35B4">
        <w:rPr>
          <w:rFonts w:asciiTheme="majorHAnsi" w:hAnsiTheme="majorHAnsi"/>
          <w:bCs/>
          <w:sz w:val="20"/>
          <w:szCs w:val="20"/>
          <w:lang w:val="es-UY"/>
        </w:rPr>
        <w:t xml:space="preserve"> septiembre de 2022, el </w:t>
      </w:r>
      <w:r w:rsidR="007066DD">
        <w:rPr>
          <w:rFonts w:asciiTheme="majorHAnsi" w:hAnsiTheme="majorHAnsi"/>
          <w:bCs/>
          <w:sz w:val="20"/>
          <w:szCs w:val="20"/>
          <w:lang w:val="es-UY"/>
        </w:rPr>
        <w:t xml:space="preserve">joven Cristián Camilo Potes Amariles informa a la CIDH sobre el fallecimiento de su padre, el Sr. Potes Mosquera </w:t>
      </w:r>
      <w:r w:rsidR="007A6DEC">
        <w:rPr>
          <w:rFonts w:asciiTheme="majorHAnsi" w:hAnsiTheme="majorHAnsi"/>
          <w:bCs/>
          <w:sz w:val="20"/>
          <w:szCs w:val="20"/>
          <w:lang w:val="es-UY"/>
        </w:rPr>
        <w:t xml:space="preserve">ocurrido el </w:t>
      </w:r>
      <w:r w:rsidR="000A56D3">
        <w:rPr>
          <w:rFonts w:asciiTheme="majorHAnsi" w:hAnsiTheme="majorHAnsi"/>
          <w:bCs/>
          <w:sz w:val="20"/>
          <w:szCs w:val="20"/>
          <w:lang w:val="es-UY"/>
        </w:rPr>
        <w:t xml:space="preserve">20 de mayo de 2021 como consecuencia </w:t>
      </w:r>
      <w:r w:rsidR="00BE33C3">
        <w:rPr>
          <w:rFonts w:asciiTheme="majorHAnsi" w:hAnsiTheme="majorHAnsi"/>
          <w:bCs/>
          <w:sz w:val="20"/>
          <w:szCs w:val="20"/>
          <w:lang w:val="es-UY"/>
        </w:rPr>
        <w:t>del</w:t>
      </w:r>
      <w:r w:rsidR="000A56D3">
        <w:rPr>
          <w:rFonts w:asciiTheme="majorHAnsi" w:hAnsiTheme="majorHAnsi"/>
          <w:bCs/>
          <w:sz w:val="20"/>
          <w:szCs w:val="20"/>
          <w:lang w:val="es-UY"/>
        </w:rPr>
        <w:t xml:space="preserve"> Covid-19</w:t>
      </w:r>
      <w:r w:rsidR="00BE33C3">
        <w:rPr>
          <w:rFonts w:asciiTheme="majorHAnsi" w:hAnsiTheme="majorHAnsi"/>
          <w:bCs/>
          <w:sz w:val="20"/>
          <w:szCs w:val="20"/>
          <w:lang w:val="es-UY"/>
        </w:rPr>
        <w:t>;</w:t>
      </w:r>
      <w:r w:rsidR="000A56D3">
        <w:rPr>
          <w:rFonts w:asciiTheme="majorHAnsi" w:hAnsiTheme="majorHAnsi"/>
          <w:bCs/>
          <w:sz w:val="20"/>
          <w:szCs w:val="20"/>
          <w:lang w:val="es-UY"/>
        </w:rPr>
        <w:t xml:space="preserve"> se </w:t>
      </w:r>
      <w:r w:rsidR="00BE33C3">
        <w:rPr>
          <w:rFonts w:asciiTheme="majorHAnsi" w:hAnsiTheme="majorHAnsi"/>
          <w:bCs/>
          <w:sz w:val="20"/>
          <w:szCs w:val="20"/>
          <w:lang w:val="es-UY"/>
        </w:rPr>
        <w:t>presenta</w:t>
      </w:r>
      <w:r w:rsidR="000A56D3">
        <w:rPr>
          <w:rFonts w:asciiTheme="majorHAnsi" w:hAnsiTheme="majorHAnsi"/>
          <w:bCs/>
          <w:sz w:val="20"/>
          <w:szCs w:val="20"/>
          <w:lang w:val="es-UY"/>
        </w:rPr>
        <w:t xml:space="preserve"> como parte peticionaria</w:t>
      </w:r>
      <w:r w:rsidR="00BE33C3">
        <w:rPr>
          <w:rFonts w:asciiTheme="majorHAnsi" w:hAnsiTheme="majorHAnsi"/>
          <w:bCs/>
          <w:sz w:val="20"/>
          <w:szCs w:val="20"/>
          <w:lang w:val="es-UY"/>
        </w:rPr>
        <w:t>;</w:t>
      </w:r>
      <w:r w:rsidR="00EA47E4">
        <w:rPr>
          <w:rFonts w:asciiTheme="majorHAnsi" w:hAnsiTheme="majorHAnsi"/>
          <w:bCs/>
          <w:sz w:val="20"/>
          <w:szCs w:val="20"/>
          <w:lang w:val="es-UY"/>
        </w:rPr>
        <w:t xml:space="preserve"> y sostiene que el proceso penal seguido contra su padre fue un montaje judicial por parte del fiscal que se asoció con la familia López </w:t>
      </w:r>
      <w:r w:rsidR="00BE33C3">
        <w:rPr>
          <w:rFonts w:asciiTheme="majorHAnsi" w:hAnsiTheme="majorHAnsi"/>
          <w:bCs/>
          <w:sz w:val="20"/>
          <w:szCs w:val="20"/>
          <w:lang w:val="es-UY"/>
        </w:rPr>
        <w:t xml:space="preserve">Benítez </w:t>
      </w:r>
      <w:r w:rsidR="00EA47E4">
        <w:rPr>
          <w:rFonts w:asciiTheme="majorHAnsi" w:hAnsiTheme="majorHAnsi"/>
          <w:bCs/>
          <w:sz w:val="20"/>
          <w:szCs w:val="20"/>
          <w:lang w:val="es-UY"/>
        </w:rPr>
        <w:t xml:space="preserve">como represalia por </w:t>
      </w:r>
      <w:r w:rsidR="003E444D">
        <w:rPr>
          <w:rFonts w:asciiTheme="majorHAnsi" w:hAnsiTheme="majorHAnsi"/>
          <w:bCs/>
          <w:sz w:val="20"/>
          <w:szCs w:val="20"/>
          <w:lang w:val="es-UY"/>
        </w:rPr>
        <w:t>las denuncias y el litigio sobre el predio ‘El Esfuerzo’</w:t>
      </w:r>
      <w:r w:rsidR="00DD0AA9">
        <w:rPr>
          <w:rFonts w:asciiTheme="majorHAnsi" w:hAnsiTheme="majorHAnsi"/>
          <w:bCs/>
          <w:sz w:val="20"/>
          <w:szCs w:val="20"/>
          <w:lang w:val="es-UY"/>
        </w:rPr>
        <w:t>.</w:t>
      </w:r>
      <w:r w:rsidR="006710C3">
        <w:rPr>
          <w:rFonts w:asciiTheme="majorHAnsi" w:hAnsiTheme="majorHAnsi"/>
          <w:bCs/>
          <w:sz w:val="20"/>
          <w:szCs w:val="20"/>
          <w:lang w:val="es-UY"/>
        </w:rPr>
        <w:t xml:space="preserve"> Por ello, solicita a la </w:t>
      </w:r>
      <w:r w:rsidR="00A55017">
        <w:rPr>
          <w:rFonts w:asciiTheme="majorHAnsi" w:hAnsiTheme="majorHAnsi"/>
          <w:bCs/>
          <w:sz w:val="20"/>
          <w:szCs w:val="20"/>
          <w:lang w:val="es-UY"/>
        </w:rPr>
        <w:t>CIDH</w:t>
      </w:r>
      <w:r w:rsidR="006710C3">
        <w:rPr>
          <w:rFonts w:asciiTheme="majorHAnsi" w:hAnsiTheme="majorHAnsi"/>
          <w:bCs/>
          <w:sz w:val="20"/>
          <w:szCs w:val="20"/>
          <w:lang w:val="es-UY"/>
        </w:rPr>
        <w:t xml:space="preserve"> </w:t>
      </w:r>
      <w:r w:rsidR="001023EE">
        <w:rPr>
          <w:rFonts w:asciiTheme="majorHAnsi" w:hAnsiTheme="majorHAnsi"/>
          <w:bCs/>
          <w:sz w:val="20"/>
          <w:szCs w:val="20"/>
          <w:lang w:val="es-UY"/>
        </w:rPr>
        <w:t xml:space="preserve">que </w:t>
      </w:r>
      <w:r w:rsidR="00700C23">
        <w:rPr>
          <w:rFonts w:asciiTheme="majorHAnsi" w:hAnsiTheme="majorHAnsi"/>
          <w:bCs/>
          <w:sz w:val="20"/>
          <w:szCs w:val="20"/>
          <w:lang w:val="es-UY"/>
        </w:rPr>
        <w:t>interceda para hacer justicia y reparar el buen nombre del Sr. Potes Mosquera, quien no cometió los delitos de los que fue acusado.</w:t>
      </w:r>
    </w:p>
    <w:p w14:paraId="142267EB" w14:textId="5D7B697E" w:rsidR="00890DA0" w:rsidRPr="00125980" w:rsidRDefault="00125980" w:rsidP="007A330F">
      <w:pPr>
        <w:pStyle w:val="ListParagraph"/>
        <w:numPr>
          <w:ilvl w:val="0"/>
          <w:numId w:val="0"/>
        </w:numPr>
        <w:ind w:left="720"/>
        <w:jc w:val="both"/>
        <w:rPr>
          <w:rFonts w:asciiTheme="majorHAnsi" w:hAnsiTheme="majorHAnsi"/>
          <w:b/>
          <w:bCs/>
          <w:sz w:val="20"/>
          <w:szCs w:val="20"/>
          <w:lang w:val="es-UY"/>
        </w:rPr>
      </w:pPr>
      <w:r w:rsidRPr="005D7088">
        <w:rPr>
          <w:b/>
          <w:bCs/>
          <w:color w:val="auto"/>
          <w:sz w:val="20"/>
          <w:szCs w:val="20"/>
          <w:lang w:val="es-AR"/>
        </w:rPr>
        <w:t xml:space="preserve">El </w:t>
      </w:r>
      <w:r w:rsidR="00890DA0" w:rsidRPr="00125980">
        <w:rPr>
          <w:b/>
          <w:bCs/>
          <w:sz w:val="20"/>
          <w:szCs w:val="20"/>
          <w:lang w:val="es-AR"/>
        </w:rPr>
        <w:t>Estado</w:t>
      </w:r>
      <w:r>
        <w:rPr>
          <w:b/>
          <w:bCs/>
          <w:sz w:val="20"/>
          <w:szCs w:val="20"/>
          <w:lang w:val="es-AR"/>
        </w:rPr>
        <w:t xml:space="preserve"> </w:t>
      </w:r>
      <w:r w:rsidR="00A311B1">
        <w:rPr>
          <w:b/>
          <w:bCs/>
          <w:sz w:val="20"/>
          <w:szCs w:val="20"/>
          <w:lang w:val="es-AR"/>
        </w:rPr>
        <w:t>colombiano</w:t>
      </w:r>
    </w:p>
    <w:p w14:paraId="1A8527E5" w14:textId="20A5D81E" w:rsidR="007C1D93" w:rsidRPr="007C1D93" w:rsidRDefault="007C1D93" w:rsidP="007A330F">
      <w:pPr>
        <w:pStyle w:val="ListParagraph"/>
        <w:numPr>
          <w:ilvl w:val="0"/>
          <w:numId w:val="61"/>
        </w:numPr>
        <w:ind w:left="0" w:firstLine="720"/>
        <w:jc w:val="both"/>
        <w:rPr>
          <w:rFonts w:asciiTheme="majorHAnsi" w:hAnsiTheme="majorHAnsi"/>
          <w:bCs/>
          <w:sz w:val="20"/>
          <w:szCs w:val="20"/>
          <w:lang w:val="es-UY"/>
        </w:rPr>
      </w:pPr>
      <w:r>
        <w:rPr>
          <w:sz w:val="20"/>
          <w:szCs w:val="20"/>
          <w:lang w:val="es-AR"/>
        </w:rPr>
        <w:t>E</w:t>
      </w:r>
      <w:r w:rsidR="00B93D7F" w:rsidRPr="006E621A">
        <w:rPr>
          <w:sz w:val="20"/>
          <w:szCs w:val="20"/>
          <w:lang w:val="es-AR"/>
        </w:rPr>
        <w:t>l Es</w:t>
      </w:r>
      <w:r w:rsidR="003F5154" w:rsidRPr="006E621A">
        <w:rPr>
          <w:sz w:val="20"/>
          <w:szCs w:val="20"/>
          <w:lang w:val="es-AR"/>
        </w:rPr>
        <w:t>tado</w:t>
      </w:r>
      <w:r>
        <w:rPr>
          <w:sz w:val="20"/>
          <w:szCs w:val="20"/>
          <w:lang w:val="es-AR"/>
        </w:rPr>
        <w:t xml:space="preserve"> replica que la presente petición es inadmisible por </w:t>
      </w:r>
      <w:r w:rsidR="008A683F">
        <w:rPr>
          <w:sz w:val="20"/>
          <w:szCs w:val="20"/>
          <w:lang w:val="es-AR"/>
        </w:rPr>
        <w:t>la presentación de cargos manifiestamente infundados y por falta de agotamiento de los recursos internos.</w:t>
      </w:r>
    </w:p>
    <w:p w14:paraId="68A417B2" w14:textId="69EB8E22" w:rsidR="00B93D7F" w:rsidRPr="00F36CB6" w:rsidRDefault="007C1D93" w:rsidP="007A330F">
      <w:pPr>
        <w:pStyle w:val="ListParagraph"/>
        <w:numPr>
          <w:ilvl w:val="0"/>
          <w:numId w:val="61"/>
        </w:numPr>
        <w:ind w:left="0" w:firstLine="720"/>
        <w:jc w:val="both"/>
        <w:rPr>
          <w:rFonts w:asciiTheme="majorHAnsi" w:hAnsiTheme="majorHAnsi"/>
          <w:bCs/>
          <w:sz w:val="20"/>
          <w:szCs w:val="20"/>
          <w:lang w:val="es-UY"/>
        </w:rPr>
      </w:pPr>
      <w:r>
        <w:rPr>
          <w:sz w:val="20"/>
          <w:szCs w:val="20"/>
          <w:lang w:val="es-AR"/>
        </w:rPr>
        <w:t xml:space="preserve">Con respecto a los hechos, el Estado </w:t>
      </w:r>
      <w:r w:rsidR="00C4673A">
        <w:rPr>
          <w:sz w:val="20"/>
          <w:szCs w:val="20"/>
          <w:lang w:val="es-AR"/>
        </w:rPr>
        <w:t>explica</w:t>
      </w:r>
      <w:r>
        <w:rPr>
          <w:sz w:val="20"/>
          <w:szCs w:val="20"/>
          <w:lang w:val="es-AR"/>
        </w:rPr>
        <w:t xml:space="preserve"> que la denuncia contra los </w:t>
      </w:r>
      <w:r w:rsidR="004D4F75">
        <w:rPr>
          <w:sz w:val="20"/>
          <w:szCs w:val="20"/>
          <w:lang w:val="es-AR"/>
        </w:rPr>
        <w:t>miembros</w:t>
      </w:r>
      <w:r>
        <w:rPr>
          <w:sz w:val="20"/>
          <w:szCs w:val="20"/>
          <w:lang w:val="es-AR"/>
        </w:rPr>
        <w:t xml:space="preserve"> de la familia López Benítez planteada por la presunta víctima </w:t>
      </w:r>
      <w:r w:rsidR="009F05D4">
        <w:rPr>
          <w:sz w:val="20"/>
          <w:szCs w:val="20"/>
          <w:lang w:val="es-AR"/>
        </w:rPr>
        <w:t xml:space="preserve">precluyó </w:t>
      </w:r>
      <w:r w:rsidR="007F02D8">
        <w:rPr>
          <w:sz w:val="20"/>
          <w:szCs w:val="20"/>
          <w:lang w:val="es-AR"/>
        </w:rPr>
        <w:t xml:space="preserve">dos años después, en 2015, pese a que la fiscalía había desplegado </w:t>
      </w:r>
      <w:r w:rsidR="00CE4E25">
        <w:rPr>
          <w:sz w:val="20"/>
          <w:szCs w:val="20"/>
          <w:lang w:val="es-AR"/>
        </w:rPr>
        <w:t xml:space="preserve">18 </w:t>
      </w:r>
      <w:r w:rsidR="003F5185">
        <w:rPr>
          <w:sz w:val="20"/>
          <w:szCs w:val="20"/>
          <w:lang w:val="es-AR"/>
        </w:rPr>
        <w:t>diligencias</w:t>
      </w:r>
      <w:r w:rsidR="00CE4E25">
        <w:rPr>
          <w:sz w:val="20"/>
          <w:szCs w:val="20"/>
          <w:lang w:val="es-AR"/>
        </w:rPr>
        <w:t xml:space="preserve"> de investigación sin que se pudiera llegar a la certeza de </w:t>
      </w:r>
      <w:r w:rsidR="00007E7B">
        <w:rPr>
          <w:sz w:val="20"/>
          <w:szCs w:val="20"/>
          <w:lang w:val="es-AR"/>
        </w:rPr>
        <w:t>la comisión y responsabilidad por el delito de usurpación de tierras</w:t>
      </w:r>
      <w:r w:rsidR="003F5154" w:rsidRPr="006E621A">
        <w:rPr>
          <w:sz w:val="20"/>
          <w:szCs w:val="20"/>
          <w:lang w:val="es-AR"/>
        </w:rPr>
        <w:t>.</w:t>
      </w:r>
      <w:r w:rsidR="00376177">
        <w:rPr>
          <w:sz w:val="20"/>
          <w:szCs w:val="20"/>
          <w:lang w:val="es-AR"/>
        </w:rPr>
        <w:t xml:space="preserve"> </w:t>
      </w:r>
      <w:r w:rsidR="009E0CAE">
        <w:rPr>
          <w:sz w:val="20"/>
          <w:szCs w:val="20"/>
          <w:lang w:val="es-AR"/>
        </w:rPr>
        <w:t>Recalca que</w:t>
      </w:r>
      <w:r w:rsidR="005E1F45">
        <w:rPr>
          <w:sz w:val="20"/>
          <w:szCs w:val="20"/>
          <w:lang w:val="es-AR"/>
        </w:rPr>
        <w:t xml:space="preserve"> durante</w:t>
      </w:r>
      <w:r w:rsidR="009E0CAE">
        <w:rPr>
          <w:sz w:val="20"/>
          <w:szCs w:val="20"/>
          <w:lang w:val="es-AR"/>
        </w:rPr>
        <w:t xml:space="preserve"> la investigación, la fiscalía encontró que la persona que realizaba actividades minería ilegal en </w:t>
      </w:r>
      <w:r w:rsidR="004C5011">
        <w:rPr>
          <w:sz w:val="20"/>
          <w:szCs w:val="20"/>
          <w:lang w:val="es-AR"/>
        </w:rPr>
        <w:t xml:space="preserve">el predio ‘El Esfuerzo’ era el señor Francisco Potes Mosquera a través de la empresa Potes S.A.S. sin </w:t>
      </w:r>
      <w:r w:rsidR="00FE2C73">
        <w:rPr>
          <w:sz w:val="20"/>
          <w:szCs w:val="20"/>
          <w:lang w:val="es-AR"/>
        </w:rPr>
        <w:t>la licencia</w:t>
      </w:r>
      <w:r w:rsidR="000E4412">
        <w:rPr>
          <w:sz w:val="20"/>
          <w:szCs w:val="20"/>
          <w:lang w:val="es-AR"/>
        </w:rPr>
        <w:t xml:space="preserve"> ambiental</w:t>
      </w:r>
      <w:r w:rsidR="00FE2C73">
        <w:rPr>
          <w:sz w:val="20"/>
          <w:szCs w:val="20"/>
          <w:lang w:val="es-AR"/>
        </w:rPr>
        <w:t xml:space="preserve"> correspondiente.</w:t>
      </w:r>
      <w:r w:rsidR="0090096B">
        <w:rPr>
          <w:sz w:val="20"/>
          <w:szCs w:val="20"/>
          <w:lang w:val="es-AR"/>
        </w:rPr>
        <w:t xml:space="preserve"> </w:t>
      </w:r>
      <w:r w:rsidR="00422024">
        <w:rPr>
          <w:sz w:val="20"/>
          <w:szCs w:val="20"/>
          <w:lang w:val="es-AR"/>
        </w:rPr>
        <w:t xml:space="preserve">Refiere que </w:t>
      </w:r>
      <w:r w:rsidR="006D78C5">
        <w:rPr>
          <w:sz w:val="20"/>
          <w:szCs w:val="20"/>
          <w:lang w:val="es-AR"/>
        </w:rPr>
        <w:t xml:space="preserve">el Sr. Potes Mosquera estaba negociando con la fiscalía la aceptación de los cargos formulados mediante un preacuerdo, </w:t>
      </w:r>
      <w:r w:rsidR="004E2A71">
        <w:rPr>
          <w:sz w:val="20"/>
          <w:szCs w:val="20"/>
          <w:lang w:val="es-AR"/>
        </w:rPr>
        <w:t>pero no se logró porque los procesados se negaron a reintegrar el incremento patrimonial que había</w:t>
      </w:r>
      <w:r w:rsidR="00DE5E94">
        <w:rPr>
          <w:sz w:val="20"/>
          <w:szCs w:val="20"/>
          <w:lang w:val="es-AR"/>
        </w:rPr>
        <w:t>n</w:t>
      </w:r>
      <w:r w:rsidR="004E2A71">
        <w:rPr>
          <w:sz w:val="20"/>
          <w:szCs w:val="20"/>
          <w:lang w:val="es-AR"/>
        </w:rPr>
        <w:t xml:space="preserve"> percibido; sin embargo, </w:t>
      </w:r>
      <w:r w:rsidR="009024BE">
        <w:rPr>
          <w:sz w:val="20"/>
          <w:szCs w:val="20"/>
          <w:lang w:val="es-AR"/>
        </w:rPr>
        <w:t xml:space="preserve">el hermano de la presunta víctima, Daimir Mosquera Potes, también fue procesado por el mismo asunto y </w:t>
      </w:r>
      <w:r w:rsidR="00306488">
        <w:rPr>
          <w:sz w:val="20"/>
          <w:szCs w:val="20"/>
          <w:lang w:val="es-AR"/>
        </w:rPr>
        <w:t xml:space="preserve">sí </w:t>
      </w:r>
      <w:r w:rsidR="009024BE">
        <w:rPr>
          <w:sz w:val="20"/>
          <w:szCs w:val="20"/>
          <w:lang w:val="es-AR"/>
        </w:rPr>
        <w:t>aceptó cargos</w:t>
      </w:r>
      <w:r w:rsidR="00166FA2">
        <w:rPr>
          <w:sz w:val="20"/>
          <w:szCs w:val="20"/>
          <w:lang w:val="es-AR"/>
        </w:rPr>
        <w:t xml:space="preserve"> de manera libre y voluntaria</w:t>
      </w:r>
      <w:r w:rsidR="006D78C5">
        <w:rPr>
          <w:sz w:val="20"/>
          <w:szCs w:val="20"/>
          <w:lang w:val="es-AR"/>
        </w:rPr>
        <w:t>.</w:t>
      </w:r>
      <w:r w:rsidR="00DE0A15">
        <w:rPr>
          <w:sz w:val="20"/>
          <w:szCs w:val="20"/>
          <w:lang w:val="es-AR"/>
        </w:rPr>
        <w:t xml:space="preserve"> </w:t>
      </w:r>
      <w:r w:rsidR="000A6F75">
        <w:rPr>
          <w:sz w:val="20"/>
          <w:szCs w:val="20"/>
          <w:lang w:val="es-AR"/>
        </w:rPr>
        <w:t>Este</w:t>
      </w:r>
      <w:r w:rsidR="00DE0A15">
        <w:rPr>
          <w:sz w:val="20"/>
          <w:szCs w:val="20"/>
          <w:lang w:val="es-AR"/>
        </w:rPr>
        <w:t xml:space="preserve"> proceso concluyó el 11 de febrero de 2022 con la decisión de preclusión por </w:t>
      </w:r>
      <w:r w:rsidR="00A11837">
        <w:rPr>
          <w:sz w:val="20"/>
          <w:szCs w:val="20"/>
          <w:lang w:val="es-AR"/>
        </w:rPr>
        <w:t>el fallecimiento</w:t>
      </w:r>
      <w:r w:rsidR="00DE0A15">
        <w:rPr>
          <w:sz w:val="20"/>
          <w:szCs w:val="20"/>
          <w:lang w:val="es-AR"/>
        </w:rPr>
        <w:t xml:space="preserve"> del Sr. </w:t>
      </w:r>
      <w:r w:rsidR="002574AC">
        <w:rPr>
          <w:sz w:val="20"/>
          <w:szCs w:val="20"/>
          <w:lang w:val="es-AR"/>
        </w:rPr>
        <w:t xml:space="preserve">Francisco </w:t>
      </w:r>
      <w:r w:rsidR="00DE0A15">
        <w:rPr>
          <w:sz w:val="20"/>
          <w:szCs w:val="20"/>
          <w:lang w:val="es-AR"/>
        </w:rPr>
        <w:t>Potes Mosquera.</w:t>
      </w:r>
    </w:p>
    <w:p w14:paraId="7843CA52" w14:textId="0096F02D" w:rsidR="00F36CB6" w:rsidRPr="00592380" w:rsidRDefault="00F36CB6" w:rsidP="007A330F">
      <w:pPr>
        <w:pStyle w:val="ListParagraph"/>
        <w:numPr>
          <w:ilvl w:val="0"/>
          <w:numId w:val="61"/>
        </w:numPr>
        <w:ind w:left="0" w:firstLine="720"/>
        <w:jc w:val="both"/>
        <w:rPr>
          <w:rFonts w:asciiTheme="majorHAnsi" w:hAnsiTheme="majorHAnsi"/>
          <w:bCs/>
          <w:sz w:val="20"/>
          <w:szCs w:val="20"/>
          <w:lang w:val="es-UY"/>
        </w:rPr>
      </w:pPr>
      <w:r>
        <w:rPr>
          <w:sz w:val="20"/>
          <w:szCs w:val="20"/>
          <w:lang w:val="es-AR"/>
        </w:rPr>
        <w:t xml:space="preserve">En cuanto a la denuncia presentada contra el fiscal que </w:t>
      </w:r>
      <w:r w:rsidR="00AE7224">
        <w:rPr>
          <w:sz w:val="20"/>
          <w:szCs w:val="20"/>
          <w:lang w:val="es-AR"/>
        </w:rPr>
        <w:t>adelant</w:t>
      </w:r>
      <w:r>
        <w:rPr>
          <w:sz w:val="20"/>
          <w:szCs w:val="20"/>
          <w:lang w:val="es-AR"/>
        </w:rPr>
        <w:t xml:space="preserve">ó </w:t>
      </w:r>
      <w:r w:rsidR="00AE7224">
        <w:rPr>
          <w:sz w:val="20"/>
          <w:szCs w:val="20"/>
          <w:lang w:val="es-AR"/>
        </w:rPr>
        <w:t xml:space="preserve">este proceso, </w:t>
      </w:r>
      <w:r w:rsidR="008F4433">
        <w:rPr>
          <w:sz w:val="20"/>
          <w:szCs w:val="20"/>
          <w:lang w:val="es-AR"/>
        </w:rPr>
        <w:t xml:space="preserve">el Estado </w:t>
      </w:r>
      <w:r w:rsidR="00AE7224">
        <w:rPr>
          <w:sz w:val="20"/>
          <w:szCs w:val="20"/>
          <w:lang w:val="es-AR"/>
        </w:rPr>
        <w:t>señala que dicha investigación concluyó con la preclusión a favor del fiscal porque su conducta resultó ser atípica</w:t>
      </w:r>
      <w:r w:rsidR="00730F44">
        <w:rPr>
          <w:sz w:val="20"/>
          <w:szCs w:val="20"/>
          <w:lang w:val="es-AR"/>
        </w:rPr>
        <w:t>,</w:t>
      </w:r>
      <w:r w:rsidR="003E7ADF">
        <w:rPr>
          <w:sz w:val="20"/>
          <w:szCs w:val="20"/>
          <w:lang w:val="es-AR"/>
        </w:rPr>
        <w:t xml:space="preserve"> conforme lo</w:t>
      </w:r>
      <w:r w:rsidR="00730F44">
        <w:rPr>
          <w:sz w:val="20"/>
          <w:szCs w:val="20"/>
          <w:lang w:val="es-AR"/>
        </w:rPr>
        <w:t xml:space="preserve"> decret</w:t>
      </w:r>
      <w:r w:rsidR="003E7ADF">
        <w:rPr>
          <w:sz w:val="20"/>
          <w:szCs w:val="20"/>
          <w:lang w:val="es-AR"/>
        </w:rPr>
        <w:t>ó</w:t>
      </w:r>
      <w:r w:rsidR="00730F44">
        <w:rPr>
          <w:sz w:val="20"/>
          <w:szCs w:val="20"/>
          <w:lang w:val="es-AR"/>
        </w:rPr>
        <w:t xml:space="preserve"> la Sala Penal del Tribunal </w:t>
      </w:r>
      <w:r w:rsidR="008D2748">
        <w:rPr>
          <w:sz w:val="20"/>
          <w:szCs w:val="20"/>
          <w:lang w:val="es-AR"/>
        </w:rPr>
        <w:t>Superior</w:t>
      </w:r>
      <w:r w:rsidR="00730F44">
        <w:rPr>
          <w:sz w:val="20"/>
          <w:szCs w:val="20"/>
          <w:lang w:val="es-AR"/>
        </w:rPr>
        <w:t xml:space="preserve"> de Bogotá el 16 de febrero de 2021</w:t>
      </w:r>
      <w:r w:rsidR="00A60CD1">
        <w:rPr>
          <w:sz w:val="20"/>
          <w:szCs w:val="20"/>
          <w:lang w:val="es-AR"/>
        </w:rPr>
        <w:t>. Actualmente</w:t>
      </w:r>
      <w:r w:rsidR="005D4161">
        <w:rPr>
          <w:sz w:val="20"/>
          <w:szCs w:val="20"/>
          <w:lang w:val="es-AR"/>
        </w:rPr>
        <w:t xml:space="preserve"> se encuentra en trámite </w:t>
      </w:r>
      <w:r w:rsidR="009C4C8C">
        <w:rPr>
          <w:sz w:val="20"/>
          <w:szCs w:val="20"/>
          <w:lang w:val="es-AR"/>
        </w:rPr>
        <w:t>un</w:t>
      </w:r>
      <w:r w:rsidR="005D4161">
        <w:rPr>
          <w:sz w:val="20"/>
          <w:szCs w:val="20"/>
          <w:lang w:val="es-AR"/>
        </w:rPr>
        <w:t xml:space="preserve"> recurso de apelación </w:t>
      </w:r>
      <w:r w:rsidR="00A60CD1">
        <w:rPr>
          <w:sz w:val="20"/>
          <w:szCs w:val="20"/>
          <w:lang w:val="es-AR"/>
        </w:rPr>
        <w:t xml:space="preserve">presentado por la parte peticionaria </w:t>
      </w:r>
      <w:r w:rsidR="005D4161">
        <w:rPr>
          <w:sz w:val="20"/>
          <w:szCs w:val="20"/>
          <w:lang w:val="es-AR"/>
        </w:rPr>
        <w:t>ante la Corte Suprema de Justicia</w:t>
      </w:r>
      <w:r w:rsidR="00A60CD1">
        <w:rPr>
          <w:sz w:val="20"/>
          <w:szCs w:val="20"/>
          <w:lang w:val="es-AR"/>
        </w:rPr>
        <w:t xml:space="preserve"> contra </w:t>
      </w:r>
      <w:r w:rsidR="009C4C8C">
        <w:rPr>
          <w:sz w:val="20"/>
          <w:szCs w:val="20"/>
          <w:lang w:val="es-AR"/>
        </w:rPr>
        <w:t>esta</w:t>
      </w:r>
      <w:r w:rsidR="00A60CD1">
        <w:rPr>
          <w:sz w:val="20"/>
          <w:szCs w:val="20"/>
          <w:lang w:val="es-AR"/>
        </w:rPr>
        <w:t xml:space="preserve"> decisión de preclusión</w:t>
      </w:r>
      <w:r w:rsidR="00AE7224">
        <w:rPr>
          <w:sz w:val="20"/>
          <w:szCs w:val="20"/>
          <w:lang w:val="es-AR"/>
        </w:rPr>
        <w:t>.</w:t>
      </w:r>
    </w:p>
    <w:p w14:paraId="7E32A405" w14:textId="18B3DA49" w:rsidR="00592380" w:rsidRDefault="00493DE0" w:rsidP="007A330F">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Ahora bien, </w:t>
      </w:r>
      <w:r w:rsidR="00675AC8">
        <w:rPr>
          <w:rFonts w:asciiTheme="majorHAnsi" w:hAnsiTheme="majorHAnsi"/>
          <w:bCs/>
          <w:sz w:val="20"/>
          <w:szCs w:val="20"/>
          <w:lang w:val="es-UY"/>
        </w:rPr>
        <w:t>acerca de la inadmisibilidad de la petición, el Estado colombiano recuerda que, de conformidad con el artículo 47.c</w:t>
      </w:r>
      <w:r w:rsidR="00F01712">
        <w:rPr>
          <w:rFonts w:asciiTheme="majorHAnsi" w:hAnsiTheme="majorHAnsi"/>
          <w:bCs/>
          <w:sz w:val="20"/>
          <w:szCs w:val="20"/>
          <w:lang w:val="es-UY"/>
        </w:rPr>
        <w:t xml:space="preserve">) de la Convención, la </w:t>
      </w:r>
      <w:r w:rsidR="002A178F">
        <w:rPr>
          <w:rFonts w:asciiTheme="majorHAnsi" w:hAnsiTheme="majorHAnsi"/>
          <w:bCs/>
          <w:sz w:val="20"/>
          <w:szCs w:val="20"/>
          <w:lang w:val="es-UY"/>
        </w:rPr>
        <w:t>CIDH</w:t>
      </w:r>
      <w:r w:rsidR="00F01712">
        <w:rPr>
          <w:rFonts w:asciiTheme="majorHAnsi" w:hAnsiTheme="majorHAnsi"/>
          <w:bCs/>
          <w:sz w:val="20"/>
          <w:szCs w:val="20"/>
          <w:lang w:val="es-UY"/>
        </w:rPr>
        <w:t xml:space="preserve"> </w:t>
      </w:r>
      <w:r w:rsidR="00DC704F">
        <w:rPr>
          <w:rFonts w:asciiTheme="majorHAnsi" w:hAnsiTheme="majorHAnsi"/>
          <w:bCs/>
          <w:sz w:val="20"/>
          <w:szCs w:val="20"/>
          <w:lang w:val="es-UY"/>
        </w:rPr>
        <w:t xml:space="preserve">debe </w:t>
      </w:r>
      <w:r w:rsidR="00F01712">
        <w:rPr>
          <w:rFonts w:asciiTheme="majorHAnsi" w:hAnsiTheme="majorHAnsi"/>
          <w:bCs/>
          <w:sz w:val="20"/>
          <w:szCs w:val="20"/>
          <w:lang w:val="es-UY"/>
        </w:rPr>
        <w:t xml:space="preserve">declarar inadmisibles las peticiones </w:t>
      </w:r>
      <w:r w:rsidR="00C21D58">
        <w:rPr>
          <w:rFonts w:asciiTheme="majorHAnsi" w:hAnsiTheme="majorHAnsi"/>
          <w:bCs/>
          <w:sz w:val="20"/>
          <w:szCs w:val="20"/>
          <w:lang w:val="es-UY"/>
        </w:rPr>
        <w:t xml:space="preserve">manifiestamente infundadas. A este respecto, sostiene que </w:t>
      </w:r>
      <w:r w:rsidR="007361D8">
        <w:rPr>
          <w:rFonts w:asciiTheme="majorHAnsi" w:hAnsiTheme="majorHAnsi"/>
          <w:bCs/>
          <w:sz w:val="20"/>
          <w:szCs w:val="20"/>
          <w:lang w:val="es-UY"/>
        </w:rPr>
        <w:t>esta causal de inadmisibilidad se configura</w:t>
      </w:r>
      <w:r w:rsidR="00381EAF">
        <w:rPr>
          <w:rFonts w:asciiTheme="majorHAnsi" w:hAnsiTheme="majorHAnsi"/>
          <w:bCs/>
          <w:sz w:val="20"/>
          <w:szCs w:val="20"/>
          <w:lang w:val="es-UY"/>
        </w:rPr>
        <w:t xml:space="preserve"> en el presente caso</w:t>
      </w:r>
      <w:r w:rsidR="007361D8">
        <w:rPr>
          <w:rFonts w:asciiTheme="majorHAnsi" w:hAnsiTheme="majorHAnsi"/>
          <w:bCs/>
          <w:sz w:val="20"/>
          <w:szCs w:val="20"/>
          <w:lang w:val="es-UY"/>
        </w:rPr>
        <w:t xml:space="preserve"> frente a los alegatos de supuesta violación del derecho a la propiedad privada</w:t>
      </w:r>
      <w:r w:rsidR="00B06E8C">
        <w:rPr>
          <w:rFonts w:asciiTheme="majorHAnsi" w:hAnsiTheme="majorHAnsi"/>
          <w:bCs/>
          <w:sz w:val="20"/>
          <w:szCs w:val="20"/>
          <w:lang w:val="es-UY"/>
        </w:rPr>
        <w:t>;</w:t>
      </w:r>
      <w:r w:rsidR="007361D8">
        <w:rPr>
          <w:rFonts w:asciiTheme="majorHAnsi" w:hAnsiTheme="majorHAnsi"/>
          <w:bCs/>
          <w:sz w:val="20"/>
          <w:szCs w:val="20"/>
          <w:lang w:val="es-UY"/>
        </w:rPr>
        <w:t xml:space="preserve"> </w:t>
      </w:r>
      <w:r w:rsidR="00C92731">
        <w:rPr>
          <w:rFonts w:asciiTheme="majorHAnsi" w:hAnsiTheme="majorHAnsi"/>
          <w:bCs/>
          <w:sz w:val="20"/>
          <w:szCs w:val="20"/>
          <w:lang w:val="es-UY"/>
        </w:rPr>
        <w:t>los hechos relacionados con las amenazas de muerte</w:t>
      </w:r>
      <w:r w:rsidR="00B06E8C">
        <w:rPr>
          <w:rFonts w:asciiTheme="majorHAnsi" w:hAnsiTheme="majorHAnsi"/>
          <w:bCs/>
          <w:sz w:val="20"/>
          <w:szCs w:val="20"/>
          <w:lang w:val="es-UY"/>
        </w:rPr>
        <w:t>;</w:t>
      </w:r>
      <w:r w:rsidR="00C92731">
        <w:rPr>
          <w:rFonts w:asciiTheme="majorHAnsi" w:hAnsiTheme="majorHAnsi"/>
          <w:bCs/>
          <w:sz w:val="20"/>
          <w:szCs w:val="20"/>
          <w:lang w:val="es-UY"/>
        </w:rPr>
        <w:t xml:space="preserve"> y el proceso penal adelantado contra la presunta víctima.</w:t>
      </w:r>
      <w:r w:rsidR="00406014">
        <w:rPr>
          <w:rFonts w:asciiTheme="majorHAnsi" w:hAnsiTheme="majorHAnsi"/>
          <w:bCs/>
          <w:sz w:val="20"/>
          <w:szCs w:val="20"/>
          <w:lang w:val="es-UY"/>
        </w:rPr>
        <w:t xml:space="preserve"> Ello por cuanto </w:t>
      </w:r>
      <w:r w:rsidR="00F2517D">
        <w:rPr>
          <w:rFonts w:asciiTheme="majorHAnsi" w:hAnsiTheme="majorHAnsi"/>
          <w:bCs/>
          <w:sz w:val="20"/>
          <w:szCs w:val="20"/>
          <w:lang w:val="es-UY"/>
        </w:rPr>
        <w:t xml:space="preserve">la parte peticionaria </w:t>
      </w:r>
      <w:r w:rsidR="0037417F">
        <w:rPr>
          <w:rFonts w:asciiTheme="majorHAnsi" w:hAnsiTheme="majorHAnsi"/>
          <w:bCs/>
          <w:sz w:val="20"/>
          <w:szCs w:val="20"/>
          <w:lang w:val="es-UY"/>
        </w:rPr>
        <w:t>no acredita que éstos sean atribuibles al Estado.</w:t>
      </w:r>
    </w:p>
    <w:p w14:paraId="0BE1CE20" w14:textId="03F6B684" w:rsidR="003E0CF0" w:rsidRDefault="003E0CF0" w:rsidP="007A330F">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En primer lugar, </w:t>
      </w:r>
      <w:r w:rsidR="008A6023">
        <w:rPr>
          <w:rFonts w:asciiTheme="majorHAnsi" w:hAnsiTheme="majorHAnsi"/>
          <w:bCs/>
          <w:sz w:val="20"/>
          <w:szCs w:val="20"/>
          <w:lang w:val="es-UY"/>
        </w:rPr>
        <w:t xml:space="preserve">acerca de la </w:t>
      </w:r>
      <w:r w:rsidR="00DE6165">
        <w:rPr>
          <w:rFonts w:asciiTheme="majorHAnsi" w:hAnsiTheme="majorHAnsi"/>
          <w:bCs/>
          <w:sz w:val="20"/>
          <w:szCs w:val="20"/>
          <w:lang w:val="es-UY"/>
        </w:rPr>
        <w:t>usurpac</w:t>
      </w:r>
      <w:r w:rsidR="008A6023">
        <w:rPr>
          <w:rFonts w:asciiTheme="majorHAnsi" w:hAnsiTheme="majorHAnsi"/>
          <w:bCs/>
          <w:sz w:val="20"/>
          <w:szCs w:val="20"/>
          <w:lang w:val="es-UY"/>
        </w:rPr>
        <w:t xml:space="preserve">ión del predio ‘El Esfuerzo’, el Estado destaca que </w:t>
      </w:r>
      <w:r w:rsidR="00354A0F">
        <w:rPr>
          <w:rFonts w:asciiTheme="majorHAnsi" w:hAnsiTheme="majorHAnsi"/>
          <w:bCs/>
          <w:sz w:val="20"/>
          <w:szCs w:val="20"/>
          <w:lang w:val="es-UY"/>
        </w:rPr>
        <w:t xml:space="preserve">los peticionarios </w:t>
      </w:r>
      <w:r w:rsidR="00712794">
        <w:rPr>
          <w:rFonts w:asciiTheme="majorHAnsi" w:hAnsiTheme="majorHAnsi"/>
          <w:bCs/>
          <w:sz w:val="20"/>
          <w:szCs w:val="20"/>
          <w:lang w:val="es-UY"/>
        </w:rPr>
        <w:t xml:space="preserve">señalaron que fueron </w:t>
      </w:r>
      <w:r w:rsidR="00FF0F84">
        <w:rPr>
          <w:rFonts w:asciiTheme="majorHAnsi" w:hAnsiTheme="majorHAnsi"/>
          <w:bCs/>
          <w:sz w:val="20"/>
          <w:szCs w:val="20"/>
          <w:lang w:val="es-UY"/>
        </w:rPr>
        <w:t>te</w:t>
      </w:r>
      <w:r w:rsidR="0048347D">
        <w:rPr>
          <w:rFonts w:asciiTheme="majorHAnsi" w:hAnsiTheme="majorHAnsi"/>
          <w:bCs/>
          <w:sz w:val="20"/>
          <w:szCs w:val="20"/>
          <w:lang w:val="es-UY"/>
        </w:rPr>
        <w:t>r</w:t>
      </w:r>
      <w:r w:rsidR="00FF0F84">
        <w:rPr>
          <w:rFonts w:asciiTheme="majorHAnsi" w:hAnsiTheme="majorHAnsi"/>
          <w:bCs/>
          <w:sz w:val="20"/>
          <w:szCs w:val="20"/>
          <w:lang w:val="es-UY"/>
        </w:rPr>
        <w:t>cero</w:t>
      </w:r>
      <w:r w:rsidR="00712794">
        <w:rPr>
          <w:rFonts w:asciiTheme="majorHAnsi" w:hAnsiTheme="majorHAnsi"/>
          <w:bCs/>
          <w:sz w:val="20"/>
          <w:szCs w:val="20"/>
          <w:lang w:val="es-UY"/>
        </w:rPr>
        <w:t>s</w:t>
      </w:r>
      <w:r w:rsidR="00335473" w:rsidRPr="00335473">
        <w:rPr>
          <w:rFonts w:asciiTheme="majorHAnsi" w:hAnsiTheme="majorHAnsi"/>
          <w:bCs/>
          <w:sz w:val="20"/>
          <w:szCs w:val="20"/>
          <w:lang w:val="es-UY"/>
        </w:rPr>
        <w:t xml:space="preserve"> </w:t>
      </w:r>
      <w:r w:rsidR="00335473">
        <w:rPr>
          <w:rFonts w:asciiTheme="majorHAnsi" w:hAnsiTheme="majorHAnsi"/>
          <w:bCs/>
          <w:sz w:val="20"/>
          <w:szCs w:val="20"/>
          <w:lang w:val="es-UY"/>
        </w:rPr>
        <w:t xml:space="preserve">quienes ocasionaron los daños sobre el </w:t>
      </w:r>
      <w:r w:rsidR="004E5DAE">
        <w:rPr>
          <w:rFonts w:asciiTheme="majorHAnsi" w:hAnsiTheme="majorHAnsi"/>
          <w:bCs/>
          <w:sz w:val="20"/>
          <w:szCs w:val="20"/>
          <w:lang w:val="es-UY"/>
        </w:rPr>
        <w:t>bien</w:t>
      </w:r>
      <w:r w:rsidR="00712794">
        <w:rPr>
          <w:rFonts w:asciiTheme="majorHAnsi" w:hAnsiTheme="majorHAnsi"/>
          <w:bCs/>
          <w:sz w:val="20"/>
          <w:szCs w:val="20"/>
          <w:lang w:val="es-UY"/>
        </w:rPr>
        <w:t>, sin la aquiescencia o complicidad de agentes estatales</w:t>
      </w:r>
      <w:r w:rsidR="0048347D">
        <w:rPr>
          <w:rFonts w:asciiTheme="majorHAnsi" w:hAnsiTheme="majorHAnsi"/>
          <w:bCs/>
          <w:sz w:val="20"/>
          <w:szCs w:val="20"/>
          <w:lang w:val="es-UY"/>
        </w:rPr>
        <w:t xml:space="preserve">, por lo que este hecho no le es atribuible </w:t>
      </w:r>
      <w:r w:rsidR="00A72147">
        <w:rPr>
          <w:rFonts w:asciiTheme="majorHAnsi" w:hAnsiTheme="majorHAnsi"/>
          <w:bCs/>
          <w:sz w:val="20"/>
          <w:szCs w:val="20"/>
          <w:lang w:val="es-UY"/>
        </w:rPr>
        <w:t>a Colombia</w:t>
      </w:r>
      <w:r w:rsidR="004E5DAE">
        <w:rPr>
          <w:rFonts w:asciiTheme="majorHAnsi" w:hAnsiTheme="majorHAnsi"/>
          <w:bCs/>
          <w:sz w:val="20"/>
          <w:szCs w:val="20"/>
          <w:lang w:val="es-UY"/>
        </w:rPr>
        <w:t xml:space="preserve">. En segundo lugar, </w:t>
      </w:r>
      <w:r w:rsidR="00896499">
        <w:rPr>
          <w:rFonts w:asciiTheme="majorHAnsi" w:hAnsiTheme="majorHAnsi"/>
          <w:bCs/>
          <w:sz w:val="20"/>
          <w:szCs w:val="20"/>
          <w:lang w:val="es-UY"/>
        </w:rPr>
        <w:t>frente a las amenazas de muerte recibidas por la familia,</w:t>
      </w:r>
      <w:r w:rsidR="00533C22">
        <w:rPr>
          <w:rFonts w:asciiTheme="majorHAnsi" w:hAnsiTheme="majorHAnsi"/>
          <w:bCs/>
          <w:sz w:val="20"/>
          <w:szCs w:val="20"/>
          <w:lang w:val="es-UY"/>
        </w:rPr>
        <w:t xml:space="preserve"> aduce que</w:t>
      </w:r>
      <w:r w:rsidR="00896499">
        <w:rPr>
          <w:rFonts w:asciiTheme="majorHAnsi" w:hAnsiTheme="majorHAnsi"/>
          <w:bCs/>
          <w:sz w:val="20"/>
          <w:szCs w:val="20"/>
          <w:lang w:val="es-UY"/>
        </w:rPr>
        <w:t xml:space="preserve"> </w:t>
      </w:r>
      <w:r w:rsidR="00630213">
        <w:rPr>
          <w:rFonts w:asciiTheme="majorHAnsi" w:hAnsiTheme="majorHAnsi"/>
          <w:bCs/>
          <w:sz w:val="20"/>
          <w:szCs w:val="20"/>
          <w:lang w:val="es-UY"/>
        </w:rPr>
        <w:t xml:space="preserve">tampoco puede concluirse que éstas provinieran de agentes estatales o contaran con su </w:t>
      </w:r>
      <w:r w:rsidR="0051394A">
        <w:rPr>
          <w:rFonts w:asciiTheme="majorHAnsi" w:hAnsiTheme="majorHAnsi"/>
          <w:bCs/>
          <w:sz w:val="20"/>
          <w:szCs w:val="20"/>
          <w:lang w:val="es-UY"/>
        </w:rPr>
        <w:t>con</w:t>
      </w:r>
      <w:r w:rsidR="00F360BC">
        <w:rPr>
          <w:rFonts w:asciiTheme="majorHAnsi" w:hAnsiTheme="majorHAnsi"/>
          <w:bCs/>
          <w:sz w:val="20"/>
          <w:szCs w:val="20"/>
          <w:lang w:val="es-UY"/>
        </w:rPr>
        <w:t>sentimiento</w:t>
      </w:r>
      <w:r w:rsidR="0051394A">
        <w:rPr>
          <w:rFonts w:asciiTheme="majorHAnsi" w:hAnsiTheme="majorHAnsi"/>
          <w:bCs/>
          <w:sz w:val="20"/>
          <w:szCs w:val="20"/>
          <w:lang w:val="es-UY"/>
        </w:rPr>
        <w:t xml:space="preserve"> o tolerancia.</w:t>
      </w:r>
      <w:r w:rsidR="009B28CD">
        <w:rPr>
          <w:rFonts w:asciiTheme="majorHAnsi" w:hAnsiTheme="majorHAnsi"/>
          <w:bCs/>
          <w:sz w:val="20"/>
          <w:szCs w:val="20"/>
          <w:lang w:val="es-UY"/>
        </w:rPr>
        <w:t xml:space="preserve"> Si bien las autoridades tenían conocimiento </w:t>
      </w:r>
      <w:r w:rsidR="009B28CD">
        <w:rPr>
          <w:rFonts w:asciiTheme="majorHAnsi" w:hAnsiTheme="majorHAnsi"/>
          <w:bCs/>
          <w:sz w:val="20"/>
          <w:szCs w:val="20"/>
          <w:lang w:val="es-UY"/>
        </w:rPr>
        <w:lastRenderedPageBreak/>
        <w:t>de las amenazas</w:t>
      </w:r>
      <w:r w:rsidR="00765A7C">
        <w:rPr>
          <w:rFonts w:asciiTheme="majorHAnsi" w:hAnsiTheme="majorHAnsi"/>
          <w:bCs/>
          <w:sz w:val="20"/>
          <w:szCs w:val="20"/>
          <w:lang w:val="es-UY"/>
        </w:rPr>
        <w:t xml:space="preserve"> a través de las denuncias interpuestas por el Sr. Potes Mosquera</w:t>
      </w:r>
      <w:r w:rsidR="009B28CD">
        <w:rPr>
          <w:rFonts w:asciiTheme="majorHAnsi" w:hAnsiTheme="majorHAnsi"/>
          <w:bCs/>
          <w:sz w:val="20"/>
          <w:szCs w:val="20"/>
          <w:lang w:val="es-UY"/>
        </w:rPr>
        <w:t xml:space="preserve">, </w:t>
      </w:r>
      <w:r w:rsidR="00FE2BF4">
        <w:rPr>
          <w:rFonts w:asciiTheme="majorHAnsi" w:hAnsiTheme="majorHAnsi"/>
          <w:bCs/>
          <w:sz w:val="20"/>
          <w:szCs w:val="20"/>
          <w:lang w:val="es-UY"/>
        </w:rPr>
        <w:t xml:space="preserve">la fiscalía </w:t>
      </w:r>
      <w:r w:rsidR="00FE2EF0">
        <w:rPr>
          <w:rFonts w:asciiTheme="majorHAnsi" w:hAnsiTheme="majorHAnsi"/>
          <w:bCs/>
          <w:sz w:val="20"/>
          <w:szCs w:val="20"/>
          <w:lang w:val="es-UY"/>
        </w:rPr>
        <w:t>realiz</w:t>
      </w:r>
      <w:r w:rsidR="00FE2BF4">
        <w:rPr>
          <w:rFonts w:asciiTheme="majorHAnsi" w:hAnsiTheme="majorHAnsi"/>
          <w:bCs/>
          <w:sz w:val="20"/>
          <w:szCs w:val="20"/>
          <w:lang w:val="es-UY"/>
        </w:rPr>
        <w:t>ó</w:t>
      </w:r>
      <w:r w:rsidR="00FE2EF0">
        <w:rPr>
          <w:rFonts w:asciiTheme="majorHAnsi" w:hAnsiTheme="majorHAnsi"/>
          <w:bCs/>
          <w:sz w:val="20"/>
          <w:szCs w:val="20"/>
          <w:lang w:val="es-UY"/>
        </w:rPr>
        <w:t xml:space="preserve"> las investigaciones correspondientes</w:t>
      </w:r>
      <w:r w:rsidR="00086201">
        <w:rPr>
          <w:rFonts w:asciiTheme="majorHAnsi" w:hAnsiTheme="majorHAnsi"/>
          <w:bCs/>
          <w:sz w:val="20"/>
          <w:szCs w:val="20"/>
          <w:lang w:val="es-UY"/>
        </w:rPr>
        <w:t>,</w:t>
      </w:r>
      <w:r w:rsidR="00B35232">
        <w:rPr>
          <w:rFonts w:asciiTheme="majorHAnsi" w:hAnsiTheme="majorHAnsi"/>
          <w:bCs/>
          <w:sz w:val="20"/>
          <w:szCs w:val="20"/>
          <w:lang w:val="es-UY"/>
        </w:rPr>
        <w:t xml:space="preserve"> aunque no fue posible impedir que terceras personas </w:t>
      </w:r>
      <w:r w:rsidR="00086201">
        <w:rPr>
          <w:rFonts w:asciiTheme="majorHAnsi" w:hAnsiTheme="majorHAnsi"/>
          <w:bCs/>
          <w:sz w:val="20"/>
          <w:szCs w:val="20"/>
          <w:lang w:val="es-UY"/>
        </w:rPr>
        <w:t>cometieran estos actos</w:t>
      </w:r>
      <w:r w:rsidR="009C0D1D">
        <w:rPr>
          <w:rFonts w:asciiTheme="majorHAnsi" w:hAnsiTheme="majorHAnsi"/>
          <w:bCs/>
          <w:sz w:val="20"/>
          <w:szCs w:val="20"/>
          <w:lang w:val="es-UY"/>
        </w:rPr>
        <w:t>.</w:t>
      </w:r>
      <w:r w:rsidR="00DF5F6A">
        <w:rPr>
          <w:rFonts w:asciiTheme="majorHAnsi" w:hAnsiTheme="majorHAnsi"/>
          <w:bCs/>
          <w:sz w:val="20"/>
          <w:szCs w:val="20"/>
          <w:lang w:val="es-UY"/>
        </w:rPr>
        <w:t xml:space="preserve"> Además, asegura que el Estado actuó con la debida diligencia al dar respuesta a cada una de las denuncias presentadas </w:t>
      </w:r>
      <w:r w:rsidR="005809F5">
        <w:rPr>
          <w:rFonts w:asciiTheme="majorHAnsi" w:hAnsiTheme="majorHAnsi"/>
          <w:bCs/>
          <w:sz w:val="20"/>
          <w:szCs w:val="20"/>
          <w:lang w:val="es-UY"/>
        </w:rPr>
        <w:t xml:space="preserve">ante diferentes entidades, llegando a imponer sanciones disciplinarias contra el registrador de instrumentos públicos de Istmina, Chocó, </w:t>
      </w:r>
      <w:r w:rsidR="00A640EE">
        <w:rPr>
          <w:rFonts w:asciiTheme="majorHAnsi" w:hAnsiTheme="majorHAnsi"/>
          <w:bCs/>
          <w:sz w:val="20"/>
          <w:szCs w:val="20"/>
          <w:lang w:val="es-UY"/>
        </w:rPr>
        <w:t>e invalidar la anotación del título minero de la familia López Benítez.</w:t>
      </w:r>
    </w:p>
    <w:p w14:paraId="4B56054F" w14:textId="3B332A19" w:rsidR="005B53C3" w:rsidRDefault="00246DD7" w:rsidP="007A330F">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E</w:t>
      </w:r>
      <w:r w:rsidR="00240BEF">
        <w:rPr>
          <w:rFonts w:asciiTheme="majorHAnsi" w:hAnsiTheme="majorHAnsi"/>
          <w:bCs/>
          <w:sz w:val="20"/>
          <w:szCs w:val="20"/>
          <w:lang w:val="es-UY"/>
        </w:rPr>
        <w:t xml:space="preserve">n cuando </w:t>
      </w:r>
      <w:r w:rsidR="00CD066C">
        <w:rPr>
          <w:rFonts w:asciiTheme="majorHAnsi" w:hAnsiTheme="majorHAnsi"/>
          <w:bCs/>
          <w:sz w:val="20"/>
          <w:szCs w:val="20"/>
          <w:lang w:val="es-UY"/>
        </w:rPr>
        <w:t>a</w:t>
      </w:r>
      <w:r w:rsidR="00B607FD">
        <w:rPr>
          <w:rFonts w:asciiTheme="majorHAnsi" w:hAnsiTheme="majorHAnsi"/>
          <w:bCs/>
          <w:sz w:val="20"/>
          <w:szCs w:val="20"/>
          <w:lang w:val="es-UY"/>
        </w:rPr>
        <w:t xml:space="preserve">l proceso penal seguido contra el Sr. Potes Mosquera, el Estado asevera que los peticionarios no han aportado elementos suficientes que acrediten </w:t>
      </w:r>
      <w:r w:rsidR="00B607FD" w:rsidRPr="00B607FD">
        <w:rPr>
          <w:rFonts w:asciiTheme="majorHAnsi" w:hAnsiTheme="majorHAnsi"/>
          <w:bCs/>
          <w:i/>
          <w:iCs/>
          <w:sz w:val="20"/>
          <w:szCs w:val="20"/>
          <w:lang w:val="es-UY"/>
        </w:rPr>
        <w:t>prima facie</w:t>
      </w:r>
      <w:r w:rsidR="00B607FD">
        <w:rPr>
          <w:rFonts w:asciiTheme="majorHAnsi" w:hAnsiTheme="majorHAnsi"/>
          <w:bCs/>
          <w:sz w:val="20"/>
          <w:szCs w:val="20"/>
          <w:lang w:val="es-UY"/>
        </w:rPr>
        <w:t xml:space="preserve"> una violación </w:t>
      </w:r>
      <w:r w:rsidR="00C37641">
        <w:rPr>
          <w:rFonts w:asciiTheme="majorHAnsi" w:hAnsiTheme="majorHAnsi"/>
          <w:bCs/>
          <w:sz w:val="20"/>
          <w:szCs w:val="20"/>
          <w:lang w:val="es-UY"/>
        </w:rPr>
        <w:t>de derechos</w:t>
      </w:r>
      <w:r w:rsidR="00491793">
        <w:rPr>
          <w:rFonts w:asciiTheme="majorHAnsi" w:hAnsiTheme="majorHAnsi"/>
          <w:bCs/>
          <w:sz w:val="20"/>
          <w:szCs w:val="20"/>
          <w:lang w:val="es-UY"/>
        </w:rPr>
        <w:t>.</w:t>
      </w:r>
      <w:r w:rsidR="00C37641">
        <w:rPr>
          <w:rFonts w:asciiTheme="majorHAnsi" w:hAnsiTheme="majorHAnsi"/>
          <w:bCs/>
          <w:sz w:val="20"/>
          <w:szCs w:val="20"/>
          <w:lang w:val="es-UY"/>
        </w:rPr>
        <w:t xml:space="preserve"> </w:t>
      </w:r>
      <w:r w:rsidR="000B02BA">
        <w:rPr>
          <w:rFonts w:asciiTheme="majorHAnsi" w:hAnsiTheme="majorHAnsi"/>
          <w:bCs/>
          <w:sz w:val="20"/>
          <w:szCs w:val="20"/>
          <w:lang w:val="es-UY"/>
        </w:rPr>
        <w:t xml:space="preserve">Recalca que la investigación contra la presunta víctima inició por información remitida por el Ministerio de Minas y Energía </w:t>
      </w:r>
      <w:r w:rsidR="002C12BD">
        <w:rPr>
          <w:rFonts w:asciiTheme="majorHAnsi" w:hAnsiTheme="majorHAnsi"/>
          <w:bCs/>
          <w:sz w:val="20"/>
          <w:szCs w:val="20"/>
          <w:lang w:val="es-UY"/>
        </w:rPr>
        <w:t xml:space="preserve">sobre los presuntos daños ambientales causados con la explotación de </w:t>
      </w:r>
      <w:r w:rsidR="00C452C2">
        <w:rPr>
          <w:rFonts w:asciiTheme="majorHAnsi" w:hAnsiTheme="majorHAnsi"/>
          <w:bCs/>
          <w:sz w:val="20"/>
          <w:szCs w:val="20"/>
          <w:lang w:val="es-UY"/>
        </w:rPr>
        <w:t>y</w:t>
      </w:r>
      <w:r w:rsidR="002C12BD">
        <w:rPr>
          <w:rFonts w:asciiTheme="majorHAnsi" w:hAnsiTheme="majorHAnsi"/>
          <w:bCs/>
          <w:sz w:val="20"/>
          <w:szCs w:val="20"/>
          <w:lang w:val="es-UY"/>
        </w:rPr>
        <w:t>acimientos mineros sin licencia ambiental.</w:t>
      </w:r>
      <w:r w:rsidR="00CE070C">
        <w:rPr>
          <w:rFonts w:asciiTheme="majorHAnsi" w:hAnsiTheme="majorHAnsi"/>
          <w:bCs/>
          <w:sz w:val="20"/>
          <w:szCs w:val="20"/>
          <w:lang w:val="es-UY"/>
        </w:rPr>
        <w:t xml:space="preserve"> En el caso concreto, se pudo demostrar que el Sr. Potes Mosquera estaba realizando actividades de minería ilegal sin la respectiva l</w:t>
      </w:r>
      <w:r w:rsidR="00AD6E0E">
        <w:rPr>
          <w:rFonts w:asciiTheme="majorHAnsi" w:hAnsiTheme="majorHAnsi"/>
          <w:bCs/>
          <w:sz w:val="20"/>
          <w:szCs w:val="20"/>
          <w:lang w:val="es-UY"/>
        </w:rPr>
        <w:t>icencia, ocasionando los daños ambientales.</w:t>
      </w:r>
      <w:r w:rsidR="00293AD0">
        <w:rPr>
          <w:rFonts w:asciiTheme="majorHAnsi" w:hAnsiTheme="majorHAnsi"/>
          <w:bCs/>
          <w:sz w:val="20"/>
          <w:szCs w:val="20"/>
          <w:lang w:val="es-UY"/>
        </w:rPr>
        <w:t xml:space="preserve"> Frente a la denuncia </w:t>
      </w:r>
      <w:r w:rsidR="002C5BF8">
        <w:rPr>
          <w:rFonts w:asciiTheme="majorHAnsi" w:hAnsiTheme="majorHAnsi"/>
          <w:bCs/>
          <w:sz w:val="20"/>
          <w:szCs w:val="20"/>
          <w:lang w:val="es-UY"/>
        </w:rPr>
        <w:t xml:space="preserve">promovida contra el fiscal del caso, el Estado afirma que </w:t>
      </w:r>
      <w:r w:rsidR="00491ABF">
        <w:rPr>
          <w:rFonts w:asciiTheme="majorHAnsi" w:hAnsiTheme="majorHAnsi"/>
          <w:bCs/>
          <w:sz w:val="20"/>
          <w:szCs w:val="20"/>
          <w:lang w:val="es-UY"/>
        </w:rPr>
        <w:t>ésta no tuvo ningún sustento</w:t>
      </w:r>
      <w:r w:rsidR="006D6B45">
        <w:rPr>
          <w:rFonts w:asciiTheme="majorHAnsi" w:hAnsiTheme="majorHAnsi"/>
          <w:bCs/>
          <w:sz w:val="20"/>
          <w:szCs w:val="20"/>
          <w:lang w:val="es-UY"/>
        </w:rPr>
        <w:t>; sin embargo, fue debidamente investigada y estudiada por los tribunales internos los cuales adoptaron decisiones motivadas</w:t>
      </w:r>
      <w:r w:rsidR="00FE379E">
        <w:rPr>
          <w:rFonts w:asciiTheme="majorHAnsi" w:hAnsiTheme="majorHAnsi"/>
          <w:bCs/>
          <w:sz w:val="20"/>
          <w:szCs w:val="20"/>
          <w:lang w:val="es-UY"/>
        </w:rPr>
        <w:t xml:space="preserve"> al respecto</w:t>
      </w:r>
      <w:r w:rsidR="006D6B45">
        <w:rPr>
          <w:rFonts w:asciiTheme="majorHAnsi" w:hAnsiTheme="majorHAnsi"/>
          <w:bCs/>
          <w:sz w:val="20"/>
          <w:szCs w:val="20"/>
          <w:lang w:val="es-UY"/>
        </w:rPr>
        <w:t>.</w:t>
      </w:r>
      <w:r w:rsidR="00E56D2F">
        <w:rPr>
          <w:rFonts w:asciiTheme="majorHAnsi" w:hAnsiTheme="majorHAnsi"/>
          <w:bCs/>
          <w:sz w:val="20"/>
          <w:szCs w:val="20"/>
          <w:lang w:val="es-UY"/>
        </w:rPr>
        <w:t xml:space="preserve"> Con ello, el Estado arguye que garantizó el acceso a la justicia de la presunta víctima</w:t>
      </w:r>
      <w:r w:rsidR="00A3206D">
        <w:rPr>
          <w:rFonts w:asciiTheme="majorHAnsi" w:hAnsiTheme="majorHAnsi"/>
          <w:bCs/>
          <w:sz w:val="20"/>
          <w:szCs w:val="20"/>
          <w:lang w:val="es-UY"/>
        </w:rPr>
        <w:t xml:space="preserve">, </w:t>
      </w:r>
      <w:r w:rsidR="006B0E19">
        <w:rPr>
          <w:rFonts w:asciiTheme="majorHAnsi" w:hAnsiTheme="majorHAnsi"/>
          <w:bCs/>
          <w:sz w:val="20"/>
          <w:szCs w:val="20"/>
          <w:lang w:val="es-UY"/>
        </w:rPr>
        <w:t>por lo que los alegatos de la parte peticionaria carecen de fundamento.</w:t>
      </w:r>
    </w:p>
    <w:p w14:paraId="01C523AF" w14:textId="77777777" w:rsidR="006F7C78" w:rsidRDefault="007A3EEA" w:rsidP="007A330F">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Finalmente, Colombia plantea que </w:t>
      </w:r>
      <w:r w:rsidR="00785E33">
        <w:rPr>
          <w:rFonts w:asciiTheme="majorHAnsi" w:hAnsiTheme="majorHAnsi"/>
          <w:bCs/>
          <w:sz w:val="20"/>
          <w:szCs w:val="20"/>
          <w:lang w:val="es-UY"/>
        </w:rPr>
        <w:t xml:space="preserve">la parte peticionaria no cumplió con el requisito de agotamiento previo de los recursos internos </w:t>
      </w:r>
      <w:r w:rsidR="00E970D0">
        <w:rPr>
          <w:rFonts w:asciiTheme="majorHAnsi" w:hAnsiTheme="majorHAnsi"/>
          <w:bCs/>
          <w:sz w:val="20"/>
          <w:szCs w:val="20"/>
          <w:lang w:val="es-UY"/>
        </w:rPr>
        <w:t>en dos sentidos: i) para evitar que la familia López Beníte</w:t>
      </w:r>
      <w:r w:rsidR="006340F4">
        <w:rPr>
          <w:rFonts w:asciiTheme="majorHAnsi" w:hAnsiTheme="majorHAnsi"/>
          <w:bCs/>
          <w:sz w:val="20"/>
          <w:szCs w:val="20"/>
          <w:lang w:val="es-UY"/>
        </w:rPr>
        <w:t xml:space="preserve">z invadiera su predio y se proclamaran como propietarios; y, ii) para controvertir la decisión de archivo de las investigaciones penales </w:t>
      </w:r>
      <w:r w:rsidR="002A785A">
        <w:rPr>
          <w:rFonts w:asciiTheme="majorHAnsi" w:hAnsiTheme="majorHAnsi"/>
          <w:bCs/>
          <w:sz w:val="20"/>
          <w:szCs w:val="20"/>
          <w:lang w:val="es-UY"/>
        </w:rPr>
        <w:t>relacionadas con los hechos denunciados por el Sr. Potes Mosquera.</w:t>
      </w:r>
    </w:p>
    <w:p w14:paraId="3C56F515" w14:textId="0961AC38" w:rsidR="007A3EEA" w:rsidRDefault="008C6305" w:rsidP="007A330F">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Sobre el primer punto, el Estado explica que </w:t>
      </w:r>
      <w:r w:rsidR="006B0F9D">
        <w:rPr>
          <w:rFonts w:asciiTheme="majorHAnsi" w:hAnsiTheme="majorHAnsi"/>
          <w:bCs/>
          <w:sz w:val="20"/>
          <w:szCs w:val="20"/>
          <w:lang w:val="es-UY"/>
        </w:rPr>
        <w:t>la familia Potes Mosquera contaba con la acción civil reivindicatoria contra personas que ejercieran la posesión irregular sobre el predio</w:t>
      </w:r>
      <w:r w:rsidR="00F64F34">
        <w:rPr>
          <w:rFonts w:asciiTheme="majorHAnsi" w:hAnsiTheme="majorHAnsi"/>
          <w:bCs/>
          <w:sz w:val="20"/>
          <w:szCs w:val="20"/>
          <w:lang w:val="es-UY"/>
        </w:rPr>
        <w:t xml:space="preserve">, o en su defecto, si se trataba de un conflicto originado en la falta de límites entre el predio ‘El Esfuerzo’ y el </w:t>
      </w:r>
      <w:r w:rsidR="00F2433C">
        <w:rPr>
          <w:rFonts w:asciiTheme="majorHAnsi" w:hAnsiTheme="majorHAnsi"/>
          <w:bCs/>
          <w:sz w:val="20"/>
          <w:szCs w:val="20"/>
          <w:lang w:val="es-UY"/>
        </w:rPr>
        <w:t xml:space="preserve">adyacente </w:t>
      </w:r>
      <w:r w:rsidR="00F64F34">
        <w:rPr>
          <w:rFonts w:asciiTheme="majorHAnsi" w:hAnsiTheme="majorHAnsi"/>
          <w:bCs/>
          <w:sz w:val="20"/>
          <w:szCs w:val="20"/>
          <w:lang w:val="es-UY"/>
        </w:rPr>
        <w:t>de propiedad de la familia López Benítez</w:t>
      </w:r>
      <w:r w:rsidR="006B73DE">
        <w:rPr>
          <w:rFonts w:asciiTheme="majorHAnsi" w:hAnsiTheme="majorHAnsi"/>
          <w:bCs/>
          <w:sz w:val="20"/>
          <w:szCs w:val="20"/>
          <w:lang w:val="es-UY"/>
        </w:rPr>
        <w:t>, correspondía interponer una demanda de deslinde y amojonamiento ante la jurisdicción civil.</w:t>
      </w:r>
      <w:r w:rsidR="006F7C78">
        <w:rPr>
          <w:rFonts w:asciiTheme="majorHAnsi" w:hAnsiTheme="majorHAnsi"/>
          <w:bCs/>
          <w:sz w:val="20"/>
          <w:szCs w:val="20"/>
          <w:lang w:val="es-UY"/>
        </w:rPr>
        <w:t xml:space="preserve"> </w:t>
      </w:r>
      <w:r w:rsidR="00DE26E1">
        <w:rPr>
          <w:rFonts w:asciiTheme="majorHAnsi" w:hAnsiTheme="majorHAnsi"/>
          <w:bCs/>
          <w:sz w:val="20"/>
          <w:szCs w:val="20"/>
          <w:lang w:val="es-UY"/>
        </w:rPr>
        <w:t xml:space="preserve">También </w:t>
      </w:r>
      <w:r w:rsidR="00DA303E">
        <w:rPr>
          <w:rFonts w:asciiTheme="majorHAnsi" w:hAnsiTheme="majorHAnsi"/>
          <w:bCs/>
          <w:sz w:val="20"/>
          <w:szCs w:val="20"/>
          <w:lang w:val="es-UY"/>
        </w:rPr>
        <w:t xml:space="preserve">aduce que podía ejercer la acción de tutela si consideraba que otros derechos estaban siendo afectados con la invasión del predio, o, incluso un reclamo ante la Agencia Nacional de Tierras con el fin de establecer </w:t>
      </w:r>
      <w:r w:rsidR="00B1106B">
        <w:rPr>
          <w:rFonts w:asciiTheme="majorHAnsi" w:hAnsiTheme="majorHAnsi"/>
          <w:bCs/>
          <w:sz w:val="20"/>
          <w:szCs w:val="20"/>
          <w:lang w:val="es-UY"/>
        </w:rPr>
        <w:t>lo</w:t>
      </w:r>
      <w:r w:rsidR="00DA303E">
        <w:rPr>
          <w:rFonts w:asciiTheme="majorHAnsi" w:hAnsiTheme="majorHAnsi"/>
          <w:bCs/>
          <w:sz w:val="20"/>
          <w:szCs w:val="20"/>
          <w:lang w:val="es-UY"/>
        </w:rPr>
        <w:t>s linderos</w:t>
      </w:r>
      <w:r w:rsidR="0033200D">
        <w:rPr>
          <w:rFonts w:asciiTheme="majorHAnsi" w:hAnsiTheme="majorHAnsi"/>
          <w:bCs/>
          <w:sz w:val="20"/>
          <w:szCs w:val="20"/>
          <w:lang w:val="es-UY"/>
        </w:rPr>
        <w:t xml:space="preserve">, ya que </w:t>
      </w:r>
      <w:r w:rsidR="005F0EAF">
        <w:rPr>
          <w:rFonts w:asciiTheme="majorHAnsi" w:hAnsiTheme="majorHAnsi"/>
          <w:bCs/>
          <w:sz w:val="20"/>
          <w:szCs w:val="20"/>
          <w:lang w:val="es-UY"/>
        </w:rPr>
        <w:t xml:space="preserve">el predio </w:t>
      </w:r>
      <w:r w:rsidR="0033200D">
        <w:rPr>
          <w:rFonts w:asciiTheme="majorHAnsi" w:hAnsiTheme="majorHAnsi"/>
          <w:bCs/>
          <w:sz w:val="20"/>
          <w:szCs w:val="20"/>
          <w:lang w:val="es-UY"/>
        </w:rPr>
        <w:t xml:space="preserve">previamente fue un bien baldío. En vista de que la parte peticionaria no promovió ninguno de estos recursos, el Estado estima que la </w:t>
      </w:r>
      <w:r w:rsidR="00B7324C">
        <w:rPr>
          <w:rFonts w:asciiTheme="majorHAnsi" w:hAnsiTheme="majorHAnsi"/>
          <w:bCs/>
          <w:sz w:val="20"/>
          <w:szCs w:val="20"/>
          <w:lang w:val="es-UY"/>
        </w:rPr>
        <w:t xml:space="preserve">presente </w:t>
      </w:r>
      <w:r w:rsidR="0033200D">
        <w:rPr>
          <w:rFonts w:asciiTheme="majorHAnsi" w:hAnsiTheme="majorHAnsi"/>
          <w:bCs/>
          <w:sz w:val="20"/>
          <w:szCs w:val="20"/>
          <w:lang w:val="es-UY"/>
        </w:rPr>
        <w:t xml:space="preserve">petición se torna inadmisible por </w:t>
      </w:r>
      <w:r w:rsidR="004F7E1D">
        <w:rPr>
          <w:rFonts w:asciiTheme="majorHAnsi" w:hAnsiTheme="majorHAnsi"/>
          <w:bCs/>
          <w:sz w:val="20"/>
          <w:szCs w:val="20"/>
          <w:lang w:val="es-UY"/>
        </w:rPr>
        <w:t xml:space="preserve">su </w:t>
      </w:r>
      <w:r w:rsidR="0033200D">
        <w:rPr>
          <w:rFonts w:asciiTheme="majorHAnsi" w:hAnsiTheme="majorHAnsi"/>
          <w:bCs/>
          <w:sz w:val="20"/>
          <w:szCs w:val="20"/>
          <w:lang w:val="es-UY"/>
        </w:rPr>
        <w:t>falta de agotamiento.</w:t>
      </w:r>
    </w:p>
    <w:p w14:paraId="2695A70D" w14:textId="6A852670" w:rsidR="0033200D" w:rsidRPr="006E621A" w:rsidRDefault="0093424A" w:rsidP="007A330F">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Acerca de la</w:t>
      </w:r>
      <w:r w:rsidR="0019324C">
        <w:rPr>
          <w:rFonts w:asciiTheme="majorHAnsi" w:hAnsiTheme="majorHAnsi"/>
          <w:bCs/>
          <w:sz w:val="20"/>
          <w:szCs w:val="20"/>
          <w:lang w:val="es-UY"/>
        </w:rPr>
        <w:t>s</w:t>
      </w:r>
      <w:r>
        <w:rPr>
          <w:rFonts w:asciiTheme="majorHAnsi" w:hAnsiTheme="majorHAnsi"/>
          <w:bCs/>
          <w:sz w:val="20"/>
          <w:szCs w:val="20"/>
          <w:lang w:val="es-UY"/>
        </w:rPr>
        <w:t xml:space="preserve"> decisi</w:t>
      </w:r>
      <w:r w:rsidR="0019324C">
        <w:rPr>
          <w:rFonts w:asciiTheme="majorHAnsi" w:hAnsiTheme="majorHAnsi"/>
          <w:bCs/>
          <w:sz w:val="20"/>
          <w:szCs w:val="20"/>
          <w:lang w:val="es-UY"/>
        </w:rPr>
        <w:t>ones</w:t>
      </w:r>
      <w:r>
        <w:rPr>
          <w:rFonts w:asciiTheme="majorHAnsi" w:hAnsiTheme="majorHAnsi"/>
          <w:bCs/>
          <w:sz w:val="20"/>
          <w:szCs w:val="20"/>
          <w:lang w:val="es-UY"/>
        </w:rPr>
        <w:t xml:space="preserve"> de archivo proferidas en el proceso penal, </w:t>
      </w:r>
      <w:r w:rsidR="00527F04">
        <w:rPr>
          <w:rFonts w:asciiTheme="majorHAnsi" w:hAnsiTheme="majorHAnsi"/>
          <w:bCs/>
          <w:sz w:val="20"/>
          <w:szCs w:val="20"/>
          <w:lang w:val="es-UY"/>
        </w:rPr>
        <w:t>Colombia aduce</w:t>
      </w:r>
      <w:r w:rsidR="005E60BC">
        <w:rPr>
          <w:rFonts w:asciiTheme="majorHAnsi" w:hAnsiTheme="majorHAnsi"/>
          <w:bCs/>
          <w:sz w:val="20"/>
          <w:szCs w:val="20"/>
          <w:lang w:val="es-UY"/>
        </w:rPr>
        <w:t xml:space="preserve"> que </w:t>
      </w:r>
      <w:r w:rsidR="00C102EC">
        <w:rPr>
          <w:rFonts w:asciiTheme="majorHAnsi" w:hAnsiTheme="majorHAnsi"/>
          <w:bCs/>
          <w:sz w:val="20"/>
          <w:szCs w:val="20"/>
          <w:lang w:val="es-UY"/>
        </w:rPr>
        <w:t xml:space="preserve">la fiscalía adelantó dos investigaciones contra los miembros de </w:t>
      </w:r>
      <w:r w:rsidR="00AC71E2">
        <w:rPr>
          <w:rFonts w:asciiTheme="majorHAnsi" w:hAnsiTheme="majorHAnsi"/>
          <w:bCs/>
          <w:sz w:val="20"/>
          <w:szCs w:val="20"/>
          <w:lang w:val="es-UY"/>
        </w:rPr>
        <w:t xml:space="preserve">la familia López Benítez denunciados por el peticionario, </w:t>
      </w:r>
      <w:r w:rsidR="00D052AB">
        <w:rPr>
          <w:rFonts w:asciiTheme="majorHAnsi" w:hAnsiTheme="majorHAnsi"/>
          <w:bCs/>
          <w:sz w:val="20"/>
          <w:szCs w:val="20"/>
          <w:lang w:val="es-UY"/>
        </w:rPr>
        <w:t xml:space="preserve">pero ambos fueron archivados por la imposibilidad de continuar con el ejercicio de la acción penal: i) el primero por los delitos de </w:t>
      </w:r>
      <w:r w:rsidR="004E3762">
        <w:rPr>
          <w:rFonts w:asciiTheme="majorHAnsi" w:hAnsiTheme="majorHAnsi"/>
          <w:bCs/>
          <w:sz w:val="20"/>
          <w:szCs w:val="20"/>
          <w:lang w:val="es-UY"/>
        </w:rPr>
        <w:t>usurpación</w:t>
      </w:r>
      <w:r w:rsidR="00D052AB">
        <w:rPr>
          <w:rFonts w:asciiTheme="majorHAnsi" w:hAnsiTheme="majorHAnsi"/>
          <w:bCs/>
          <w:sz w:val="20"/>
          <w:szCs w:val="20"/>
          <w:lang w:val="es-UY"/>
        </w:rPr>
        <w:t xml:space="preserve"> de tierras y daño en bien a</w:t>
      </w:r>
      <w:r w:rsidR="004E3762">
        <w:rPr>
          <w:rFonts w:asciiTheme="majorHAnsi" w:hAnsiTheme="majorHAnsi"/>
          <w:bCs/>
          <w:sz w:val="20"/>
          <w:szCs w:val="20"/>
          <w:lang w:val="es-UY"/>
        </w:rPr>
        <w:t>jeno con orden de archivo de febrero de 2014; y, ii) el segundo por los delitos de injuria y calumn</w:t>
      </w:r>
      <w:r w:rsidR="00D424B1">
        <w:rPr>
          <w:rFonts w:asciiTheme="majorHAnsi" w:hAnsiTheme="majorHAnsi"/>
          <w:bCs/>
          <w:sz w:val="20"/>
          <w:szCs w:val="20"/>
          <w:lang w:val="es-UY"/>
        </w:rPr>
        <w:t>i</w:t>
      </w:r>
      <w:r w:rsidR="004E3762">
        <w:rPr>
          <w:rFonts w:asciiTheme="majorHAnsi" w:hAnsiTheme="majorHAnsi"/>
          <w:bCs/>
          <w:sz w:val="20"/>
          <w:szCs w:val="20"/>
          <w:lang w:val="es-UY"/>
        </w:rPr>
        <w:t>a</w:t>
      </w:r>
      <w:r w:rsidR="0003636F">
        <w:rPr>
          <w:rFonts w:asciiTheme="majorHAnsi" w:hAnsiTheme="majorHAnsi"/>
          <w:bCs/>
          <w:sz w:val="20"/>
          <w:szCs w:val="20"/>
          <w:lang w:val="es-UY"/>
        </w:rPr>
        <w:t xml:space="preserve">. </w:t>
      </w:r>
      <w:r w:rsidR="00B151E4">
        <w:rPr>
          <w:rFonts w:asciiTheme="majorHAnsi" w:hAnsiTheme="majorHAnsi"/>
          <w:bCs/>
          <w:sz w:val="20"/>
          <w:szCs w:val="20"/>
          <w:lang w:val="es-UY"/>
        </w:rPr>
        <w:t xml:space="preserve">El Estado enfatiza que según la jurisprudencia de la Corte Constitucional, la parte peticionaria podía acudir a la acción de tutela para impugnar las decisiones de archivo </w:t>
      </w:r>
      <w:r w:rsidR="00F225F9">
        <w:rPr>
          <w:rFonts w:asciiTheme="majorHAnsi" w:hAnsiTheme="majorHAnsi"/>
          <w:bCs/>
          <w:sz w:val="20"/>
          <w:szCs w:val="20"/>
          <w:lang w:val="es-UY"/>
        </w:rPr>
        <w:t>si consideraba que éstas eran violatorias de sus derechos fundamentales.</w:t>
      </w:r>
      <w:r w:rsidR="00F22FFB">
        <w:rPr>
          <w:rFonts w:asciiTheme="majorHAnsi" w:hAnsiTheme="majorHAnsi"/>
          <w:bCs/>
          <w:sz w:val="20"/>
          <w:szCs w:val="20"/>
          <w:lang w:val="es-UY"/>
        </w:rPr>
        <w:t xml:space="preserve"> Dado que no ejerció este mecanismo, el Estado </w:t>
      </w:r>
      <w:r w:rsidR="00325467">
        <w:rPr>
          <w:rFonts w:asciiTheme="majorHAnsi" w:hAnsiTheme="majorHAnsi"/>
          <w:bCs/>
          <w:sz w:val="20"/>
          <w:szCs w:val="20"/>
          <w:lang w:val="es-UY"/>
        </w:rPr>
        <w:t xml:space="preserve">alega que no cumplió con el requisito de agotamiento de recursos internos, previsto en el artículo 46.1.a) de la Convención, por lo que la petición resulta </w:t>
      </w:r>
      <w:r w:rsidR="00CA230D">
        <w:rPr>
          <w:rFonts w:asciiTheme="majorHAnsi" w:hAnsiTheme="majorHAnsi"/>
          <w:bCs/>
          <w:sz w:val="20"/>
          <w:szCs w:val="20"/>
          <w:lang w:val="es-UY"/>
        </w:rPr>
        <w:t>inadmisible</w:t>
      </w:r>
      <w:r w:rsidR="00325467">
        <w:rPr>
          <w:rFonts w:asciiTheme="majorHAnsi" w:hAnsiTheme="majorHAnsi"/>
          <w:bCs/>
          <w:sz w:val="20"/>
          <w:szCs w:val="20"/>
          <w:lang w:val="es-UY"/>
        </w:rPr>
        <w:t xml:space="preserve"> en este aspecto.</w:t>
      </w:r>
    </w:p>
    <w:p w14:paraId="51F68C92" w14:textId="77777777" w:rsidR="003239B8" w:rsidRPr="00E64C3D" w:rsidRDefault="003239B8" w:rsidP="007A330F">
      <w:pPr>
        <w:spacing w:before="240" w:after="240"/>
        <w:ind w:firstLine="720"/>
        <w:jc w:val="both"/>
        <w:rPr>
          <w:rFonts w:ascii="Cambria" w:hAnsi="Cambria"/>
          <w:sz w:val="20"/>
          <w:szCs w:val="20"/>
          <w:lang w:val="es-UY"/>
        </w:rPr>
      </w:pPr>
      <w:r w:rsidRPr="00E64C3D">
        <w:rPr>
          <w:rFonts w:asciiTheme="majorHAnsi" w:eastAsia="Cambria" w:hAnsiTheme="majorHAnsi" w:cs="Cambria"/>
          <w:b/>
          <w:bCs/>
          <w:color w:val="000000"/>
          <w:sz w:val="20"/>
          <w:szCs w:val="20"/>
          <w:u w:color="000000"/>
          <w:lang w:val="es-ES" w:eastAsia="es-ES"/>
        </w:rPr>
        <w:t>VI.</w:t>
      </w:r>
      <w:r w:rsidRPr="00E64C3D">
        <w:rPr>
          <w:rFonts w:asciiTheme="majorHAnsi" w:eastAsia="Cambria" w:hAnsiTheme="majorHAnsi" w:cs="Cambria"/>
          <w:b/>
          <w:bCs/>
          <w:color w:val="000000"/>
          <w:sz w:val="20"/>
          <w:szCs w:val="20"/>
          <w:u w:color="000000"/>
          <w:lang w:val="es-ES" w:eastAsia="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sz w:val="20"/>
          <w:szCs w:val="20"/>
          <w:lang w:val="es-ES"/>
        </w:rPr>
        <w:t>AGOTAMIENTO DE LOS RECURSOS INTERNOS Y PLAZO DE PRESENTACIÓN</w:t>
      </w:r>
      <w:r w:rsidR="00C21FEF" w:rsidRPr="00E64C3D">
        <w:rPr>
          <w:rFonts w:asciiTheme="majorHAnsi" w:eastAsia="Cambria" w:hAnsiTheme="majorHAnsi" w:cs="Cambria"/>
          <w:b/>
          <w:bCs/>
          <w:color w:val="000000"/>
          <w:sz w:val="20"/>
          <w:szCs w:val="20"/>
          <w:u w:color="000000"/>
          <w:lang w:val="es-ES" w:eastAsia="es-ES"/>
        </w:rPr>
        <w:t xml:space="preserve"> </w:t>
      </w:r>
    </w:p>
    <w:p w14:paraId="4535204F" w14:textId="77777777" w:rsidR="00F93C5F" w:rsidRPr="00F93C5F" w:rsidRDefault="00F93C5F" w:rsidP="007A330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11B3B">
        <w:rPr>
          <w:sz w:val="20"/>
          <w:szCs w:val="20"/>
          <w:lang w:val="es-ES"/>
        </w:rPr>
        <w:t>E</w:t>
      </w:r>
      <w:r>
        <w:rPr>
          <w:sz w:val="20"/>
          <w:szCs w:val="20"/>
          <w:lang w:val="es-ES"/>
        </w:rPr>
        <w:t>l</w:t>
      </w:r>
      <w:r w:rsidRPr="00A11B3B">
        <w:rPr>
          <w:sz w:val="20"/>
          <w:szCs w:val="20"/>
          <w:lang w:val="es-ES"/>
        </w:rPr>
        <w:t xml:space="preserve"> artículo 46.1.a) de la Convención Americana dispone que para que una petición sea admitida se requiere “que se hayan interpuesto y agotado los recursos de jurisdicción interna, conforme a los principios del Derecho Internacional generalmente reconocidos”. </w:t>
      </w:r>
      <w:r w:rsidR="0099347D" w:rsidRPr="0099347D">
        <w:rPr>
          <w:rFonts w:asciiTheme="majorHAnsi" w:hAnsiTheme="majorHAnsi"/>
          <w:sz w:val="20"/>
          <w:szCs w:val="20"/>
          <w:lang w:val="es-ES_tradnl"/>
        </w:rPr>
        <w:t xml:space="preserve">Para efectos de evaluar la idoneidad de los recursos disponibles en el ordenamiento nacional, </w:t>
      </w:r>
      <w:r w:rsidR="00F943D7" w:rsidRPr="00A11B3B">
        <w:rPr>
          <w:iCs/>
          <w:sz w:val="20"/>
          <w:szCs w:val="20"/>
          <w:lang w:val="es-ES_tradnl"/>
        </w:rPr>
        <w:t xml:space="preserve">la CIDH recuerda que, según su práctica consolidada y reiterada, a efectos de identificar los recursos idóneos que debieron haber sido agotados por un peticionario </w:t>
      </w:r>
      <w:r w:rsidR="00F943D7" w:rsidRPr="00A11B3B">
        <w:rPr>
          <w:iCs/>
          <w:sz w:val="20"/>
          <w:szCs w:val="20"/>
          <w:lang w:val="es-ES_tradnl"/>
        </w:rPr>
        <w:lastRenderedPageBreak/>
        <w:t>antes de recurrir al Sistema Interamericano, el primer paso metodológico del análisis consiste en deslindar los distintos reclamos formulados en la correspondiente petición para proceder a su examen individualizado</w:t>
      </w:r>
      <w:r w:rsidR="00F943D7" w:rsidRPr="00770296">
        <w:rPr>
          <w:rStyle w:val="FootnoteReference"/>
          <w:rFonts w:asciiTheme="majorHAnsi" w:hAnsiTheme="majorHAnsi"/>
          <w:sz w:val="20"/>
          <w:szCs w:val="20"/>
          <w:lang w:val="es-ES_tradnl"/>
        </w:rPr>
        <w:footnoteReference w:id="5"/>
      </w:r>
      <w:r w:rsidR="00F943D7" w:rsidRPr="00A11B3B">
        <w:rPr>
          <w:iCs/>
          <w:sz w:val="20"/>
          <w:szCs w:val="20"/>
          <w:lang w:val="es-ES_tradnl"/>
        </w:rPr>
        <w:t>.</w:t>
      </w:r>
    </w:p>
    <w:p w14:paraId="4D7045E1" w14:textId="76B81CEC" w:rsidR="008C5E2D" w:rsidRPr="00041D06" w:rsidRDefault="00F943D7" w:rsidP="007A330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11B3B">
        <w:rPr>
          <w:iCs/>
          <w:sz w:val="20"/>
          <w:szCs w:val="20"/>
          <w:lang w:val="es-ES_tradnl"/>
        </w:rPr>
        <w:t>En esta línea, en el presente procedimiento la CIDH observa que los reclamos formulados por los peticionarios son en lo fundamental:</w:t>
      </w:r>
      <w:r>
        <w:rPr>
          <w:rFonts w:asciiTheme="majorHAnsi" w:hAnsiTheme="majorHAnsi"/>
          <w:sz w:val="20"/>
          <w:szCs w:val="20"/>
          <w:lang w:val="es-ES_tradnl"/>
        </w:rPr>
        <w:t xml:space="preserve"> (i)</w:t>
      </w:r>
      <w:r w:rsidR="008A5620">
        <w:rPr>
          <w:rFonts w:asciiTheme="majorHAnsi" w:hAnsiTheme="majorHAnsi"/>
          <w:sz w:val="20"/>
          <w:szCs w:val="20"/>
          <w:lang w:val="es-ES_tradnl"/>
        </w:rPr>
        <w:t xml:space="preserve"> </w:t>
      </w:r>
      <w:r w:rsidR="001B70D4">
        <w:rPr>
          <w:rFonts w:asciiTheme="majorHAnsi" w:hAnsiTheme="majorHAnsi"/>
          <w:sz w:val="20"/>
          <w:szCs w:val="20"/>
          <w:lang w:val="es-ES_tradnl"/>
        </w:rPr>
        <w:t xml:space="preserve">la falta de investigación de la usurpación del predio ‘El Esfuerzo’; (ii) </w:t>
      </w:r>
      <w:r w:rsidR="006C5CA0">
        <w:rPr>
          <w:rFonts w:asciiTheme="majorHAnsi" w:hAnsiTheme="majorHAnsi"/>
          <w:sz w:val="20"/>
          <w:szCs w:val="20"/>
          <w:lang w:val="es-ES_tradnl"/>
        </w:rPr>
        <w:t xml:space="preserve">la falta de investigación de las amenazas de muerte proferidas contra la familia Potes Mosquera; y, </w:t>
      </w:r>
      <w:r w:rsidR="009F409E">
        <w:rPr>
          <w:rFonts w:asciiTheme="majorHAnsi" w:hAnsiTheme="majorHAnsi"/>
          <w:sz w:val="20"/>
          <w:szCs w:val="20"/>
          <w:lang w:val="es-ES_tradnl"/>
        </w:rPr>
        <w:t>(</w:t>
      </w:r>
      <w:r w:rsidR="006C5CA0">
        <w:rPr>
          <w:rFonts w:asciiTheme="majorHAnsi" w:hAnsiTheme="majorHAnsi"/>
          <w:sz w:val="20"/>
          <w:szCs w:val="20"/>
          <w:lang w:val="es-ES_tradnl"/>
        </w:rPr>
        <w:t xml:space="preserve">iii) </w:t>
      </w:r>
      <w:r w:rsidR="00C27415">
        <w:rPr>
          <w:rFonts w:asciiTheme="majorHAnsi" w:hAnsiTheme="majorHAnsi"/>
          <w:sz w:val="20"/>
          <w:szCs w:val="20"/>
          <w:lang w:val="es-ES_tradnl"/>
        </w:rPr>
        <w:t>las irregularidades en el procesamiento penal del señor Francisco Potes Mosquera.</w:t>
      </w:r>
    </w:p>
    <w:p w14:paraId="2D15F89D" w14:textId="4E6CCDC5" w:rsidR="00041D06" w:rsidRPr="005613EB" w:rsidRDefault="008C752B" w:rsidP="007A330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rFonts w:asciiTheme="majorHAnsi" w:hAnsiTheme="majorHAnsi"/>
          <w:sz w:val="20"/>
          <w:szCs w:val="20"/>
          <w:lang w:val="es-ES_tradnl"/>
        </w:rPr>
        <w:t>Sobre el primer reclamo, el Estado sostiene que la parte peticionaria debía agotar la acción civil reivindicatoria</w:t>
      </w:r>
      <w:r w:rsidR="008B7C37">
        <w:rPr>
          <w:rFonts w:asciiTheme="majorHAnsi" w:hAnsiTheme="majorHAnsi"/>
          <w:sz w:val="20"/>
          <w:szCs w:val="20"/>
          <w:lang w:val="es-ES_tradnl"/>
        </w:rPr>
        <w:t xml:space="preserve"> o la de deslinde y amojonamiento, o en su defecto la acción de tutela o una solicitud a la Agencia Nacional de Tierras. A este respecto, </w:t>
      </w:r>
      <w:r w:rsidR="00B54DA2">
        <w:rPr>
          <w:rFonts w:asciiTheme="majorHAnsi" w:hAnsiTheme="majorHAnsi"/>
          <w:sz w:val="20"/>
          <w:szCs w:val="20"/>
          <w:lang w:val="es-ES_tradnl"/>
        </w:rPr>
        <w:t>l</w:t>
      </w:r>
      <w:r w:rsidR="00B54DA2" w:rsidRPr="002A30EC">
        <w:rPr>
          <w:rFonts w:cs="Calibri"/>
          <w:sz w:val="20"/>
          <w:szCs w:val="20"/>
          <w:lang w:val="es-ES_tradnl"/>
        </w:rPr>
        <w:t>a CIDH ha establecido que el requisito de agotamiento de los recursos internos no significa que las presuntas víctimas tengan necesariamente la obligación de agotar todos los recursos que tengan disponibles. En consecuencia, si la presunta víctima planteó la cuestión por alguna de las alternativas válidas y adecuadas según el ordenamiento jurídico interno y el Estado tuvo la oportunidad de remediar la cuestión en su jurisdicción, la finalidad de la norma internacional está cumplida</w:t>
      </w:r>
      <w:r w:rsidR="00B54DA2" w:rsidRPr="002A30EC">
        <w:rPr>
          <w:rStyle w:val="FootnoteReference"/>
          <w:rFonts w:cs="Calibri"/>
          <w:sz w:val="20"/>
          <w:szCs w:val="20"/>
          <w:lang w:val="es-ES_tradnl"/>
        </w:rPr>
        <w:footnoteReference w:id="6"/>
      </w:r>
      <w:r w:rsidR="00B54DA2">
        <w:rPr>
          <w:rFonts w:cs="Calibri"/>
          <w:sz w:val="20"/>
          <w:szCs w:val="20"/>
          <w:lang w:val="es-ES_tradnl"/>
        </w:rPr>
        <w:t>.</w:t>
      </w:r>
    </w:p>
    <w:p w14:paraId="21CD33C5" w14:textId="7AE533B0" w:rsidR="005613EB" w:rsidRPr="00B81843" w:rsidRDefault="005613EB" w:rsidP="007A330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rFonts w:cs="Calibri"/>
          <w:sz w:val="20"/>
          <w:szCs w:val="20"/>
          <w:lang w:val="es-ES_tradnl"/>
        </w:rPr>
        <w:t xml:space="preserve">En el presente caso, la parte peticionaria agotó la acción penal para recuperar su inmueble, la cual, era una de las alternativas válidas en el ordenamiento interno. Ahora bien, </w:t>
      </w:r>
      <w:r w:rsidR="00E97BB4">
        <w:rPr>
          <w:rFonts w:cs="Calibri"/>
          <w:sz w:val="20"/>
          <w:szCs w:val="20"/>
          <w:lang w:val="es-ES_tradnl"/>
        </w:rPr>
        <w:t xml:space="preserve">en relación con este procedimiento, el Estado también </w:t>
      </w:r>
      <w:r w:rsidR="00C01768">
        <w:rPr>
          <w:rFonts w:cs="Calibri"/>
          <w:sz w:val="20"/>
          <w:szCs w:val="20"/>
          <w:lang w:val="es-ES_tradnl"/>
        </w:rPr>
        <w:t>aduce</w:t>
      </w:r>
      <w:r w:rsidR="00E97BB4">
        <w:rPr>
          <w:rFonts w:cs="Calibri"/>
          <w:sz w:val="20"/>
          <w:szCs w:val="20"/>
          <w:lang w:val="es-ES_tradnl"/>
        </w:rPr>
        <w:t xml:space="preserve"> que las presuntas víctimas no ejercieron la acción de tutela contra la decisión de archivo de la investigación</w:t>
      </w:r>
      <w:r w:rsidR="00906D18">
        <w:rPr>
          <w:rFonts w:cs="Calibri"/>
          <w:sz w:val="20"/>
          <w:szCs w:val="20"/>
          <w:lang w:val="es-ES_tradnl"/>
        </w:rPr>
        <w:t xml:space="preserve"> adoptada en febrero de 2014.</w:t>
      </w:r>
      <w:r w:rsidR="00CC3282">
        <w:rPr>
          <w:rFonts w:cs="Calibri"/>
          <w:sz w:val="20"/>
          <w:szCs w:val="20"/>
          <w:lang w:val="es-ES_tradnl"/>
        </w:rPr>
        <w:t xml:space="preserve"> La parte peticionaria no </w:t>
      </w:r>
      <w:r w:rsidR="00B300EF">
        <w:rPr>
          <w:rFonts w:cs="Calibri"/>
          <w:sz w:val="20"/>
          <w:szCs w:val="20"/>
          <w:lang w:val="es-ES_tradnl"/>
        </w:rPr>
        <w:t xml:space="preserve">presenta alegatos a este respecto. </w:t>
      </w:r>
      <w:r w:rsidR="009C3F91">
        <w:rPr>
          <w:rFonts w:cs="Calibri"/>
          <w:sz w:val="20"/>
          <w:szCs w:val="20"/>
          <w:lang w:val="es-ES_tradnl"/>
        </w:rPr>
        <w:t xml:space="preserve">En ese sentido, la Comisión </w:t>
      </w:r>
      <w:r w:rsidR="00044451">
        <w:rPr>
          <w:rFonts w:cs="Calibri"/>
          <w:iCs/>
          <w:sz w:val="20"/>
          <w:szCs w:val="20"/>
          <w:lang w:val="es-ES_tradnl"/>
        </w:rPr>
        <w:t>recuerda que</w:t>
      </w:r>
      <w:r w:rsidR="00044451" w:rsidRPr="00044451">
        <w:rPr>
          <w:rFonts w:cs="Calibri"/>
          <w:iCs/>
          <w:sz w:val="20"/>
          <w:szCs w:val="20"/>
          <w:lang w:val="es-ES_tradnl"/>
        </w:rPr>
        <w:t xml:space="preserve"> el deber de agotamiento de los recursos internos </w:t>
      </w:r>
      <w:r w:rsidR="009D3F3D">
        <w:rPr>
          <w:rFonts w:cs="Calibri"/>
          <w:iCs/>
          <w:sz w:val="20"/>
          <w:szCs w:val="20"/>
          <w:lang w:val="es-ES_tradnl"/>
        </w:rPr>
        <w:t xml:space="preserve">también </w:t>
      </w:r>
      <w:r w:rsidR="00044451" w:rsidRPr="00044451">
        <w:rPr>
          <w:rFonts w:cs="Calibri"/>
          <w:iCs/>
          <w:sz w:val="20"/>
          <w:szCs w:val="20"/>
          <w:lang w:val="es-ES_tradnl"/>
        </w:rPr>
        <w:t>implica</w:t>
      </w:r>
      <w:r w:rsidR="009D3F3D">
        <w:rPr>
          <w:rFonts w:cs="Calibri"/>
          <w:iCs/>
          <w:sz w:val="20"/>
          <w:szCs w:val="20"/>
          <w:lang w:val="es-ES_tradnl"/>
        </w:rPr>
        <w:t>, cuando es posible y se ha notificado la decisión,</w:t>
      </w:r>
      <w:r w:rsidR="00044451" w:rsidRPr="00044451">
        <w:rPr>
          <w:rFonts w:cs="Calibri"/>
          <w:iCs/>
          <w:sz w:val="20"/>
          <w:szCs w:val="20"/>
          <w:lang w:val="es-ES_tradnl"/>
        </w:rPr>
        <w:t xml:space="preserve"> que les corresponde a </w:t>
      </w:r>
      <w:r w:rsidR="000E4D6E">
        <w:rPr>
          <w:rFonts w:cs="Calibri"/>
          <w:iCs/>
          <w:sz w:val="20"/>
          <w:szCs w:val="20"/>
          <w:lang w:val="es-ES_tradnl"/>
        </w:rPr>
        <w:t xml:space="preserve">las presuntas víctimas </w:t>
      </w:r>
      <w:r w:rsidR="00044451" w:rsidRPr="00044451">
        <w:rPr>
          <w:rFonts w:cs="Calibri"/>
          <w:iCs/>
          <w:sz w:val="20"/>
          <w:szCs w:val="20"/>
          <w:lang w:val="es-ES_tradnl"/>
        </w:rPr>
        <w:t>presentar los recursos pertinentes para impugnar la decisión de archivo</w:t>
      </w:r>
      <w:r w:rsidR="00044451" w:rsidRPr="00044451">
        <w:rPr>
          <w:rFonts w:cs="Calibri"/>
          <w:iCs/>
          <w:sz w:val="20"/>
          <w:szCs w:val="20"/>
          <w:vertAlign w:val="superscript"/>
          <w:lang w:val="es-ES_tradnl"/>
        </w:rPr>
        <w:footnoteReference w:id="7"/>
      </w:r>
      <w:r w:rsidR="00044451" w:rsidRPr="00044451">
        <w:rPr>
          <w:rFonts w:cs="Calibri"/>
          <w:iCs/>
          <w:sz w:val="20"/>
          <w:szCs w:val="20"/>
          <w:lang w:val="es-ES_tradnl"/>
        </w:rPr>
        <w:t xml:space="preserve">. </w:t>
      </w:r>
      <w:r w:rsidR="00E516AD">
        <w:rPr>
          <w:rFonts w:cs="Calibri"/>
          <w:iCs/>
          <w:sz w:val="20"/>
          <w:szCs w:val="20"/>
          <w:lang w:val="es-ES_tradnl"/>
        </w:rPr>
        <w:t xml:space="preserve">Particularmente cuando no se </w:t>
      </w:r>
      <w:r w:rsidR="00414F0A">
        <w:rPr>
          <w:rFonts w:cs="Calibri"/>
          <w:iCs/>
          <w:sz w:val="20"/>
          <w:szCs w:val="20"/>
          <w:lang w:val="es-ES_tradnl"/>
        </w:rPr>
        <w:t>trat</w:t>
      </w:r>
      <w:r w:rsidR="00E250F3">
        <w:rPr>
          <w:rFonts w:cs="Calibri"/>
          <w:iCs/>
          <w:sz w:val="20"/>
          <w:szCs w:val="20"/>
          <w:lang w:val="es-ES_tradnl"/>
        </w:rPr>
        <w:t>e</w:t>
      </w:r>
      <w:r w:rsidR="00E516AD">
        <w:rPr>
          <w:rFonts w:cs="Calibri"/>
          <w:iCs/>
          <w:sz w:val="20"/>
          <w:szCs w:val="20"/>
          <w:lang w:val="es-ES_tradnl"/>
        </w:rPr>
        <w:t xml:space="preserve"> de delitos </w:t>
      </w:r>
      <w:r w:rsidR="008604C3">
        <w:rPr>
          <w:rFonts w:cs="Calibri"/>
          <w:iCs/>
          <w:sz w:val="20"/>
          <w:szCs w:val="20"/>
          <w:lang w:val="es-ES_tradnl"/>
        </w:rPr>
        <w:t xml:space="preserve">perseguibles </w:t>
      </w:r>
      <w:r w:rsidR="00414F0A">
        <w:rPr>
          <w:rFonts w:cs="Calibri"/>
          <w:iCs/>
          <w:sz w:val="20"/>
          <w:szCs w:val="20"/>
          <w:lang w:val="es-ES_tradnl"/>
        </w:rPr>
        <w:t>de oficio</w:t>
      </w:r>
      <w:r w:rsidR="00E250F3">
        <w:rPr>
          <w:rFonts w:cs="Calibri"/>
          <w:iCs/>
          <w:sz w:val="20"/>
          <w:szCs w:val="20"/>
          <w:lang w:val="es-ES_tradnl"/>
        </w:rPr>
        <w:t xml:space="preserve">. </w:t>
      </w:r>
      <w:r w:rsidR="00044451" w:rsidRPr="00044451">
        <w:rPr>
          <w:rFonts w:cs="Calibri"/>
          <w:iCs/>
          <w:sz w:val="20"/>
          <w:szCs w:val="20"/>
          <w:lang w:val="es-ES_tradnl"/>
        </w:rPr>
        <w:t xml:space="preserve">Dado que no han </w:t>
      </w:r>
      <w:r w:rsidR="004E007A">
        <w:rPr>
          <w:rFonts w:cs="Calibri"/>
          <w:iCs/>
          <w:sz w:val="20"/>
          <w:szCs w:val="20"/>
          <w:lang w:val="es-ES_tradnl"/>
        </w:rPr>
        <w:t xml:space="preserve">los peticionarios no han </w:t>
      </w:r>
      <w:r w:rsidR="00044451" w:rsidRPr="00044451">
        <w:rPr>
          <w:rFonts w:cs="Calibri"/>
          <w:iCs/>
          <w:sz w:val="20"/>
          <w:szCs w:val="20"/>
          <w:lang w:val="es-ES_tradnl"/>
        </w:rPr>
        <w:t>acreditado cumplir con dicha carga, la CIDH no puede dar por satisfecho el requisito de previo agotamiento de los recursos internos, de conformidad con el artículo 46.1.a) de la Convención</w:t>
      </w:r>
      <w:r w:rsidR="00E724CA">
        <w:rPr>
          <w:rFonts w:cs="Calibri"/>
          <w:iCs/>
          <w:sz w:val="20"/>
          <w:szCs w:val="20"/>
          <w:lang w:val="es-ES_tradnl"/>
        </w:rPr>
        <w:t xml:space="preserve"> en este extremo de la petición.</w:t>
      </w:r>
    </w:p>
    <w:p w14:paraId="7065AC6E" w14:textId="4B7EBCAE" w:rsidR="00B81843" w:rsidRPr="00AC2257" w:rsidRDefault="00B81843" w:rsidP="007A330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rFonts w:cs="Calibri"/>
          <w:iCs/>
          <w:sz w:val="20"/>
          <w:szCs w:val="20"/>
          <w:lang w:val="es-ES_tradnl"/>
        </w:rPr>
        <w:t>En cuanto al alegato de la falta de investigación</w:t>
      </w:r>
      <w:r w:rsidR="005F5601">
        <w:rPr>
          <w:rFonts w:cs="Calibri"/>
          <w:iCs/>
          <w:sz w:val="20"/>
          <w:szCs w:val="20"/>
          <w:lang w:val="es-ES_tradnl"/>
        </w:rPr>
        <w:t xml:space="preserve"> de las amenazas de muerte contra la familia Potes Mosquera</w:t>
      </w:r>
      <w:r w:rsidR="00F70195">
        <w:rPr>
          <w:rFonts w:cs="Calibri"/>
          <w:iCs/>
          <w:sz w:val="20"/>
          <w:szCs w:val="20"/>
          <w:lang w:val="es-ES_tradnl"/>
        </w:rPr>
        <w:t>, el Estado no da cuenta del inicio de una investigación</w:t>
      </w:r>
      <w:r w:rsidR="007C79A4">
        <w:rPr>
          <w:rFonts w:cs="Calibri"/>
          <w:iCs/>
          <w:sz w:val="20"/>
          <w:szCs w:val="20"/>
          <w:lang w:val="es-ES_tradnl"/>
        </w:rPr>
        <w:t xml:space="preserve">, pese a que la parte peticionaria acreditó haber denunciado estos hechos en múltiples ocasiones, sin </w:t>
      </w:r>
      <w:r w:rsidR="00474CAE">
        <w:rPr>
          <w:rFonts w:cs="Calibri"/>
          <w:iCs/>
          <w:sz w:val="20"/>
          <w:szCs w:val="20"/>
          <w:lang w:val="es-ES_tradnl"/>
        </w:rPr>
        <w:t xml:space="preserve">obtener ninguna respuesta. De esta manera, la Comisión estima aplicable la excepción de </w:t>
      </w:r>
      <w:r w:rsidR="004B17CE">
        <w:rPr>
          <w:rFonts w:cs="Calibri"/>
          <w:iCs/>
          <w:sz w:val="20"/>
          <w:szCs w:val="20"/>
          <w:lang w:val="es-ES_tradnl"/>
        </w:rPr>
        <w:t xml:space="preserve">impedimento de agotamiento de los recursos internos, </w:t>
      </w:r>
      <w:r w:rsidR="002E03AE">
        <w:rPr>
          <w:rFonts w:cs="Calibri"/>
          <w:iCs/>
          <w:sz w:val="20"/>
          <w:szCs w:val="20"/>
          <w:lang w:val="es-ES_tradnl"/>
        </w:rPr>
        <w:t xml:space="preserve">prevista en el artículo 46.2.b) de la Convención </w:t>
      </w:r>
      <w:r w:rsidR="004B17CE">
        <w:rPr>
          <w:rFonts w:cs="Calibri"/>
          <w:iCs/>
          <w:sz w:val="20"/>
          <w:szCs w:val="20"/>
          <w:lang w:val="es-ES_tradnl"/>
        </w:rPr>
        <w:t>ya que</w:t>
      </w:r>
      <w:r w:rsidR="007B0F27">
        <w:rPr>
          <w:rFonts w:cs="Calibri"/>
          <w:iCs/>
          <w:sz w:val="20"/>
          <w:szCs w:val="20"/>
          <w:lang w:val="es-ES_tradnl"/>
        </w:rPr>
        <w:t xml:space="preserve">, pese a que </w:t>
      </w:r>
      <w:r w:rsidR="002E03AE">
        <w:rPr>
          <w:rFonts w:cs="Calibri"/>
          <w:iCs/>
          <w:sz w:val="20"/>
          <w:szCs w:val="20"/>
          <w:lang w:val="es-ES_tradnl"/>
        </w:rPr>
        <w:t xml:space="preserve">el Sr. Potes Mosquera </w:t>
      </w:r>
      <w:r w:rsidR="007B0F27">
        <w:rPr>
          <w:rFonts w:cs="Calibri"/>
          <w:iCs/>
          <w:sz w:val="20"/>
          <w:szCs w:val="20"/>
          <w:lang w:val="es-ES_tradnl"/>
        </w:rPr>
        <w:t xml:space="preserve">presentó las denuncias correspondientes, </w:t>
      </w:r>
      <w:r w:rsidR="00A54BB6">
        <w:rPr>
          <w:rFonts w:cs="Calibri"/>
          <w:iCs/>
          <w:sz w:val="20"/>
          <w:szCs w:val="20"/>
          <w:lang w:val="es-ES_tradnl"/>
        </w:rPr>
        <w:t xml:space="preserve">y </w:t>
      </w:r>
      <w:r w:rsidR="007B0F27">
        <w:rPr>
          <w:rFonts w:cs="Calibri"/>
          <w:iCs/>
          <w:sz w:val="20"/>
          <w:szCs w:val="20"/>
          <w:lang w:val="es-ES_tradnl"/>
        </w:rPr>
        <w:t xml:space="preserve">el Estado no </w:t>
      </w:r>
      <w:r w:rsidR="00EF7D9C">
        <w:rPr>
          <w:rFonts w:cs="Calibri"/>
          <w:iCs/>
          <w:sz w:val="20"/>
          <w:szCs w:val="20"/>
          <w:lang w:val="es-ES_tradnl"/>
        </w:rPr>
        <w:t>inició las investigaciones que la situación requería.</w:t>
      </w:r>
      <w:r w:rsidR="00003E6B">
        <w:rPr>
          <w:rFonts w:cs="Calibri"/>
          <w:iCs/>
          <w:sz w:val="20"/>
          <w:szCs w:val="20"/>
          <w:lang w:val="es-ES_tradnl"/>
        </w:rPr>
        <w:t xml:space="preserve"> </w:t>
      </w:r>
      <w:r w:rsidR="00A54BB6">
        <w:rPr>
          <w:rFonts w:cs="Calibri"/>
          <w:iCs/>
          <w:sz w:val="20"/>
          <w:szCs w:val="20"/>
          <w:lang w:val="es-ES_tradnl"/>
        </w:rPr>
        <w:t>Asimismo</w:t>
      </w:r>
      <w:r w:rsidR="00003E6B">
        <w:rPr>
          <w:rFonts w:cs="Calibri"/>
          <w:iCs/>
          <w:sz w:val="20"/>
          <w:szCs w:val="20"/>
          <w:lang w:val="es-ES_tradnl"/>
        </w:rPr>
        <w:t>, dado que la petición fue e</w:t>
      </w:r>
      <w:r w:rsidR="005D27D8">
        <w:rPr>
          <w:rFonts w:cs="Calibri"/>
          <w:iCs/>
          <w:sz w:val="20"/>
          <w:szCs w:val="20"/>
          <w:lang w:val="es-ES_tradnl"/>
        </w:rPr>
        <w:t>l 27 de julio de 2015</w:t>
      </w:r>
      <w:r w:rsidR="000C1FD5">
        <w:rPr>
          <w:iCs/>
          <w:sz w:val="20"/>
          <w:szCs w:val="20"/>
          <w:lang w:val="es-ES"/>
        </w:rPr>
        <w:t xml:space="preserve">, y los </w:t>
      </w:r>
      <w:r w:rsidR="000C1FD5" w:rsidRPr="00A11B3B">
        <w:rPr>
          <w:iCs/>
          <w:sz w:val="20"/>
          <w:szCs w:val="20"/>
          <w:lang w:val="es-ES"/>
        </w:rPr>
        <w:t xml:space="preserve">hechos denunciados </w:t>
      </w:r>
      <w:r w:rsidR="00554202">
        <w:rPr>
          <w:iCs/>
          <w:sz w:val="20"/>
          <w:szCs w:val="20"/>
          <w:lang w:val="es-ES"/>
        </w:rPr>
        <w:t xml:space="preserve">comenzaron a ocurrir </w:t>
      </w:r>
      <w:r w:rsidR="000C1FD5">
        <w:rPr>
          <w:iCs/>
          <w:sz w:val="20"/>
          <w:szCs w:val="20"/>
          <w:lang w:val="es-ES"/>
        </w:rPr>
        <w:t>a partir del 2013</w:t>
      </w:r>
      <w:r w:rsidR="00554202">
        <w:rPr>
          <w:iCs/>
          <w:sz w:val="20"/>
          <w:szCs w:val="20"/>
          <w:lang w:val="es-ES"/>
        </w:rPr>
        <w:t xml:space="preserve">, fueron denunciados en febrero de ese año y las amenazas y el riesgo a la familia Potes Mosquera </w:t>
      </w:r>
      <w:r w:rsidR="000C1FD5" w:rsidRPr="00A11B3B">
        <w:rPr>
          <w:iCs/>
          <w:sz w:val="20"/>
          <w:szCs w:val="20"/>
          <w:lang w:val="es-ES"/>
        </w:rPr>
        <w:t xml:space="preserve">se extenderían hasta </w:t>
      </w:r>
      <w:r w:rsidR="00A43AA3">
        <w:rPr>
          <w:iCs/>
          <w:sz w:val="20"/>
          <w:szCs w:val="20"/>
          <w:lang w:val="es-ES"/>
        </w:rPr>
        <w:t xml:space="preserve">la muerte del peticionario en 2021; </w:t>
      </w:r>
      <w:r w:rsidR="000C1FD5" w:rsidRPr="00A11B3B">
        <w:rPr>
          <w:iCs/>
          <w:sz w:val="20"/>
          <w:szCs w:val="20"/>
          <w:lang w:val="es-ES"/>
        </w:rPr>
        <w:t>la Comisión considera que la presente petición fue presentada dentro de un plazo razonable en los términos del artículo 32.2 de la Convención Americana</w:t>
      </w:r>
      <w:r w:rsidR="00A13E1C">
        <w:rPr>
          <w:iCs/>
          <w:sz w:val="20"/>
          <w:szCs w:val="20"/>
          <w:lang w:val="es-ES"/>
        </w:rPr>
        <w:t xml:space="preserve"> </w:t>
      </w:r>
      <w:r w:rsidR="00D15190">
        <w:rPr>
          <w:iCs/>
          <w:sz w:val="20"/>
          <w:szCs w:val="20"/>
          <w:lang w:val="es-ES"/>
        </w:rPr>
        <w:t xml:space="preserve">frente a este </w:t>
      </w:r>
      <w:r w:rsidR="00720B3B">
        <w:rPr>
          <w:iCs/>
          <w:sz w:val="20"/>
          <w:szCs w:val="20"/>
          <w:lang w:val="es-ES"/>
        </w:rPr>
        <w:t>reclamo</w:t>
      </w:r>
      <w:r w:rsidR="000C1FD5" w:rsidRPr="00A11B3B">
        <w:rPr>
          <w:iCs/>
          <w:sz w:val="20"/>
          <w:szCs w:val="20"/>
          <w:lang w:val="es-ES"/>
        </w:rPr>
        <w:t>.</w:t>
      </w:r>
    </w:p>
    <w:p w14:paraId="1180DC0D" w14:textId="10B2CEF4" w:rsidR="00AC2257" w:rsidRPr="00041D06" w:rsidRDefault="00AC2257" w:rsidP="007A330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iCs/>
          <w:sz w:val="20"/>
          <w:szCs w:val="20"/>
          <w:lang w:val="es-ES"/>
        </w:rPr>
        <w:t xml:space="preserve">Por último, frente al proceso penal adelantado contra el señor Francisco Potes Mosquera, </w:t>
      </w:r>
      <w:r w:rsidR="00C34566">
        <w:rPr>
          <w:iCs/>
          <w:sz w:val="20"/>
          <w:szCs w:val="20"/>
          <w:lang w:val="es-ES"/>
        </w:rPr>
        <w:t xml:space="preserve">la Comisión advierte que éste inició en el 2015 y concluyó </w:t>
      </w:r>
      <w:r w:rsidR="000D1E0C">
        <w:rPr>
          <w:iCs/>
          <w:sz w:val="20"/>
          <w:szCs w:val="20"/>
          <w:lang w:val="es-ES"/>
        </w:rPr>
        <w:t>el 11 de febrero de 2022 con el decreto de preclusión por el fallecimiento de</w:t>
      </w:r>
      <w:r w:rsidR="000B593F">
        <w:rPr>
          <w:iCs/>
          <w:sz w:val="20"/>
          <w:szCs w:val="20"/>
          <w:lang w:val="es-ES"/>
        </w:rPr>
        <w:t>l procesado</w:t>
      </w:r>
      <w:r w:rsidR="000D1E0C">
        <w:rPr>
          <w:iCs/>
          <w:sz w:val="20"/>
          <w:szCs w:val="20"/>
          <w:lang w:val="es-ES"/>
        </w:rPr>
        <w:t>.</w:t>
      </w:r>
      <w:r w:rsidR="00E619BF">
        <w:rPr>
          <w:iCs/>
          <w:sz w:val="20"/>
          <w:szCs w:val="20"/>
          <w:lang w:val="es-ES"/>
        </w:rPr>
        <w:t xml:space="preserve"> Asimismo, la parte peticionaria señala que la defensa de la presunta víctima solicitó </w:t>
      </w:r>
      <w:r w:rsidR="00D45015">
        <w:rPr>
          <w:iCs/>
          <w:sz w:val="20"/>
          <w:szCs w:val="20"/>
          <w:lang w:val="es-ES"/>
        </w:rPr>
        <w:t>su libertad por vencimiento de término</w:t>
      </w:r>
      <w:r w:rsidR="00FA517A">
        <w:rPr>
          <w:iCs/>
          <w:sz w:val="20"/>
          <w:szCs w:val="20"/>
          <w:lang w:val="es-ES"/>
        </w:rPr>
        <w:t xml:space="preserve">s </w:t>
      </w:r>
      <w:r w:rsidR="006403F5">
        <w:rPr>
          <w:iCs/>
          <w:sz w:val="20"/>
          <w:szCs w:val="20"/>
          <w:lang w:val="es-ES"/>
        </w:rPr>
        <w:t xml:space="preserve">de manera oportuna en </w:t>
      </w:r>
      <w:r w:rsidR="00074E30">
        <w:rPr>
          <w:iCs/>
          <w:sz w:val="20"/>
          <w:szCs w:val="20"/>
          <w:lang w:val="es-ES"/>
        </w:rPr>
        <w:t xml:space="preserve">una </w:t>
      </w:r>
      <w:r w:rsidR="006403F5">
        <w:rPr>
          <w:iCs/>
          <w:sz w:val="20"/>
          <w:szCs w:val="20"/>
          <w:lang w:val="es-ES"/>
        </w:rPr>
        <w:t xml:space="preserve">audiencia. </w:t>
      </w:r>
      <w:r w:rsidR="00BD39A1">
        <w:rPr>
          <w:iCs/>
          <w:sz w:val="20"/>
          <w:szCs w:val="20"/>
          <w:lang w:val="es-ES"/>
        </w:rPr>
        <w:t>La CIDH ha reiterado que, con</w:t>
      </w:r>
      <w:r w:rsidR="00BD39A1" w:rsidRPr="00BD39A1">
        <w:rPr>
          <w:iCs/>
          <w:sz w:val="20"/>
          <w:szCs w:val="20"/>
          <w:lang w:val="es-CO"/>
        </w:rPr>
        <w:t xml:space="preserve"> respecto al derecho a la libertad personal </w:t>
      </w:r>
      <w:r w:rsidR="001977F8">
        <w:rPr>
          <w:iCs/>
          <w:sz w:val="20"/>
          <w:szCs w:val="20"/>
          <w:lang w:val="es-CO"/>
        </w:rPr>
        <w:t xml:space="preserve">y </w:t>
      </w:r>
      <w:r w:rsidR="00BD39A1" w:rsidRPr="00BD39A1">
        <w:rPr>
          <w:iCs/>
          <w:sz w:val="20"/>
          <w:szCs w:val="20"/>
          <w:lang w:val="es-CO"/>
        </w:rPr>
        <w:t xml:space="preserve">la prolongación de la medida de detención preventiva, la prisión preventiva tiene su propia dinámica de agotamiento de recursos internos, pues basta con la solicitud de excarcelación y su denegatoria para dar por cumplido el requisito de previo agotamiento previsto en el </w:t>
      </w:r>
      <w:r w:rsidR="00BD39A1" w:rsidRPr="00BD39A1">
        <w:rPr>
          <w:iCs/>
          <w:sz w:val="20"/>
          <w:szCs w:val="20"/>
          <w:lang w:val="es-CO"/>
        </w:rPr>
        <w:lastRenderedPageBreak/>
        <w:t>artículo 46.1.a) de la Convención Americana</w:t>
      </w:r>
      <w:r w:rsidR="00BD39A1" w:rsidRPr="00BD39A1">
        <w:rPr>
          <w:iCs/>
          <w:sz w:val="20"/>
          <w:szCs w:val="20"/>
          <w:vertAlign w:val="superscript"/>
          <w:lang w:val="es-ES"/>
        </w:rPr>
        <w:footnoteReference w:id="8"/>
      </w:r>
      <w:r w:rsidR="00BD39A1" w:rsidRPr="00BD39A1">
        <w:rPr>
          <w:iCs/>
          <w:sz w:val="20"/>
          <w:szCs w:val="20"/>
          <w:lang w:val="es-CO"/>
        </w:rPr>
        <w:t>.</w:t>
      </w:r>
      <w:r w:rsidR="00385729">
        <w:rPr>
          <w:iCs/>
          <w:sz w:val="20"/>
          <w:szCs w:val="20"/>
          <w:lang w:val="es-CO"/>
        </w:rPr>
        <w:t xml:space="preserve"> En esa medida, </w:t>
      </w:r>
      <w:r w:rsidR="00A84578">
        <w:rPr>
          <w:iCs/>
          <w:sz w:val="20"/>
          <w:szCs w:val="20"/>
          <w:lang w:val="es-CO"/>
        </w:rPr>
        <w:t xml:space="preserve">la Comisión concluye que la presunta víctima agotó los recursos internos que se encontraban a su disposición a fin de impugnar la medida de detención preventiva </w:t>
      </w:r>
      <w:r w:rsidR="00CB30C6">
        <w:rPr>
          <w:iCs/>
          <w:sz w:val="20"/>
          <w:szCs w:val="20"/>
          <w:lang w:val="es-CO"/>
        </w:rPr>
        <w:t>y el proceso penal adelantado en su contra,</w:t>
      </w:r>
      <w:r w:rsidR="0081460F">
        <w:rPr>
          <w:iCs/>
          <w:sz w:val="20"/>
          <w:szCs w:val="20"/>
          <w:lang w:val="es-CO"/>
        </w:rPr>
        <w:t xml:space="preserve"> y ello ocurrió durante el trámite </w:t>
      </w:r>
      <w:r w:rsidR="00DB7AE4">
        <w:rPr>
          <w:iCs/>
          <w:sz w:val="20"/>
          <w:szCs w:val="20"/>
          <w:lang w:val="es-CO"/>
        </w:rPr>
        <w:t>de admisibilidad de la presente petición,</w:t>
      </w:r>
      <w:r w:rsidR="00CB30C6">
        <w:rPr>
          <w:iCs/>
          <w:sz w:val="20"/>
          <w:szCs w:val="20"/>
          <w:lang w:val="es-CO"/>
        </w:rPr>
        <w:t xml:space="preserve"> con lo cual da por satisfecho</w:t>
      </w:r>
      <w:r w:rsidR="0081460F">
        <w:rPr>
          <w:iCs/>
          <w:sz w:val="20"/>
          <w:szCs w:val="20"/>
          <w:lang w:val="es-CO"/>
        </w:rPr>
        <w:t xml:space="preserve">s los requisitos establecidos </w:t>
      </w:r>
      <w:r w:rsidR="00DB7AE4">
        <w:rPr>
          <w:iCs/>
          <w:sz w:val="20"/>
          <w:szCs w:val="20"/>
          <w:lang w:val="es-CO"/>
        </w:rPr>
        <w:t xml:space="preserve">en los artículos 46.1.a) y b) de la Convención Americana en este </w:t>
      </w:r>
      <w:r w:rsidR="00490C7B">
        <w:rPr>
          <w:iCs/>
          <w:sz w:val="20"/>
          <w:szCs w:val="20"/>
          <w:lang w:val="es-CO"/>
        </w:rPr>
        <w:t>aspect</w:t>
      </w:r>
      <w:r w:rsidR="00DB7AE4">
        <w:rPr>
          <w:iCs/>
          <w:sz w:val="20"/>
          <w:szCs w:val="20"/>
          <w:lang w:val="es-CO"/>
        </w:rPr>
        <w:t>o.</w:t>
      </w:r>
    </w:p>
    <w:p w14:paraId="673598AF" w14:textId="77777777" w:rsidR="003239B8" w:rsidRDefault="003239B8" w:rsidP="007A330F">
      <w:pPr>
        <w:pStyle w:val="ListParagraph"/>
        <w:numPr>
          <w:ilvl w:val="0"/>
          <w:numId w:val="0"/>
        </w:numPr>
        <w:ind w:left="720"/>
        <w:jc w:val="both"/>
        <w:rPr>
          <w:rFonts w:asciiTheme="majorHAnsi" w:hAnsiTheme="majorHAnsi"/>
          <w:b/>
          <w:bCs/>
          <w:sz w:val="20"/>
          <w:szCs w:val="20"/>
          <w:lang w:val="es-UY"/>
        </w:rPr>
      </w:pPr>
      <w:r w:rsidRPr="00E64C3D">
        <w:rPr>
          <w:rFonts w:asciiTheme="majorHAnsi" w:hAnsiTheme="majorHAnsi"/>
          <w:b/>
          <w:bCs/>
          <w:sz w:val="20"/>
          <w:szCs w:val="20"/>
          <w:lang w:val="es-ES"/>
        </w:rPr>
        <w:t>VII.</w:t>
      </w:r>
      <w:r w:rsidRPr="00E64C3D">
        <w:rPr>
          <w:rFonts w:asciiTheme="majorHAnsi" w:hAnsiTheme="majorHAnsi"/>
          <w:b/>
          <w:bCs/>
          <w:sz w:val="20"/>
          <w:szCs w:val="20"/>
          <w:lang w:val="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bCs/>
          <w:sz w:val="20"/>
          <w:szCs w:val="20"/>
          <w:lang w:val="es-ES"/>
        </w:rPr>
        <w:t xml:space="preserve">CARACTERIZACIÓN </w:t>
      </w:r>
      <w:r w:rsidR="00C21FEF" w:rsidRPr="00E64C3D">
        <w:rPr>
          <w:rFonts w:asciiTheme="majorHAnsi" w:hAnsiTheme="majorHAnsi"/>
          <w:b/>
          <w:bCs/>
          <w:sz w:val="20"/>
          <w:szCs w:val="20"/>
          <w:lang w:val="es-UY"/>
        </w:rPr>
        <w:t>DE LOS HECHOS ALEGADOS</w:t>
      </w:r>
    </w:p>
    <w:p w14:paraId="2DDF1999" w14:textId="531348A0" w:rsidR="006E621A" w:rsidRDefault="008C5E2D" w:rsidP="007A330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6E621A">
        <w:rPr>
          <w:sz w:val="20"/>
          <w:szCs w:val="20"/>
          <w:lang w:val="es-ES"/>
        </w:rPr>
        <w:t>La Comisión observa que la presente petición inclu</w:t>
      </w:r>
      <w:r w:rsidR="004B421C" w:rsidRPr="006E621A">
        <w:rPr>
          <w:sz w:val="20"/>
          <w:szCs w:val="20"/>
          <w:lang w:val="es-ES"/>
        </w:rPr>
        <w:t>ye alega</w:t>
      </w:r>
      <w:r w:rsidR="005F4153">
        <w:rPr>
          <w:sz w:val="20"/>
          <w:szCs w:val="20"/>
          <w:lang w:val="es-ES"/>
        </w:rPr>
        <w:t>to</w:t>
      </w:r>
      <w:r w:rsidR="004B421C" w:rsidRPr="006E621A">
        <w:rPr>
          <w:sz w:val="20"/>
          <w:szCs w:val="20"/>
          <w:lang w:val="es-ES"/>
        </w:rPr>
        <w:t xml:space="preserve">s </w:t>
      </w:r>
      <w:r w:rsidR="005F4153">
        <w:rPr>
          <w:sz w:val="20"/>
          <w:szCs w:val="20"/>
          <w:lang w:val="es-ES"/>
        </w:rPr>
        <w:t xml:space="preserve">acerca de la falta de investigación de las amenazas de muerte </w:t>
      </w:r>
      <w:r w:rsidR="00A23260">
        <w:rPr>
          <w:sz w:val="20"/>
          <w:szCs w:val="20"/>
          <w:lang w:val="es-ES"/>
        </w:rPr>
        <w:t>proferidas contra la familia Potes Mosquera</w:t>
      </w:r>
      <w:r w:rsidR="00201D62">
        <w:rPr>
          <w:sz w:val="20"/>
          <w:szCs w:val="20"/>
          <w:lang w:val="es-ES"/>
        </w:rPr>
        <w:t>,</w:t>
      </w:r>
      <w:r w:rsidR="00A23260">
        <w:rPr>
          <w:sz w:val="20"/>
          <w:szCs w:val="20"/>
          <w:lang w:val="es-ES"/>
        </w:rPr>
        <w:t xml:space="preserve"> y sobre la posible violación de las garantías judiciales del señor Francisco Potes Mosquera en el </w:t>
      </w:r>
      <w:r w:rsidR="00810211">
        <w:rPr>
          <w:sz w:val="20"/>
          <w:szCs w:val="20"/>
          <w:lang w:val="es-ES"/>
        </w:rPr>
        <w:t xml:space="preserve">proceso penal seguido en su contra. El Estado colombiano replica que </w:t>
      </w:r>
      <w:r w:rsidR="00CD2E0E">
        <w:rPr>
          <w:sz w:val="20"/>
          <w:szCs w:val="20"/>
          <w:lang w:val="es-ES"/>
        </w:rPr>
        <w:t xml:space="preserve">los peticionarios no acreditan que los hechos relativos a las amenazas le sean atribuibles, y </w:t>
      </w:r>
      <w:r w:rsidR="008D58E9">
        <w:rPr>
          <w:sz w:val="20"/>
          <w:szCs w:val="20"/>
          <w:lang w:val="es-ES"/>
        </w:rPr>
        <w:t xml:space="preserve">agrega que </w:t>
      </w:r>
      <w:r w:rsidR="00CB5890">
        <w:rPr>
          <w:sz w:val="20"/>
          <w:szCs w:val="20"/>
          <w:lang w:val="es-ES"/>
        </w:rPr>
        <w:t>el proceso penal brindó acceso a la justicia a la presunta víctima.</w:t>
      </w:r>
    </w:p>
    <w:p w14:paraId="6EB7ACE2" w14:textId="1969559C" w:rsidR="00697949" w:rsidRPr="00697949" w:rsidRDefault="00D469B9" w:rsidP="007A330F">
      <w:pPr>
        <w:pStyle w:val="ListParagraph"/>
        <w:numPr>
          <w:ilvl w:val="0"/>
          <w:numId w:val="61"/>
        </w:numPr>
        <w:suppressAutoHyphens/>
        <w:ind w:left="0" w:firstLine="720"/>
        <w:jc w:val="both"/>
        <w:rPr>
          <w:sz w:val="20"/>
          <w:szCs w:val="20"/>
          <w:lang w:val="es-ES"/>
        </w:rPr>
      </w:pPr>
      <w:r w:rsidRPr="00B80A2C">
        <w:rPr>
          <w:sz w:val="20"/>
          <w:szCs w:val="20"/>
          <w:lang w:val="es-CO"/>
        </w:rPr>
        <w:t xml:space="preserve">La Comisión reitera que el criterio de evaluación de la fase de admisibilidad difiere del que se utiliza para pronunciarse sobre el fondo de una petición; la CIDH debe realizar en esta etapa una evaluación </w:t>
      </w:r>
      <w:r w:rsidRPr="00B80A2C">
        <w:rPr>
          <w:i/>
          <w:iCs/>
          <w:sz w:val="20"/>
          <w:szCs w:val="20"/>
          <w:lang w:val="es-CO"/>
        </w:rPr>
        <w:t>prima facie</w:t>
      </w:r>
      <w:r w:rsidRPr="00B80A2C">
        <w:rPr>
          <w:sz w:val="20"/>
          <w:szCs w:val="20"/>
          <w:lang w:val="es-CO"/>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7D758BE2" w14:textId="5C39C865" w:rsidR="00DF2CFC" w:rsidRPr="001833CA" w:rsidRDefault="00695EF3" w:rsidP="007A330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ES"/>
        </w:rPr>
        <w:t>Con respecto a</w:t>
      </w:r>
      <w:r w:rsidR="00E205B1" w:rsidRPr="00622E5C">
        <w:rPr>
          <w:sz w:val="20"/>
          <w:szCs w:val="20"/>
          <w:lang w:val="es-ES"/>
        </w:rPr>
        <w:t xml:space="preserve"> la falta de investigación de las amenazas, la Comisión </w:t>
      </w:r>
      <w:r w:rsidR="00BB59B7" w:rsidRPr="00622E5C">
        <w:rPr>
          <w:sz w:val="20"/>
          <w:szCs w:val="20"/>
          <w:lang w:val="es-ES"/>
        </w:rPr>
        <w:t xml:space="preserve">advierte que </w:t>
      </w:r>
      <w:r w:rsidR="00F6123B" w:rsidRPr="00622E5C">
        <w:rPr>
          <w:sz w:val="20"/>
          <w:szCs w:val="20"/>
          <w:lang w:val="es-ES"/>
        </w:rPr>
        <w:t xml:space="preserve">la parte peticionaria no pretende atribuirlas a agentes estatales, pero sí reclama la falta de investigación y procesamiento de las denuncias realizadas. </w:t>
      </w:r>
      <w:r w:rsidR="00EA3DA3" w:rsidRPr="00622E5C">
        <w:rPr>
          <w:sz w:val="20"/>
          <w:szCs w:val="20"/>
          <w:lang w:val="es-ES"/>
        </w:rPr>
        <w:t xml:space="preserve">En </w:t>
      </w:r>
      <w:r w:rsidR="002245F9">
        <w:rPr>
          <w:sz w:val="20"/>
          <w:szCs w:val="20"/>
          <w:lang w:val="es-ES"/>
        </w:rPr>
        <w:t>punto</w:t>
      </w:r>
      <w:r w:rsidR="00EA3DA3" w:rsidRPr="00622E5C">
        <w:rPr>
          <w:sz w:val="20"/>
          <w:szCs w:val="20"/>
          <w:lang w:val="es-ES"/>
        </w:rPr>
        <w:t xml:space="preserve">, </w:t>
      </w:r>
      <w:r w:rsidR="001C7899" w:rsidRPr="00622E5C">
        <w:rPr>
          <w:sz w:val="20"/>
          <w:szCs w:val="20"/>
          <w:lang w:val="es-ES"/>
        </w:rPr>
        <w:t xml:space="preserve">recuerda que el deber de garantía de los derechos humanos </w:t>
      </w:r>
      <w:r w:rsidR="00355BA4" w:rsidRPr="00622E5C">
        <w:rPr>
          <w:rFonts w:asciiTheme="majorHAnsi" w:hAnsiTheme="majorHAnsi"/>
          <w:color w:val="000000" w:themeColor="text1"/>
          <w:sz w:val="20"/>
          <w:szCs w:val="20"/>
          <w:lang w:val="es-CO"/>
        </w:rPr>
        <w:t>en cabeza de los Estados</w:t>
      </w:r>
      <w:r w:rsidR="001C7899" w:rsidRPr="00622E5C">
        <w:rPr>
          <w:rFonts w:asciiTheme="majorHAnsi" w:hAnsiTheme="majorHAnsi"/>
          <w:color w:val="000000" w:themeColor="text1"/>
          <w:sz w:val="20"/>
          <w:szCs w:val="20"/>
          <w:lang w:val="es-CO"/>
        </w:rPr>
        <w:t xml:space="preserve">, </w:t>
      </w:r>
      <w:r w:rsidR="00415546" w:rsidRPr="00622E5C">
        <w:rPr>
          <w:rFonts w:asciiTheme="majorHAnsi" w:hAnsiTheme="majorHAnsi"/>
          <w:color w:val="000000" w:themeColor="text1"/>
          <w:sz w:val="20"/>
          <w:szCs w:val="20"/>
          <w:lang w:val="es-CO"/>
        </w:rPr>
        <w:t xml:space="preserve">en los términos del </w:t>
      </w:r>
      <w:r w:rsidR="001C7899" w:rsidRPr="00622E5C">
        <w:rPr>
          <w:rFonts w:asciiTheme="majorHAnsi" w:hAnsiTheme="majorHAnsi"/>
          <w:color w:val="000000" w:themeColor="text1"/>
          <w:sz w:val="20"/>
          <w:szCs w:val="20"/>
          <w:lang w:val="es-CO"/>
        </w:rPr>
        <w:t>artí</w:t>
      </w:r>
      <w:r w:rsidR="00415546" w:rsidRPr="00622E5C">
        <w:rPr>
          <w:rFonts w:asciiTheme="majorHAnsi" w:hAnsiTheme="majorHAnsi"/>
          <w:color w:val="000000" w:themeColor="text1"/>
          <w:sz w:val="20"/>
          <w:szCs w:val="20"/>
          <w:lang w:val="es-CO"/>
        </w:rPr>
        <w:t>culo</w:t>
      </w:r>
      <w:r w:rsidR="00355BA4" w:rsidRPr="00622E5C">
        <w:rPr>
          <w:rFonts w:asciiTheme="majorHAnsi" w:hAnsiTheme="majorHAnsi"/>
          <w:color w:val="000000" w:themeColor="text1"/>
          <w:sz w:val="20"/>
          <w:szCs w:val="20"/>
          <w:lang w:val="es-CO"/>
        </w:rPr>
        <w:t xml:space="preserve"> </w:t>
      </w:r>
      <w:r w:rsidR="00415546" w:rsidRPr="00622E5C">
        <w:rPr>
          <w:rFonts w:asciiTheme="majorHAnsi" w:hAnsiTheme="majorHAnsi"/>
          <w:color w:val="000000" w:themeColor="text1"/>
          <w:sz w:val="20"/>
          <w:szCs w:val="20"/>
          <w:lang w:val="es-CO"/>
        </w:rPr>
        <w:t xml:space="preserve">1.1 de la Convención, supone la obligación </w:t>
      </w:r>
      <w:r w:rsidR="00355BA4" w:rsidRPr="00622E5C">
        <w:rPr>
          <w:rFonts w:asciiTheme="majorHAnsi" w:hAnsiTheme="majorHAnsi"/>
          <w:color w:val="000000" w:themeColor="text1"/>
          <w:sz w:val="20"/>
          <w:szCs w:val="20"/>
          <w:lang w:val="es-CO"/>
        </w:rPr>
        <w:t>de “</w:t>
      </w:r>
      <w:r w:rsidR="00355BA4" w:rsidRPr="00F1622D">
        <w:rPr>
          <w:rFonts w:asciiTheme="majorHAnsi" w:hAnsiTheme="majorHAnsi"/>
          <w:i/>
          <w:iCs/>
          <w:color w:val="000000" w:themeColor="text1"/>
          <w:sz w:val="20"/>
          <w:szCs w:val="20"/>
          <w:lang w:val="es-CO"/>
        </w:rPr>
        <w:t>prevenir, investigar y sancionar toda violación de los derechos reconocidos por la Convención</w:t>
      </w:r>
      <w:r w:rsidR="00355BA4" w:rsidRPr="00622E5C">
        <w:rPr>
          <w:rFonts w:asciiTheme="majorHAnsi" w:hAnsiTheme="majorHAnsi"/>
          <w:color w:val="000000" w:themeColor="text1"/>
          <w:sz w:val="20"/>
          <w:szCs w:val="20"/>
          <w:lang w:val="es-CO"/>
        </w:rPr>
        <w:t>”</w:t>
      </w:r>
      <w:r w:rsidR="00355BA4">
        <w:rPr>
          <w:rStyle w:val="FootnoteReference"/>
          <w:rFonts w:asciiTheme="majorHAnsi" w:hAnsiTheme="majorHAnsi"/>
          <w:color w:val="000000" w:themeColor="text1"/>
          <w:sz w:val="20"/>
          <w:szCs w:val="20"/>
        </w:rPr>
        <w:footnoteReference w:id="9"/>
      </w:r>
      <w:r w:rsidR="00355BA4" w:rsidRPr="00622E5C">
        <w:rPr>
          <w:rFonts w:asciiTheme="majorHAnsi" w:hAnsiTheme="majorHAnsi"/>
          <w:color w:val="000000" w:themeColor="text1"/>
          <w:sz w:val="20"/>
          <w:szCs w:val="20"/>
          <w:lang w:val="es-CO"/>
        </w:rPr>
        <w:t>.</w:t>
      </w:r>
      <w:r w:rsidR="00415546" w:rsidRPr="00622E5C">
        <w:rPr>
          <w:rFonts w:asciiTheme="majorHAnsi" w:hAnsiTheme="majorHAnsi"/>
          <w:color w:val="000000" w:themeColor="text1"/>
          <w:sz w:val="20"/>
          <w:szCs w:val="20"/>
          <w:lang w:val="es-CO"/>
        </w:rPr>
        <w:t xml:space="preserve"> </w:t>
      </w:r>
      <w:r w:rsidR="0098567F">
        <w:rPr>
          <w:rFonts w:asciiTheme="majorHAnsi" w:hAnsiTheme="majorHAnsi"/>
          <w:color w:val="000000" w:themeColor="text1"/>
          <w:sz w:val="20"/>
          <w:szCs w:val="20"/>
          <w:lang w:val="es-CO"/>
        </w:rPr>
        <w:t>Y</w:t>
      </w:r>
      <w:r w:rsidR="009F65E3" w:rsidRPr="00622E5C">
        <w:rPr>
          <w:rFonts w:asciiTheme="majorHAnsi" w:hAnsiTheme="majorHAnsi"/>
          <w:color w:val="000000" w:themeColor="text1"/>
          <w:sz w:val="20"/>
          <w:szCs w:val="20"/>
          <w:lang w:val="es-CO"/>
        </w:rPr>
        <w:t xml:space="preserve"> que las amenaz</w:t>
      </w:r>
      <w:r w:rsidR="00121646" w:rsidRPr="00622E5C">
        <w:rPr>
          <w:rFonts w:asciiTheme="majorHAnsi" w:hAnsiTheme="majorHAnsi"/>
          <w:color w:val="000000" w:themeColor="text1"/>
          <w:sz w:val="20"/>
          <w:szCs w:val="20"/>
          <w:lang w:val="es-CO"/>
        </w:rPr>
        <w:t>as de muerte “</w:t>
      </w:r>
      <w:r w:rsidR="00121646" w:rsidRPr="0098567F">
        <w:rPr>
          <w:rFonts w:asciiTheme="majorHAnsi" w:hAnsiTheme="majorHAnsi"/>
          <w:i/>
          <w:iCs/>
          <w:color w:val="000000" w:themeColor="text1"/>
          <w:sz w:val="20"/>
          <w:szCs w:val="20"/>
          <w:lang w:val="es-CO"/>
        </w:rPr>
        <w:t>no sólo pueden vulnerar [el] derecho a la integridad física, sino también a [la] integridad psíquica y moral, en tanto producen sentimientos de angustia, temor e inseguridad</w:t>
      </w:r>
      <w:r w:rsidR="00121646" w:rsidRPr="00622E5C">
        <w:rPr>
          <w:rFonts w:asciiTheme="majorHAnsi" w:hAnsiTheme="majorHAnsi"/>
          <w:color w:val="000000" w:themeColor="text1"/>
          <w:sz w:val="20"/>
          <w:szCs w:val="20"/>
          <w:lang w:val="es-CO"/>
        </w:rPr>
        <w:t>”</w:t>
      </w:r>
      <w:r w:rsidR="00121646" w:rsidRPr="00121646">
        <w:rPr>
          <w:rFonts w:asciiTheme="majorHAnsi" w:hAnsiTheme="majorHAnsi"/>
          <w:color w:val="000000" w:themeColor="text1"/>
          <w:sz w:val="20"/>
          <w:szCs w:val="20"/>
          <w:vertAlign w:val="superscript"/>
          <w:lang w:val="es-CO"/>
        </w:rPr>
        <w:footnoteReference w:id="10"/>
      </w:r>
      <w:r w:rsidR="00121646" w:rsidRPr="00622E5C">
        <w:rPr>
          <w:rFonts w:asciiTheme="majorHAnsi" w:hAnsiTheme="majorHAnsi"/>
          <w:color w:val="000000" w:themeColor="text1"/>
          <w:sz w:val="20"/>
          <w:szCs w:val="20"/>
          <w:lang w:val="es-CO"/>
        </w:rPr>
        <w:t>.</w:t>
      </w:r>
      <w:r w:rsidR="00622E5C" w:rsidRPr="00622E5C">
        <w:rPr>
          <w:rFonts w:asciiTheme="majorHAnsi" w:hAnsiTheme="majorHAnsi"/>
          <w:color w:val="000000" w:themeColor="text1"/>
          <w:sz w:val="20"/>
          <w:szCs w:val="20"/>
          <w:lang w:val="es-CO"/>
        </w:rPr>
        <w:t xml:space="preserve"> </w:t>
      </w:r>
      <w:r w:rsidR="00DF2CFC" w:rsidRPr="00622E5C">
        <w:rPr>
          <w:rFonts w:asciiTheme="majorHAnsi" w:hAnsiTheme="majorHAnsi"/>
          <w:color w:val="000000" w:themeColor="text1"/>
          <w:sz w:val="20"/>
          <w:szCs w:val="20"/>
          <w:lang w:val="es-CO"/>
        </w:rPr>
        <w:t xml:space="preserve">Bajo este entendido, </w:t>
      </w:r>
      <w:r w:rsidR="008D0E2A">
        <w:rPr>
          <w:rFonts w:asciiTheme="majorHAnsi" w:hAnsiTheme="majorHAnsi"/>
          <w:color w:val="000000" w:themeColor="text1"/>
          <w:sz w:val="20"/>
          <w:szCs w:val="20"/>
          <w:lang w:val="es-CO"/>
        </w:rPr>
        <w:t>subsiste la controversia sobre la falta de investigación de las denuncias de amenazas, lo cual podría caracterizar una violación de los derechos a la integridad personal (artículo 5), a las garantías judiciales (artículo 8), a la protección de la familia (artículo 17) y a la protección judicial (artículo 25) de las presuntas víctimas.</w:t>
      </w:r>
    </w:p>
    <w:p w14:paraId="719207CB" w14:textId="5B84F09D" w:rsidR="001833CA" w:rsidRPr="00622E5C" w:rsidRDefault="001833CA" w:rsidP="007A330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rFonts w:asciiTheme="majorHAnsi" w:hAnsiTheme="majorHAnsi"/>
          <w:color w:val="000000" w:themeColor="text1"/>
          <w:sz w:val="20"/>
          <w:szCs w:val="20"/>
          <w:lang w:val="es-CO"/>
        </w:rPr>
        <w:t xml:space="preserve">Con respecto al proceso penal adelantado contra el Sr. Potes Mosquera, si bien el Estado alega que éste respetó la garantía de acceso a la justicia y se fundó en las actividades de minería ilegal que habría ejecutado la presunta víctima; la CIDH nota que </w:t>
      </w:r>
      <w:r w:rsidR="00E679D3">
        <w:rPr>
          <w:rFonts w:asciiTheme="majorHAnsi" w:hAnsiTheme="majorHAnsi"/>
          <w:color w:val="000000" w:themeColor="text1"/>
          <w:sz w:val="20"/>
          <w:szCs w:val="20"/>
          <w:lang w:val="es-CO"/>
        </w:rPr>
        <w:t>la parte peticionaria aduce que el Sr. Potes Mosquera permaneció en prisión preventiva durante dos años</w:t>
      </w:r>
      <w:r w:rsidR="00034D7D">
        <w:rPr>
          <w:rFonts w:asciiTheme="majorHAnsi" w:hAnsiTheme="majorHAnsi"/>
          <w:color w:val="000000" w:themeColor="text1"/>
          <w:sz w:val="20"/>
          <w:szCs w:val="20"/>
          <w:lang w:val="es-CO"/>
        </w:rPr>
        <w:t>, excediendo los términos de duración establecidos en la legislación interna.</w:t>
      </w:r>
      <w:r w:rsidR="009559E7">
        <w:rPr>
          <w:rFonts w:asciiTheme="majorHAnsi" w:hAnsiTheme="majorHAnsi"/>
          <w:color w:val="000000" w:themeColor="text1"/>
          <w:sz w:val="20"/>
          <w:szCs w:val="20"/>
          <w:lang w:val="es-CO"/>
        </w:rPr>
        <w:t xml:space="preserve"> Asimismo, </w:t>
      </w:r>
      <w:r w:rsidR="00066A45">
        <w:rPr>
          <w:rFonts w:asciiTheme="majorHAnsi" w:hAnsiTheme="majorHAnsi"/>
          <w:color w:val="000000" w:themeColor="text1"/>
          <w:sz w:val="20"/>
          <w:szCs w:val="20"/>
          <w:lang w:val="es-CO"/>
        </w:rPr>
        <w:t xml:space="preserve">corresponde a la Comisión verificar si la medida de detención preventiva </w:t>
      </w:r>
      <w:r w:rsidR="00CC1FA5">
        <w:rPr>
          <w:rFonts w:asciiTheme="majorHAnsi" w:hAnsiTheme="majorHAnsi"/>
          <w:color w:val="000000" w:themeColor="text1"/>
          <w:sz w:val="20"/>
          <w:szCs w:val="20"/>
          <w:lang w:val="es-CO"/>
        </w:rPr>
        <w:t xml:space="preserve">obedeció a </w:t>
      </w:r>
      <w:r w:rsidR="00CC1FA5" w:rsidRPr="00CC1FA5">
        <w:rPr>
          <w:rFonts w:asciiTheme="majorHAnsi" w:hAnsiTheme="majorHAnsi"/>
          <w:color w:val="000000" w:themeColor="text1"/>
          <w:sz w:val="20"/>
          <w:szCs w:val="20"/>
          <w:lang w:val="es-CO"/>
        </w:rPr>
        <w:t>los principios de legalidad, presunción de inocencia, necesidad y proporcionalidad</w:t>
      </w:r>
      <w:r w:rsidR="00CC1FA5">
        <w:rPr>
          <w:rFonts w:asciiTheme="majorHAnsi" w:hAnsiTheme="majorHAnsi"/>
          <w:color w:val="000000" w:themeColor="text1"/>
          <w:sz w:val="20"/>
          <w:szCs w:val="20"/>
          <w:lang w:val="es-CO"/>
        </w:rPr>
        <w:t>, de conformidad con los estándares interamericanos</w:t>
      </w:r>
      <w:r w:rsidR="00CC1FA5" w:rsidRPr="00CC1FA5">
        <w:rPr>
          <w:rFonts w:asciiTheme="majorHAnsi" w:hAnsiTheme="majorHAnsi"/>
          <w:color w:val="000000" w:themeColor="text1"/>
          <w:sz w:val="20"/>
          <w:szCs w:val="20"/>
          <w:vertAlign w:val="superscript"/>
          <w:lang w:val="es-CO"/>
        </w:rPr>
        <w:footnoteReference w:id="11"/>
      </w:r>
      <w:r w:rsidR="00CC1FA5">
        <w:rPr>
          <w:rFonts w:asciiTheme="majorHAnsi" w:hAnsiTheme="majorHAnsi"/>
          <w:color w:val="000000" w:themeColor="text1"/>
          <w:sz w:val="20"/>
          <w:szCs w:val="20"/>
          <w:lang w:val="es-CO"/>
        </w:rPr>
        <w:t>, puesto que la parte peticionaria alega que fue utilizada por el fiscal para intimar a la presunta víctima a aceptar los cargos.</w:t>
      </w:r>
    </w:p>
    <w:p w14:paraId="35CD31D6" w14:textId="2588EB39" w:rsidR="006E621A" w:rsidRPr="005A7416" w:rsidRDefault="008C5E2D" w:rsidP="007A330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6E621A">
        <w:rPr>
          <w:sz w:val="20"/>
          <w:szCs w:val="20"/>
          <w:lang w:val="es-ES"/>
        </w:rPr>
        <w:lastRenderedPageBreak/>
        <w:t>En aten</w:t>
      </w:r>
      <w:r w:rsidR="00C25ADB" w:rsidRPr="006E621A">
        <w:rPr>
          <w:sz w:val="20"/>
          <w:szCs w:val="20"/>
          <w:lang w:val="es-ES"/>
        </w:rPr>
        <w:t xml:space="preserve">ción a estas consideraciones y </w:t>
      </w:r>
      <w:r w:rsidRPr="006E621A">
        <w:rPr>
          <w:sz w:val="20"/>
          <w:szCs w:val="20"/>
          <w:lang w:val="es-ES"/>
        </w:rPr>
        <w:t xml:space="preserve">tras examinar los elementos de hecho y de derecho expuestos por las partes la Comisión estima que </w:t>
      </w:r>
      <w:r w:rsidR="00AC5C62">
        <w:rPr>
          <w:sz w:val="20"/>
          <w:szCs w:val="20"/>
          <w:lang w:val="es-ES"/>
        </w:rPr>
        <w:t>los reclamos declarados admisibles</w:t>
      </w:r>
      <w:r w:rsidRPr="006E621A">
        <w:rPr>
          <w:sz w:val="20"/>
          <w:szCs w:val="20"/>
          <w:lang w:val="es-ES"/>
        </w:rPr>
        <w:t xml:space="preserve"> no resultan manifiestamente infundad</w:t>
      </w:r>
      <w:r w:rsidR="00AC5C62">
        <w:rPr>
          <w:sz w:val="20"/>
          <w:szCs w:val="20"/>
          <w:lang w:val="es-ES"/>
        </w:rPr>
        <w:t>o</w:t>
      </w:r>
      <w:r w:rsidRPr="006E621A">
        <w:rPr>
          <w:sz w:val="20"/>
          <w:szCs w:val="20"/>
          <w:lang w:val="es-ES"/>
        </w:rPr>
        <w:t>s y requieren un estudio de fondo</w:t>
      </w:r>
      <w:r w:rsidR="00394073" w:rsidRPr="006E621A">
        <w:rPr>
          <w:sz w:val="20"/>
          <w:szCs w:val="20"/>
          <w:lang w:val="es-ES"/>
        </w:rPr>
        <w:t>;</w:t>
      </w:r>
      <w:r w:rsidRPr="006E621A">
        <w:rPr>
          <w:sz w:val="20"/>
          <w:szCs w:val="20"/>
          <w:lang w:val="es-ES"/>
        </w:rPr>
        <w:t xml:space="preserve"> pues los hechos alegados, de corroborarse como ciertos</w:t>
      </w:r>
      <w:r w:rsidR="00394073" w:rsidRPr="006E621A">
        <w:rPr>
          <w:sz w:val="20"/>
          <w:szCs w:val="20"/>
          <w:lang w:val="es-ES"/>
        </w:rPr>
        <w:t>,</w:t>
      </w:r>
      <w:r w:rsidRPr="006E621A">
        <w:rPr>
          <w:sz w:val="20"/>
          <w:szCs w:val="20"/>
          <w:lang w:val="es-ES"/>
        </w:rPr>
        <w:t xml:space="preserve"> podrían </w:t>
      </w:r>
      <w:r w:rsidR="0037152B">
        <w:rPr>
          <w:sz w:val="20"/>
          <w:szCs w:val="20"/>
          <w:lang w:val="es-ES"/>
        </w:rPr>
        <w:t>constituir</w:t>
      </w:r>
      <w:r w:rsidR="004B421C" w:rsidRPr="006E621A">
        <w:rPr>
          <w:sz w:val="20"/>
          <w:szCs w:val="20"/>
          <w:lang w:val="es-ES"/>
        </w:rPr>
        <w:t xml:space="preserve"> violaciones a los artículos</w:t>
      </w:r>
      <w:r w:rsidR="00394073" w:rsidRPr="006E621A">
        <w:rPr>
          <w:sz w:val="20"/>
          <w:szCs w:val="20"/>
          <w:lang w:val="es-ES"/>
        </w:rPr>
        <w:t xml:space="preserve"> </w:t>
      </w:r>
      <w:r w:rsidR="005A7416">
        <w:rPr>
          <w:sz w:val="20"/>
          <w:szCs w:val="20"/>
          <w:lang w:val="es-ES"/>
        </w:rPr>
        <w:t>5 (integridad personal), 7 (libertad personal), 8 (garantías judiciales), 17 (protección a la familia) y 25 (protección judicial)</w:t>
      </w:r>
      <w:r w:rsidR="00394073" w:rsidRPr="006E621A">
        <w:rPr>
          <w:sz w:val="20"/>
          <w:szCs w:val="20"/>
          <w:lang w:val="es-ES"/>
        </w:rPr>
        <w:t xml:space="preserve"> </w:t>
      </w:r>
      <w:r w:rsidR="00E7565B">
        <w:rPr>
          <w:sz w:val="20"/>
          <w:szCs w:val="20"/>
          <w:lang w:val="es-ES"/>
        </w:rPr>
        <w:t xml:space="preserve">de la Convención, en relación con las obligaciones generales de respeto y garantía establecidas en su artículo 1.1, </w:t>
      </w:r>
      <w:r w:rsidR="00394073" w:rsidRPr="005A7416">
        <w:rPr>
          <w:sz w:val="20"/>
          <w:szCs w:val="20"/>
          <w:lang w:val="es-ES"/>
        </w:rPr>
        <w:t>en perjuicio de</w:t>
      </w:r>
      <w:r w:rsidR="005A7416" w:rsidRPr="005A7416">
        <w:rPr>
          <w:sz w:val="20"/>
          <w:szCs w:val="20"/>
          <w:lang w:val="es-ES"/>
        </w:rPr>
        <w:t xml:space="preserve"> </w:t>
      </w:r>
      <w:r w:rsidR="005A7416" w:rsidRPr="005A7416">
        <w:rPr>
          <w:bCs/>
          <w:sz w:val="20"/>
          <w:szCs w:val="20"/>
          <w:lang w:val="es-CO"/>
        </w:rPr>
        <w:t>Francisco Potes Mosquera, Marisol Amariles, Valentina Potes Amariles, Cristián Camilo Potes Mosquera, Maritza Potes Mosquera, Cristina Potes Mosquera, Eduardo Potes Mosquera, Jaime Potes Mosquera, Jairo Potes Mosquera y Melida De Potes Mosquera</w:t>
      </w:r>
      <w:r w:rsidR="00604549">
        <w:rPr>
          <w:bCs/>
          <w:sz w:val="20"/>
          <w:szCs w:val="20"/>
          <w:lang w:val="es-CO"/>
        </w:rPr>
        <w:t xml:space="preserve">, </w:t>
      </w:r>
      <w:r w:rsidR="00394073" w:rsidRPr="005A7416">
        <w:rPr>
          <w:sz w:val="20"/>
          <w:szCs w:val="20"/>
          <w:lang w:val="es-US"/>
        </w:rPr>
        <w:t>en los términos del presente informe</w:t>
      </w:r>
      <w:r w:rsidR="00394073" w:rsidRPr="005A7416">
        <w:rPr>
          <w:sz w:val="20"/>
          <w:szCs w:val="20"/>
          <w:lang w:val="es-ES"/>
        </w:rPr>
        <w:t>.</w:t>
      </w:r>
    </w:p>
    <w:p w14:paraId="091888D2" w14:textId="2F3DA247" w:rsidR="008C5E2D" w:rsidRPr="006E621A" w:rsidRDefault="005B25F9" w:rsidP="007A330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A11B3B">
        <w:rPr>
          <w:sz w:val="20"/>
          <w:szCs w:val="20"/>
          <w:lang w:val="es-ES_tradnl"/>
        </w:rPr>
        <w:t>En cuanto al reclamo sobre la presunta violación de los artículos</w:t>
      </w:r>
      <w:r w:rsidR="002A7202">
        <w:rPr>
          <w:sz w:val="20"/>
          <w:szCs w:val="20"/>
          <w:lang w:val="es-ES_tradnl"/>
        </w:rPr>
        <w:t xml:space="preserve"> 4 (derecho a la </w:t>
      </w:r>
      <w:r w:rsidR="00BA409A">
        <w:rPr>
          <w:sz w:val="20"/>
          <w:szCs w:val="20"/>
          <w:lang w:val="es-ES_tradnl"/>
        </w:rPr>
        <w:t>vida</w:t>
      </w:r>
      <w:r w:rsidR="002A7202">
        <w:rPr>
          <w:sz w:val="20"/>
          <w:szCs w:val="20"/>
          <w:lang w:val="es-ES_tradnl"/>
        </w:rPr>
        <w:t>),</w:t>
      </w:r>
      <w:r w:rsidRPr="00A11B3B">
        <w:rPr>
          <w:sz w:val="20"/>
          <w:szCs w:val="20"/>
          <w:lang w:val="es-ES_tradnl"/>
        </w:rPr>
        <w:t xml:space="preserve"> </w:t>
      </w:r>
      <w:r w:rsidR="00174F61" w:rsidRPr="00174F61">
        <w:rPr>
          <w:color w:val="auto"/>
          <w:sz w:val="20"/>
          <w:szCs w:val="20"/>
          <w:lang w:val="es-ES_tradnl"/>
        </w:rPr>
        <w:t>11</w:t>
      </w:r>
      <w:r w:rsidRPr="00174F61">
        <w:rPr>
          <w:color w:val="auto"/>
          <w:sz w:val="20"/>
          <w:szCs w:val="20"/>
          <w:lang w:val="es-ES_tradnl"/>
        </w:rPr>
        <w:t xml:space="preserve"> (</w:t>
      </w:r>
      <w:r w:rsidR="00174F61" w:rsidRPr="00174F61">
        <w:rPr>
          <w:color w:val="auto"/>
          <w:sz w:val="20"/>
          <w:szCs w:val="20"/>
          <w:lang w:val="es-ES_tradnl"/>
        </w:rPr>
        <w:t>protección de la honra y la dignidad</w:t>
      </w:r>
      <w:r w:rsidRPr="00174F61">
        <w:rPr>
          <w:color w:val="auto"/>
          <w:sz w:val="20"/>
          <w:szCs w:val="20"/>
          <w:lang w:val="es-ES_tradnl"/>
        </w:rPr>
        <w:t xml:space="preserve">), </w:t>
      </w:r>
      <w:r w:rsidR="00174F61" w:rsidRPr="00174F61">
        <w:rPr>
          <w:color w:val="auto"/>
          <w:sz w:val="20"/>
          <w:szCs w:val="20"/>
          <w:lang w:val="es-ES_tradnl"/>
        </w:rPr>
        <w:t>21</w:t>
      </w:r>
      <w:r w:rsidRPr="00174F61">
        <w:rPr>
          <w:color w:val="auto"/>
          <w:sz w:val="20"/>
          <w:szCs w:val="20"/>
          <w:lang w:val="es-ES_tradnl"/>
        </w:rPr>
        <w:t xml:space="preserve"> (</w:t>
      </w:r>
      <w:r w:rsidR="00BA409A">
        <w:rPr>
          <w:color w:val="auto"/>
          <w:sz w:val="20"/>
          <w:szCs w:val="20"/>
          <w:lang w:val="es-ES_tradnl"/>
        </w:rPr>
        <w:t xml:space="preserve">derecho a la </w:t>
      </w:r>
      <w:r w:rsidR="00174F61" w:rsidRPr="00174F61">
        <w:rPr>
          <w:color w:val="auto"/>
          <w:sz w:val="20"/>
          <w:szCs w:val="20"/>
          <w:lang w:val="es-ES_tradnl"/>
        </w:rPr>
        <w:t>propiedad privada</w:t>
      </w:r>
      <w:r w:rsidRPr="00174F61">
        <w:rPr>
          <w:color w:val="auto"/>
          <w:sz w:val="20"/>
          <w:szCs w:val="20"/>
          <w:lang w:val="es-ES_tradnl"/>
        </w:rPr>
        <w:t xml:space="preserve">) y 24 (igualdad ante la ley) </w:t>
      </w:r>
      <w:r w:rsidRPr="00A11B3B">
        <w:rPr>
          <w:sz w:val="20"/>
          <w:szCs w:val="20"/>
          <w:lang w:val="es-ES_tradnl"/>
        </w:rPr>
        <w:t xml:space="preserve">de la Convención Americana; la Comisión observa que los peticionarios no han ofrecido alegatos o sustento suficiente que permita considerar </w:t>
      </w:r>
      <w:r w:rsidRPr="00A11B3B">
        <w:rPr>
          <w:i/>
          <w:sz w:val="20"/>
          <w:szCs w:val="20"/>
          <w:lang w:val="es-ES_tradnl"/>
        </w:rPr>
        <w:t>prima facie</w:t>
      </w:r>
      <w:r w:rsidRPr="00A11B3B">
        <w:rPr>
          <w:sz w:val="20"/>
          <w:szCs w:val="20"/>
          <w:lang w:val="es-ES_tradnl"/>
        </w:rPr>
        <w:t xml:space="preserve"> su posible violación.</w:t>
      </w:r>
    </w:p>
    <w:p w14:paraId="445BF42E" w14:textId="77777777" w:rsidR="003239B8" w:rsidRPr="0078770A" w:rsidRDefault="003239B8" w:rsidP="007A330F">
      <w:pPr>
        <w:pStyle w:val="ListParagraph"/>
        <w:numPr>
          <w:ilvl w:val="0"/>
          <w:numId w:val="0"/>
        </w:numPr>
        <w:ind w:left="720"/>
        <w:jc w:val="both"/>
        <w:rPr>
          <w:rFonts w:asciiTheme="majorHAnsi" w:hAnsiTheme="majorHAnsi"/>
          <w:b/>
          <w:bCs/>
          <w:sz w:val="20"/>
          <w:szCs w:val="20"/>
          <w:lang w:val="es-ES"/>
        </w:rPr>
      </w:pPr>
      <w:r w:rsidRPr="0078770A">
        <w:rPr>
          <w:rFonts w:asciiTheme="majorHAnsi" w:hAnsiTheme="majorHAnsi"/>
          <w:b/>
          <w:bCs/>
          <w:sz w:val="20"/>
          <w:szCs w:val="20"/>
          <w:lang w:val="es-ES"/>
        </w:rPr>
        <w:t xml:space="preserve">VIII. </w:t>
      </w:r>
      <w:r>
        <w:rPr>
          <w:rFonts w:asciiTheme="majorHAnsi" w:hAnsiTheme="majorHAnsi"/>
          <w:b/>
          <w:bCs/>
          <w:sz w:val="20"/>
          <w:szCs w:val="20"/>
          <w:lang w:val="es-ES"/>
        </w:rPr>
        <w:tab/>
      </w:r>
      <w:r w:rsidRPr="0078770A">
        <w:rPr>
          <w:rFonts w:asciiTheme="majorHAnsi" w:hAnsiTheme="majorHAnsi"/>
          <w:b/>
          <w:bCs/>
          <w:sz w:val="20"/>
          <w:szCs w:val="20"/>
          <w:lang w:val="es-ES"/>
        </w:rPr>
        <w:t>DECISIÓN</w:t>
      </w:r>
    </w:p>
    <w:p w14:paraId="16B36F97" w14:textId="2A55845F" w:rsidR="003239B8" w:rsidRPr="000419AD" w:rsidRDefault="003239B8" w:rsidP="00BE161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3239B8">
        <w:rPr>
          <w:rFonts w:asciiTheme="majorHAnsi" w:hAnsiTheme="majorHAnsi"/>
          <w:sz w:val="20"/>
          <w:szCs w:val="20"/>
          <w:lang w:val="es-ES"/>
        </w:rPr>
        <w:t>Declarar admisible la presente petición en relación con</w:t>
      </w:r>
      <w:r w:rsidR="001D7F96">
        <w:rPr>
          <w:rFonts w:asciiTheme="majorHAnsi" w:hAnsiTheme="majorHAnsi"/>
          <w:sz w:val="20"/>
          <w:szCs w:val="20"/>
          <w:lang w:val="es-ES"/>
        </w:rPr>
        <w:t xml:space="preserve"> </w:t>
      </w:r>
      <w:r w:rsidR="007A2106">
        <w:rPr>
          <w:rFonts w:asciiTheme="majorHAnsi" w:hAnsiTheme="majorHAnsi"/>
          <w:sz w:val="20"/>
          <w:szCs w:val="20"/>
          <w:lang w:val="es-ES"/>
        </w:rPr>
        <w:t>los artículos 5, 7, 8, 17 y 25 de la Convención Americana en concordancia con su artículo 1.1</w:t>
      </w:r>
      <w:r w:rsidR="00A758AA">
        <w:rPr>
          <w:rFonts w:asciiTheme="majorHAnsi" w:hAnsiTheme="majorHAnsi"/>
          <w:sz w:val="20"/>
          <w:szCs w:val="20"/>
          <w:lang w:val="es-ES"/>
        </w:rPr>
        <w:t>;</w:t>
      </w:r>
      <w:r w:rsidR="007B76D3">
        <w:rPr>
          <w:rFonts w:asciiTheme="majorHAnsi" w:hAnsiTheme="majorHAnsi"/>
          <w:sz w:val="20"/>
          <w:szCs w:val="20"/>
          <w:lang w:val="es-ES"/>
        </w:rPr>
        <w:t xml:space="preserve"> </w:t>
      </w:r>
    </w:p>
    <w:p w14:paraId="547DFF8E" w14:textId="265A83C5" w:rsidR="000419AD" w:rsidRPr="005173A3" w:rsidRDefault="000419AD" w:rsidP="00BE161A">
      <w:pPr>
        <w:pStyle w:val="ListParagraph"/>
        <w:numPr>
          <w:ilvl w:val="0"/>
          <w:numId w:val="55"/>
        </w:numPr>
        <w:jc w:val="both"/>
        <w:rPr>
          <w:rFonts w:eastAsia="Arial Unicode MS" w:cs="Times New Roman"/>
          <w:color w:val="auto"/>
          <w:sz w:val="20"/>
          <w:szCs w:val="20"/>
          <w:lang w:val="es-ES" w:eastAsia="en-US"/>
        </w:rPr>
      </w:pPr>
      <w:r w:rsidRPr="000419AD">
        <w:rPr>
          <w:rFonts w:eastAsia="Arial Unicode MS" w:cs="Times New Roman"/>
          <w:color w:val="auto"/>
          <w:sz w:val="20"/>
          <w:szCs w:val="20"/>
          <w:lang w:val="es-ES" w:eastAsia="en-US"/>
        </w:rPr>
        <w:t xml:space="preserve">Declarar </w:t>
      </w:r>
      <w:r w:rsidRPr="001930F2">
        <w:rPr>
          <w:rFonts w:eastAsia="Arial Unicode MS" w:cs="Times New Roman"/>
          <w:color w:val="auto"/>
          <w:sz w:val="20"/>
          <w:szCs w:val="20"/>
          <w:lang w:val="es-ES" w:eastAsia="en-US"/>
        </w:rPr>
        <w:t xml:space="preserve">inadmisible </w:t>
      </w:r>
      <w:r w:rsidRPr="000419AD">
        <w:rPr>
          <w:rFonts w:eastAsia="Arial Unicode MS" w:cs="Times New Roman"/>
          <w:color w:val="auto"/>
          <w:sz w:val="20"/>
          <w:szCs w:val="20"/>
          <w:lang w:val="es-ES" w:eastAsia="en-US"/>
        </w:rPr>
        <w:t xml:space="preserve">la presente petición en relación con </w:t>
      </w:r>
      <w:r w:rsidR="001930F2">
        <w:rPr>
          <w:rFonts w:eastAsia="Arial Unicode MS" w:cs="Times New Roman"/>
          <w:color w:val="auto"/>
          <w:sz w:val="20"/>
          <w:szCs w:val="20"/>
          <w:lang w:val="es-ES" w:eastAsia="en-US"/>
        </w:rPr>
        <w:t xml:space="preserve">los artículos </w:t>
      </w:r>
      <w:r w:rsidR="00E7565B">
        <w:rPr>
          <w:rFonts w:eastAsia="Arial Unicode MS" w:cs="Times New Roman"/>
          <w:color w:val="auto"/>
          <w:sz w:val="20"/>
          <w:szCs w:val="20"/>
          <w:lang w:val="es-ES" w:eastAsia="en-US"/>
        </w:rPr>
        <w:t xml:space="preserve">4, </w:t>
      </w:r>
      <w:r w:rsidR="001930F2">
        <w:rPr>
          <w:rFonts w:eastAsia="Arial Unicode MS" w:cs="Times New Roman"/>
          <w:color w:val="auto"/>
          <w:sz w:val="20"/>
          <w:szCs w:val="20"/>
          <w:lang w:val="es-ES" w:eastAsia="en-US"/>
        </w:rPr>
        <w:t>11, 21 y 24 de la Convención</w:t>
      </w:r>
      <w:r w:rsidR="00C93B9E">
        <w:rPr>
          <w:rFonts w:eastAsia="Arial Unicode MS" w:cs="Times New Roman"/>
          <w:color w:val="auto"/>
          <w:sz w:val="20"/>
          <w:szCs w:val="20"/>
          <w:lang w:val="es-ES" w:eastAsia="en-US"/>
        </w:rPr>
        <w:t>, y;</w:t>
      </w:r>
    </w:p>
    <w:p w14:paraId="02C904B2" w14:textId="62C914B9" w:rsidR="009A56CE" w:rsidRDefault="004A6A54" w:rsidP="00BE161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9B7794">
        <w:rPr>
          <w:rFonts w:asciiTheme="majorHAnsi" w:hAnsiTheme="majorHAnsi"/>
          <w:sz w:val="20"/>
          <w:szCs w:val="20"/>
          <w:lang w:val="es-ES"/>
        </w:rPr>
        <w:t xml:space="preserve">Notificar a las partes la presente decisión; </w:t>
      </w:r>
      <w:r w:rsidRPr="001930F2">
        <w:rPr>
          <w:rFonts w:asciiTheme="majorHAnsi" w:hAnsiTheme="majorHAnsi"/>
          <w:sz w:val="20"/>
          <w:szCs w:val="20"/>
          <w:lang w:val="es-ES"/>
        </w:rPr>
        <w:t>continuar con el análisis del fondo de la cuestión</w:t>
      </w:r>
      <w:r w:rsidRPr="009B7794">
        <w:rPr>
          <w:rFonts w:asciiTheme="majorHAnsi" w:hAnsiTheme="majorHAnsi"/>
          <w:sz w:val="20"/>
          <w:szCs w:val="20"/>
          <w:lang w:val="es-ES"/>
        </w:rPr>
        <w:t>; y publicar esta decisión e incluirla en su Informe Anual a la Asamblea General de la Organización de los Estados Americanos.</w:t>
      </w:r>
    </w:p>
    <w:p w14:paraId="6B4CA009" w14:textId="0F5DF220" w:rsidR="00C93B9E" w:rsidRPr="00474CCD" w:rsidRDefault="00663F80" w:rsidP="00474CCD">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w:t>
      </w:r>
      <w:r w:rsidRPr="000B5813">
        <w:rPr>
          <w:rStyle w:val="normaltextrun"/>
          <w:rFonts w:ascii="Cambria" w:hAnsi="Cambria" w:cs="Segoe UI"/>
          <w:color w:val="000000" w:themeColor="text1"/>
          <w:sz w:val="20"/>
          <w:szCs w:val="20"/>
          <w:lang w:val="es-CL"/>
        </w:rPr>
        <w:t xml:space="preserve">ramericana de Derechos Humanos a los 7 días del mes de agosto de 2025.  (Firmado): José Luis Caballero Ochoa, Presidente; Arif Bulkan, Segundo Vicepresidente; Roberta Clarke y Gloria Monique de Mees, </w:t>
      </w:r>
      <w:r w:rsidR="00D7412C">
        <w:rPr>
          <w:rStyle w:val="normaltextrun"/>
          <w:rFonts w:ascii="Cambria" w:hAnsi="Cambria" w:cs="Segoe UI"/>
          <w:color w:val="000000" w:themeColor="text1"/>
          <w:sz w:val="20"/>
          <w:szCs w:val="20"/>
          <w:lang w:val="es-CL"/>
        </w:rPr>
        <w:t>m</w:t>
      </w:r>
      <w:r w:rsidRPr="000B5813">
        <w:rPr>
          <w:rStyle w:val="normaltextrun"/>
          <w:rFonts w:ascii="Cambria" w:hAnsi="Cambria" w:cs="Segoe UI"/>
          <w:color w:val="000000" w:themeColor="text1"/>
          <w:sz w:val="20"/>
          <w:szCs w:val="20"/>
          <w:lang w:val="es-CL"/>
        </w:rPr>
        <w:t>iembros de la Comisión.</w:t>
      </w:r>
    </w:p>
    <w:sectPr w:rsidR="00C93B9E" w:rsidRPr="00474CCD"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0007" w14:textId="77777777" w:rsidR="00B6091D" w:rsidRDefault="00B6091D">
      <w:r>
        <w:separator/>
      </w:r>
    </w:p>
  </w:endnote>
  <w:endnote w:type="continuationSeparator" w:id="0">
    <w:p w14:paraId="14839600" w14:textId="77777777" w:rsidR="00B6091D" w:rsidRDefault="00B6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EB2E" w14:textId="77777777" w:rsidR="00B6091D" w:rsidRPr="000F35ED" w:rsidRDefault="00B6091D">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7274BD3E" w14:textId="77777777" w:rsidR="00B6091D" w:rsidRPr="000F35ED" w:rsidRDefault="00B6091D" w:rsidP="000F35ED">
      <w:pPr>
        <w:rPr>
          <w:rFonts w:asciiTheme="majorHAnsi" w:hAnsiTheme="majorHAnsi"/>
          <w:sz w:val="16"/>
          <w:szCs w:val="16"/>
        </w:rPr>
      </w:pPr>
      <w:r w:rsidRPr="000F35ED">
        <w:rPr>
          <w:rFonts w:asciiTheme="majorHAnsi" w:hAnsiTheme="majorHAnsi"/>
          <w:sz w:val="16"/>
          <w:szCs w:val="16"/>
        </w:rPr>
        <w:separator/>
      </w:r>
    </w:p>
    <w:p w14:paraId="038CE1AC" w14:textId="77777777" w:rsidR="00B6091D" w:rsidRPr="000F35ED" w:rsidRDefault="00B6091D" w:rsidP="000F35ED">
      <w:pPr>
        <w:pStyle w:val="Footer"/>
        <w:rPr>
          <w:rFonts w:asciiTheme="majorHAnsi" w:hAnsiTheme="majorHAnsi"/>
          <w:sz w:val="16"/>
          <w:szCs w:val="16"/>
        </w:rPr>
      </w:pPr>
      <w:r>
        <w:rPr>
          <w:rFonts w:asciiTheme="majorHAnsi" w:hAnsiTheme="majorHAnsi"/>
          <w:sz w:val="16"/>
          <w:szCs w:val="16"/>
        </w:rPr>
        <w:t>[… a]</w:t>
      </w:r>
    </w:p>
  </w:footnote>
  <w:footnote w:type="continuationNotice" w:id="1">
    <w:p w14:paraId="58F24C01" w14:textId="77777777" w:rsidR="00B6091D" w:rsidRPr="000F35ED" w:rsidRDefault="00B6091D"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6E930B8" w14:textId="7C4271AC" w:rsidR="004A6A54" w:rsidRPr="002F0FCF" w:rsidRDefault="004A6A54" w:rsidP="009901FF">
      <w:pPr>
        <w:pStyle w:val="Notasalpie"/>
      </w:pPr>
      <w:r w:rsidRPr="00306F33">
        <w:rPr>
          <w:rStyle w:val="FootnoteReference"/>
        </w:rPr>
        <w:footnoteRef/>
      </w:r>
      <w:r w:rsidRPr="00306F33">
        <w:t xml:space="preserve"> Conforme a lo dispuesto en el artículo 17.2.a</w:t>
      </w:r>
      <w:r w:rsidR="00F5770D">
        <w:t>)</w:t>
      </w:r>
      <w:r w:rsidRPr="00306F33">
        <w:t xml:space="preserve"> del Reglamento de la Comisión, el Comisionado </w:t>
      </w:r>
      <w:r w:rsidR="00EE5F5F">
        <w:t>Carlos Bernal Pulido</w:t>
      </w:r>
      <w:r w:rsidRPr="00306F33">
        <w:t xml:space="preserve">, de nacionalidad </w:t>
      </w:r>
      <w:r w:rsidR="00EE5F5F" w:rsidRPr="002F0FCF">
        <w:t>colombiana</w:t>
      </w:r>
      <w:r w:rsidRPr="002F0FCF">
        <w:t>, no participó en el debate ni en la decisión del presente asunto.</w:t>
      </w:r>
      <w:r w:rsidR="0028330F">
        <w:t xml:space="preserve"> </w:t>
      </w:r>
    </w:p>
  </w:footnote>
  <w:footnote w:id="3">
    <w:p w14:paraId="67EE1597" w14:textId="77777777" w:rsidR="008D1154" w:rsidRPr="0067105E" w:rsidRDefault="008D1154" w:rsidP="008D1154">
      <w:pPr>
        <w:pStyle w:val="Notasalpie"/>
      </w:pPr>
      <w:r>
        <w:rPr>
          <w:rStyle w:val="FootnoteReference"/>
        </w:rPr>
        <w:footnoteRef/>
      </w:r>
      <w:r w:rsidRPr="0067105E">
        <w:t xml:space="preserve"> </w:t>
      </w:r>
      <w:r>
        <w:t>En adelante “la Convención Americana” o “la Convención”.</w:t>
      </w:r>
    </w:p>
  </w:footnote>
  <w:footnote w:id="4">
    <w:p w14:paraId="1AFEF3B0" w14:textId="3BA1A5C1" w:rsidR="008E3BFE" w:rsidRPr="00306F33" w:rsidRDefault="008E3BFE" w:rsidP="00306F33">
      <w:pPr>
        <w:pStyle w:val="FootnoteText"/>
        <w:ind w:firstLine="720"/>
        <w:jc w:val="both"/>
        <w:rPr>
          <w:rFonts w:asciiTheme="majorHAnsi" w:hAnsiTheme="majorHAnsi"/>
          <w:sz w:val="16"/>
          <w:szCs w:val="16"/>
          <w:lang w:val="es-ES"/>
        </w:rPr>
      </w:pPr>
      <w:r w:rsidRPr="002F0FCF">
        <w:rPr>
          <w:rStyle w:val="FootnoteReference"/>
          <w:rFonts w:asciiTheme="majorHAnsi" w:hAnsiTheme="majorHAnsi"/>
          <w:sz w:val="16"/>
          <w:szCs w:val="16"/>
        </w:rPr>
        <w:footnoteRef/>
      </w:r>
      <w:r w:rsidRPr="002F0FCF">
        <w:rPr>
          <w:rFonts w:asciiTheme="majorHAnsi" w:hAnsiTheme="majorHAnsi"/>
          <w:sz w:val="16"/>
          <w:szCs w:val="16"/>
          <w:lang w:val="es-ES"/>
        </w:rPr>
        <w:t xml:space="preserve"> Las observaciones de cada parte fueron debidamente trasladadas a la parte contraria.</w:t>
      </w:r>
      <w:r w:rsidR="001E0B2D" w:rsidRPr="001E0B2D">
        <w:rPr>
          <w:lang w:val="es-CO"/>
        </w:rPr>
        <w:t xml:space="preserve"> </w:t>
      </w:r>
      <w:r w:rsidR="001E0B2D" w:rsidRPr="001E0B2D">
        <w:rPr>
          <w:rStyle w:val="NotasalpieChar"/>
          <w:lang w:val="es-CO"/>
        </w:rPr>
        <w:t>Junto con la petición inicial, la C</w:t>
      </w:r>
      <w:r w:rsidR="00FC48E6">
        <w:rPr>
          <w:rStyle w:val="NotasalpieChar"/>
          <w:lang w:val="es-CO"/>
        </w:rPr>
        <w:t>omisión Interamericana tramitó una solicitud de medidas cautelares</w:t>
      </w:r>
      <w:r w:rsidR="001717E9">
        <w:rPr>
          <w:rStyle w:val="NotasalpieChar"/>
          <w:lang w:val="es-CO"/>
        </w:rPr>
        <w:t xml:space="preserve"> bajo el número MC-332-15,</w:t>
      </w:r>
      <w:r w:rsidR="00FC48E6">
        <w:rPr>
          <w:rStyle w:val="NotasalpieChar"/>
          <w:lang w:val="es-CO"/>
        </w:rPr>
        <w:t xml:space="preserve"> por tratarse de hechos que involucraban amenazas</w:t>
      </w:r>
      <w:r w:rsidR="001717E9">
        <w:rPr>
          <w:rStyle w:val="NotasalpieChar"/>
          <w:lang w:val="es-CO"/>
        </w:rPr>
        <w:t>.</w:t>
      </w:r>
      <w:r w:rsidR="00FC48E6">
        <w:rPr>
          <w:rStyle w:val="NotasalpieChar"/>
          <w:lang w:val="es-CO"/>
        </w:rPr>
        <w:t xml:space="preserve"> </w:t>
      </w:r>
      <w:r w:rsidR="001717E9">
        <w:rPr>
          <w:rStyle w:val="NotasalpieChar"/>
          <w:lang w:val="es-CO"/>
        </w:rPr>
        <w:t>E</w:t>
      </w:r>
      <w:r w:rsidR="001E0B2D" w:rsidRPr="001E0B2D">
        <w:rPr>
          <w:rStyle w:val="NotasalpieChar"/>
          <w:lang w:val="es-CO"/>
        </w:rPr>
        <w:t>l 3 de abril de 2019</w:t>
      </w:r>
      <w:r w:rsidR="001717E9">
        <w:rPr>
          <w:rStyle w:val="NotasalpieChar"/>
          <w:lang w:val="es-CO"/>
        </w:rPr>
        <w:t xml:space="preserve"> decidió rechazar la solicitud por falta de información actualizada sobre la presunta situación de riesgo.</w:t>
      </w:r>
    </w:p>
  </w:footnote>
  <w:footnote w:id="5">
    <w:p w14:paraId="039A4394" w14:textId="77777777" w:rsidR="00F943D7" w:rsidRPr="007219EC" w:rsidRDefault="00F943D7" w:rsidP="00F943D7">
      <w:pPr>
        <w:pStyle w:val="Notasalpie"/>
      </w:pPr>
      <w:r w:rsidRPr="00E20C05">
        <w:rPr>
          <w:rStyle w:val="FootnoteReference"/>
          <w:rFonts w:ascii="Cambria" w:hAnsi="Cambria"/>
        </w:rPr>
        <w:footnoteRef/>
      </w:r>
      <w:r w:rsidRPr="00E20C05">
        <w:t xml:space="preserve"> CIDH, Informe No. 279/21. Petición 2106-12. Admisibilidad. Comunidades Huitosachi, Mogótavo y Bacajípare del pueblo indígena Rarámuri. México. 29 de octubre de 2021, párr. 29</w:t>
      </w:r>
      <w:r>
        <w:t>; e,</w:t>
      </w:r>
      <w:r w:rsidRPr="00E20C05">
        <w:t xml:space="preserve"> Informe No. Informe No. 89/21, Petición 5-12, Trabajadores Mineros de Cananea y sus familiares. México. 28 de marzo de 2021, párr. 32</w:t>
      </w:r>
      <w:r>
        <w:t>.</w:t>
      </w:r>
    </w:p>
  </w:footnote>
  <w:footnote w:id="6">
    <w:p w14:paraId="708B9E72" w14:textId="77777777" w:rsidR="00B54DA2" w:rsidRPr="00C1452B" w:rsidRDefault="00B54DA2" w:rsidP="00B54DA2">
      <w:pPr>
        <w:pStyle w:val="FootnoteText"/>
        <w:jc w:val="both"/>
        <w:rPr>
          <w:rFonts w:ascii="Cambria" w:hAnsi="Cambria"/>
          <w:sz w:val="16"/>
          <w:szCs w:val="16"/>
          <w:lang w:val="es-ES"/>
        </w:rPr>
      </w:pPr>
      <w:r w:rsidRPr="00F752CD">
        <w:rPr>
          <w:rFonts w:ascii="Cambria" w:hAnsi="Cambria"/>
          <w:sz w:val="16"/>
          <w:szCs w:val="16"/>
          <w:lang w:val="es-ES"/>
        </w:rPr>
        <w:tab/>
      </w:r>
      <w:r w:rsidRPr="00C1452B">
        <w:rPr>
          <w:rStyle w:val="FootnoteReference"/>
          <w:rFonts w:ascii="Cambria" w:hAnsi="Cambria"/>
          <w:sz w:val="16"/>
          <w:szCs w:val="16"/>
        </w:rPr>
        <w:footnoteRef/>
      </w:r>
      <w:r w:rsidRPr="00C1452B">
        <w:rPr>
          <w:rFonts w:ascii="Cambria" w:hAnsi="Cambria"/>
          <w:sz w:val="16"/>
          <w:szCs w:val="16"/>
          <w:lang w:val="es-ES"/>
        </w:rPr>
        <w:t xml:space="preserve"> CIDH, Informe No. 16/18, Petición 884-07. Admisibilidad. Victoria Piedad Palacios Tejada de Saavedra. Perú. 24 de febrero de 2018, párr. 12.</w:t>
      </w:r>
    </w:p>
  </w:footnote>
  <w:footnote w:id="7">
    <w:p w14:paraId="3A17F860" w14:textId="77777777" w:rsidR="00044451" w:rsidRPr="006C2A30" w:rsidRDefault="00044451" w:rsidP="00044451">
      <w:pPr>
        <w:pStyle w:val="Notasalpie"/>
        <w:rPr>
          <w:lang w:val="es-CO"/>
        </w:rPr>
      </w:pPr>
      <w:r>
        <w:rPr>
          <w:rStyle w:val="FootnoteReference"/>
        </w:rPr>
        <w:footnoteRef/>
      </w:r>
      <w:r>
        <w:t xml:space="preserve"> </w:t>
      </w:r>
      <w:r w:rsidRPr="00C65EBC">
        <w:rPr>
          <w:lang w:val="es-CO"/>
        </w:rPr>
        <w:t xml:space="preserve">CIDH, Informe No. 238/23. Petición 223-13. Inadmisibilidad. Lisandro González Manjarrez y familiares. </w:t>
      </w:r>
      <w:r w:rsidRPr="00EE71B3">
        <w:rPr>
          <w:lang w:val="es-CO"/>
        </w:rPr>
        <w:t xml:space="preserve">Colombia. 20 de octubre de 2023, párr. 12; </w:t>
      </w:r>
      <w:r>
        <w:rPr>
          <w:lang w:val="es-CO"/>
        </w:rPr>
        <w:t>I</w:t>
      </w:r>
      <w:r w:rsidRPr="00EE71B3">
        <w:rPr>
          <w:lang w:val="es-CO"/>
        </w:rPr>
        <w:t xml:space="preserve">nforme No. 342/23. Petición 1170-14. Inadmisibilidad. Juan Daniel Velásquez Gaviria y familiares. </w:t>
      </w:r>
      <w:r w:rsidRPr="001C7FEC">
        <w:rPr>
          <w:lang w:val="es-CO"/>
        </w:rPr>
        <w:t xml:space="preserve">Colombia. 29 de diciembre de 2023, párr. 19: e, Informe No. 361/21. Petición 379-12. Inadmisibilidad. </w:t>
      </w:r>
      <w:r w:rsidRPr="00313EDB">
        <w:t>Ecio Carlos Cristofani y familia. familia. Brasil. 29 de noviembre de 2021, párr. 9.</w:t>
      </w:r>
    </w:p>
  </w:footnote>
  <w:footnote w:id="8">
    <w:p w14:paraId="037854B7" w14:textId="77777777" w:rsidR="00BD39A1" w:rsidRPr="008251FD" w:rsidRDefault="00BD39A1" w:rsidP="00381BDB">
      <w:pPr>
        <w:pStyle w:val="Notasalpie"/>
      </w:pPr>
      <w:r>
        <w:rPr>
          <w:rStyle w:val="FootnoteReference"/>
        </w:rPr>
        <w:footnoteRef/>
      </w:r>
      <w:r w:rsidRPr="008251FD">
        <w:t xml:space="preserve"> </w:t>
      </w:r>
      <w:r>
        <w:t xml:space="preserve">CIDH. Informe sobre el uso de la prisión preventiva en las Américas. 30 de diciembre de 2013, párr. 201; citando, a su vez, </w:t>
      </w:r>
      <w:r w:rsidRPr="00C36518">
        <w:t xml:space="preserve">CIDH. Informe No. 12/96, caso 11.245, Fondo, Jorge A. Giménez, Argentina, 1 de marzo de 1996, párr. </w:t>
      </w:r>
      <w:r w:rsidRPr="00827B25">
        <w:t>57.</w:t>
      </w:r>
      <w:r>
        <w:tab/>
      </w:r>
    </w:p>
  </w:footnote>
  <w:footnote w:id="9">
    <w:p w14:paraId="479F6947" w14:textId="77777777" w:rsidR="00355BA4" w:rsidRPr="00F6315A" w:rsidRDefault="00355BA4" w:rsidP="00034D7D">
      <w:pPr>
        <w:pStyle w:val="Notasalpie"/>
      </w:pPr>
      <w:r>
        <w:rPr>
          <w:rStyle w:val="FootnoteReference"/>
        </w:rPr>
        <w:footnoteRef/>
      </w:r>
      <w:r w:rsidRPr="00F6315A">
        <w:t xml:space="preserve"> </w:t>
      </w:r>
      <w:r w:rsidRPr="00FD7DA3">
        <w:t xml:space="preserve">Corte IDH. Caso Integrantes y Militantes de la Unión Patriótica Vs. Colombia. Excepciones Preliminares, Fondo, Reparaciones y Costas. Sentencia de 27 de julio de 2022. </w:t>
      </w:r>
      <w:r w:rsidRPr="00BE026D">
        <w:t>Serie C No. 455, párr. 2</w:t>
      </w:r>
      <w:r>
        <w:t>61.</w:t>
      </w:r>
    </w:p>
  </w:footnote>
  <w:footnote w:id="10">
    <w:p w14:paraId="4469BB67" w14:textId="77777777" w:rsidR="00121646" w:rsidRPr="00B06D76" w:rsidRDefault="00121646" w:rsidP="00034D7D">
      <w:pPr>
        <w:pStyle w:val="Notasalpie"/>
      </w:pPr>
      <w:r>
        <w:rPr>
          <w:rStyle w:val="FootnoteReference"/>
        </w:rPr>
        <w:footnoteRef/>
      </w:r>
      <w:r w:rsidRPr="00B06D76">
        <w:t xml:space="preserve"> CIDH, Segundo Informe sobre la situación de las defensoras y los defensores de derechos humanos en las Américas, 31 de diciembre de 2011, párr. </w:t>
      </w:r>
      <w:r>
        <w:t>119.</w:t>
      </w:r>
    </w:p>
  </w:footnote>
  <w:footnote w:id="11">
    <w:p w14:paraId="47DB9201" w14:textId="77777777" w:rsidR="00CC1FA5" w:rsidRPr="007D34BA" w:rsidRDefault="00CC1FA5" w:rsidP="00CC1FA5">
      <w:pPr>
        <w:pStyle w:val="Notasalpie"/>
      </w:pPr>
      <w:r w:rsidRPr="007D34BA">
        <w:rPr>
          <w:rStyle w:val="FootnoteReference"/>
        </w:rPr>
        <w:footnoteRef/>
      </w:r>
      <w:r w:rsidRPr="007D34BA">
        <w:t xml:space="preserve"> CIDH. Informe No. 13/20. Caso 13.333. Fondo. Reyes Alpizar Ortíz y Daniel García Rodríguez. México. 3 de marzo de 2020, párr. 55. CIDH. Informe sobre el uso de la prisión preventiva en las Américas. OEA/Ser.L/V/II. 30 de diciembre de 2013, párr. 22. Corte IDH. </w:t>
      </w:r>
      <w:r w:rsidRPr="007D34BA">
        <w:rPr>
          <w:i/>
          <w:iCs/>
        </w:rPr>
        <w:t>Caso López Álvarez Vs. Honduras</w:t>
      </w:r>
      <w:r w:rsidRPr="007D34BA">
        <w:t xml:space="preserve">. Sentencia de 1 de febrero de 2006. Serie C No. 141, párr. 67; </w:t>
      </w:r>
      <w:r w:rsidRPr="007D34BA">
        <w:rPr>
          <w:i/>
          <w:iCs/>
        </w:rPr>
        <w:t>Caso García Asto y Ramírez Rojas Vs. Perú</w:t>
      </w:r>
      <w:r w:rsidRPr="007D34BA">
        <w:t xml:space="preserve">. Sentencia de 25 de noviembre de 2005. Serie C No. 137, párr. 106; </w:t>
      </w:r>
      <w:r w:rsidRPr="007D34BA">
        <w:rPr>
          <w:i/>
          <w:iCs/>
        </w:rPr>
        <w:t>Caso Palamara Iribarne Vs. Chile</w:t>
      </w:r>
      <w:r w:rsidRPr="007D34BA">
        <w:t xml:space="preserve">. Sentencia de 22 de noviembre de 2005. Serie C No. 135, párr. 197; y </w:t>
      </w:r>
      <w:r w:rsidRPr="007D34BA">
        <w:rPr>
          <w:i/>
          <w:iCs/>
        </w:rPr>
        <w:t>Caso Acosta Calderón Vs. Ecuador</w:t>
      </w:r>
      <w:r w:rsidRPr="007D34BA">
        <w:t>. Sentencia de 24 de junio de 2005. Serie C No. 129, párr. 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9375C9"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ED81597"/>
    <w:multiLevelType w:val="hybridMultilevel"/>
    <w:tmpl w:val="13CA9C6C"/>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7"/>
  </w:num>
  <w:num w:numId="4" w16cid:durableId="2018339747">
    <w:abstractNumId w:val="21"/>
  </w:num>
  <w:num w:numId="5" w16cid:durableId="368341374">
    <w:abstractNumId w:val="50"/>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49"/>
  </w:num>
  <w:num w:numId="42" w16cid:durableId="910309630">
    <w:abstractNumId w:val="51"/>
  </w:num>
  <w:num w:numId="43" w16cid:durableId="221603102">
    <w:abstractNumId w:val="52"/>
  </w:num>
  <w:num w:numId="44" w16cid:durableId="779104680">
    <w:abstractNumId w:val="55"/>
  </w:num>
  <w:num w:numId="45" w16cid:durableId="1713115894">
    <w:abstractNumId w:val="56"/>
  </w:num>
  <w:num w:numId="46" w16cid:durableId="1387951419">
    <w:abstractNumId w:val="58"/>
  </w:num>
  <w:num w:numId="47" w16cid:durableId="648510715">
    <w:abstractNumId w:val="59"/>
  </w:num>
  <w:num w:numId="48" w16cid:durableId="1806315575">
    <w:abstractNumId w:val="60"/>
  </w:num>
  <w:num w:numId="49" w16cid:durableId="1682586011">
    <w:abstractNumId w:val="61"/>
  </w:num>
  <w:num w:numId="50" w16cid:durableId="2025083079">
    <w:abstractNumId w:val="62"/>
  </w:num>
  <w:num w:numId="51" w16cid:durableId="530342504">
    <w:abstractNumId w:val="20"/>
  </w:num>
  <w:num w:numId="52" w16cid:durableId="955454438">
    <w:abstractNumId w:val="43"/>
  </w:num>
  <w:num w:numId="53" w16cid:durableId="586957926">
    <w:abstractNumId w:val="54"/>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3"/>
  </w:num>
  <w:num w:numId="62" w16cid:durableId="362898492">
    <w:abstractNumId w:val="6"/>
  </w:num>
  <w:num w:numId="63" w16cid:durableId="413744366">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3E6B"/>
    <w:rsid w:val="00006402"/>
    <w:rsid w:val="00006E1F"/>
    <w:rsid w:val="000070D7"/>
    <w:rsid w:val="00007E7B"/>
    <w:rsid w:val="000110DA"/>
    <w:rsid w:val="0001788C"/>
    <w:rsid w:val="0002349D"/>
    <w:rsid w:val="00027BF7"/>
    <w:rsid w:val="000337EF"/>
    <w:rsid w:val="000342A6"/>
    <w:rsid w:val="00034D7D"/>
    <w:rsid w:val="0003636F"/>
    <w:rsid w:val="0003640B"/>
    <w:rsid w:val="00040C3A"/>
    <w:rsid w:val="000419AD"/>
    <w:rsid w:val="00041D06"/>
    <w:rsid w:val="000433C9"/>
    <w:rsid w:val="00044451"/>
    <w:rsid w:val="000619E3"/>
    <w:rsid w:val="00066A45"/>
    <w:rsid w:val="00071174"/>
    <w:rsid w:val="000716C5"/>
    <w:rsid w:val="000733F1"/>
    <w:rsid w:val="00074E30"/>
    <w:rsid w:val="00075E23"/>
    <w:rsid w:val="0008158C"/>
    <w:rsid w:val="00082CFE"/>
    <w:rsid w:val="00086201"/>
    <w:rsid w:val="0009344A"/>
    <w:rsid w:val="000978E4"/>
    <w:rsid w:val="000A2AEA"/>
    <w:rsid w:val="000A392E"/>
    <w:rsid w:val="000A56D3"/>
    <w:rsid w:val="000A575F"/>
    <w:rsid w:val="000A6F75"/>
    <w:rsid w:val="000B02BA"/>
    <w:rsid w:val="000B5813"/>
    <w:rsid w:val="000B593F"/>
    <w:rsid w:val="000C1FD5"/>
    <w:rsid w:val="000D05CB"/>
    <w:rsid w:val="000D10DB"/>
    <w:rsid w:val="000D1E0C"/>
    <w:rsid w:val="000E4412"/>
    <w:rsid w:val="000E4D6E"/>
    <w:rsid w:val="000E5EB5"/>
    <w:rsid w:val="000F0E9A"/>
    <w:rsid w:val="000F35ED"/>
    <w:rsid w:val="001004FE"/>
    <w:rsid w:val="0010078A"/>
    <w:rsid w:val="001023EE"/>
    <w:rsid w:val="00107131"/>
    <w:rsid w:val="0010736F"/>
    <w:rsid w:val="00113F73"/>
    <w:rsid w:val="001172D7"/>
    <w:rsid w:val="00121646"/>
    <w:rsid w:val="00121CC2"/>
    <w:rsid w:val="00123DA0"/>
    <w:rsid w:val="00125980"/>
    <w:rsid w:val="00131425"/>
    <w:rsid w:val="001323A7"/>
    <w:rsid w:val="00133EE5"/>
    <w:rsid w:val="00150264"/>
    <w:rsid w:val="001538BA"/>
    <w:rsid w:val="00156B57"/>
    <w:rsid w:val="00166FA2"/>
    <w:rsid w:val="00167A34"/>
    <w:rsid w:val="001717E9"/>
    <w:rsid w:val="00174D04"/>
    <w:rsid w:val="00174F61"/>
    <w:rsid w:val="00175FFD"/>
    <w:rsid w:val="001833CA"/>
    <w:rsid w:val="001836BA"/>
    <w:rsid w:val="001930F2"/>
    <w:rsid w:val="0019324C"/>
    <w:rsid w:val="001977F8"/>
    <w:rsid w:val="001A520D"/>
    <w:rsid w:val="001A7870"/>
    <w:rsid w:val="001B3A00"/>
    <w:rsid w:val="001B478B"/>
    <w:rsid w:val="001B4C4C"/>
    <w:rsid w:val="001B644B"/>
    <w:rsid w:val="001B70D4"/>
    <w:rsid w:val="001C1B41"/>
    <w:rsid w:val="001C24AD"/>
    <w:rsid w:val="001C7899"/>
    <w:rsid w:val="001D65EF"/>
    <w:rsid w:val="001D7F96"/>
    <w:rsid w:val="001E0B2D"/>
    <w:rsid w:val="001E49E7"/>
    <w:rsid w:val="001F1788"/>
    <w:rsid w:val="001F2C62"/>
    <w:rsid w:val="001F7201"/>
    <w:rsid w:val="00200EF2"/>
    <w:rsid w:val="00201D62"/>
    <w:rsid w:val="002171C4"/>
    <w:rsid w:val="00223A29"/>
    <w:rsid w:val="002245F9"/>
    <w:rsid w:val="002250A3"/>
    <w:rsid w:val="0023319C"/>
    <w:rsid w:val="00233E6C"/>
    <w:rsid w:val="00233E75"/>
    <w:rsid w:val="00235217"/>
    <w:rsid w:val="002378BD"/>
    <w:rsid w:val="00240BEF"/>
    <w:rsid w:val="00245C2E"/>
    <w:rsid w:val="00246D1F"/>
    <w:rsid w:val="00246DD7"/>
    <w:rsid w:val="00247403"/>
    <w:rsid w:val="00247542"/>
    <w:rsid w:val="002543F0"/>
    <w:rsid w:val="002574AC"/>
    <w:rsid w:val="00263B6B"/>
    <w:rsid w:val="00266982"/>
    <w:rsid w:val="00266B61"/>
    <w:rsid w:val="0026712A"/>
    <w:rsid w:val="002704DB"/>
    <w:rsid w:val="0028330F"/>
    <w:rsid w:val="00293AD0"/>
    <w:rsid w:val="00293CFE"/>
    <w:rsid w:val="0029600B"/>
    <w:rsid w:val="002A0AAE"/>
    <w:rsid w:val="002A178F"/>
    <w:rsid w:val="002A5820"/>
    <w:rsid w:val="002A7202"/>
    <w:rsid w:val="002A785A"/>
    <w:rsid w:val="002B5965"/>
    <w:rsid w:val="002B795A"/>
    <w:rsid w:val="002C12BD"/>
    <w:rsid w:val="002C35B4"/>
    <w:rsid w:val="002C5BF8"/>
    <w:rsid w:val="002C6FBF"/>
    <w:rsid w:val="002D2B26"/>
    <w:rsid w:val="002D7EA2"/>
    <w:rsid w:val="002E03AE"/>
    <w:rsid w:val="002E187C"/>
    <w:rsid w:val="002E2FC3"/>
    <w:rsid w:val="002E42B7"/>
    <w:rsid w:val="002E5A4F"/>
    <w:rsid w:val="002F0FCF"/>
    <w:rsid w:val="002F691D"/>
    <w:rsid w:val="003015BC"/>
    <w:rsid w:val="00301A50"/>
    <w:rsid w:val="00302733"/>
    <w:rsid w:val="00305835"/>
    <w:rsid w:val="00306488"/>
    <w:rsid w:val="00306F33"/>
    <w:rsid w:val="00310E7F"/>
    <w:rsid w:val="00313EDB"/>
    <w:rsid w:val="00314078"/>
    <w:rsid w:val="0031535D"/>
    <w:rsid w:val="003239B8"/>
    <w:rsid w:val="00323DD5"/>
    <w:rsid w:val="00325467"/>
    <w:rsid w:val="00326CE5"/>
    <w:rsid w:val="003306F7"/>
    <w:rsid w:val="0033169F"/>
    <w:rsid w:val="0033200D"/>
    <w:rsid w:val="00335473"/>
    <w:rsid w:val="00335D68"/>
    <w:rsid w:val="00340D86"/>
    <w:rsid w:val="00343F0C"/>
    <w:rsid w:val="00344977"/>
    <w:rsid w:val="00346C95"/>
    <w:rsid w:val="00353144"/>
    <w:rsid w:val="0035445D"/>
    <w:rsid w:val="00354A0F"/>
    <w:rsid w:val="00355BA4"/>
    <w:rsid w:val="00356185"/>
    <w:rsid w:val="00360380"/>
    <w:rsid w:val="0036131D"/>
    <w:rsid w:val="0037152B"/>
    <w:rsid w:val="0037217B"/>
    <w:rsid w:val="0037311C"/>
    <w:rsid w:val="0037417F"/>
    <w:rsid w:val="0037493C"/>
    <w:rsid w:val="0037519E"/>
    <w:rsid w:val="00376177"/>
    <w:rsid w:val="00381BDB"/>
    <w:rsid w:val="00381EAF"/>
    <w:rsid w:val="003847E3"/>
    <w:rsid w:val="00385729"/>
    <w:rsid w:val="00386CF0"/>
    <w:rsid w:val="00394073"/>
    <w:rsid w:val="00394609"/>
    <w:rsid w:val="003A14FB"/>
    <w:rsid w:val="003A3A14"/>
    <w:rsid w:val="003B5BC1"/>
    <w:rsid w:val="003B70FB"/>
    <w:rsid w:val="003B795E"/>
    <w:rsid w:val="003C676B"/>
    <w:rsid w:val="003D3566"/>
    <w:rsid w:val="003D3B44"/>
    <w:rsid w:val="003D3BC2"/>
    <w:rsid w:val="003D67FF"/>
    <w:rsid w:val="003E0CF0"/>
    <w:rsid w:val="003E2FCA"/>
    <w:rsid w:val="003E444D"/>
    <w:rsid w:val="003E6CA1"/>
    <w:rsid w:val="003E7ADF"/>
    <w:rsid w:val="003F27AE"/>
    <w:rsid w:val="003F5154"/>
    <w:rsid w:val="003F5185"/>
    <w:rsid w:val="003F6CAC"/>
    <w:rsid w:val="0040072F"/>
    <w:rsid w:val="00405F9C"/>
    <w:rsid w:val="00406014"/>
    <w:rsid w:val="004065A8"/>
    <w:rsid w:val="0041277B"/>
    <w:rsid w:val="00413B8A"/>
    <w:rsid w:val="00414C6D"/>
    <w:rsid w:val="00414F0A"/>
    <w:rsid w:val="00415546"/>
    <w:rsid w:val="004165C2"/>
    <w:rsid w:val="00422024"/>
    <w:rsid w:val="004241A0"/>
    <w:rsid w:val="0043229D"/>
    <w:rsid w:val="00433C73"/>
    <w:rsid w:val="00435B37"/>
    <w:rsid w:val="00437F07"/>
    <w:rsid w:val="00441ECB"/>
    <w:rsid w:val="00445193"/>
    <w:rsid w:val="00455A01"/>
    <w:rsid w:val="00462C1B"/>
    <w:rsid w:val="00467B7E"/>
    <w:rsid w:val="00467DCE"/>
    <w:rsid w:val="00473BB4"/>
    <w:rsid w:val="00474CAE"/>
    <w:rsid w:val="00474CCD"/>
    <w:rsid w:val="00475775"/>
    <w:rsid w:val="00477592"/>
    <w:rsid w:val="00477887"/>
    <w:rsid w:val="0048347D"/>
    <w:rsid w:val="004855F3"/>
    <w:rsid w:val="00486F1C"/>
    <w:rsid w:val="0049003A"/>
    <w:rsid w:val="00490C7B"/>
    <w:rsid w:val="00491793"/>
    <w:rsid w:val="00491ABF"/>
    <w:rsid w:val="0049235C"/>
    <w:rsid w:val="00493DE0"/>
    <w:rsid w:val="0049419D"/>
    <w:rsid w:val="004947E2"/>
    <w:rsid w:val="004A009D"/>
    <w:rsid w:val="004A057B"/>
    <w:rsid w:val="004A6A54"/>
    <w:rsid w:val="004B17CE"/>
    <w:rsid w:val="004B421C"/>
    <w:rsid w:val="004B6A28"/>
    <w:rsid w:val="004C20D2"/>
    <w:rsid w:val="004C2312"/>
    <w:rsid w:val="004C4B62"/>
    <w:rsid w:val="004C5011"/>
    <w:rsid w:val="004C54C9"/>
    <w:rsid w:val="004D4ABA"/>
    <w:rsid w:val="004D4F75"/>
    <w:rsid w:val="004D6025"/>
    <w:rsid w:val="004E007A"/>
    <w:rsid w:val="004E0DAC"/>
    <w:rsid w:val="004E2649"/>
    <w:rsid w:val="004E2A71"/>
    <w:rsid w:val="004E2DBD"/>
    <w:rsid w:val="004E3762"/>
    <w:rsid w:val="004E49CF"/>
    <w:rsid w:val="004E5DAE"/>
    <w:rsid w:val="004F626F"/>
    <w:rsid w:val="004F7E1D"/>
    <w:rsid w:val="00500502"/>
    <w:rsid w:val="00500D33"/>
    <w:rsid w:val="00501399"/>
    <w:rsid w:val="005047ED"/>
    <w:rsid w:val="0050633D"/>
    <w:rsid w:val="00507BC4"/>
    <w:rsid w:val="00511DF5"/>
    <w:rsid w:val="005128E4"/>
    <w:rsid w:val="005133DB"/>
    <w:rsid w:val="0051394A"/>
    <w:rsid w:val="00514504"/>
    <w:rsid w:val="005173A3"/>
    <w:rsid w:val="00521E1F"/>
    <w:rsid w:val="00525560"/>
    <w:rsid w:val="00527F04"/>
    <w:rsid w:val="00533C22"/>
    <w:rsid w:val="00537BD4"/>
    <w:rsid w:val="00540BD6"/>
    <w:rsid w:val="00544C49"/>
    <w:rsid w:val="00545D3D"/>
    <w:rsid w:val="005516A1"/>
    <w:rsid w:val="00554202"/>
    <w:rsid w:val="005559EF"/>
    <w:rsid w:val="00557A2C"/>
    <w:rsid w:val="005613EB"/>
    <w:rsid w:val="00563557"/>
    <w:rsid w:val="00572DAF"/>
    <w:rsid w:val="005734E3"/>
    <w:rsid w:val="0057402A"/>
    <w:rsid w:val="005764CB"/>
    <w:rsid w:val="00576BD2"/>
    <w:rsid w:val="005771D0"/>
    <w:rsid w:val="005809F5"/>
    <w:rsid w:val="005851FF"/>
    <w:rsid w:val="0059191A"/>
    <w:rsid w:val="005921FF"/>
    <w:rsid w:val="00592380"/>
    <w:rsid w:val="005967C0"/>
    <w:rsid w:val="005A24ED"/>
    <w:rsid w:val="005A6D0E"/>
    <w:rsid w:val="005A7416"/>
    <w:rsid w:val="005B25F9"/>
    <w:rsid w:val="005B52B0"/>
    <w:rsid w:val="005B53C3"/>
    <w:rsid w:val="005B6806"/>
    <w:rsid w:val="005C017C"/>
    <w:rsid w:val="005C4225"/>
    <w:rsid w:val="005D27D8"/>
    <w:rsid w:val="005D4161"/>
    <w:rsid w:val="005D7088"/>
    <w:rsid w:val="005E1F45"/>
    <w:rsid w:val="005E561B"/>
    <w:rsid w:val="005E60BC"/>
    <w:rsid w:val="005F0DAD"/>
    <w:rsid w:val="005F0EAF"/>
    <w:rsid w:val="005F0F33"/>
    <w:rsid w:val="005F0F53"/>
    <w:rsid w:val="005F4153"/>
    <w:rsid w:val="005F5601"/>
    <w:rsid w:val="00600DEB"/>
    <w:rsid w:val="00601576"/>
    <w:rsid w:val="00604549"/>
    <w:rsid w:val="00604A40"/>
    <w:rsid w:val="0062006F"/>
    <w:rsid w:val="00622E5C"/>
    <w:rsid w:val="00627C9F"/>
    <w:rsid w:val="00630213"/>
    <w:rsid w:val="006311E9"/>
    <w:rsid w:val="00632354"/>
    <w:rsid w:val="00632A2F"/>
    <w:rsid w:val="006340F4"/>
    <w:rsid w:val="00635421"/>
    <w:rsid w:val="006403F5"/>
    <w:rsid w:val="00641902"/>
    <w:rsid w:val="00642810"/>
    <w:rsid w:val="00643A73"/>
    <w:rsid w:val="006452D5"/>
    <w:rsid w:val="0065060B"/>
    <w:rsid w:val="00652333"/>
    <w:rsid w:val="00663F80"/>
    <w:rsid w:val="006710C3"/>
    <w:rsid w:val="006755A2"/>
    <w:rsid w:val="00675AC8"/>
    <w:rsid w:val="0068009E"/>
    <w:rsid w:val="0068262A"/>
    <w:rsid w:val="006845D1"/>
    <w:rsid w:val="00684F19"/>
    <w:rsid w:val="00692219"/>
    <w:rsid w:val="00695EF3"/>
    <w:rsid w:val="006961A4"/>
    <w:rsid w:val="00697949"/>
    <w:rsid w:val="006A17D2"/>
    <w:rsid w:val="006A73E6"/>
    <w:rsid w:val="006B0E19"/>
    <w:rsid w:val="006B0F9D"/>
    <w:rsid w:val="006B2D5C"/>
    <w:rsid w:val="006B53E9"/>
    <w:rsid w:val="006B73DE"/>
    <w:rsid w:val="006C0ECF"/>
    <w:rsid w:val="006C4EB1"/>
    <w:rsid w:val="006C5CA0"/>
    <w:rsid w:val="006D6B45"/>
    <w:rsid w:val="006D78C5"/>
    <w:rsid w:val="006E0166"/>
    <w:rsid w:val="006E2FFB"/>
    <w:rsid w:val="006E621A"/>
    <w:rsid w:val="006E78B1"/>
    <w:rsid w:val="006E7B34"/>
    <w:rsid w:val="006F7C78"/>
    <w:rsid w:val="00700C23"/>
    <w:rsid w:val="0070423C"/>
    <w:rsid w:val="00705D64"/>
    <w:rsid w:val="007066DD"/>
    <w:rsid w:val="0070697F"/>
    <w:rsid w:val="007103C4"/>
    <w:rsid w:val="00712794"/>
    <w:rsid w:val="00720B3B"/>
    <w:rsid w:val="0072199C"/>
    <w:rsid w:val="00722C9F"/>
    <w:rsid w:val="0072375E"/>
    <w:rsid w:val="007253B8"/>
    <w:rsid w:val="00727EF7"/>
    <w:rsid w:val="00730F44"/>
    <w:rsid w:val="00731791"/>
    <w:rsid w:val="007323A3"/>
    <w:rsid w:val="007361D8"/>
    <w:rsid w:val="0073741F"/>
    <w:rsid w:val="00744D9D"/>
    <w:rsid w:val="00752A85"/>
    <w:rsid w:val="007648D8"/>
    <w:rsid w:val="00765A7C"/>
    <w:rsid w:val="0076643F"/>
    <w:rsid w:val="00772AFD"/>
    <w:rsid w:val="007737AC"/>
    <w:rsid w:val="00777F63"/>
    <w:rsid w:val="00780FEE"/>
    <w:rsid w:val="00785E33"/>
    <w:rsid w:val="00786448"/>
    <w:rsid w:val="00787524"/>
    <w:rsid w:val="0079188B"/>
    <w:rsid w:val="007A2106"/>
    <w:rsid w:val="007A325F"/>
    <w:rsid w:val="007A330F"/>
    <w:rsid w:val="007A3EEA"/>
    <w:rsid w:val="007A5817"/>
    <w:rsid w:val="007A6DEC"/>
    <w:rsid w:val="007B05C4"/>
    <w:rsid w:val="007B0F27"/>
    <w:rsid w:val="007B60E9"/>
    <w:rsid w:val="007B6CC3"/>
    <w:rsid w:val="007B76D3"/>
    <w:rsid w:val="007C1D93"/>
    <w:rsid w:val="007C284F"/>
    <w:rsid w:val="007C3334"/>
    <w:rsid w:val="007C72C7"/>
    <w:rsid w:val="007C738C"/>
    <w:rsid w:val="007C79A4"/>
    <w:rsid w:val="007C7D58"/>
    <w:rsid w:val="007D2B98"/>
    <w:rsid w:val="007D6BC6"/>
    <w:rsid w:val="007E21BC"/>
    <w:rsid w:val="007E58E5"/>
    <w:rsid w:val="007E6D56"/>
    <w:rsid w:val="007E7C82"/>
    <w:rsid w:val="007F02D8"/>
    <w:rsid w:val="007F2AA1"/>
    <w:rsid w:val="007F588D"/>
    <w:rsid w:val="00801300"/>
    <w:rsid w:val="00803F1C"/>
    <w:rsid w:val="0080600E"/>
    <w:rsid w:val="00810211"/>
    <w:rsid w:val="00810467"/>
    <w:rsid w:val="00810A66"/>
    <w:rsid w:val="008138B5"/>
    <w:rsid w:val="0081460F"/>
    <w:rsid w:val="00814688"/>
    <w:rsid w:val="0081499C"/>
    <w:rsid w:val="00817612"/>
    <w:rsid w:val="00820B25"/>
    <w:rsid w:val="008233B9"/>
    <w:rsid w:val="008324BD"/>
    <w:rsid w:val="008338A4"/>
    <w:rsid w:val="00834D49"/>
    <w:rsid w:val="00837391"/>
    <w:rsid w:val="00837C45"/>
    <w:rsid w:val="00844730"/>
    <w:rsid w:val="008457C2"/>
    <w:rsid w:val="00850DF5"/>
    <w:rsid w:val="00857A82"/>
    <w:rsid w:val="00857FD9"/>
    <w:rsid w:val="008604C3"/>
    <w:rsid w:val="00873836"/>
    <w:rsid w:val="00885737"/>
    <w:rsid w:val="00890650"/>
    <w:rsid w:val="00890DA0"/>
    <w:rsid w:val="00893E1E"/>
    <w:rsid w:val="008944DC"/>
    <w:rsid w:val="00896499"/>
    <w:rsid w:val="00897E12"/>
    <w:rsid w:val="00897F2A"/>
    <w:rsid w:val="008A5620"/>
    <w:rsid w:val="008A6023"/>
    <w:rsid w:val="008A683F"/>
    <w:rsid w:val="008A7E0F"/>
    <w:rsid w:val="008B12F5"/>
    <w:rsid w:val="008B72DD"/>
    <w:rsid w:val="008B7C37"/>
    <w:rsid w:val="008C1B7E"/>
    <w:rsid w:val="008C35FB"/>
    <w:rsid w:val="008C5E2D"/>
    <w:rsid w:val="008C6305"/>
    <w:rsid w:val="008C752B"/>
    <w:rsid w:val="008D0E2A"/>
    <w:rsid w:val="008D1154"/>
    <w:rsid w:val="008D2748"/>
    <w:rsid w:val="008D58E9"/>
    <w:rsid w:val="008D768D"/>
    <w:rsid w:val="008E31DA"/>
    <w:rsid w:val="008E3759"/>
    <w:rsid w:val="008E3BFE"/>
    <w:rsid w:val="008E41B9"/>
    <w:rsid w:val="008E584B"/>
    <w:rsid w:val="008E7E4E"/>
    <w:rsid w:val="008F1912"/>
    <w:rsid w:val="008F4433"/>
    <w:rsid w:val="0090096B"/>
    <w:rsid w:val="00901503"/>
    <w:rsid w:val="009024BE"/>
    <w:rsid w:val="0090270B"/>
    <w:rsid w:val="009041DC"/>
    <w:rsid w:val="00906D18"/>
    <w:rsid w:val="0091099C"/>
    <w:rsid w:val="00913708"/>
    <w:rsid w:val="00915EAF"/>
    <w:rsid w:val="00917B5A"/>
    <w:rsid w:val="00920A58"/>
    <w:rsid w:val="00920A8C"/>
    <w:rsid w:val="0093300A"/>
    <w:rsid w:val="0093424A"/>
    <w:rsid w:val="00934A2C"/>
    <w:rsid w:val="009375C9"/>
    <w:rsid w:val="00937D95"/>
    <w:rsid w:val="00942466"/>
    <w:rsid w:val="00945209"/>
    <w:rsid w:val="00950C33"/>
    <w:rsid w:val="00951913"/>
    <w:rsid w:val="009559E7"/>
    <w:rsid w:val="00961910"/>
    <w:rsid w:val="00965C06"/>
    <w:rsid w:val="0096706E"/>
    <w:rsid w:val="00974276"/>
    <w:rsid w:val="00974491"/>
    <w:rsid w:val="00975AE3"/>
    <w:rsid w:val="00975C4E"/>
    <w:rsid w:val="00977BB4"/>
    <w:rsid w:val="00981FBA"/>
    <w:rsid w:val="0098567F"/>
    <w:rsid w:val="009901FF"/>
    <w:rsid w:val="0099347D"/>
    <w:rsid w:val="00994229"/>
    <w:rsid w:val="009976F7"/>
    <w:rsid w:val="00997BC5"/>
    <w:rsid w:val="009A4F41"/>
    <w:rsid w:val="009A56CE"/>
    <w:rsid w:val="009B17B0"/>
    <w:rsid w:val="009B28CD"/>
    <w:rsid w:val="009B381B"/>
    <w:rsid w:val="009C0D1D"/>
    <w:rsid w:val="009C3F91"/>
    <w:rsid w:val="009C4C8C"/>
    <w:rsid w:val="009D1753"/>
    <w:rsid w:val="009D3F3D"/>
    <w:rsid w:val="009D7611"/>
    <w:rsid w:val="009E0B61"/>
    <w:rsid w:val="009E0CAE"/>
    <w:rsid w:val="009E2D16"/>
    <w:rsid w:val="009E4EBF"/>
    <w:rsid w:val="009E53DE"/>
    <w:rsid w:val="009F05D4"/>
    <w:rsid w:val="009F0D7B"/>
    <w:rsid w:val="009F318C"/>
    <w:rsid w:val="009F409E"/>
    <w:rsid w:val="009F5A52"/>
    <w:rsid w:val="009F65E3"/>
    <w:rsid w:val="00A03D81"/>
    <w:rsid w:val="00A03F6A"/>
    <w:rsid w:val="00A11212"/>
    <w:rsid w:val="00A11837"/>
    <w:rsid w:val="00A11E44"/>
    <w:rsid w:val="00A13E1C"/>
    <w:rsid w:val="00A15562"/>
    <w:rsid w:val="00A17817"/>
    <w:rsid w:val="00A206D7"/>
    <w:rsid w:val="00A23260"/>
    <w:rsid w:val="00A30100"/>
    <w:rsid w:val="00A311B1"/>
    <w:rsid w:val="00A3206D"/>
    <w:rsid w:val="00A328B3"/>
    <w:rsid w:val="00A43AA3"/>
    <w:rsid w:val="00A47C3B"/>
    <w:rsid w:val="00A50FCF"/>
    <w:rsid w:val="00A528D1"/>
    <w:rsid w:val="00A54BB6"/>
    <w:rsid w:val="00A55017"/>
    <w:rsid w:val="00A55C01"/>
    <w:rsid w:val="00A60CD1"/>
    <w:rsid w:val="00A610CD"/>
    <w:rsid w:val="00A640EE"/>
    <w:rsid w:val="00A720FC"/>
    <w:rsid w:val="00A72147"/>
    <w:rsid w:val="00A758AA"/>
    <w:rsid w:val="00A83F2A"/>
    <w:rsid w:val="00A84578"/>
    <w:rsid w:val="00AA09A2"/>
    <w:rsid w:val="00AA7996"/>
    <w:rsid w:val="00AA7F1D"/>
    <w:rsid w:val="00AB0E7C"/>
    <w:rsid w:val="00AC19CB"/>
    <w:rsid w:val="00AC2257"/>
    <w:rsid w:val="00AC5C62"/>
    <w:rsid w:val="00AC71E2"/>
    <w:rsid w:val="00AD2879"/>
    <w:rsid w:val="00AD6E0E"/>
    <w:rsid w:val="00AE5488"/>
    <w:rsid w:val="00AE628D"/>
    <w:rsid w:val="00AE6F91"/>
    <w:rsid w:val="00AE7224"/>
    <w:rsid w:val="00AF5571"/>
    <w:rsid w:val="00B04818"/>
    <w:rsid w:val="00B0596A"/>
    <w:rsid w:val="00B06E8C"/>
    <w:rsid w:val="00B07341"/>
    <w:rsid w:val="00B1106B"/>
    <w:rsid w:val="00B1281A"/>
    <w:rsid w:val="00B151E4"/>
    <w:rsid w:val="00B163A7"/>
    <w:rsid w:val="00B17E49"/>
    <w:rsid w:val="00B26EDE"/>
    <w:rsid w:val="00B300EF"/>
    <w:rsid w:val="00B30539"/>
    <w:rsid w:val="00B314DB"/>
    <w:rsid w:val="00B3353B"/>
    <w:rsid w:val="00B35232"/>
    <w:rsid w:val="00B361F2"/>
    <w:rsid w:val="00B3718B"/>
    <w:rsid w:val="00B3745F"/>
    <w:rsid w:val="00B41322"/>
    <w:rsid w:val="00B441CB"/>
    <w:rsid w:val="00B45BF0"/>
    <w:rsid w:val="00B4632A"/>
    <w:rsid w:val="00B530F1"/>
    <w:rsid w:val="00B54DA2"/>
    <w:rsid w:val="00B607FD"/>
    <w:rsid w:val="00B6091D"/>
    <w:rsid w:val="00B6765D"/>
    <w:rsid w:val="00B713D9"/>
    <w:rsid w:val="00B7324C"/>
    <w:rsid w:val="00B7660A"/>
    <w:rsid w:val="00B80A2C"/>
    <w:rsid w:val="00B81843"/>
    <w:rsid w:val="00B93D7F"/>
    <w:rsid w:val="00BA276C"/>
    <w:rsid w:val="00BA409A"/>
    <w:rsid w:val="00BA6B7F"/>
    <w:rsid w:val="00BB019D"/>
    <w:rsid w:val="00BB08B8"/>
    <w:rsid w:val="00BB0E95"/>
    <w:rsid w:val="00BB306F"/>
    <w:rsid w:val="00BB59B7"/>
    <w:rsid w:val="00BD0FF5"/>
    <w:rsid w:val="00BD30B0"/>
    <w:rsid w:val="00BD39A1"/>
    <w:rsid w:val="00BD4B89"/>
    <w:rsid w:val="00BD5922"/>
    <w:rsid w:val="00BE161A"/>
    <w:rsid w:val="00BE33C3"/>
    <w:rsid w:val="00BE6C1C"/>
    <w:rsid w:val="00BF02CB"/>
    <w:rsid w:val="00BF134A"/>
    <w:rsid w:val="00BF6FD8"/>
    <w:rsid w:val="00C01768"/>
    <w:rsid w:val="00C0282B"/>
    <w:rsid w:val="00C02DFB"/>
    <w:rsid w:val="00C03680"/>
    <w:rsid w:val="00C054DF"/>
    <w:rsid w:val="00C06889"/>
    <w:rsid w:val="00C102EC"/>
    <w:rsid w:val="00C21762"/>
    <w:rsid w:val="00C21D58"/>
    <w:rsid w:val="00C21FEF"/>
    <w:rsid w:val="00C23BA4"/>
    <w:rsid w:val="00C24543"/>
    <w:rsid w:val="00C256A2"/>
    <w:rsid w:val="00C25ADB"/>
    <w:rsid w:val="00C27415"/>
    <w:rsid w:val="00C34566"/>
    <w:rsid w:val="00C37641"/>
    <w:rsid w:val="00C40FE6"/>
    <w:rsid w:val="00C42518"/>
    <w:rsid w:val="00C452C2"/>
    <w:rsid w:val="00C4673A"/>
    <w:rsid w:val="00C51515"/>
    <w:rsid w:val="00C529CB"/>
    <w:rsid w:val="00C54530"/>
    <w:rsid w:val="00C5660B"/>
    <w:rsid w:val="00C61E61"/>
    <w:rsid w:val="00C638D0"/>
    <w:rsid w:val="00C66B72"/>
    <w:rsid w:val="00C71C4B"/>
    <w:rsid w:val="00C73855"/>
    <w:rsid w:val="00C75D56"/>
    <w:rsid w:val="00C808CA"/>
    <w:rsid w:val="00C83BCA"/>
    <w:rsid w:val="00C87AC4"/>
    <w:rsid w:val="00C92731"/>
    <w:rsid w:val="00C93B9E"/>
    <w:rsid w:val="00C9567A"/>
    <w:rsid w:val="00CA230D"/>
    <w:rsid w:val="00CB183E"/>
    <w:rsid w:val="00CB212D"/>
    <w:rsid w:val="00CB2660"/>
    <w:rsid w:val="00CB30C6"/>
    <w:rsid w:val="00CB5890"/>
    <w:rsid w:val="00CC0AD9"/>
    <w:rsid w:val="00CC1FA5"/>
    <w:rsid w:val="00CC3282"/>
    <w:rsid w:val="00CC5E90"/>
    <w:rsid w:val="00CD046C"/>
    <w:rsid w:val="00CD066C"/>
    <w:rsid w:val="00CD2E0E"/>
    <w:rsid w:val="00CD607F"/>
    <w:rsid w:val="00CE070C"/>
    <w:rsid w:val="00CE076C"/>
    <w:rsid w:val="00CE1B73"/>
    <w:rsid w:val="00CE4E25"/>
    <w:rsid w:val="00CE5199"/>
    <w:rsid w:val="00CE55F7"/>
    <w:rsid w:val="00CE62B7"/>
    <w:rsid w:val="00CE66D5"/>
    <w:rsid w:val="00CE7376"/>
    <w:rsid w:val="00CF1107"/>
    <w:rsid w:val="00CF326A"/>
    <w:rsid w:val="00CF637A"/>
    <w:rsid w:val="00D049A2"/>
    <w:rsid w:val="00D052AB"/>
    <w:rsid w:val="00D059DE"/>
    <w:rsid w:val="00D05ABD"/>
    <w:rsid w:val="00D11320"/>
    <w:rsid w:val="00D13FCE"/>
    <w:rsid w:val="00D15190"/>
    <w:rsid w:val="00D165BD"/>
    <w:rsid w:val="00D1715C"/>
    <w:rsid w:val="00D306D1"/>
    <w:rsid w:val="00D30800"/>
    <w:rsid w:val="00D34786"/>
    <w:rsid w:val="00D37BFC"/>
    <w:rsid w:val="00D424B1"/>
    <w:rsid w:val="00D4293B"/>
    <w:rsid w:val="00D45015"/>
    <w:rsid w:val="00D469B9"/>
    <w:rsid w:val="00D47A8E"/>
    <w:rsid w:val="00D52C14"/>
    <w:rsid w:val="00D52D14"/>
    <w:rsid w:val="00D6172F"/>
    <w:rsid w:val="00D712D3"/>
    <w:rsid w:val="00D71422"/>
    <w:rsid w:val="00D72DC6"/>
    <w:rsid w:val="00D7412C"/>
    <w:rsid w:val="00D74ED8"/>
    <w:rsid w:val="00D7558D"/>
    <w:rsid w:val="00D75F1D"/>
    <w:rsid w:val="00D81D92"/>
    <w:rsid w:val="00D876F9"/>
    <w:rsid w:val="00DA303E"/>
    <w:rsid w:val="00DA7B5F"/>
    <w:rsid w:val="00DB772F"/>
    <w:rsid w:val="00DB7AE4"/>
    <w:rsid w:val="00DC0D1A"/>
    <w:rsid w:val="00DC11E7"/>
    <w:rsid w:val="00DC24E3"/>
    <w:rsid w:val="00DC7023"/>
    <w:rsid w:val="00DC704F"/>
    <w:rsid w:val="00DC769A"/>
    <w:rsid w:val="00DD0AA9"/>
    <w:rsid w:val="00DD2DFE"/>
    <w:rsid w:val="00DD3D86"/>
    <w:rsid w:val="00DD4AD2"/>
    <w:rsid w:val="00DD629A"/>
    <w:rsid w:val="00DE0A15"/>
    <w:rsid w:val="00DE26E1"/>
    <w:rsid w:val="00DE2862"/>
    <w:rsid w:val="00DE3F29"/>
    <w:rsid w:val="00DE5E94"/>
    <w:rsid w:val="00DE6165"/>
    <w:rsid w:val="00DF1EC4"/>
    <w:rsid w:val="00DF2CFC"/>
    <w:rsid w:val="00DF5F6A"/>
    <w:rsid w:val="00DF62F2"/>
    <w:rsid w:val="00E0340B"/>
    <w:rsid w:val="00E03973"/>
    <w:rsid w:val="00E04A90"/>
    <w:rsid w:val="00E0551F"/>
    <w:rsid w:val="00E205B1"/>
    <w:rsid w:val="00E21215"/>
    <w:rsid w:val="00E219C7"/>
    <w:rsid w:val="00E24AC4"/>
    <w:rsid w:val="00E250F3"/>
    <w:rsid w:val="00E305EB"/>
    <w:rsid w:val="00E31749"/>
    <w:rsid w:val="00E4118C"/>
    <w:rsid w:val="00E43157"/>
    <w:rsid w:val="00E461CE"/>
    <w:rsid w:val="00E4729B"/>
    <w:rsid w:val="00E516AD"/>
    <w:rsid w:val="00E5367F"/>
    <w:rsid w:val="00E56D2F"/>
    <w:rsid w:val="00E573E4"/>
    <w:rsid w:val="00E619BF"/>
    <w:rsid w:val="00E64C3D"/>
    <w:rsid w:val="00E66075"/>
    <w:rsid w:val="00E679D3"/>
    <w:rsid w:val="00E71776"/>
    <w:rsid w:val="00E720CA"/>
    <w:rsid w:val="00E724CA"/>
    <w:rsid w:val="00E7565B"/>
    <w:rsid w:val="00E84EB5"/>
    <w:rsid w:val="00E85662"/>
    <w:rsid w:val="00E86123"/>
    <w:rsid w:val="00E8789F"/>
    <w:rsid w:val="00E906F4"/>
    <w:rsid w:val="00E923D4"/>
    <w:rsid w:val="00E96082"/>
    <w:rsid w:val="00E970D0"/>
    <w:rsid w:val="00E97B71"/>
    <w:rsid w:val="00E97BB4"/>
    <w:rsid w:val="00E97D74"/>
    <w:rsid w:val="00EA3D34"/>
    <w:rsid w:val="00EA3DA3"/>
    <w:rsid w:val="00EA47E4"/>
    <w:rsid w:val="00EA4F24"/>
    <w:rsid w:val="00EB454D"/>
    <w:rsid w:val="00EB5535"/>
    <w:rsid w:val="00EC0B00"/>
    <w:rsid w:val="00ED549D"/>
    <w:rsid w:val="00ED5E10"/>
    <w:rsid w:val="00ED6261"/>
    <w:rsid w:val="00ED7192"/>
    <w:rsid w:val="00ED76BE"/>
    <w:rsid w:val="00EE00E9"/>
    <w:rsid w:val="00EE5F5F"/>
    <w:rsid w:val="00EF1AAA"/>
    <w:rsid w:val="00EF619B"/>
    <w:rsid w:val="00EF7D9C"/>
    <w:rsid w:val="00F00B55"/>
    <w:rsid w:val="00F01712"/>
    <w:rsid w:val="00F02AD1"/>
    <w:rsid w:val="00F15564"/>
    <w:rsid w:val="00F1622D"/>
    <w:rsid w:val="00F225F9"/>
    <w:rsid w:val="00F22FFB"/>
    <w:rsid w:val="00F2433C"/>
    <w:rsid w:val="00F2517D"/>
    <w:rsid w:val="00F253CC"/>
    <w:rsid w:val="00F32FEF"/>
    <w:rsid w:val="00F360BC"/>
    <w:rsid w:val="00F36CB6"/>
    <w:rsid w:val="00F37106"/>
    <w:rsid w:val="00F44E25"/>
    <w:rsid w:val="00F519CF"/>
    <w:rsid w:val="00F5540C"/>
    <w:rsid w:val="00F56BA5"/>
    <w:rsid w:val="00F56ECB"/>
    <w:rsid w:val="00F5770D"/>
    <w:rsid w:val="00F60E22"/>
    <w:rsid w:val="00F6123B"/>
    <w:rsid w:val="00F64F34"/>
    <w:rsid w:val="00F70195"/>
    <w:rsid w:val="00F81395"/>
    <w:rsid w:val="00F81BB8"/>
    <w:rsid w:val="00F90C64"/>
    <w:rsid w:val="00F90EB5"/>
    <w:rsid w:val="00F917D1"/>
    <w:rsid w:val="00F93C5F"/>
    <w:rsid w:val="00F943D7"/>
    <w:rsid w:val="00F9653B"/>
    <w:rsid w:val="00FA27A3"/>
    <w:rsid w:val="00FA517A"/>
    <w:rsid w:val="00FB2050"/>
    <w:rsid w:val="00FB62CF"/>
    <w:rsid w:val="00FC44FE"/>
    <w:rsid w:val="00FC48E6"/>
    <w:rsid w:val="00FD0445"/>
    <w:rsid w:val="00FD262F"/>
    <w:rsid w:val="00FD3C3B"/>
    <w:rsid w:val="00FD7A44"/>
    <w:rsid w:val="00FE07DD"/>
    <w:rsid w:val="00FE2BF4"/>
    <w:rsid w:val="00FE2C73"/>
    <w:rsid w:val="00FE2EF0"/>
    <w:rsid w:val="00FE379E"/>
    <w:rsid w:val="00FE54AB"/>
    <w:rsid w:val="00FE6B45"/>
    <w:rsid w:val="00FF0F84"/>
    <w:rsid w:val="00FF14AD"/>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8D1154"/>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qFormat/>
    <w:rsid w:val="00355BA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paragraph">
    <w:name w:val="paragraph"/>
    <w:basedOn w:val="Normal"/>
    <w:rsid w:val="00663F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663F80"/>
  </w:style>
  <w:style w:type="character" w:customStyle="1" w:styleId="eop">
    <w:name w:val="eop"/>
    <w:basedOn w:val="DefaultParagraphFont"/>
    <w:rsid w:val="00663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1435A5"/>
    <w:rsid w:val="00200821"/>
    <w:rsid w:val="0025245B"/>
    <w:rsid w:val="0028459B"/>
    <w:rsid w:val="002A3923"/>
    <w:rsid w:val="002E42B7"/>
    <w:rsid w:val="00323DD5"/>
    <w:rsid w:val="00335D68"/>
    <w:rsid w:val="00394049"/>
    <w:rsid w:val="003B0C71"/>
    <w:rsid w:val="003B795E"/>
    <w:rsid w:val="003E2DD8"/>
    <w:rsid w:val="003F6CAC"/>
    <w:rsid w:val="004A009D"/>
    <w:rsid w:val="004B5BBB"/>
    <w:rsid w:val="004F2DF8"/>
    <w:rsid w:val="00517E2A"/>
    <w:rsid w:val="006D3128"/>
    <w:rsid w:val="006F24A1"/>
    <w:rsid w:val="007931E9"/>
    <w:rsid w:val="007C72C7"/>
    <w:rsid w:val="00875B8A"/>
    <w:rsid w:val="008937F7"/>
    <w:rsid w:val="008953BC"/>
    <w:rsid w:val="008E1FF1"/>
    <w:rsid w:val="00901503"/>
    <w:rsid w:val="00915EAF"/>
    <w:rsid w:val="009A261B"/>
    <w:rsid w:val="009E4EBF"/>
    <w:rsid w:val="00AA2E17"/>
    <w:rsid w:val="00AC15A4"/>
    <w:rsid w:val="00AE628D"/>
    <w:rsid w:val="00B0336C"/>
    <w:rsid w:val="00D241E9"/>
    <w:rsid w:val="00D3126A"/>
    <w:rsid w:val="00D7750D"/>
    <w:rsid w:val="00DD629A"/>
    <w:rsid w:val="00DE3F29"/>
    <w:rsid w:val="00E66075"/>
    <w:rsid w:val="00EA4F24"/>
    <w:rsid w:val="00F00D2F"/>
    <w:rsid w:val="00F128DF"/>
    <w:rsid w:val="00FC44FE"/>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980B5060-702F-4BAB-BCC1-EF6284841FFE}">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0AD96A5E-F3ED-4B64-B2F7-DA74A2988124}">
  <ds:schemaRefs>
    <ds:schemaRef ds:uri="http://schemas.microsoft.com/sharepoint/v3/contenttype/forms"/>
  </ds:schemaRefs>
</ds:datastoreItem>
</file>

<file path=customXml/itemProps4.xml><?xml version="1.0" encoding="utf-8"?>
<ds:datastoreItem xmlns:ds="http://schemas.openxmlformats.org/officeDocument/2006/customXml" ds:itemID="{EFB5C4CD-AE0A-4438-B699-3E56C6502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3822</Words>
  <Characters>21788</Characters>
  <Application>Microsoft Office Word</Application>
  <DocSecurity>0</DocSecurity>
  <Lines>181</Lines>
  <Paragraphs>51</Paragraphs>
  <ScaleCrop>false</ScaleCrop>
  <Company/>
  <LinksUpToDate>false</LinksUpToDate>
  <CharactersWithSpaces>25559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2025-10-17T15:41:00Z</dcterms:created>
  <dcterms:modified xsi:type="dcterms:W3CDTF">2025-10-17T15:41:00Z</dcterms:modified>
</cp:coreProperties>
</file>