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462B2"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69504"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10AF1B1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25E5B">
                              <w:rPr>
                                <w:rFonts w:asciiTheme="majorHAnsi" w:hAnsiTheme="majorHAnsi" w:cs="Arial"/>
                                <w:b/>
                                <w:bCs/>
                                <w:color w:val="0D0D0D" w:themeColor="text1" w:themeTint="F2"/>
                                <w:sz w:val="36"/>
                                <w:szCs w:val="22"/>
                                <w:lang w:val="es-ES_tradnl"/>
                              </w:rPr>
                              <w:t>127</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7ED0F72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637AC5">
                              <w:rPr>
                                <w:rFonts w:asciiTheme="majorHAnsi" w:hAnsiTheme="majorHAnsi" w:cs="Arial"/>
                                <w:b/>
                                <w:color w:val="0D0D0D" w:themeColor="text1" w:themeTint="F2"/>
                                <w:sz w:val="36"/>
                                <w:szCs w:val="22"/>
                                <w:lang w:val="es-ES_tradnl"/>
                              </w:rPr>
                              <w:t xml:space="preserve"> 1129-15</w:t>
                            </w:r>
                          </w:p>
                          <w:p w14:paraId="70CF6833" w14:textId="5EF0D73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4BEDD49A" w:rsidR="00EB197F" w:rsidRPr="00CF51DB" w:rsidRDefault="00595805" w:rsidP="00997BC5">
                            <w:pPr>
                              <w:spacing w:line="276" w:lineRule="auto"/>
                              <w:rPr>
                                <w:rFonts w:asciiTheme="majorHAnsi" w:hAnsiTheme="majorHAnsi" w:cs="Arial"/>
                                <w:color w:val="0D0D0D" w:themeColor="text1" w:themeTint="F2"/>
                                <w:szCs w:val="22"/>
                                <w:lang w:val="es-ES_tradnl"/>
                              </w:rPr>
                            </w:pPr>
                            <w:r w:rsidRPr="00CF51DB">
                              <w:rPr>
                                <w:rFonts w:asciiTheme="majorHAnsi" w:hAnsiTheme="majorHAnsi" w:cs="Arial"/>
                                <w:color w:val="0D0D0D" w:themeColor="text1" w:themeTint="F2"/>
                                <w:szCs w:val="22"/>
                                <w:lang w:val="es-ES_tradnl"/>
                              </w:rPr>
                              <w:t xml:space="preserve">JOSÉ SEVERO PRIETO VELÁSQUEZ </w:t>
                            </w:r>
                            <w:r w:rsidR="00637AC5" w:rsidRPr="00CF51DB">
                              <w:rPr>
                                <w:rFonts w:asciiTheme="majorHAnsi" w:hAnsiTheme="majorHAnsi" w:cs="Arial"/>
                                <w:color w:val="0D0D0D" w:themeColor="text1" w:themeTint="F2"/>
                                <w:szCs w:val="22"/>
                                <w:lang w:val="es-ES_tradnl"/>
                              </w:rPr>
                              <w:t>Y OTROS</w:t>
                            </w:r>
                          </w:p>
                          <w:p w14:paraId="575DFD52" w14:textId="76D574CC" w:rsidR="005B52B0" w:rsidRPr="00EB197F" w:rsidRDefault="00637AC5" w:rsidP="007A5817">
                            <w:pPr>
                              <w:rPr>
                                <w:color w:val="0D0D0D" w:themeColor="text1" w:themeTint="F2"/>
                                <w:lang w:val="es-PE"/>
                              </w:rPr>
                            </w:pPr>
                            <w:r>
                              <w:rPr>
                                <w:rFonts w:asciiTheme="majorHAnsi" w:hAnsiTheme="majorHAnsi" w:cs="Arial"/>
                                <w:color w:val="0D0D0D" w:themeColor="text1" w:themeTint="F2"/>
                                <w:szCs w:val="22"/>
                                <w:lang w:val="es-PE"/>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10AF1B1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25E5B">
                        <w:rPr>
                          <w:rFonts w:asciiTheme="majorHAnsi" w:hAnsiTheme="majorHAnsi" w:cs="Arial"/>
                          <w:b/>
                          <w:bCs/>
                          <w:color w:val="0D0D0D" w:themeColor="text1" w:themeTint="F2"/>
                          <w:sz w:val="36"/>
                          <w:szCs w:val="22"/>
                          <w:lang w:val="es-ES_tradnl"/>
                        </w:rPr>
                        <w:t>127</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7ED0F72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637AC5">
                        <w:rPr>
                          <w:rFonts w:asciiTheme="majorHAnsi" w:hAnsiTheme="majorHAnsi" w:cs="Arial"/>
                          <w:b/>
                          <w:color w:val="0D0D0D" w:themeColor="text1" w:themeTint="F2"/>
                          <w:sz w:val="36"/>
                          <w:szCs w:val="22"/>
                          <w:lang w:val="es-ES_tradnl"/>
                        </w:rPr>
                        <w:t xml:space="preserve"> 1129-15</w:t>
                      </w:r>
                    </w:p>
                    <w:p w14:paraId="70CF6833" w14:textId="5EF0D73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4BEDD49A" w:rsidR="00EB197F" w:rsidRPr="00CF51DB" w:rsidRDefault="00595805" w:rsidP="00997BC5">
                      <w:pPr>
                        <w:spacing w:line="276" w:lineRule="auto"/>
                        <w:rPr>
                          <w:rFonts w:asciiTheme="majorHAnsi" w:hAnsiTheme="majorHAnsi" w:cs="Arial"/>
                          <w:color w:val="0D0D0D" w:themeColor="text1" w:themeTint="F2"/>
                          <w:szCs w:val="22"/>
                          <w:lang w:val="es-ES_tradnl"/>
                        </w:rPr>
                      </w:pPr>
                      <w:r w:rsidRPr="00CF51DB">
                        <w:rPr>
                          <w:rFonts w:asciiTheme="majorHAnsi" w:hAnsiTheme="majorHAnsi" w:cs="Arial"/>
                          <w:color w:val="0D0D0D" w:themeColor="text1" w:themeTint="F2"/>
                          <w:szCs w:val="22"/>
                          <w:lang w:val="es-ES_tradnl"/>
                        </w:rPr>
                        <w:t xml:space="preserve">JOSÉ SEVERO PRIETO VELÁSQUEZ </w:t>
                      </w:r>
                      <w:r w:rsidR="00637AC5" w:rsidRPr="00CF51DB">
                        <w:rPr>
                          <w:rFonts w:asciiTheme="majorHAnsi" w:hAnsiTheme="majorHAnsi" w:cs="Arial"/>
                          <w:color w:val="0D0D0D" w:themeColor="text1" w:themeTint="F2"/>
                          <w:szCs w:val="22"/>
                          <w:lang w:val="es-ES_tradnl"/>
                        </w:rPr>
                        <w:t>Y OTROS</w:t>
                      </w:r>
                    </w:p>
                    <w:p w14:paraId="575DFD52" w14:textId="76D574CC" w:rsidR="005B52B0" w:rsidRPr="00EB197F" w:rsidRDefault="00637AC5" w:rsidP="007A5817">
                      <w:pPr>
                        <w:rPr>
                          <w:color w:val="0D0D0D" w:themeColor="text1" w:themeTint="F2"/>
                          <w:lang w:val="es-PE"/>
                        </w:rPr>
                      </w:pPr>
                      <w:r>
                        <w:rPr>
                          <w:rFonts w:asciiTheme="majorHAnsi" w:hAnsiTheme="majorHAnsi" w:cs="Arial"/>
                          <w:color w:val="0D0D0D" w:themeColor="text1" w:themeTint="F2"/>
                          <w:szCs w:val="22"/>
                          <w:lang w:val="es-PE"/>
                        </w:rPr>
                        <w:t>COLOMBIA</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5349656B" w:rsidR="00627C9F" w:rsidRPr="003D648F" w:rsidRDefault="00834D49" w:rsidP="007A5817">
                            <w:pPr>
                              <w:spacing w:line="276" w:lineRule="auto"/>
                              <w:jc w:val="right"/>
                              <w:rPr>
                                <w:rFonts w:asciiTheme="minorHAnsi" w:hAnsiTheme="minorHAnsi"/>
                                <w:color w:val="FFFFFF" w:themeColor="background1"/>
                                <w:sz w:val="22"/>
                                <w:lang w:val="es-ES"/>
                              </w:rPr>
                            </w:pPr>
                            <w:r w:rsidRPr="003D648F">
                              <w:rPr>
                                <w:rFonts w:asciiTheme="minorHAnsi" w:hAnsiTheme="minorHAnsi"/>
                                <w:color w:val="FFFFFF" w:themeColor="background1"/>
                                <w:sz w:val="22"/>
                                <w:lang w:val="es-ES"/>
                              </w:rPr>
                              <w:t>OEA/Ser.L/V/II</w:t>
                            </w:r>
                          </w:p>
                          <w:p w14:paraId="6A41611B" w14:textId="256E0D15" w:rsidR="00627C9F" w:rsidRPr="003D648F" w:rsidRDefault="00627C9F" w:rsidP="007A5817">
                            <w:pPr>
                              <w:spacing w:line="276" w:lineRule="auto"/>
                              <w:jc w:val="right"/>
                              <w:rPr>
                                <w:rFonts w:asciiTheme="minorHAnsi" w:hAnsiTheme="minorHAnsi"/>
                                <w:color w:val="FFFFFF" w:themeColor="background1"/>
                                <w:sz w:val="22"/>
                                <w:lang w:val="es-ES"/>
                              </w:rPr>
                            </w:pPr>
                            <w:r w:rsidRPr="003D648F">
                              <w:rPr>
                                <w:rFonts w:asciiTheme="minorHAnsi" w:hAnsiTheme="minorHAnsi"/>
                                <w:color w:val="FFFFFF" w:themeColor="background1"/>
                                <w:sz w:val="22"/>
                                <w:lang w:val="es-ES"/>
                              </w:rPr>
                              <w:t xml:space="preserve">Doc. </w:t>
                            </w:r>
                            <w:r w:rsidR="00B25E5B" w:rsidRPr="003D648F">
                              <w:rPr>
                                <w:rFonts w:asciiTheme="minorHAnsi" w:hAnsiTheme="minorHAnsi"/>
                                <w:color w:val="FFFFFF" w:themeColor="background1"/>
                                <w:sz w:val="22"/>
                                <w:lang w:val="es-ES"/>
                              </w:rPr>
                              <w:t>133</w:t>
                            </w:r>
                          </w:p>
                          <w:p w14:paraId="69373ED2" w14:textId="350CD192" w:rsidR="00627C9F" w:rsidRPr="00C25ADB" w:rsidRDefault="00B25E5B"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julio</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5349656B" w:rsidR="00627C9F" w:rsidRPr="003D648F" w:rsidRDefault="00834D49" w:rsidP="007A5817">
                      <w:pPr>
                        <w:spacing w:line="276" w:lineRule="auto"/>
                        <w:jc w:val="right"/>
                        <w:rPr>
                          <w:rFonts w:asciiTheme="minorHAnsi" w:hAnsiTheme="minorHAnsi"/>
                          <w:color w:val="FFFFFF" w:themeColor="background1"/>
                          <w:sz w:val="22"/>
                          <w:lang w:val="es-ES"/>
                        </w:rPr>
                      </w:pPr>
                      <w:r w:rsidRPr="003D648F">
                        <w:rPr>
                          <w:rFonts w:asciiTheme="minorHAnsi" w:hAnsiTheme="minorHAnsi"/>
                          <w:color w:val="FFFFFF" w:themeColor="background1"/>
                          <w:sz w:val="22"/>
                          <w:lang w:val="es-ES"/>
                        </w:rPr>
                        <w:t>OEA/Ser.L/V/II</w:t>
                      </w:r>
                    </w:p>
                    <w:p w14:paraId="6A41611B" w14:textId="256E0D15" w:rsidR="00627C9F" w:rsidRPr="003D648F" w:rsidRDefault="00627C9F" w:rsidP="007A5817">
                      <w:pPr>
                        <w:spacing w:line="276" w:lineRule="auto"/>
                        <w:jc w:val="right"/>
                        <w:rPr>
                          <w:rFonts w:asciiTheme="minorHAnsi" w:hAnsiTheme="minorHAnsi"/>
                          <w:color w:val="FFFFFF" w:themeColor="background1"/>
                          <w:sz w:val="22"/>
                          <w:lang w:val="es-ES"/>
                        </w:rPr>
                      </w:pPr>
                      <w:r w:rsidRPr="003D648F">
                        <w:rPr>
                          <w:rFonts w:asciiTheme="minorHAnsi" w:hAnsiTheme="minorHAnsi"/>
                          <w:color w:val="FFFFFF" w:themeColor="background1"/>
                          <w:sz w:val="22"/>
                          <w:lang w:val="es-ES"/>
                        </w:rPr>
                        <w:t xml:space="preserve">Doc. </w:t>
                      </w:r>
                      <w:r w:rsidR="00B25E5B" w:rsidRPr="003D648F">
                        <w:rPr>
                          <w:rFonts w:asciiTheme="minorHAnsi" w:hAnsiTheme="minorHAnsi"/>
                          <w:color w:val="FFFFFF" w:themeColor="background1"/>
                          <w:sz w:val="22"/>
                          <w:lang w:val="es-ES"/>
                        </w:rPr>
                        <w:t>133</w:t>
                      </w:r>
                    </w:p>
                    <w:p w14:paraId="69373ED2" w14:textId="350CD192" w:rsidR="00627C9F" w:rsidRPr="00C25ADB" w:rsidRDefault="00B25E5B"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julio</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43F2DD7C"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3D648F">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3D648F">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3D648F">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43F2DD7C"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3D648F">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3D648F">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3D648F">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E7EE3" w14:textId="77777777" w:rsidR="003D648F"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3D648F" w:rsidRPr="003D648F">
                              <w:rPr>
                                <w:rFonts w:asciiTheme="majorHAnsi" w:hAnsiTheme="majorHAnsi"/>
                                <w:color w:val="595959" w:themeColor="text1" w:themeTint="A6"/>
                                <w:sz w:val="18"/>
                                <w:szCs w:val="18"/>
                                <w:lang w:val="pt-BR"/>
                              </w:rPr>
                              <w:t>127</w:t>
                            </w:r>
                            <w:r w:rsidR="007B05C4" w:rsidRPr="003D648F">
                              <w:rPr>
                                <w:rFonts w:asciiTheme="majorHAnsi" w:hAnsiTheme="majorHAnsi"/>
                                <w:color w:val="595959" w:themeColor="text1" w:themeTint="A6"/>
                                <w:sz w:val="18"/>
                                <w:szCs w:val="18"/>
                                <w:lang w:val="pt-BR"/>
                              </w:rPr>
                              <w:t>/</w:t>
                            </w:r>
                            <w:r w:rsidR="003D648F" w:rsidRPr="003D648F">
                              <w:rPr>
                                <w:rFonts w:asciiTheme="majorHAnsi" w:hAnsiTheme="majorHAnsi"/>
                                <w:color w:val="595959" w:themeColor="text1" w:themeTint="A6"/>
                                <w:sz w:val="18"/>
                                <w:szCs w:val="18"/>
                                <w:lang w:val="pt-BR"/>
                              </w:rPr>
                              <w:t>25</w:t>
                            </w:r>
                            <w:r w:rsidRPr="003D648F">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637AC5">
                              <w:rPr>
                                <w:rFonts w:asciiTheme="majorHAnsi" w:hAnsiTheme="majorHAnsi"/>
                                <w:color w:val="595959" w:themeColor="text1" w:themeTint="A6"/>
                                <w:sz w:val="18"/>
                                <w:szCs w:val="18"/>
                                <w:lang w:val="es-ES"/>
                              </w:rPr>
                              <w:t>1129-15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CF51DB">
                              <w:rPr>
                                <w:rFonts w:asciiTheme="majorHAnsi" w:hAnsiTheme="majorHAnsi"/>
                                <w:color w:val="595959" w:themeColor="text1" w:themeTint="A6"/>
                                <w:sz w:val="18"/>
                                <w:szCs w:val="18"/>
                                <w:lang w:val="es-ES_tradnl"/>
                              </w:rPr>
                              <w:t xml:space="preserve">. </w:t>
                            </w:r>
                          </w:p>
                          <w:p w14:paraId="0D1B22CF" w14:textId="2B8FF155" w:rsidR="00113F73" w:rsidRPr="007B05C4" w:rsidRDefault="00595805" w:rsidP="00113F73">
                            <w:pPr>
                              <w:spacing w:line="276" w:lineRule="auto"/>
                              <w:rPr>
                                <w:rFonts w:asciiTheme="majorHAnsi" w:hAnsiTheme="majorHAnsi"/>
                                <w:color w:val="595959" w:themeColor="text1" w:themeTint="A6"/>
                                <w:sz w:val="18"/>
                                <w:szCs w:val="18"/>
                                <w:lang w:val="es-ES"/>
                              </w:rPr>
                            </w:pPr>
                            <w:r w:rsidRPr="00CF51DB">
                              <w:rPr>
                                <w:rFonts w:asciiTheme="majorHAnsi" w:hAnsiTheme="majorHAnsi"/>
                                <w:color w:val="595959" w:themeColor="text1" w:themeTint="A6"/>
                                <w:sz w:val="18"/>
                                <w:szCs w:val="18"/>
                                <w:lang w:val="es-ES_tradnl"/>
                              </w:rPr>
                              <w:t>José Severo Prieto Velásquez</w:t>
                            </w:r>
                            <w:r w:rsidR="00D21EF6" w:rsidRPr="00CF51DB">
                              <w:rPr>
                                <w:rFonts w:asciiTheme="majorHAnsi" w:hAnsiTheme="majorHAnsi"/>
                                <w:color w:val="595959" w:themeColor="text1" w:themeTint="A6"/>
                                <w:sz w:val="18"/>
                                <w:szCs w:val="18"/>
                                <w:lang w:val="es-ES_tradnl"/>
                              </w:rPr>
                              <w:t xml:space="preserve"> y otros</w:t>
                            </w:r>
                            <w:r w:rsidR="00113F73" w:rsidRPr="00CF51DB">
                              <w:rPr>
                                <w:rFonts w:asciiTheme="majorHAnsi" w:hAnsiTheme="majorHAnsi"/>
                                <w:color w:val="595959" w:themeColor="text1" w:themeTint="A6"/>
                                <w:sz w:val="18"/>
                                <w:szCs w:val="18"/>
                                <w:lang w:val="es-ES_tradnl"/>
                              </w:rPr>
                              <w:t xml:space="preserve">. </w:t>
                            </w:r>
                            <w:r w:rsidR="00637AC5" w:rsidRPr="00CF51DB">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3D648F">
                              <w:rPr>
                                <w:rFonts w:asciiTheme="majorHAnsi" w:hAnsiTheme="majorHAnsi"/>
                                <w:color w:val="595959" w:themeColor="text1" w:themeTint="A6"/>
                                <w:sz w:val="18"/>
                                <w:szCs w:val="18"/>
                                <w:lang w:val="es-ES"/>
                              </w:rPr>
                              <w:t>2 de julio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63CE7EE3" w14:textId="77777777" w:rsidR="003D648F"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3D648F" w:rsidRPr="003D648F">
                        <w:rPr>
                          <w:rFonts w:asciiTheme="majorHAnsi" w:hAnsiTheme="majorHAnsi"/>
                          <w:color w:val="595959" w:themeColor="text1" w:themeTint="A6"/>
                          <w:sz w:val="18"/>
                          <w:szCs w:val="18"/>
                          <w:lang w:val="pt-BR"/>
                        </w:rPr>
                        <w:t>127</w:t>
                      </w:r>
                      <w:r w:rsidR="007B05C4" w:rsidRPr="003D648F">
                        <w:rPr>
                          <w:rFonts w:asciiTheme="majorHAnsi" w:hAnsiTheme="majorHAnsi"/>
                          <w:color w:val="595959" w:themeColor="text1" w:themeTint="A6"/>
                          <w:sz w:val="18"/>
                          <w:szCs w:val="18"/>
                          <w:lang w:val="pt-BR"/>
                        </w:rPr>
                        <w:t>/</w:t>
                      </w:r>
                      <w:r w:rsidR="003D648F" w:rsidRPr="003D648F">
                        <w:rPr>
                          <w:rFonts w:asciiTheme="majorHAnsi" w:hAnsiTheme="majorHAnsi"/>
                          <w:color w:val="595959" w:themeColor="text1" w:themeTint="A6"/>
                          <w:sz w:val="18"/>
                          <w:szCs w:val="18"/>
                          <w:lang w:val="pt-BR"/>
                        </w:rPr>
                        <w:t>25</w:t>
                      </w:r>
                      <w:r w:rsidRPr="003D648F">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637AC5">
                        <w:rPr>
                          <w:rFonts w:asciiTheme="majorHAnsi" w:hAnsiTheme="majorHAnsi"/>
                          <w:color w:val="595959" w:themeColor="text1" w:themeTint="A6"/>
                          <w:sz w:val="18"/>
                          <w:szCs w:val="18"/>
                          <w:lang w:val="es-ES"/>
                        </w:rPr>
                        <w:t>1129-15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CF51DB">
                        <w:rPr>
                          <w:rFonts w:asciiTheme="majorHAnsi" w:hAnsiTheme="majorHAnsi"/>
                          <w:color w:val="595959" w:themeColor="text1" w:themeTint="A6"/>
                          <w:sz w:val="18"/>
                          <w:szCs w:val="18"/>
                          <w:lang w:val="es-ES_tradnl"/>
                        </w:rPr>
                        <w:t xml:space="preserve">. </w:t>
                      </w:r>
                    </w:p>
                    <w:p w14:paraId="0D1B22CF" w14:textId="2B8FF155" w:rsidR="00113F73" w:rsidRPr="007B05C4" w:rsidRDefault="00595805" w:rsidP="00113F73">
                      <w:pPr>
                        <w:spacing w:line="276" w:lineRule="auto"/>
                        <w:rPr>
                          <w:rFonts w:asciiTheme="majorHAnsi" w:hAnsiTheme="majorHAnsi"/>
                          <w:color w:val="595959" w:themeColor="text1" w:themeTint="A6"/>
                          <w:sz w:val="18"/>
                          <w:szCs w:val="18"/>
                          <w:lang w:val="es-ES"/>
                        </w:rPr>
                      </w:pPr>
                      <w:r w:rsidRPr="00CF51DB">
                        <w:rPr>
                          <w:rFonts w:asciiTheme="majorHAnsi" w:hAnsiTheme="majorHAnsi"/>
                          <w:color w:val="595959" w:themeColor="text1" w:themeTint="A6"/>
                          <w:sz w:val="18"/>
                          <w:szCs w:val="18"/>
                          <w:lang w:val="es-ES_tradnl"/>
                        </w:rPr>
                        <w:t>José Severo Prieto Velásquez</w:t>
                      </w:r>
                      <w:r w:rsidR="00D21EF6" w:rsidRPr="00CF51DB">
                        <w:rPr>
                          <w:rFonts w:asciiTheme="majorHAnsi" w:hAnsiTheme="majorHAnsi"/>
                          <w:color w:val="595959" w:themeColor="text1" w:themeTint="A6"/>
                          <w:sz w:val="18"/>
                          <w:szCs w:val="18"/>
                          <w:lang w:val="es-ES_tradnl"/>
                        </w:rPr>
                        <w:t xml:space="preserve"> y otros</w:t>
                      </w:r>
                      <w:r w:rsidR="00113F73" w:rsidRPr="00CF51DB">
                        <w:rPr>
                          <w:rFonts w:asciiTheme="majorHAnsi" w:hAnsiTheme="majorHAnsi"/>
                          <w:color w:val="595959" w:themeColor="text1" w:themeTint="A6"/>
                          <w:sz w:val="18"/>
                          <w:szCs w:val="18"/>
                          <w:lang w:val="es-ES_tradnl"/>
                        </w:rPr>
                        <w:t xml:space="preserve">. </w:t>
                      </w:r>
                      <w:r w:rsidR="00637AC5" w:rsidRPr="00CF51DB">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3D648F">
                        <w:rPr>
                          <w:rFonts w:asciiTheme="majorHAnsi" w:hAnsiTheme="majorHAnsi"/>
                          <w:color w:val="595959" w:themeColor="text1" w:themeTint="A6"/>
                          <w:sz w:val="18"/>
                          <w:szCs w:val="18"/>
                          <w:lang w:val="es-ES"/>
                        </w:rPr>
                        <w:t>2 de julio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095BE8B2"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419" w:eastAsia="es-419"/>
        </w:rPr>
        <mc:AlternateContent>
          <mc:Choice Requires="wps">
            <w:drawing>
              <wp:anchor distT="0" distB="0" distL="114300" distR="114300" simplePos="0" relativeHeight="251682816" behindDoc="0" locked="0" layoutInCell="1" allowOverlap="1" wp14:anchorId="02EDA5EE" wp14:editId="1B6A8641">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25FAA3CC" w:rsidR="0070697F" w:rsidRDefault="00A441FA"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419" w:eastAsia="es-419"/>
        </w:rPr>
        <mc:AlternateContent>
          <mc:Choice Requires="wps">
            <w:drawing>
              <wp:anchor distT="0" distB="0" distL="114300" distR="114300" simplePos="0" relativeHeight="251680768" behindDoc="0" locked="0" layoutInCell="1" allowOverlap="1" wp14:anchorId="50472543" wp14:editId="1D018F80">
                <wp:simplePos x="0" y="0"/>
                <wp:positionH relativeFrom="column">
                  <wp:posOffset>1294228</wp:posOffset>
                </wp:positionH>
                <wp:positionV relativeFrom="paragraph">
                  <wp:posOffset>490806</wp:posOffset>
                </wp:positionV>
                <wp:extent cx="4096385" cy="620591"/>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4096385" cy="6205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6DE1598D" w:rsidR="00D72DC6" w:rsidRPr="00D72DC6" w:rsidRDefault="00A441FA" w:rsidP="00F02AD1">
                            <w:pPr>
                              <w:rPr>
                                <w:color w:val="FFFFFF" w:themeColor="background1"/>
                                <w14:textFill>
                                  <w14:noFill/>
                                </w14:textFill>
                              </w:rPr>
                            </w:pPr>
                            <w:r>
                              <w:rPr>
                                <w:noProof/>
                                <w:color w:val="FFFFFF" w:themeColor="background1"/>
                              </w:rPr>
                              <w:drawing>
                                <wp:inline distT="0" distB="0" distL="0" distR="0" wp14:anchorId="79356BEF" wp14:editId="117A9774">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1.9pt;margin-top:38.65pt;width:322.55pt;height:4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" fillcolor="white [3201]" stroked="f" strokeweight=".5pt">
                <v:textbox>
                  <w:txbxContent>
                    <w:p w14:paraId="2A1ECD3C" w14:textId="6DE1598D" w:rsidR="00D72DC6" w:rsidRPr="00D72DC6" w:rsidRDefault="00A441FA" w:rsidP="00F02AD1">
                      <w:pPr>
                        <w:rPr>
                          <w:color w:val="FFFFFF" w:themeColor="background1"/>
                          <w14:textFill>
                            <w14:noFill/>
                          </w14:textFill>
                        </w:rPr>
                      </w:pPr>
                      <w:r>
                        <w:rPr>
                          <w:noProof/>
                          <w:color w:val="FFFFFF" w:themeColor="background1"/>
                        </w:rPr>
                        <w:drawing>
                          <wp:inline distT="0" distB="0" distL="0" distR="0" wp14:anchorId="79356BEF" wp14:editId="117A9774">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15F60C5D" w:rsidR="003239B8" w:rsidRPr="00D13530" w:rsidRDefault="00D21EF6" w:rsidP="00D13530">
            <w:pPr>
              <w:jc w:val="both"/>
              <w:rPr>
                <w:rFonts w:ascii="Cambria" w:hAnsi="Cambria"/>
                <w:bCs/>
                <w:sz w:val="20"/>
                <w:szCs w:val="20"/>
                <w:lang w:val="es-PE"/>
              </w:rPr>
            </w:pPr>
            <w:r>
              <w:rPr>
                <w:rFonts w:ascii="Cambria" w:hAnsi="Cambria"/>
                <w:bCs/>
                <w:sz w:val="20"/>
                <w:szCs w:val="20"/>
                <w:lang w:val="es-PE"/>
              </w:rPr>
              <w:t>José Alberto Leguizamo Velásquez</w:t>
            </w:r>
          </w:p>
        </w:tc>
      </w:tr>
      <w:tr w:rsidR="003239B8" w:rsidRPr="00242820"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4F1893"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5B86F7BF" w:rsidR="003239B8" w:rsidRPr="000D05CB" w:rsidRDefault="00ED0092" w:rsidP="008D2290">
            <w:pPr>
              <w:jc w:val="both"/>
              <w:rPr>
                <w:rFonts w:ascii="Cambria" w:hAnsi="Cambria"/>
                <w:bCs/>
                <w:sz w:val="20"/>
                <w:szCs w:val="20"/>
                <w:lang w:val="es-ES"/>
              </w:rPr>
            </w:pPr>
            <w:r>
              <w:rPr>
                <w:rFonts w:ascii="Cambria" w:hAnsi="Cambria"/>
                <w:bCs/>
                <w:sz w:val="20"/>
                <w:szCs w:val="20"/>
                <w:lang w:val="es-ES"/>
              </w:rPr>
              <w:t>José Severo Prieto Velásquez</w:t>
            </w:r>
            <w:r w:rsidR="00D21EF6">
              <w:rPr>
                <w:rFonts w:ascii="Cambria" w:hAnsi="Cambria"/>
                <w:bCs/>
                <w:sz w:val="20"/>
                <w:szCs w:val="20"/>
                <w:lang w:val="es-ES"/>
              </w:rPr>
              <w:t xml:space="preserve"> y otros</w:t>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6B668283" w:rsidR="003239B8" w:rsidRPr="000D05CB" w:rsidRDefault="005F4C54" w:rsidP="008D2290">
            <w:pPr>
              <w:jc w:val="both"/>
              <w:rPr>
                <w:rFonts w:ascii="Cambria" w:hAnsi="Cambria"/>
                <w:bCs/>
                <w:sz w:val="20"/>
                <w:szCs w:val="20"/>
              </w:rPr>
            </w:pPr>
            <w:r>
              <w:rPr>
                <w:rFonts w:ascii="Cambria" w:hAnsi="Cambria"/>
                <w:bCs/>
                <w:sz w:val="20"/>
                <w:szCs w:val="20"/>
              </w:rPr>
              <w:t>Colombia</w:t>
            </w:r>
            <w:r w:rsidRPr="000D05CB">
              <w:rPr>
                <w:rStyle w:val="FootnoteReference"/>
                <w:rFonts w:ascii="Cambria" w:hAnsi="Cambria"/>
                <w:bCs/>
                <w:sz w:val="20"/>
                <w:szCs w:val="20"/>
              </w:rPr>
              <w:footnoteReference w:id="2"/>
            </w:r>
          </w:p>
        </w:tc>
      </w:tr>
      <w:tr w:rsidR="00223A29" w:rsidRPr="00242820"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31794F38" w:rsidR="00223A29" w:rsidRPr="00035CDD" w:rsidRDefault="00F510A5" w:rsidP="008D2290">
            <w:pPr>
              <w:jc w:val="both"/>
              <w:rPr>
                <w:rFonts w:ascii="Cambria" w:hAnsi="Cambria"/>
                <w:bCs/>
                <w:sz w:val="20"/>
                <w:szCs w:val="20"/>
                <w:lang w:val="es-PE"/>
              </w:rPr>
            </w:pPr>
            <w:r>
              <w:rPr>
                <w:rFonts w:ascii="Cambria" w:hAnsi="Cambria"/>
                <w:bCs/>
                <w:sz w:val="20"/>
                <w:szCs w:val="20"/>
                <w:lang w:val="es-MX"/>
              </w:rPr>
              <w:t xml:space="preserve">Artículos 4 (vida), 5 (integridad), 7 (libertad personal), 8 (garantías judiciales) 21 (propiedad privada), 22 (libre circulación y residencia) y 25 (protección judicial) </w:t>
            </w:r>
            <w:r w:rsidR="00035CDD" w:rsidRPr="00DF4403">
              <w:rPr>
                <w:rFonts w:ascii="Cambria" w:hAnsi="Cambria"/>
                <w:bCs/>
                <w:sz w:val="20"/>
                <w:szCs w:val="20"/>
                <w:lang w:val="es-MX"/>
              </w:rPr>
              <w:t>Convención Americana sobre Derechos Humanos</w:t>
            </w:r>
            <w:r w:rsidR="00035CDD" w:rsidRPr="00DF4403">
              <w:rPr>
                <w:rStyle w:val="FootnoteReference"/>
                <w:rFonts w:ascii="Cambria" w:hAnsi="Cambria"/>
                <w:bCs/>
                <w:sz w:val="20"/>
                <w:szCs w:val="20"/>
                <w:lang w:val="es-MX"/>
              </w:rPr>
              <w:footnoteReference w:id="3"/>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4AA00717" w:rsidR="004C2312" w:rsidRPr="003239B8" w:rsidRDefault="00884B12" w:rsidP="002625EA">
            <w:pPr>
              <w:jc w:val="both"/>
              <w:rPr>
                <w:rFonts w:ascii="Cambria" w:hAnsi="Cambria"/>
                <w:bCs/>
                <w:sz w:val="20"/>
                <w:szCs w:val="20"/>
                <w:lang w:val="es-ES"/>
              </w:rPr>
            </w:pPr>
            <w:r>
              <w:rPr>
                <w:rFonts w:ascii="Cambria" w:hAnsi="Cambria"/>
                <w:bCs/>
                <w:sz w:val="20"/>
                <w:szCs w:val="20"/>
                <w:lang w:val="es-ES"/>
              </w:rPr>
              <w:t>22 de junio de 2015</w:t>
            </w:r>
          </w:p>
        </w:tc>
      </w:tr>
      <w:tr w:rsidR="00131425" w:rsidRPr="00242820"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68E5FB47" w:rsidR="00131425" w:rsidRPr="003239B8" w:rsidRDefault="00034037" w:rsidP="002625EA">
            <w:pPr>
              <w:jc w:val="both"/>
              <w:rPr>
                <w:rFonts w:ascii="Cambria" w:hAnsi="Cambria"/>
                <w:bCs/>
                <w:sz w:val="20"/>
                <w:szCs w:val="20"/>
                <w:lang w:val="es-ES"/>
              </w:rPr>
            </w:pPr>
            <w:r>
              <w:rPr>
                <w:rFonts w:ascii="Cambria" w:hAnsi="Cambria"/>
                <w:bCs/>
                <w:sz w:val="20"/>
                <w:szCs w:val="20"/>
                <w:lang w:val="es-ES"/>
              </w:rPr>
              <w:t>3 de abril de 2017</w:t>
            </w:r>
            <w:r w:rsidR="0033102D">
              <w:rPr>
                <w:rFonts w:ascii="Cambria" w:hAnsi="Cambria"/>
                <w:bCs/>
                <w:sz w:val="20"/>
                <w:szCs w:val="20"/>
                <w:lang w:val="es-ES"/>
              </w:rPr>
              <w:t>, 4 de mayo de 2018</w:t>
            </w:r>
            <w:r w:rsidR="004C56C9">
              <w:rPr>
                <w:rFonts w:ascii="Cambria" w:hAnsi="Cambria"/>
                <w:bCs/>
                <w:sz w:val="20"/>
                <w:szCs w:val="20"/>
                <w:lang w:val="es-ES"/>
              </w:rPr>
              <w:t xml:space="preserve"> y</w:t>
            </w:r>
            <w:r w:rsidR="0033102D">
              <w:rPr>
                <w:rFonts w:ascii="Cambria" w:hAnsi="Cambria"/>
                <w:bCs/>
                <w:sz w:val="20"/>
                <w:szCs w:val="20"/>
                <w:lang w:val="es-ES"/>
              </w:rPr>
              <w:t xml:space="preserve"> 19 de junio de 2018 </w:t>
            </w:r>
          </w:p>
        </w:tc>
      </w:tr>
      <w:tr w:rsidR="004C2312" w:rsidRPr="00A006A5"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5622C60B" w:rsidR="004C2312" w:rsidRPr="003239B8" w:rsidRDefault="00433D8A" w:rsidP="008D2290">
            <w:pPr>
              <w:jc w:val="both"/>
              <w:rPr>
                <w:rFonts w:ascii="Cambria" w:hAnsi="Cambria"/>
                <w:bCs/>
                <w:sz w:val="20"/>
                <w:szCs w:val="20"/>
                <w:lang w:val="es-ES"/>
              </w:rPr>
            </w:pPr>
            <w:r>
              <w:rPr>
                <w:rFonts w:ascii="Cambria" w:hAnsi="Cambria"/>
                <w:bCs/>
                <w:sz w:val="20"/>
                <w:szCs w:val="20"/>
                <w:lang w:val="es-ES"/>
              </w:rPr>
              <w:t>13 de noviembre de 2019</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3D3B2A34" w:rsidR="004C2312" w:rsidRPr="003239B8" w:rsidRDefault="004C56C9" w:rsidP="008D2290">
            <w:pPr>
              <w:jc w:val="both"/>
              <w:rPr>
                <w:rFonts w:ascii="Cambria" w:hAnsi="Cambria"/>
                <w:bCs/>
                <w:sz w:val="20"/>
                <w:szCs w:val="20"/>
                <w:lang w:val="es-ES"/>
              </w:rPr>
            </w:pPr>
            <w:r>
              <w:rPr>
                <w:rFonts w:ascii="Cambria" w:hAnsi="Cambria"/>
                <w:bCs/>
                <w:sz w:val="20"/>
                <w:szCs w:val="20"/>
                <w:lang w:val="es-ES"/>
              </w:rPr>
              <w:t>22 de diciembre de 2020</w:t>
            </w:r>
          </w:p>
        </w:tc>
      </w:tr>
      <w:tr w:rsidR="004C2312" w:rsidRPr="00242820"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20402D53" w:rsidR="004C2312" w:rsidRPr="003239B8" w:rsidRDefault="004C56C9" w:rsidP="008D2290">
            <w:pPr>
              <w:jc w:val="both"/>
              <w:rPr>
                <w:rFonts w:ascii="Cambria" w:hAnsi="Cambria"/>
                <w:bCs/>
                <w:sz w:val="20"/>
                <w:szCs w:val="20"/>
                <w:lang w:val="es-ES"/>
              </w:rPr>
            </w:pPr>
            <w:r>
              <w:rPr>
                <w:rFonts w:ascii="Cambria" w:hAnsi="Cambria"/>
                <w:bCs/>
                <w:sz w:val="20"/>
                <w:szCs w:val="20"/>
                <w:lang w:val="es-ES"/>
              </w:rPr>
              <w:t>16 de febrero de 2021</w:t>
            </w:r>
            <w:r w:rsidR="00FE67C0">
              <w:rPr>
                <w:rFonts w:ascii="Cambria" w:hAnsi="Cambria"/>
                <w:bCs/>
                <w:sz w:val="20"/>
                <w:szCs w:val="20"/>
                <w:lang w:val="es-ES"/>
              </w:rPr>
              <w:t xml:space="preserve"> y 15 de marzo de 2024</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072532AD" w14:textId="77777777" w:rsidTr="004A6A54">
        <w:trPr>
          <w:cantSplit/>
        </w:trPr>
        <w:tc>
          <w:tcPr>
            <w:tcW w:w="3600"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7707F3E9" w14:textId="29573ABC" w:rsidR="003239B8" w:rsidRPr="00B3745F" w:rsidRDefault="004B3B0B"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4A6A54">
        <w:trPr>
          <w:cantSplit/>
        </w:trPr>
        <w:tc>
          <w:tcPr>
            <w:tcW w:w="3600"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12C931CB" w14:textId="2ED5E34A" w:rsidR="003239B8" w:rsidRPr="00B3745F" w:rsidRDefault="004B3B0B"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4A6A54">
        <w:trPr>
          <w:cantSplit/>
        </w:trPr>
        <w:tc>
          <w:tcPr>
            <w:tcW w:w="3600"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6F8B059B" w14:textId="0829E21D" w:rsidR="003239B8" w:rsidRPr="00B3745F" w:rsidRDefault="004B3B0B" w:rsidP="008D2290">
            <w:pPr>
              <w:rPr>
                <w:rFonts w:ascii="Cambria" w:hAnsi="Cambria"/>
                <w:bCs/>
                <w:sz w:val="20"/>
                <w:szCs w:val="20"/>
              </w:rPr>
            </w:pPr>
            <w:r>
              <w:rPr>
                <w:rFonts w:ascii="Cambria" w:hAnsi="Cambria"/>
                <w:bCs/>
                <w:sz w:val="20"/>
                <w:szCs w:val="20"/>
              </w:rPr>
              <w:t>Sí</w:t>
            </w:r>
          </w:p>
        </w:tc>
      </w:tr>
      <w:tr w:rsidR="003239B8" w:rsidRPr="001E49E7" w14:paraId="30ABEC3E" w14:textId="77777777" w:rsidTr="004A6A54">
        <w:trPr>
          <w:cantSplit/>
        </w:trPr>
        <w:tc>
          <w:tcPr>
            <w:tcW w:w="3600" w:type="dxa"/>
            <w:tcBorders>
              <w:top w:val="single" w:sz="6" w:space="0" w:color="auto"/>
              <w:bottom w:val="single" w:sz="6" w:space="0" w:color="auto"/>
            </w:tcBorders>
            <w:shd w:val="clear" w:color="auto" w:fill="386294"/>
            <w:vAlign w:val="center"/>
          </w:tcPr>
          <w:p w14:paraId="47B529D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582C7ABA" w14:textId="77777777" w:rsidR="004B3B0B" w:rsidRPr="00463185" w:rsidRDefault="004B3B0B" w:rsidP="004B3B0B">
            <w:pPr>
              <w:jc w:val="both"/>
              <w:rPr>
                <w:rFonts w:ascii="Cambria" w:hAnsi="Cambria"/>
                <w:bCs/>
                <w:sz w:val="20"/>
                <w:szCs w:val="20"/>
                <w:lang w:val="es-ES"/>
              </w:rPr>
            </w:pPr>
            <w:r w:rsidRPr="00463185">
              <w:rPr>
                <w:rFonts w:ascii="Cambria" w:hAnsi="Cambria"/>
                <w:bCs/>
                <w:sz w:val="20"/>
                <w:szCs w:val="20"/>
                <w:lang w:val="es-ES"/>
              </w:rPr>
              <w:t>Sí, la Convención Americana (depósito de instrumento realizado</w:t>
            </w:r>
          </w:p>
          <w:p w14:paraId="0C122F44" w14:textId="3D6D1C92" w:rsidR="003239B8" w:rsidRPr="00B3745F" w:rsidRDefault="004B3B0B" w:rsidP="004B3B0B">
            <w:pPr>
              <w:jc w:val="both"/>
              <w:rPr>
                <w:rFonts w:ascii="Cambria" w:hAnsi="Cambria"/>
                <w:bCs/>
                <w:sz w:val="20"/>
                <w:szCs w:val="20"/>
                <w:lang w:val="es-ES"/>
              </w:rPr>
            </w:pPr>
            <w:r w:rsidRPr="00463185">
              <w:rPr>
                <w:rFonts w:ascii="Cambria" w:hAnsi="Cambria"/>
                <w:bCs/>
                <w:sz w:val="20"/>
                <w:szCs w:val="20"/>
                <w:lang w:val="es-ES"/>
              </w:rPr>
              <w:t>el 31 de julio de 1973)</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CF51DB" w14:paraId="1231C988" w14:textId="77777777" w:rsidTr="004A6A54">
        <w:trPr>
          <w:cantSplit/>
        </w:trPr>
        <w:tc>
          <w:tcPr>
            <w:tcW w:w="3600"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240941E6" w14:textId="00878319" w:rsidR="00EE00E9" w:rsidRPr="00DC24E3" w:rsidRDefault="005133C1"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15FAA7D1" w14:textId="77777777" w:rsidTr="004A6A54">
        <w:trPr>
          <w:cantSplit/>
        </w:trPr>
        <w:tc>
          <w:tcPr>
            <w:tcW w:w="3600" w:type="dxa"/>
            <w:tcBorders>
              <w:top w:val="single" w:sz="4" w:space="0" w:color="auto"/>
              <w:bottom w:val="single" w:sz="6" w:space="0" w:color="auto"/>
            </w:tcBorders>
            <w:shd w:val="clear" w:color="auto" w:fill="386294"/>
            <w:vAlign w:val="center"/>
          </w:tcPr>
          <w:p w14:paraId="1B0D29FF"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6310C8F7" w14:textId="2037D360" w:rsidR="003239B8" w:rsidRPr="00DC24E3" w:rsidRDefault="005133C1" w:rsidP="008D2290">
            <w:pPr>
              <w:jc w:val="both"/>
              <w:rPr>
                <w:rFonts w:ascii="Cambria" w:hAnsi="Cambria"/>
                <w:bCs/>
                <w:sz w:val="20"/>
                <w:szCs w:val="20"/>
              </w:rPr>
            </w:pPr>
            <w:r>
              <w:rPr>
                <w:rFonts w:ascii="Cambria" w:hAnsi="Cambria"/>
                <w:bCs/>
                <w:sz w:val="20"/>
                <w:szCs w:val="20"/>
              </w:rPr>
              <w:t>N/</w:t>
            </w:r>
            <w:r w:rsidR="00761B78">
              <w:rPr>
                <w:rFonts w:ascii="Cambria" w:hAnsi="Cambria"/>
                <w:bCs/>
                <w:sz w:val="20"/>
                <w:szCs w:val="20"/>
              </w:rPr>
              <w:t>A</w:t>
            </w:r>
          </w:p>
        </w:tc>
      </w:tr>
      <w:tr w:rsidR="003239B8" w:rsidRPr="00242820" w14:paraId="4EFD141E" w14:textId="77777777" w:rsidTr="004A6A54">
        <w:trPr>
          <w:cantSplit/>
        </w:trPr>
        <w:tc>
          <w:tcPr>
            <w:tcW w:w="3600" w:type="dxa"/>
            <w:tcBorders>
              <w:top w:val="single" w:sz="6" w:space="0" w:color="auto"/>
              <w:bottom w:val="single" w:sz="6" w:space="0" w:color="auto"/>
            </w:tcBorders>
            <w:shd w:val="clear" w:color="auto" w:fill="386294"/>
            <w:vAlign w:val="center"/>
          </w:tcPr>
          <w:p w14:paraId="4C04A89C"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69C53E8A" w14:textId="4D7F9117" w:rsidR="003239B8" w:rsidRPr="005133C1" w:rsidRDefault="005133C1" w:rsidP="008D2290">
            <w:pPr>
              <w:rPr>
                <w:rFonts w:ascii="Cambria" w:hAnsi="Cambria"/>
                <w:bCs/>
                <w:sz w:val="20"/>
                <w:szCs w:val="20"/>
                <w:lang w:val="es-US"/>
              </w:rPr>
            </w:pPr>
            <w:r>
              <w:rPr>
                <w:rFonts w:ascii="Cambria" w:hAnsi="Cambria"/>
                <w:bCs/>
                <w:sz w:val="20"/>
                <w:szCs w:val="20"/>
                <w:lang w:val="es-US"/>
              </w:rPr>
              <w:t>Sí, en los términos de la sección VI</w:t>
            </w:r>
          </w:p>
        </w:tc>
      </w:tr>
      <w:tr w:rsidR="003239B8" w:rsidRPr="00242820" w14:paraId="52B5BA17" w14:textId="77777777" w:rsidTr="004A6A54">
        <w:trPr>
          <w:cantSplit/>
        </w:trPr>
        <w:tc>
          <w:tcPr>
            <w:tcW w:w="3600" w:type="dxa"/>
            <w:tcBorders>
              <w:top w:val="single" w:sz="6" w:space="0" w:color="auto"/>
              <w:bottom w:val="single" w:sz="6" w:space="0" w:color="auto"/>
            </w:tcBorders>
            <w:shd w:val="clear" w:color="auto" w:fill="386294"/>
            <w:vAlign w:val="center"/>
          </w:tcPr>
          <w:p w14:paraId="5DF99086"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4A2A4569" w14:textId="5B588E0E" w:rsidR="003239B8" w:rsidRPr="005133C1" w:rsidRDefault="005133C1" w:rsidP="008D2290">
            <w:pPr>
              <w:rPr>
                <w:rFonts w:ascii="Cambria" w:hAnsi="Cambria"/>
                <w:bCs/>
                <w:sz w:val="20"/>
                <w:szCs w:val="20"/>
                <w:lang w:val="es-PE"/>
              </w:rPr>
            </w:pPr>
            <w:r w:rsidRPr="005133C1">
              <w:rPr>
                <w:rFonts w:ascii="Cambria" w:hAnsi="Cambria"/>
                <w:bCs/>
                <w:sz w:val="20"/>
                <w:szCs w:val="20"/>
                <w:lang w:val="es-PE"/>
              </w:rPr>
              <w:t>No, en los términos d</w:t>
            </w:r>
            <w:r>
              <w:rPr>
                <w:rFonts w:ascii="Cambria" w:hAnsi="Cambria"/>
                <w:bCs/>
                <w:sz w:val="20"/>
                <w:szCs w:val="20"/>
                <w:lang w:val="es-PE"/>
              </w:rPr>
              <w:t>e la sección VI</w:t>
            </w:r>
          </w:p>
        </w:tc>
      </w:tr>
    </w:tbl>
    <w:p w14:paraId="18E6423B" w14:textId="0107F3A7" w:rsidR="003239B8" w:rsidRPr="00A23115" w:rsidRDefault="00223A29" w:rsidP="002A543E">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867314" w:rsidRPr="00A23115">
        <w:rPr>
          <w:rFonts w:asciiTheme="majorHAnsi" w:hAnsiTheme="majorHAnsi"/>
          <w:b/>
          <w:sz w:val="20"/>
          <w:szCs w:val="20"/>
          <w:lang w:val="es-UY"/>
        </w:rPr>
        <w:t>POSICIÓN DE LAS PARTES</w:t>
      </w:r>
    </w:p>
    <w:p w14:paraId="16FB6418" w14:textId="5EBE5529" w:rsidR="0083100C" w:rsidRPr="00A23115" w:rsidRDefault="00FE67C0" w:rsidP="002A543E">
      <w:pPr>
        <w:spacing w:before="240" w:after="240"/>
        <w:ind w:firstLine="720"/>
        <w:jc w:val="both"/>
        <w:rPr>
          <w:rFonts w:asciiTheme="majorHAnsi" w:hAnsiTheme="majorHAnsi"/>
          <w:b/>
          <w:sz w:val="20"/>
          <w:szCs w:val="20"/>
          <w:lang w:val="es-UY"/>
        </w:rPr>
      </w:pPr>
      <w:r w:rsidRPr="00A23115">
        <w:rPr>
          <w:rFonts w:asciiTheme="majorHAnsi" w:hAnsiTheme="majorHAnsi"/>
          <w:b/>
          <w:sz w:val="20"/>
          <w:szCs w:val="20"/>
          <w:lang w:val="es-UY"/>
        </w:rPr>
        <w:t xml:space="preserve">La </w:t>
      </w:r>
      <w:r w:rsidR="0083100C" w:rsidRPr="00A23115">
        <w:rPr>
          <w:rFonts w:asciiTheme="majorHAnsi" w:hAnsiTheme="majorHAnsi"/>
          <w:b/>
          <w:sz w:val="20"/>
          <w:szCs w:val="20"/>
          <w:lang w:val="es-UY"/>
        </w:rPr>
        <w:t>parte peticionaria</w:t>
      </w:r>
    </w:p>
    <w:p w14:paraId="1BD57F82" w14:textId="3F8B62F9" w:rsidR="0008556E" w:rsidRPr="00A23115" w:rsidRDefault="00E272E7"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AR"/>
        </w:rPr>
        <w:t>El peticionario denuncia</w:t>
      </w:r>
      <w:r w:rsidR="0008556E" w:rsidRPr="00A23115">
        <w:rPr>
          <w:rFonts w:asciiTheme="majorHAnsi" w:hAnsiTheme="majorHAnsi"/>
          <w:sz w:val="20"/>
          <w:szCs w:val="20"/>
          <w:lang w:val="es-AR"/>
        </w:rPr>
        <w:t xml:space="preserve"> que </w:t>
      </w:r>
      <w:r w:rsidR="008875EC" w:rsidRPr="00A23115">
        <w:rPr>
          <w:rFonts w:asciiTheme="majorHAnsi" w:hAnsiTheme="majorHAnsi"/>
          <w:sz w:val="20"/>
          <w:szCs w:val="20"/>
          <w:lang w:val="es-AR"/>
        </w:rPr>
        <w:t>el señor</w:t>
      </w:r>
      <w:r w:rsidR="0008556E" w:rsidRPr="00A23115">
        <w:rPr>
          <w:rFonts w:asciiTheme="majorHAnsi" w:hAnsiTheme="majorHAnsi"/>
          <w:sz w:val="20"/>
          <w:szCs w:val="20"/>
          <w:lang w:val="es-AR"/>
        </w:rPr>
        <w:t xml:space="preserve"> José Severo Prieto Velásquez y su hijo Vladimir Prieto Rojas fueron torturados y asesinados el 23 de octubre de 1994 en las afueras de Bogotá, luego de haber sido reportados como desaparecidos. Sostiene </w:t>
      </w:r>
      <w:r w:rsidR="00925F0C" w:rsidRPr="00A23115">
        <w:rPr>
          <w:rFonts w:asciiTheme="majorHAnsi" w:hAnsiTheme="majorHAnsi"/>
          <w:sz w:val="20"/>
          <w:szCs w:val="20"/>
          <w:lang w:val="es-AR"/>
        </w:rPr>
        <w:t>que,</w:t>
      </w:r>
      <w:r w:rsidR="0008556E" w:rsidRPr="00A23115">
        <w:rPr>
          <w:rFonts w:asciiTheme="majorHAnsi" w:hAnsiTheme="majorHAnsi"/>
          <w:sz w:val="20"/>
          <w:szCs w:val="20"/>
          <w:lang w:val="es-AR"/>
        </w:rPr>
        <w:t xml:space="preserve"> </w:t>
      </w:r>
      <w:r w:rsidR="008875EC" w:rsidRPr="00A23115">
        <w:rPr>
          <w:rFonts w:asciiTheme="majorHAnsi" w:hAnsiTheme="majorHAnsi"/>
          <w:sz w:val="20"/>
          <w:szCs w:val="20"/>
          <w:lang w:val="es-AR"/>
        </w:rPr>
        <w:t xml:space="preserve">si bien </w:t>
      </w:r>
      <w:r w:rsidR="0008556E" w:rsidRPr="00A23115">
        <w:rPr>
          <w:rFonts w:asciiTheme="majorHAnsi" w:hAnsiTheme="majorHAnsi"/>
          <w:sz w:val="20"/>
          <w:szCs w:val="20"/>
          <w:lang w:val="es-AR"/>
        </w:rPr>
        <w:t>estos hechos son atribuibles a la acción de grupos armados al margen de la ley, el Estado incurrió en graves omisiones en su deber de protección, al no garantizar la seguridad en un territorio bajo su jurisdicción ni adoptar medidas efectivas para prevenir o sancionar estos crímenes.</w:t>
      </w:r>
    </w:p>
    <w:p w14:paraId="57EFEDF0" w14:textId="1BB408ED" w:rsidR="00925F0C" w:rsidRPr="00A23115" w:rsidRDefault="00925F0C" w:rsidP="002A543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AR"/>
        </w:rPr>
      </w:pPr>
      <w:r w:rsidRPr="00A23115">
        <w:rPr>
          <w:rFonts w:asciiTheme="majorHAnsi" w:hAnsiTheme="majorHAnsi"/>
          <w:i/>
          <w:iCs/>
          <w:sz w:val="20"/>
          <w:szCs w:val="20"/>
          <w:lang w:val="es-AR"/>
        </w:rPr>
        <w:lastRenderedPageBreak/>
        <w:t>Sobre la muerte de las presuntas víctimas</w:t>
      </w:r>
    </w:p>
    <w:p w14:paraId="3EB0E27C" w14:textId="691834D4" w:rsidR="000E541C" w:rsidRPr="00A23115" w:rsidRDefault="00EA2476" w:rsidP="002A543E">
      <w:pPr>
        <w:pStyle w:val="ListParagraph"/>
        <w:numPr>
          <w:ilvl w:val="0"/>
          <w:numId w:val="103"/>
        </w:numPr>
        <w:spacing w:before="240" w:after="240"/>
        <w:jc w:val="both"/>
        <w:rPr>
          <w:rFonts w:asciiTheme="majorHAnsi" w:eastAsia="Arial Unicode MS" w:hAnsiTheme="majorHAnsi" w:cs="Times New Roman"/>
          <w:color w:val="auto"/>
          <w:sz w:val="20"/>
          <w:szCs w:val="20"/>
          <w:lang w:val="es-AR" w:eastAsia="en-US"/>
        </w:rPr>
      </w:pPr>
      <w:r w:rsidRPr="00A23115">
        <w:rPr>
          <w:rFonts w:asciiTheme="majorHAnsi" w:eastAsia="Arial Unicode MS" w:hAnsiTheme="majorHAnsi" w:cs="Times New Roman"/>
          <w:color w:val="auto"/>
          <w:sz w:val="20"/>
          <w:szCs w:val="20"/>
          <w:lang w:val="es-AR" w:eastAsia="en-US"/>
        </w:rPr>
        <w:t xml:space="preserve">El peticionario </w:t>
      </w:r>
      <w:r w:rsidR="006D3A67" w:rsidRPr="00A23115">
        <w:rPr>
          <w:rFonts w:asciiTheme="majorHAnsi" w:eastAsia="Arial Unicode MS" w:hAnsiTheme="majorHAnsi" w:cs="Times New Roman"/>
          <w:color w:val="auto"/>
          <w:sz w:val="20"/>
          <w:szCs w:val="20"/>
          <w:lang w:val="es-AR" w:eastAsia="en-US"/>
        </w:rPr>
        <w:t xml:space="preserve">indica </w:t>
      </w:r>
      <w:r w:rsidR="003F10E0" w:rsidRPr="00A23115">
        <w:rPr>
          <w:rFonts w:asciiTheme="majorHAnsi" w:eastAsia="Arial Unicode MS" w:hAnsiTheme="majorHAnsi" w:cs="Times New Roman"/>
          <w:color w:val="auto"/>
          <w:sz w:val="20"/>
          <w:szCs w:val="20"/>
          <w:lang w:val="es-AR" w:eastAsia="en-US"/>
        </w:rPr>
        <w:t xml:space="preserve">que </w:t>
      </w:r>
      <w:r w:rsidR="002A1A28" w:rsidRPr="00A23115">
        <w:rPr>
          <w:rFonts w:asciiTheme="majorHAnsi" w:eastAsia="Arial Unicode MS" w:hAnsiTheme="majorHAnsi" w:cs="Times New Roman"/>
          <w:color w:val="auto"/>
          <w:sz w:val="20"/>
          <w:szCs w:val="20"/>
          <w:lang w:val="es-AR" w:eastAsia="en-US"/>
        </w:rPr>
        <w:t>el señor</w:t>
      </w:r>
      <w:r w:rsidR="00925F0C" w:rsidRPr="00A23115">
        <w:rPr>
          <w:rFonts w:asciiTheme="majorHAnsi" w:eastAsia="Arial Unicode MS" w:hAnsiTheme="majorHAnsi" w:cs="Times New Roman"/>
          <w:color w:val="auto"/>
          <w:sz w:val="20"/>
          <w:szCs w:val="20"/>
          <w:lang w:val="es-AR" w:eastAsia="en-US"/>
        </w:rPr>
        <w:t xml:space="preserve"> José Severo Prieto Velásquez viajó el 21 de octubre de 1994 desde Villavicencio a Bogotá con el fin de encontrarse con su hijo Vladimir, quien laboraba en el Juzgado 31 Penal de Bogotá. Ambos fueron reportados como desaparecidos al día siguiente y, finalmente, sus cuerpos fueron hallados dos días después, con múltiples heridas por arma de fuego y signos de tortura, en una finca ubicada sobre la vía Bogotá–Villavicencio. Aduce que los cadáveres fueron inicialmente reportados como N.N., sin que las autoridades dieran una respuesta diligente ni inmediata a los familiares</w:t>
      </w:r>
      <w:r w:rsidR="000E541C" w:rsidRPr="00A23115">
        <w:rPr>
          <w:rFonts w:asciiTheme="majorHAnsi" w:eastAsia="Arial Unicode MS" w:hAnsiTheme="majorHAnsi" w:cs="Times New Roman"/>
          <w:color w:val="auto"/>
          <w:sz w:val="20"/>
          <w:szCs w:val="20"/>
          <w:lang w:val="es-AR" w:eastAsia="en-US"/>
        </w:rPr>
        <w:t>.</w:t>
      </w:r>
    </w:p>
    <w:p w14:paraId="20BA45C5" w14:textId="06038A02" w:rsidR="0008556E" w:rsidRPr="00A23115" w:rsidRDefault="0018260D"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AR"/>
        </w:rPr>
        <w:t>Argumenta que estos homicidios se produjeron en un contexto donde el Estado tenía pleno conocimiento de la presencia y el accionar de grupos guerrilleros en la zona, y que, a pesar de ello, no desplegó medidas mínimas de seguridad para prevenir tales ataques, lo cual constituye, a su juicio, una grave omisión en el cumplimiento del deber de garantía consagrado en la Convención Americana sobre Derechos Humanos. Añade que, tras los hechos, las autoridades judiciales y administrativas no adelantaron investigaciones eficaces, ni garantizaron el esclarecimiento de los hechos ni la identificación de los responsables.</w:t>
      </w:r>
    </w:p>
    <w:p w14:paraId="331A99C3" w14:textId="1408EF65" w:rsidR="0018260D" w:rsidRPr="00A23115" w:rsidRDefault="0018260D" w:rsidP="002A543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AR"/>
        </w:rPr>
      </w:pPr>
      <w:r w:rsidRPr="00A23115">
        <w:rPr>
          <w:rFonts w:asciiTheme="majorHAnsi" w:hAnsiTheme="majorHAnsi"/>
          <w:i/>
          <w:iCs/>
          <w:sz w:val="20"/>
          <w:szCs w:val="20"/>
          <w:lang w:val="es-AR"/>
        </w:rPr>
        <w:t>Sobre la investigac</w:t>
      </w:r>
      <w:r w:rsidR="00ED7C1C" w:rsidRPr="00A23115">
        <w:rPr>
          <w:rFonts w:asciiTheme="majorHAnsi" w:hAnsiTheme="majorHAnsi"/>
          <w:i/>
          <w:iCs/>
          <w:sz w:val="20"/>
          <w:szCs w:val="20"/>
          <w:lang w:val="es-AR"/>
        </w:rPr>
        <w:t>ión penal</w:t>
      </w:r>
    </w:p>
    <w:p w14:paraId="403DCE73" w14:textId="550055C5" w:rsidR="007D22A4" w:rsidRPr="00A23115" w:rsidRDefault="007D22A4"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PE"/>
        </w:rPr>
        <w:t xml:space="preserve">En el plano penal, </w:t>
      </w:r>
      <w:r w:rsidR="006D3A67" w:rsidRPr="00A23115">
        <w:rPr>
          <w:rFonts w:asciiTheme="majorHAnsi" w:hAnsiTheme="majorHAnsi"/>
          <w:sz w:val="20"/>
          <w:szCs w:val="20"/>
          <w:lang w:val="es-PE"/>
        </w:rPr>
        <w:t>el peticionario</w:t>
      </w:r>
      <w:r w:rsidRPr="00A23115">
        <w:rPr>
          <w:rFonts w:asciiTheme="majorHAnsi" w:hAnsiTheme="majorHAnsi"/>
          <w:sz w:val="20"/>
          <w:szCs w:val="20"/>
          <w:lang w:val="es-PE"/>
        </w:rPr>
        <w:t xml:space="preserve"> señala que</w:t>
      </w:r>
      <w:r w:rsidR="007114E4" w:rsidRPr="00A23115">
        <w:rPr>
          <w:rFonts w:asciiTheme="majorHAnsi" w:hAnsiTheme="majorHAnsi"/>
          <w:sz w:val="20"/>
          <w:szCs w:val="20"/>
          <w:lang w:val="es-PE"/>
        </w:rPr>
        <w:t xml:space="preserve"> el 23 de octubre de 1994</w:t>
      </w:r>
      <w:r w:rsidRPr="00A23115">
        <w:rPr>
          <w:rFonts w:asciiTheme="majorHAnsi" w:hAnsiTheme="majorHAnsi"/>
          <w:sz w:val="20"/>
          <w:szCs w:val="20"/>
          <w:lang w:val="es-PE"/>
        </w:rPr>
        <w:t xml:space="preserve"> se presentó denuncia ante la Fiscalía General de la Nación, en </w:t>
      </w:r>
      <w:r w:rsidR="007114E4" w:rsidRPr="00A23115">
        <w:rPr>
          <w:rFonts w:asciiTheme="majorHAnsi" w:hAnsiTheme="majorHAnsi"/>
          <w:sz w:val="20"/>
          <w:szCs w:val="20"/>
          <w:lang w:val="es-PE"/>
        </w:rPr>
        <w:t>la</w:t>
      </w:r>
      <w:r w:rsidRPr="00A23115">
        <w:rPr>
          <w:rFonts w:asciiTheme="majorHAnsi" w:hAnsiTheme="majorHAnsi"/>
          <w:sz w:val="20"/>
          <w:szCs w:val="20"/>
          <w:lang w:val="es-PE"/>
        </w:rPr>
        <w:t xml:space="preserve"> cual se adelantaron las diligencias iniciales</w:t>
      </w:r>
      <w:r w:rsidR="00D17AD6" w:rsidRPr="00A23115">
        <w:rPr>
          <w:rFonts w:asciiTheme="majorHAnsi" w:hAnsiTheme="majorHAnsi"/>
          <w:sz w:val="20"/>
          <w:szCs w:val="20"/>
          <w:lang w:val="es-PE"/>
        </w:rPr>
        <w:t>. Sin embargo,</w:t>
      </w:r>
      <w:r w:rsidRPr="00A23115">
        <w:rPr>
          <w:rFonts w:asciiTheme="majorHAnsi" w:hAnsiTheme="majorHAnsi"/>
          <w:sz w:val="20"/>
          <w:szCs w:val="20"/>
          <w:lang w:val="es-PE"/>
        </w:rPr>
        <w:t xml:space="preserve"> </w:t>
      </w:r>
      <w:r w:rsidR="007114E4" w:rsidRPr="00A23115">
        <w:rPr>
          <w:rFonts w:asciiTheme="majorHAnsi" w:hAnsiTheme="majorHAnsi"/>
          <w:sz w:val="20"/>
          <w:szCs w:val="20"/>
          <w:lang w:val="es-PE"/>
        </w:rPr>
        <w:t xml:space="preserve">el 7 de septiembre de 1999 </w:t>
      </w:r>
      <w:r w:rsidRPr="00A23115">
        <w:rPr>
          <w:rFonts w:asciiTheme="majorHAnsi" w:hAnsiTheme="majorHAnsi"/>
          <w:sz w:val="20"/>
          <w:szCs w:val="20"/>
          <w:lang w:val="es-PE"/>
        </w:rPr>
        <w:t xml:space="preserve">la investigación fue suspendida conforme al artículo 326 del Código de Procedimiento Penal colombiano. Aduce que esta </w:t>
      </w:r>
      <w:r w:rsidR="00D17AD6" w:rsidRPr="00A23115">
        <w:rPr>
          <w:rFonts w:asciiTheme="majorHAnsi" w:hAnsiTheme="majorHAnsi"/>
          <w:sz w:val="20"/>
          <w:szCs w:val="20"/>
          <w:lang w:val="es-PE"/>
        </w:rPr>
        <w:t>decisión</w:t>
      </w:r>
      <w:r w:rsidRPr="00A23115">
        <w:rPr>
          <w:rFonts w:asciiTheme="majorHAnsi" w:hAnsiTheme="majorHAnsi"/>
          <w:sz w:val="20"/>
          <w:szCs w:val="20"/>
          <w:lang w:val="es-PE"/>
        </w:rPr>
        <w:t xml:space="preserve"> ha dejado los hechos en la impunidad, y que el Estado colombiano no ha reactivado el caso, ni brindad</w:t>
      </w:r>
      <w:r w:rsidR="00FD39ED" w:rsidRPr="00A23115">
        <w:rPr>
          <w:rFonts w:asciiTheme="majorHAnsi" w:hAnsiTheme="majorHAnsi"/>
          <w:sz w:val="20"/>
          <w:szCs w:val="20"/>
          <w:lang w:val="es-PE"/>
        </w:rPr>
        <w:t>o</w:t>
      </w:r>
      <w:r w:rsidRPr="00A23115">
        <w:rPr>
          <w:rFonts w:asciiTheme="majorHAnsi" w:hAnsiTheme="majorHAnsi"/>
          <w:sz w:val="20"/>
          <w:szCs w:val="20"/>
          <w:lang w:val="es-PE"/>
        </w:rPr>
        <w:t xml:space="preserve"> información suficiente a los familiares sobre avances sustantivos. </w:t>
      </w:r>
    </w:p>
    <w:p w14:paraId="6AE1C828" w14:textId="77832999" w:rsidR="008C5E2D" w:rsidRPr="00A23115" w:rsidRDefault="007D22A4"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PE"/>
        </w:rPr>
        <w:t>Sostiene además que la causa fue tramitada dentro del sistema de Justicia y Paz, en virtud de la Ley 975 de 2005, pero que dicho proceso no alcanzó sus objetivos de verdad, justicia y reparación, lo que obligó a los familiares a acudir ante instancias internacionales. Argumenta que la implementación de reformas posteriores (leyes 1448 de 2011 y 1592 de 2012) redujo progresivamente las garantías para las víctimas, eliminando mecanismos como el incidente de reparación integral, y debilitando los estándares de protección y acceso a la justicia.</w:t>
      </w:r>
    </w:p>
    <w:p w14:paraId="7AEAA197" w14:textId="7DF3A891" w:rsidR="00590738" w:rsidRPr="00A23115" w:rsidRDefault="00590738" w:rsidP="002A543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sz w:val="20"/>
          <w:szCs w:val="20"/>
          <w:lang w:val="es-AR"/>
        </w:rPr>
      </w:pPr>
      <w:r w:rsidRPr="00A23115">
        <w:rPr>
          <w:rFonts w:asciiTheme="majorHAnsi" w:hAnsiTheme="majorHAnsi"/>
          <w:i/>
          <w:iCs/>
          <w:sz w:val="20"/>
          <w:szCs w:val="20"/>
          <w:lang w:val="es-PE"/>
        </w:rPr>
        <w:t>Alegatos finales</w:t>
      </w:r>
    </w:p>
    <w:p w14:paraId="0B6A6004" w14:textId="38954679" w:rsidR="00DA059D" w:rsidRPr="00A23115" w:rsidRDefault="00590738"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AR"/>
        </w:rPr>
        <w:t>Con base en las citadas consideraciones de hecho, el peticionario argumenta que Colombia incumplió</w:t>
      </w:r>
      <w:r w:rsidR="00113A3F" w:rsidRPr="00A23115">
        <w:rPr>
          <w:rFonts w:asciiTheme="majorHAnsi" w:hAnsiTheme="majorHAnsi"/>
          <w:sz w:val="20"/>
          <w:szCs w:val="20"/>
          <w:lang w:val="es-PE"/>
        </w:rPr>
        <w:t>su deber de prevenir y sancionar actos de violencia, garantizar el acceso efectivo a la justicia, proteger a la familia como núcleo fundamental de la sociedad y ofrecer una reparación integral por los daños sufridos. Recalca que la ineficacia del aparato judicial colombiano, tanto en la vía penal como en los mecanismos de justicia transicional, evidencia una renuncia del Estado a sus obligaciones internacionales, al no asegurar el derecho a la vida, a la integridad personal y a la tutela judicial efectiva de los ciudadanos.</w:t>
      </w:r>
    </w:p>
    <w:p w14:paraId="7FE82C82" w14:textId="73A394F7" w:rsidR="00984A16" w:rsidRPr="00A23115" w:rsidRDefault="00984A16" w:rsidP="002A543E">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b/>
          <w:bCs/>
          <w:sz w:val="20"/>
          <w:szCs w:val="20"/>
          <w:lang w:val="es-AR"/>
        </w:rPr>
      </w:pPr>
      <w:r w:rsidRPr="00A23115">
        <w:rPr>
          <w:rFonts w:asciiTheme="majorHAnsi" w:hAnsiTheme="majorHAnsi"/>
          <w:b/>
          <w:bCs/>
          <w:sz w:val="20"/>
          <w:szCs w:val="20"/>
          <w:lang w:val="es-AR"/>
        </w:rPr>
        <w:t>El Estado colombiano</w:t>
      </w:r>
    </w:p>
    <w:p w14:paraId="4F22C042" w14:textId="59CE9ACF" w:rsidR="00BE5710" w:rsidRPr="00A23115" w:rsidRDefault="00984A16"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AR"/>
        </w:rPr>
        <w:t>Por su parte, el Estado replica que la petición es inadmisible por falta de agotamiento de la jurisdicción interna.</w:t>
      </w:r>
      <w:r w:rsidR="009C1B70" w:rsidRPr="00A23115">
        <w:rPr>
          <w:rFonts w:asciiTheme="majorHAnsi" w:hAnsiTheme="majorHAnsi"/>
          <w:sz w:val="20"/>
          <w:szCs w:val="20"/>
          <w:lang w:val="es-AR"/>
        </w:rPr>
        <w:t xml:space="preserve"> Afirma que </w:t>
      </w:r>
      <w:r w:rsidR="00BE5710" w:rsidRPr="00A23115">
        <w:rPr>
          <w:rFonts w:asciiTheme="majorHAnsi" w:hAnsiTheme="majorHAnsi"/>
          <w:sz w:val="20"/>
          <w:szCs w:val="20"/>
          <w:lang w:val="es-AR"/>
        </w:rPr>
        <w:t>los presuntos afectados contaban con recursos judiciales idóneos para reclamar la presunta responsabilidad estatal, y no consta que los hayan ejercido o que hayan demostrado su agotamiento. En particular, señala que los familiares de las víctimas pudieron haber accedido a la jurisdicción contencioso-administrativa mediante el medio de control de reparación directa, conforme a la legislación nacional, pero no aportaron evidencia de haberlo hecho ni de haber obtenido una decisión definitiva en esa vía.</w:t>
      </w:r>
    </w:p>
    <w:p w14:paraId="0C89F2C9" w14:textId="52B9139C" w:rsidR="005650D8" w:rsidRPr="00A23115" w:rsidRDefault="00BE5710"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AR"/>
        </w:rPr>
        <w:t>Además, sostiene que en caso de considerar vulnerados sus derechos fundamentales por decisiones u omisiones judiciales, la parte peticionaria pudo haber interpuesto una acción de tutela contra providencias judiciales, mecanismo excepcional reconocido por la jurisprudencia constitucional colombiana. Señala que no consta que se haya intentado este recurso, ni que se haya justificado por qué no se acudió a él.</w:t>
      </w:r>
    </w:p>
    <w:p w14:paraId="64800BD3" w14:textId="68FB521C" w:rsidR="009C1B70" w:rsidRPr="00A23115" w:rsidRDefault="00BE5710"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AR"/>
        </w:rPr>
        <w:lastRenderedPageBreak/>
        <w:t>Por último, en relación con el proceso penal, el Estado informa que este se encuentra suspendido, mas no archivado, y que los interesados pueden solicitar su reactivación en cualquier momento. Por estas razones, el Estado concluye que no se han agotado los recursos internos disponibles, ni se ha acreditado la configuración de alguna de las excepciones del artículo 46.2 de la Convención, por lo que solicita que la petición sea declarada inadmisible.</w:t>
      </w:r>
    </w:p>
    <w:p w14:paraId="218B8FEC" w14:textId="77777777" w:rsidR="0042084E" w:rsidRPr="00A23115" w:rsidRDefault="0042084E"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PE"/>
        </w:rPr>
        <w:t xml:space="preserve">Sin perjuicio de lo anterior, en caso la Comisión considere que el peticionario agotó correctamente la jurisdicción, Colombia considera que la petición seguiría siendo inadmisible, pues las alegaciones del peticionario carecen de sustento suficiente para caracterizar una posible violación de los derechos humanos establecidos en la Convención. </w:t>
      </w:r>
    </w:p>
    <w:p w14:paraId="15E9A23F" w14:textId="3BBF22C7" w:rsidR="005650D8" w:rsidRPr="00A23115" w:rsidRDefault="00D71CD2"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AR"/>
        </w:rPr>
        <w:t xml:space="preserve">Argumenta que </w:t>
      </w:r>
      <w:r w:rsidR="00F83340" w:rsidRPr="00A23115">
        <w:rPr>
          <w:rFonts w:asciiTheme="majorHAnsi" w:hAnsiTheme="majorHAnsi"/>
          <w:sz w:val="20"/>
          <w:szCs w:val="20"/>
          <w:lang w:val="es-AR"/>
        </w:rPr>
        <w:t>la petición es manifiestamente infundada y que los hechos y derechos alegados no han sido debidamente caracterizados. Señala que los hechos denunciados ocurrieron en 1994, en el contexto del conflicto armado interno colombiano, y que la información aportada no permite establecer que agentes estatales hayan participado directa o indirectamente en los homicidios, ni que existiera una situación de riesgo particular y conocido que hubiese generado una obligación específica de protección. Sostiene que las afirmaciones de la parte peticionaria son generales, sin respaldo probatorio concreto, y que la narrativa no permite establecer una posible responsabilidad internacional del Estado. En consecuencia, el Estado considera que corresponde aplicar lo dispuesto en los artículos 47.b</w:t>
      </w:r>
      <w:r w:rsidR="006B6E32" w:rsidRPr="00A23115">
        <w:rPr>
          <w:rFonts w:asciiTheme="majorHAnsi" w:hAnsiTheme="majorHAnsi"/>
          <w:sz w:val="20"/>
          <w:szCs w:val="20"/>
          <w:lang w:val="es-AR"/>
        </w:rPr>
        <w:t>)</w:t>
      </w:r>
      <w:r w:rsidR="00F83340" w:rsidRPr="00A23115">
        <w:rPr>
          <w:rFonts w:asciiTheme="majorHAnsi" w:hAnsiTheme="majorHAnsi"/>
          <w:sz w:val="20"/>
          <w:szCs w:val="20"/>
          <w:lang w:val="es-AR"/>
        </w:rPr>
        <w:t xml:space="preserve"> y 47.c</w:t>
      </w:r>
      <w:r w:rsidR="006B6E32" w:rsidRPr="00A23115">
        <w:rPr>
          <w:rFonts w:asciiTheme="majorHAnsi" w:hAnsiTheme="majorHAnsi"/>
          <w:sz w:val="20"/>
          <w:szCs w:val="20"/>
          <w:lang w:val="es-AR"/>
        </w:rPr>
        <w:t>)</w:t>
      </w:r>
      <w:r w:rsidR="00F83340" w:rsidRPr="00A23115">
        <w:rPr>
          <w:rFonts w:asciiTheme="majorHAnsi" w:hAnsiTheme="majorHAnsi"/>
          <w:sz w:val="20"/>
          <w:szCs w:val="20"/>
          <w:lang w:val="es-AR"/>
        </w:rPr>
        <w:t xml:space="preserve"> de la Convención Americana, que prevén la inadmisibilidad de las peticiones que resulten infundadas o que no expongan hechos que caractericen una violación de derechos humanos.</w:t>
      </w:r>
    </w:p>
    <w:p w14:paraId="075E8A4A" w14:textId="27C4E149" w:rsidR="009C1B70" w:rsidRPr="00A23115" w:rsidRDefault="00210807"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sz w:val="20"/>
          <w:szCs w:val="20"/>
          <w:lang w:val="es-AR"/>
        </w:rPr>
        <w:t xml:space="preserve">Finalmente, </w:t>
      </w:r>
      <w:r w:rsidRPr="00A23115">
        <w:rPr>
          <w:rFonts w:asciiTheme="majorHAnsi" w:hAnsiTheme="majorHAnsi"/>
          <w:sz w:val="20"/>
          <w:szCs w:val="20"/>
          <w:lang w:val="es-PE"/>
        </w:rPr>
        <w:t xml:space="preserve">el Estado plantea que la Comisión carece de competencia para conocer del objeto de la petición, en la medida en que esta incluye afirmaciones abstractas sobre la legislación interna </w:t>
      </w:r>
      <w:r w:rsidR="001B2104" w:rsidRPr="00A23115">
        <w:rPr>
          <w:rFonts w:asciiTheme="majorHAnsi" w:hAnsiTheme="majorHAnsi"/>
          <w:sz w:val="20"/>
          <w:szCs w:val="20"/>
          <w:lang w:val="es-PE"/>
        </w:rPr>
        <w:t>–</w:t>
      </w:r>
      <w:r w:rsidRPr="00A23115">
        <w:rPr>
          <w:rFonts w:asciiTheme="majorHAnsi" w:hAnsiTheme="majorHAnsi"/>
          <w:sz w:val="20"/>
          <w:szCs w:val="20"/>
          <w:lang w:val="es-PE"/>
        </w:rPr>
        <w:t>particularmente, en relación con el desarrollo normativo de la justicia transicional y los procesos de paz</w:t>
      </w:r>
      <w:r w:rsidR="001B2104" w:rsidRPr="00A23115">
        <w:rPr>
          <w:rFonts w:asciiTheme="majorHAnsi" w:hAnsiTheme="majorHAnsi"/>
          <w:sz w:val="20"/>
          <w:szCs w:val="20"/>
          <w:lang w:val="es-PE"/>
        </w:rPr>
        <w:t>–</w:t>
      </w:r>
      <w:r w:rsidRPr="00A23115">
        <w:rPr>
          <w:rFonts w:asciiTheme="majorHAnsi" w:hAnsiTheme="majorHAnsi"/>
          <w:sz w:val="20"/>
          <w:szCs w:val="20"/>
          <w:lang w:val="es-PE"/>
        </w:rPr>
        <w:t xml:space="preserve"> sin demostrar que tales normas hayan sido aplicadas directamente a los hechos ni que hayan generado consecuencias concretas sobre las presuntas víctimas. </w:t>
      </w:r>
    </w:p>
    <w:p w14:paraId="6F4D4171" w14:textId="61F41104" w:rsidR="003239B8" w:rsidRPr="00A23115" w:rsidRDefault="003239B8" w:rsidP="002A543E">
      <w:pPr>
        <w:spacing w:before="240" w:after="240"/>
        <w:ind w:firstLine="720"/>
        <w:jc w:val="both"/>
        <w:rPr>
          <w:rFonts w:asciiTheme="majorHAnsi" w:hAnsiTheme="majorHAnsi"/>
          <w:sz w:val="20"/>
          <w:szCs w:val="20"/>
          <w:lang w:val="es-UY"/>
        </w:rPr>
      </w:pPr>
      <w:r w:rsidRPr="00A23115">
        <w:rPr>
          <w:rFonts w:asciiTheme="majorHAnsi" w:eastAsia="Cambria" w:hAnsiTheme="majorHAnsi" w:cs="Cambria"/>
          <w:b/>
          <w:bCs/>
          <w:color w:val="000000"/>
          <w:sz w:val="20"/>
          <w:szCs w:val="20"/>
          <w:u w:color="000000"/>
          <w:lang w:val="es-ES" w:eastAsia="es-ES"/>
        </w:rPr>
        <w:t>VI.</w:t>
      </w:r>
      <w:r w:rsidRPr="00A23115">
        <w:rPr>
          <w:rFonts w:asciiTheme="majorHAnsi" w:eastAsia="Cambria" w:hAnsiTheme="majorHAnsi" w:cs="Cambria"/>
          <w:b/>
          <w:bCs/>
          <w:color w:val="000000"/>
          <w:sz w:val="20"/>
          <w:szCs w:val="20"/>
          <w:u w:color="000000"/>
          <w:lang w:val="es-ES" w:eastAsia="es-ES"/>
        </w:rPr>
        <w:tab/>
      </w:r>
      <w:r w:rsidR="004A6A54" w:rsidRPr="00A23115">
        <w:rPr>
          <w:rFonts w:asciiTheme="majorHAnsi" w:hAnsiTheme="majorHAnsi"/>
          <w:b/>
          <w:bCs/>
          <w:sz w:val="20"/>
          <w:szCs w:val="20"/>
          <w:lang w:val="es-ES_tradnl"/>
        </w:rPr>
        <w:t xml:space="preserve">ANÁLISIS DE </w:t>
      </w:r>
      <w:r w:rsidR="00C21FEF" w:rsidRPr="00A23115">
        <w:rPr>
          <w:rFonts w:asciiTheme="majorHAnsi" w:hAnsiTheme="majorHAnsi"/>
          <w:b/>
          <w:sz w:val="20"/>
          <w:szCs w:val="20"/>
          <w:lang w:val="es-ES"/>
        </w:rPr>
        <w:t>AGOTAMIENTO DE LOS RECURSOS INTERNOS Y PLAZO DE PRESENTACIÓN</w:t>
      </w:r>
      <w:r w:rsidR="00C21FEF" w:rsidRPr="00A23115">
        <w:rPr>
          <w:rFonts w:asciiTheme="majorHAnsi" w:eastAsia="Cambria" w:hAnsiTheme="majorHAnsi" w:cs="Cambria"/>
          <w:b/>
          <w:bCs/>
          <w:color w:val="000000"/>
          <w:sz w:val="20"/>
          <w:szCs w:val="20"/>
          <w:u w:color="000000"/>
          <w:lang w:val="es-ES" w:eastAsia="es-ES"/>
        </w:rPr>
        <w:t xml:space="preserve"> </w:t>
      </w:r>
    </w:p>
    <w:p w14:paraId="44C12B24" w14:textId="187CFAD3" w:rsidR="001B1C17" w:rsidRPr="00A23115" w:rsidRDefault="001B1C17"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A23115">
        <w:rPr>
          <w:rFonts w:asciiTheme="majorHAnsi" w:hAnsiTheme="majorHAnsi"/>
          <w:sz w:val="20"/>
          <w:szCs w:val="20"/>
          <w:lang w:val="es-ES"/>
        </w:rPr>
        <w:t xml:space="preserve">La parte peticionaria argumenta que agotó la jurisdicción interna, pues se cumplió con presentar una denuncia penal y tras </w:t>
      </w:r>
      <w:r w:rsidR="006C445E" w:rsidRPr="00A23115">
        <w:rPr>
          <w:rFonts w:asciiTheme="majorHAnsi" w:hAnsiTheme="majorHAnsi"/>
          <w:sz w:val="20"/>
          <w:szCs w:val="20"/>
          <w:lang w:val="es-ES"/>
        </w:rPr>
        <w:t>31</w:t>
      </w:r>
      <w:r w:rsidRPr="00A23115">
        <w:rPr>
          <w:rFonts w:asciiTheme="majorHAnsi" w:hAnsiTheme="majorHAnsi"/>
          <w:sz w:val="20"/>
          <w:szCs w:val="20"/>
          <w:lang w:val="es-ES"/>
        </w:rPr>
        <w:t xml:space="preserve"> años </w:t>
      </w:r>
      <w:r w:rsidR="006C445E" w:rsidRPr="00A23115">
        <w:rPr>
          <w:rFonts w:asciiTheme="majorHAnsi" w:hAnsiTheme="majorHAnsi"/>
          <w:sz w:val="20"/>
          <w:szCs w:val="20"/>
          <w:lang w:val="es-ES"/>
        </w:rPr>
        <w:t>de los homicidios de las presuntas víctimas</w:t>
      </w:r>
      <w:r w:rsidRPr="00A23115">
        <w:rPr>
          <w:rFonts w:asciiTheme="majorHAnsi" w:hAnsiTheme="majorHAnsi"/>
          <w:sz w:val="20"/>
          <w:szCs w:val="20"/>
          <w:lang w:val="es-ES"/>
        </w:rPr>
        <w:t xml:space="preserve"> aún no se han identificado a los responsables. Por su parte, el Estado replica que no se cumple el requisito previsto en el artículo 46.1.a) de la Convención, pues la peticionaria no presentó una acción de tutela</w:t>
      </w:r>
      <w:r w:rsidR="00823AED" w:rsidRPr="00A23115">
        <w:rPr>
          <w:rFonts w:asciiTheme="majorHAnsi" w:hAnsiTheme="majorHAnsi"/>
          <w:sz w:val="20"/>
          <w:szCs w:val="20"/>
          <w:lang w:val="es-ES"/>
        </w:rPr>
        <w:t xml:space="preserve"> o de reparación directa, para cuestionar las resoluciones controvertidas u solicitar una reparación. Además, afirma que los familiares de las presuntas víctimas pudieron haber solicitado la reapertura del caso, pero no hay pruebas que lo hayan hecho.</w:t>
      </w:r>
    </w:p>
    <w:p w14:paraId="41A0CFC2" w14:textId="58A54001" w:rsidR="001B1C17" w:rsidRPr="00A23115" w:rsidRDefault="00823AED"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PA"/>
        </w:rPr>
      </w:pPr>
      <w:r w:rsidRPr="00A23115">
        <w:rPr>
          <w:rFonts w:asciiTheme="majorHAnsi" w:hAnsiTheme="majorHAnsi"/>
          <w:color w:val="000000" w:themeColor="text1"/>
          <w:sz w:val="20"/>
          <w:szCs w:val="20"/>
          <w:lang w:val="es-ES"/>
        </w:rPr>
        <w:t>Al respecto, l</w:t>
      </w:r>
      <w:r w:rsidR="001B1C17" w:rsidRPr="00A23115">
        <w:rPr>
          <w:rFonts w:asciiTheme="majorHAnsi" w:hAnsiTheme="majorHAnsi"/>
          <w:color w:val="000000" w:themeColor="text1"/>
          <w:sz w:val="20"/>
          <w:szCs w:val="20"/>
          <w:lang w:val="es-PA"/>
        </w:rPr>
        <w:t>a Comisión recuerda que, en casos de delitos perseguibles de oficio, como homicidios, secuestros o torturas, el Estado tiene la obligación de promover e impulsar el proceso penal, el cual constituye la vía idónea para esclarecer los hechos, juzgar a los responsables y establecer las sanciones penales correspondientes, además de permitir la aplicación de otras formas de reparación pecuniaria</w:t>
      </w:r>
      <w:r w:rsidR="001B1C17" w:rsidRPr="00A23115">
        <w:rPr>
          <w:rStyle w:val="FootnoteReference"/>
          <w:rFonts w:asciiTheme="majorHAnsi" w:hAnsiTheme="majorHAnsi"/>
          <w:color w:val="000000" w:themeColor="text1"/>
          <w:sz w:val="20"/>
          <w:szCs w:val="20"/>
          <w:lang w:val="es-PA" w:eastAsia="es-PE"/>
        </w:rPr>
        <w:footnoteReference w:id="5"/>
      </w:r>
      <w:r w:rsidR="001B1C17" w:rsidRPr="00A23115">
        <w:rPr>
          <w:rFonts w:asciiTheme="majorHAnsi" w:hAnsiTheme="majorHAnsi"/>
          <w:color w:val="000000" w:themeColor="text1"/>
          <w:sz w:val="20"/>
          <w:szCs w:val="20"/>
          <w:lang w:val="es-PA"/>
        </w:rPr>
        <w:t>. Esta obligación no se limita a una fase específica del proceso, sino que se extiende a su totalidad, incluyendo la etapa de los recursos. En consecuencia, en casos como el presente el impulso de los procesos internos no debe depender únicamente de la iniciativa de los familiares de las víctimas, sino que corresponde al Estado garantizar el acceso a la justicia y la investigación efectiva de los hechos.</w:t>
      </w:r>
    </w:p>
    <w:p w14:paraId="514F217D" w14:textId="77777777" w:rsidR="001B1C17" w:rsidRPr="00A23115" w:rsidRDefault="001B1C17" w:rsidP="002A543E">
      <w:pPr>
        <w:pStyle w:val="ListParagraph"/>
        <w:numPr>
          <w:ilvl w:val="0"/>
          <w:numId w:val="103"/>
        </w:numPr>
        <w:suppressAutoHyphens/>
        <w:spacing w:before="240" w:after="240"/>
        <w:jc w:val="both"/>
        <w:rPr>
          <w:rFonts w:asciiTheme="majorHAnsi" w:hAnsiTheme="majorHAnsi"/>
          <w:bCs/>
          <w:sz w:val="20"/>
          <w:szCs w:val="20"/>
          <w:lang w:val="es-UY"/>
        </w:rPr>
      </w:pPr>
      <w:r w:rsidRPr="00A23115">
        <w:rPr>
          <w:rFonts w:asciiTheme="majorHAnsi" w:hAnsiTheme="majorHAnsi"/>
          <w:bCs/>
          <w:sz w:val="20"/>
          <w:szCs w:val="20"/>
          <w:lang w:val="es-UY"/>
        </w:rPr>
        <w:t xml:space="preserve">Asimismo, la Comisión recuerda que, como regla general, la parte peticionaria solo tiene en principio la obligación de agotar las vías judiciales ordinarias a nivel interno. Así, la CIDH ha sostenido reiteradamente que, si bien en algunos casos los recursos extraordinarios pueden ser adecuados para enfrentar violaciones de derechos humanos, los únicos recursos que son necesarios de emplear son aquellos cuyas </w:t>
      </w:r>
      <w:r w:rsidRPr="00A23115">
        <w:rPr>
          <w:rFonts w:asciiTheme="majorHAnsi" w:hAnsiTheme="majorHAnsi"/>
          <w:bCs/>
          <w:sz w:val="20"/>
          <w:szCs w:val="20"/>
          <w:lang w:val="es-UY"/>
        </w:rPr>
        <w:lastRenderedPageBreak/>
        <w:t>funciones dentro del sistema jurídico son apropiadas para brindar protección tendiente a remediar una infracción de un determinado derecho</w:t>
      </w:r>
      <w:r w:rsidRPr="00A23115">
        <w:rPr>
          <w:rStyle w:val="FootnoteReference"/>
          <w:rFonts w:asciiTheme="majorHAnsi" w:hAnsiTheme="majorHAnsi"/>
          <w:bCs/>
          <w:sz w:val="20"/>
          <w:szCs w:val="20"/>
          <w:lang w:val="es-UY"/>
        </w:rPr>
        <w:footnoteReference w:id="6"/>
      </w:r>
      <w:r w:rsidRPr="00A23115">
        <w:rPr>
          <w:rFonts w:asciiTheme="majorHAnsi" w:hAnsiTheme="majorHAnsi"/>
          <w:bCs/>
          <w:sz w:val="20"/>
          <w:szCs w:val="20"/>
          <w:lang w:val="es-UY"/>
        </w:rPr>
        <w:t xml:space="preserve">. </w:t>
      </w:r>
    </w:p>
    <w:p w14:paraId="669C645A" w14:textId="0728AB45" w:rsidR="007A0F81" w:rsidRPr="00A23115" w:rsidRDefault="001B1C17" w:rsidP="002A543E">
      <w:pPr>
        <w:pStyle w:val="ListParagraph"/>
        <w:numPr>
          <w:ilvl w:val="0"/>
          <w:numId w:val="103"/>
        </w:numPr>
        <w:suppressAutoHyphens/>
        <w:spacing w:before="240" w:after="240"/>
        <w:jc w:val="both"/>
        <w:rPr>
          <w:rFonts w:asciiTheme="majorHAnsi" w:hAnsiTheme="majorHAnsi"/>
          <w:bCs/>
          <w:sz w:val="20"/>
          <w:szCs w:val="20"/>
          <w:lang w:val="es-UY"/>
        </w:rPr>
      </w:pPr>
      <w:r w:rsidRPr="00A23115">
        <w:rPr>
          <w:rFonts w:asciiTheme="majorHAnsi" w:hAnsiTheme="majorHAnsi"/>
          <w:bCs/>
          <w:sz w:val="20"/>
          <w:szCs w:val="20"/>
          <w:lang w:val="es-UY"/>
        </w:rPr>
        <w:t xml:space="preserve">En el presente asunto, si bien las autoridades habrían iniciado una investigación penal, esta se encuentra suspendida desde el </w:t>
      </w:r>
      <w:r w:rsidR="002736B3" w:rsidRPr="00A23115">
        <w:rPr>
          <w:rFonts w:asciiTheme="majorHAnsi" w:hAnsiTheme="majorHAnsi"/>
          <w:sz w:val="20"/>
          <w:szCs w:val="20"/>
          <w:lang w:val="es-PE"/>
        </w:rPr>
        <w:t>7 de septiembre de 1999</w:t>
      </w:r>
      <w:r w:rsidRPr="00A23115">
        <w:rPr>
          <w:rFonts w:asciiTheme="majorHAnsi" w:hAnsiTheme="majorHAnsi"/>
          <w:bCs/>
          <w:sz w:val="20"/>
          <w:szCs w:val="20"/>
          <w:lang w:val="es-UY"/>
        </w:rPr>
        <w:t xml:space="preserve">, al haberse considerado que no existían elementos suficientes para identificar a los responsables. Así, tras </w:t>
      </w:r>
      <w:r w:rsidR="002736B3" w:rsidRPr="00A23115">
        <w:rPr>
          <w:rFonts w:asciiTheme="majorHAnsi" w:hAnsiTheme="majorHAnsi"/>
          <w:bCs/>
          <w:sz w:val="20"/>
          <w:szCs w:val="20"/>
          <w:lang w:val="es-UY"/>
        </w:rPr>
        <w:t>31</w:t>
      </w:r>
      <w:r w:rsidRPr="00A23115">
        <w:rPr>
          <w:rFonts w:asciiTheme="majorHAnsi" w:hAnsiTheme="majorHAnsi"/>
          <w:bCs/>
          <w:sz w:val="20"/>
          <w:szCs w:val="20"/>
          <w:lang w:val="es-UY"/>
        </w:rPr>
        <w:t xml:space="preserve"> años desde la muerte de la presunta víctima, y pese a los distintos avances en los procesos de paz impulsados por Colombia, el expediente permanece inactivo, sin evidencia de que se hayan adoptado medidas encaminadas a esclarecer los hechos. Por las razones expuestas, y considerando el deber del Estado de actuar de oficio y ofrecer una respuesta motivada sobre lo acontecido, la Comisión considera aplicable la excepción prevista en el artículo 46.2.c) de la Convención</w:t>
      </w:r>
      <w:r w:rsidR="007A0F81" w:rsidRPr="00A23115">
        <w:rPr>
          <w:rFonts w:asciiTheme="majorHAnsi" w:hAnsiTheme="majorHAnsi"/>
          <w:bCs/>
          <w:sz w:val="20"/>
          <w:szCs w:val="20"/>
          <w:lang w:val="es-UY"/>
        </w:rPr>
        <w:t>.</w:t>
      </w:r>
    </w:p>
    <w:p w14:paraId="63C49458" w14:textId="1854A3D4" w:rsidR="001B1C17" w:rsidRPr="00A23115" w:rsidRDefault="007A0F81" w:rsidP="002A543E">
      <w:pPr>
        <w:pStyle w:val="ListParagraph"/>
        <w:numPr>
          <w:ilvl w:val="0"/>
          <w:numId w:val="103"/>
        </w:numPr>
        <w:suppressAutoHyphens/>
        <w:spacing w:before="240" w:after="240"/>
        <w:jc w:val="both"/>
        <w:rPr>
          <w:rFonts w:asciiTheme="majorHAnsi" w:hAnsiTheme="majorHAnsi"/>
          <w:bCs/>
          <w:sz w:val="20"/>
          <w:szCs w:val="20"/>
          <w:lang w:val="es-UY"/>
        </w:rPr>
      </w:pPr>
      <w:r w:rsidRPr="00A23115">
        <w:rPr>
          <w:rFonts w:asciiTheme="majorHAnsi" w:hAnsiTheme="majorHAnsi"/>
          <w:bCs/>
          <w:sz w:val="20"/>
          <w:szCs w:val="20"/>
          <w:lang w:val="es-UY"/>
        </w:rPr>
        <w:t xml:space="preserve">No obstante, a pesar de lo expuesto, la Comisión aprecia que la petición recién fue presentada el 7 de agosto de 2015. Aunque el peticionario menciona que el caso de las presuntas víctimas fue analizado en el marco del sistema de justicia y paz, no explica las diligencias que se habrían realizado ni actualiza cuáles fueron las fechas de las últimas actuaciones realizadas sobre este expediente. En consecuencia, dada esta completa falta de información sobre las acciones ejercidas desde 1999, </w:t>
      </w:r>
      <w:r w:rsidR="00E7360E" w:rsidRPr="00A23115">
        <w:rPr>
          <w:rFonts w:asciiTheme="majorHAnsi" w:hAnsiTheme="majorHAnsi"/>
          <w:bCs/>
          <w:sz w:val="20"/>
          <w:szCs w:val="20"/>
          <w:lang w:val="es-UY"/>
        </w:rPr>
        <w:t>año</w:t>
      </w:r>
      <w:r w:rsidRPr="00A23115">
        <w:rPr>
          <w:rFonts w:asciiTheme="majorHAnsi" w:hAnsiTheme="majorHAnsi"/>
          <w:bCs/>
          <w:sz w:val="20"/>
          <w:szCs w:val="20"/>
          <w:lang w:val="es-UY"/>
        </w:rPr>
        <w:t xml:space="preserve"> en que quedó suspendida la investigación, la Comisión considera que </w:t>
      </w:r>
      <w:r w:rsidR="00E7360E" w:rsidRPr="00A23115">
        <w:rPr>
          <w:rFonts w:asciiTheme="majorHAnsi" w:hAnsiTheme="majorHAnsi"/>
          <w:bCs/>
          <w:sz w:val="20"/>
          <w:szCs w:val="20"/>
          <w:lang w:val="es-UY"/>
        </w:rPr>
        <w:t xml:space="preserve">no es posible justificar la demora en la presentación de la petición y </w:t>
      </w:r>
      <w:r w:rsidRPr="00A23115">
        <w:rPr>
          <w:rFonts w:asciiTheme="majorHAnsi" w:hAnsiTheme="majorHAnsi"/>
          <w:bCs/>
          <w:sz w:val="20"/>
          <w:szCs w:val="20"/>
          <w:lang w:val="es-UY"/>
        </w:rPr>
        <w:t>por ende no se cumple con el requisito previsto en el artículo 32.2. de su Reglamento.</w:t>
      </w:r>
    </w:p>
    <w:p w14:paraId="4FFBE378" w14:textId="64322DE9" w:rsidR="003239B8" w:rsidRPr="00A23115" w:rsidRDefault="003239B8" w:rsidP="002A543E">
      <w:pPr>
        <w:pStyle w:val="ListParagraph"/>
        <w:spacing w:before="240" w:after="240"/>
        <w:ind w:left="0" w:firstLine="720"/>
        <w:jc w:val="both"/>
        <w:rPr>
          <w:rFonts w:asciiTheme="majorHAnsi" w:hAnsiTheme="majorHAnsi"/>
          <w:b/>
          <w:sz w:val="20"/>
          <w:szCs w:val="20"/>
          <w:lang w:val="es-ES"/>
        </w:rPr>
      </w:pPr>
      <w:r w:rsidRPr="00A23115">
        <w:rPr>
          <w:rFonts w:asciiTheme="majorHAnsi" w:hAnsiTheme="majorHAnsi"/>
          <w:b/>
          <w:bCs/>
          <w:sz w:val="20"/>
          <w:szCs w:val="20"/>
          <w:lang w:val="es-ES"/>
        </w:rPr>
        <w:t>VII.</w:t>
      </w:r>
      <w:r w:rsidRPr="00A23115">
        <w:rPr>
          <w:rFonts w:asciiTheme="majorHAnsi" w:hAnsiTheme="majorHAnsi"/>
          <w:b/>
          <w:bCs/>
          <w:sz w:val="20"/>
          <w:szCs w:val="20"/>
          <w:lang w:val="es-ES"/>
        </w:rPr>
        <w:tab/>
      </w:r>
      <w:r w:rsidR="004A6A54" w:rsidRPr="00A23115">
        <w:rPr>
          <w:rFonts w:asciiTheme="majorHAnsi" w:hAnsiTheme="majorHAnsi"/>
          <w:b/>
          <w:bCs/>
          <w:sz w:val="20"/>
          <w:szCs w:val="20"/>
          <w:lang w:val="es-ES_tradnl"/>
        </w:rPr>
        <w:t xml:space="preserve">ANÁLISIS DE </w:t>
      </w:r>
      <w:r w:rsidR="00C21FEF" w:rsidRPr="00A23115">
        <w:rPr>
          <w:rFonts w:asciiTheme="majorHAnsi" w:hAnsiTheme="majorHAnsi"/>
          <w:b/>
          <w:bCs/>
          <w:sz w:val="20"/>
          <w:szCs w:val="20"/>
          <w:lang w:val="es-ES"/>
        </w:rPr>
        <w:t xml:space="preserve">CARACTERIZACIÓN </w:t>
      </w:r>
      <w:r w:rsidR="00C21FEF" w:rsidRPr="00A23115">
        <w:rPr>
          <w:rFonts w:asciiTheme="majorHAnsi" w:hAnsiTheme="majorHAnsi"/>
          <w:b/>
          <w:bCs/>
          <w:sz w:val="20"/>
          <w:szCs w:val="20"/>
          <w:lang w:val="es-UY"/>
        </w:rPr>
        <w:t>DE LOS HECHOS ALEGADOS</w:t>
      </w:r>
    </w:p>
    <w:p w14:paraId="328B9044" w14:textId="5292A6CE" w:rsidR="00E64C3D" w:rsidRPr="00A23115" w:rsidRDefault="00E7360E"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A23115">
        <w:rPr>
          <w:rFonts w:asciiTheme="majorHAnsi" w:hAnsiTheme="majorHAnsi"/>
          <w:sz w:val="20"/>
          <w:szCs w:val="20"/>
          <w:lang w:val="es-ES"/>
        </w:rPr>
        <w:t>Aunque la Comisión ya determinó que el presente asunto no cumple con el requisito de plazo de presentación, considera oportuno explica por qué, además, tampoco se aprecia prima facie una afectación de derechos, con base en los principales argumentos expuestos por la parte peticionaria.</w:t>
      </w:r>
    </w:p>
    <w:p w14:paraId="4E33212C" w14:textId="41AD22BE" w:rsidR="000F3A3E" w:rsidRPr="00A23115" w:rsidRDefault="00E7360E" w:rsidP="002A543E">
      <w:pPr>
        <w:pStyle w:val="ListParagraph"/>
        <w:numPr>
          <w:ilvl w:val="0"/>
          <w:numId w:val="103"/>
        </w:numPr>
        <w:suppressAutoHyphens/>
        <w:spacing w:before="240" w:after="240"/>
        <w:jc w:val="both"/>
        <w:rPr>
          <w:rFonts w:asciiTheme="majorHAnsi" w:hAnsiTheme="majorHAnsi"/>
          <w:sz w:val="20"/>
          <w:szCs w:val="20"/>
          <w:lang w:val="es-ES_tradnl"/>
        </w:rPr>
      </w:pPr>
      <w:r w:rsidRPr="00A23115">
        <w:rPr>
          <w:rFonts w:asciiTheme="majorHAnsi" w:hAnsiTheme="majorHAnsi"/>
          <w:sz w:val="20"/>
          <w:szCs w:val="20"/>
          <w:lang w:val="es-ES"/>
        </w:rPr>
        <w:t xml:space="preserve">Al respecto, </w:t>
      </w:r>
      <w:r w:rsidR="000F3A3E" w:rsidRPr="00A23115">
        <w:rPr>
          <w:rFonts w:asciiTheme="majorHAnsi" w:hAnsiTheme="majorHAnsi"/>
          <w:sz w:val="20"/>
          <w:szCs w:val="20"/>
          <w:lang w:val="es-ES_tradnl"/>
        </w:rPr>
        <w:t xml:space="preserve">la Comisión reitera que el criterio de evaluación de la fase de admisibilidad difiere del que se utiliza para pronunciarse sobre el fondo de una petición; la CIDH debe realizar en esta etapa una evaluación </w:t>
      </w:r>
      <w:r w:rsidR="000F3A3E" w:rsidRPr="00A23115">
        <w:rPr>
          <w:rFonts w:asciiTheme="majorHAnsi" w:hAnsiTheme="majorHAnsi"/>
          <w:i/>
          <w:iCs/>
          <w:sz w:val="20"/>
          <w:szCs w:val="20"/>
          <w:lang w:val="es-ES_tradnl"/>
        </w:rPr>
        <w:t>prima facie</w:t>
      </w:r>
      <w:r w:rsidR="000F3A3E" w:rsidRPr="00A23115">
        <w:rPr>
          <w:rFonts w:asciiTheme="majorHAnsi" w:hAnsiTheme="majorHAnsi"/>
          <w:sz w:val="20"/>
          <w:szCs w:val="20"/>
          <w:lang w:val="es-ES_tradnl"/>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76F2DD92" w14:textId="65A1954E" w:rsidR="00036090" w:rsidRPr="00A23115" w:rsidRDefault="000F3A3E"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A23115">
        <w:rPr>
          <w:rFonts w:asciiTheme="majorHAnsi" w:hAnsiTheme="majorHAnsi"/>
          <w:sz w:val="20"/>
          <w:szCs w:val="20"/>
          <w:lang w:val="es-ES_tradnl"/>
        </w:rPr>
        <w:t>En el presente asunto, la CIDH nota que e</w:t>
      </w:r>
      <w:r w:rsidR="009C6586" w:rsidRPr="00A23115">
        <w:rPr>
          <w:rFonts w:asciiTheme="majorHAnsi" w:hAnsiTheme="majorHAnsi"/>
          <w:sz w:val="20"/>
          <w:szCs w:val="20"/>
          <w:lang w:val="es-ES"/>
        </w:rPr>
        <w:t>l peticionario afirma de manera general que el Estado tenía conocimiento del accionar de grupos armados ilegales en la zona donde ocurrieron los hechos (carretera Bogotá–Villavicencio)</w:t>
      </w:r>
      <w:r w:rsidR="005665D7" w:rsidRPr="00A23115">
        <w:rPr>
          <w:rFonts w:asciiTheme="majorHAnsi" w:hAnsiTheme="majorHAnsi"/>
          <w:sz w:val="20"/>
          <w:szCs w:val="20"/>
          <w:lang w:val="es-ES"/>
        </w:rPr>
        <w:t>,</w:t>
      </w:r>
      <w:r w:rsidR="009C6586" w:rsidRPr="00A23115">
        <w:rPr>
          <w:rFonts w:asciiTheme="majorHAnsi" w:hAnsiTheme="majorHAnsi"/>
          <w:sz w:val="20"/>
          <w:szCs w:val="20"/>
          <w:lang w:val="es-ES"/>
        </w:rPr>
        <w:t xml:space="preserve"> y que pese a ello no adoptó medidas adecuadas de protección o prevención. Sin embargo</w:t>
      </w:r>
      <w:r w:rsidRPr="00A23115">
        <w:rPr>
          <w:rFonts w:asciiTheme="majorHAnsi" w:hAnsiTheme="majorHAnsi"/>
          <w:sz w:val="20"/>
          <w:szCs w:val="20"/>
          <w:lang w:val="es-ES"/>
        </w:rPr>
        <w:t xml:space="preserve">, no aporta </w:t>
      </w:r>
      <w:r w:rsidR="009C6586" w:rsidRPr="00A23115">
        <w:rPr>
          <w:rFonts w:asciiTheme="majorHAnsi" w:hAnsiTheme="majorHAnsi"/>
          <w:sz w:val="20"/>
          <w:szCs w:val="20"/>
          <w:lang w:val="es-ES"/>
        </w:rPr>
        <w:t>hechos previos concretos, alertas oficiales, informes específicos ni solicitudes de protección previas que evidencien que el Estado conocía de un riesgo inminente para las víctimas.</w:t>
      </w:r>
      <w:r w:rsidRPr="00A23115">
        <w:rPr>
          <w:rFonts w:asciiTheme="majorHAnsi" w:hAnsiTheme="majorHAnsi"/>
          <w:sz w:val="20"/>
          <w:szCs w:val="20"/>
          <w:lang w:val="es-ES"/>
        </w:rPr>
        <w:t xml:space="preserve"> </w:t>
      </w:r>
      <w:r w:rsidR="009C6586" w:rsidRPr="00A23115">
        <w:rPr>
          <w:rFonts w:asciiTheme="majorHAnsi" w:hAnsiTheme="majorHAnsi"/>
          <w:sz w:val="20"/>
          <w:szCs w:val="20"/>
          <w:lang w:val="es-ES"/>
        </w:rPr>
        <w:t>Tampoco menciona si las víctimas eran blanco de amenazas específicas, si tenían perfiles de riesgo o si había medidas de protección solicitadas o negadas.</w:t>
      </w:r>
      <w:r w:rsidR="000867C9" w:rsidRPr="00A23115">
        <w:rPr>
          <w:rFonts w:asciiTheme="majorHAnsi" w:hAnsiTheme="majorHAnsi"/>
          <w:sz w:val="20"/>
          <w:szCs w:val="20"/>
          <w:lang w:val="es-ES"/>
        </w:rPr>
        <w:t xml:space="preserve"> </w:t>
      </w:r>
      <w:r w:rsidR="009C6586" w:rsidRPr="00A23115">
        <w:rPr>
          <w:rFonts w:asciiTheme="majorHAnsi" w:hAnsiTheme="majorHAnsi"/>
          <w:sz w:val="20"/>
          <w:szCs w:val="20"/>
          <w:lang w:val="es-ES"/>
        </w:rPr>
        <w:t>Por tanto, aunque sí se alega una omisión del deber de prevención, esto se hace de forma genérica y sin aportar elementos fácticos específicos que lo sustenten, como fechas, actuaciones previas del Estado o contexto de riesgo documentado.</w:t>
      </w:r>
      <w:r w:rsidR="00A000AD" w:rsidRPr="00A23115">
        <w:rPr>
          <w:rFonts w:asciiTheme="majorHAnsi" w:hAnsiTheme="majorHAnsi"/>
          <w:sz w:val="20"/>
          <w:szCs w:val="20"/>
          <w:lang w:val="es-ES"/>
        </w:rPr>
        <w:t xml:space="preserve"> A criterio de la CIDH, esta falta de información no permite atribuir ni siquiera </w:t>
      </w:r>
      <w:r w:rsidR="00A000AD" w:rsidRPr="00A23115">
        <w:rPr>
          <w:rFonts w:asciiTheme="majorHAnsi" w:hAnsiTheme="majorHAnsi"/>
          <w:i/>
          <w:iCs/>
          <w:sz w:val="20"/>
          <w:szCs w:val="20"/>
          <w:lang w:val="es-ES"/>
        </w:rPr>
        <w:t>prima facie</w:t>
      </w:r>
      <w:r w:rsidR="00A000AD" w:rsidRPr="00A23115">
        <w:rPr>
          <w:rFonts w:asciiTheme="majorHAnsi" w:hAnsiTheme="majorHAnsi"/>
          <w:sz w:val="20"/>
          <w:szCs w:val="20"/>
          <w:lang w:val="es-ES"/>
        </w:rPr>
        <w:t xml:space="preserve"> a Colombia responsabilidad por lo acontecido. </w:t>
      </w:r>
    </w:p>
    <w:p w14:paraId="0E7867B2" w14:textId="77777777" w:rsidR="00A40753" w:rsidRPr="00A23115" w:rsidRDefault="00A40753" w:rsidP="002A543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A23115">
        <w:rPr>
          <w:rFonts w:asciiTheme="majorHAnsi" w:hAnsiTheme="majorHAnsi"/>
          <w:bCs/>
          <w:sz w:val="20"/>
          <w:szCs w:val="20"/>
          <w:lang w:val="es-UY"/>
        </w:rPr>
        <w:t xml:space="preserve">Por las citadas razones, la Comisión considera que los hechos expuestos por la parte peticionaria no muestran, </w:t>
      </w:r>
      <w:r w:rsidRPr="00A23115">
        <w:rPr>
          <w:rFonts w:asciiTheme="majorHAnsi" w:hAnsiTheme="majorHAnsi"/>
          <w:bCs/>
          <w:i/>
          <w:iCs/>
          <w:sz w:val="20"/>
          <w:szCs w:val="20"/>
          <w:lang w:val="es-UY"/>
        </w:rPr>
        <w:t>prima facie</w:t>
      </w:r>
      <w:r w:rsidRPr="00A23115">
        <w:rPr>
          <w:rFonts w:asciiTheme="majorHAnsi" w:hAnsiTheme="majorHAnsi"/>
          <w:bCs/>
          <w:sz w:val="20"/>
          <w:szCs w:val="20"/>
          <w:lang w:val="es-UY"/>
        </w:rPr>
        <w:t xml:space="preserve">, una posible vulneración de derechos y, en consecuencia, con base en </w:t>
      </w:r>
      <w:r w:rsidRPr="00A23115">
        <w:rPr>
          <w:rFonts w:asciiTheme="majorHAnsi" w:hAnsiTheme="majorHAnsi"/>
          <w:sz w:val="20"/>
          <w:szCs w:val="20"/>
          <w:lang w:val="es-ES"/>
        </w:rPr>
        <w:t xml:space="preserve">el artículo 47.b) de la Convención, corresponde declarar la inadmisibilidad de este asunto. </w:t>
      </w:r>
    </w:p>
    <w:p w14:paraId="5DF5E651" w14:textId="77777777" w:rsidR="002A543E" w:rsidRDefault="002A543E" w:rsidP="002A543E">
      <w:pPr>
        <w:pStyle w:val="ListParagraph"/>
        <w:spacing w:before="240" w:after="240"/>
        <w:ind w:left="0" w:firstLine="720"/>
        <w:jc w:val="both"/>
        <w:rPr>
          <w:rFonts w:asciiTheme="majorHAnsi" w:hAnsiTheme="majorHAnsi"/>
          <w:b/>
          <w:bCs/>
          <w:sz w:val="20"/>
          <w:szCs w:val="20"/>
          <w:lang w:val="es-ES"/>
        </w:rPr>
      </w:pPr>
    </w:p>
    <w:p w14:paraId="29BB41F5" w14:textId="0855C868" w:rsidR="003239B8" w:rsidRPr="00A23115" w:rsidRDefault="003239B8" w:rsidP="002A543E">
      <w:pPr>
        <w:pStyle w:val="ListParagraph"/>
        <w:spacing w:before="240" w:after="240"/>
        <w:ind w:left="0" w:firstLine="720"/>
        <w:jc w:val="both"/>
        <w:rPr>
          <w:rFonts w:asciiTheme="majorHAnsi" w:hAnsiTheme="majorHAnsi"/>
          <w:b/>
          <w:bCs/>
          <w:sz w:val="20"/>
          <w:szCs w:val="20"/>
          <w:lang w:val="es-ES"/>
        </w:rPr>
      </w:pPr>
      <w:r w:rsidRPr="00A23115">
        <w:rPr>
          <w:rFonts w:asciiTheme="majorHAnsi" w:hAnsiTheme="majorHAnsi"/>
          <w:b/>
          <w:bCs/>
          <w:sz w:val="20"/>
          <w:szCs w:val="20"/>
          <w:lang w:val="es-ES"/>
        </w:rPr>
        <w:lastRenderedPageBreak/>
        <w:t xml:space="preserve">VIII. </w:t>
      </w:r>
      <w:r w:rsidRPr="00A23115">
        <w:rPr>
          <w:rFonts w:asciiTheme="majorHAnsi" w:hAnsiTheme="majorHAnsi"/>
          <w:b/>
          <w:bCs/>
          <w:sz w:val="20"/>
          <w:szCs w:val="20"/>
          <w:lang w:val="es-ES"/>
        </w:rPr>
        <w:tab/>
        <w:t>DECISIÓN</w:t>
      </w:r>
    </w:p>
    <w:p w14:paraId="41AA5BF6" w14:textId="015978EC" w:rsidR="000419AD" w:rsidRPr="002A543E" w:rsidRDefault="000419AD" w:rsidP="002A543E">
      <w:pPr>
        <w:pStyle w:val="ListParagraph"/>
        <w:numPr>
          <w:ilvl w:val="0"/>
          <w:numId w:val="109"/>
        </w:numPr>
        <w:spacing w:before="240" w:after="240"/>
        <w:rPr>
          <w:rFonts w:asciiTheme="majorHAnsi" w:eastAsia="Arial Unicode MS" w:hAnsiTheme="majorHAnsi" w:cs="Times New Roman"/>
          <w:color w:val="auto"/>
          <w:sz w:val="20"/>
          <w:szCs w:val="20"/>
          <w:lang w:val="es-ES" w:eastAsia="en-US"/>
        </w:rPr>
      </w:pPr>
      <w:r w:rsidRPr="00A441FA">
        <w:rPr>
          <w:rFonts w:asciiTheme="majorHAnsi" w:eastAsia="Arial Unicode MS" w:hAnsiTheme="majorHAnsi" w:cs="Times New Roman"/>
          <w:color w:val="auto"/>
          <w:sz w:val="20"/>
          <w:szCs w:val="20"/>
          <w:lang w:val="es-ES" w:eastAsia="en-US"/>
        </w:rPr>
        <w:t>Declarar inadmisible la pr</w:t>
      </w:r>
      <w:r w:rsidRPr="00A23115">
        <w:rPr>
          <w:rFonts w:asciiTheme="majorHAnsi" w:eastAsia="Arial Unicode MS" w:hAnsiTheme="majorHAnsi" w:cs="Times New Roman"/>
          <w:color w:val="auto"/>
          <w:sz w:val="20"/>
          <w:szCs w:val="20"/>
          <w:lang w:val="es-ES" w:eastAsia="en-US"/>
        </w:rPr>
        <w:t>esente petición</w:t>
      </w:r>
      <w:r w:rsidR="00A758AA" w:rsidRPr="00A23115">
        <w:rPr>
          <w:rFonts w:asciiTheme="majorHAnsi" w:eastAsia="Arial Unicode MS" w:hAnsiTheme="majorHAnsi" w:cs="Times New Roman"/>
          <w:color w:val="auto"/>
          <w:sz w:val="20"/>
          <w:szCs w:val="20"/>
          <w:lang w:val="es-ES" w:eastAsia="en-US"/>
        </w:rPr>
        <w:t>;</w:t>
      </w:r>
      <w:r w:rsidR="004A6A54" w:rsidRPr="00A23115">
        <w:rPr>
          <w:rFonts w:asciiTheme="majorHAnsi" w:eastAsia="Arial Unicode MS" w:hAnsiTheme="majorHAnsi" w:cs="Times New Roman"/>
          <w:color w:val="auto"/>
          <w:sz w:val="20"/>
          <w:szCs w:val="20"/>
          <w:lang w:val="es-ES" w:eastAsia="en-US"/>
        </w:rPr>
        <w:t xml:space="preserve"> y</w:t>
      </w:r>
    </w:p>
    <w:p w14:paraId="12A7002C" w14:textId="56F8DC52" w:rsidR="004A6A54" w:rsidRDefault="004A6A54" w:rsidP="002A543E">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A23115">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54A202EC" w14:textId="2A33CD02" w:rsidR="0023686F" w:rsidRPr="00242820" w:rsidRDefault="0023686F" w:rsidP="00242820">
      <w:pPr>
        <w:suppressAutoHyphens/>
        <w:ind w:firstLine="720"/>
        <w:jc w:val="both"/>
        <w:rPr>
          <w:rFonts w:ascii="Segoe UI" w:hAnsi="Segoe UI" w:cs="Segoe UI"/>
          <w:sz w:val="18"/>
          <w:szCs w:val="18"/>
          <w:lang w:val="es-ES"/>
        </w:rPr>
      </w:pPr>
      <w:r w:rsidRPr="00272A90">
        <w:rPr>
          <w:rStyle w:val="normaltextrun"/>
          <w:rFonts w:ascii="Cambria" w:hAnsi="Cambria" w:cs="Segoe UI"/>
          <w:sz w:val="20"/>
          <w:szCs w:val="20"/>
          <w:lang w:val="es-CL"/>
        </w:rPr>
        <w:t xml:space="preserve">Aprobado por la Comisión Interamericana de Derechos Humanos a los 2 días del mes de julio de 2025.  (Firmado): José Luis Caballero Ochoa, Presidente; Arif Bulkan, Segundo Vicepresidente; Roberta Clarke y Gloria Monique de Mees, </w:t>
      </w:r>
      <w:r w:rsidR="006F7382">
        <w:rPr>
          <w:rStyle w:val="normaltextrun"/>
          <w:rFonts w:ascii="Cambria" w:hAnsi="Cambria" w:cs="Segoe UI"/>
          <w:sz w:val="20"/>
          <w:szCs w:val="20"/>
          <w:lang w:val="es-CL"/>
        </w:rPr>
        <w:t>m</w:t>
      </w:r>
      <w:r w:rsidRPr="00272A90">
        <w:rPr>
          <w:rStyle w:val="normaltextrun"/>
          <w:rFonts w:ascii="Cambria" w:hAnsi="Cambria" w:cs="Segoe UI"/>
          <w:sz w:val="20"/>
          <w:szCs w:val="20"/>
          <w:lang w:val="es-CL"/>
        </w:rPr>
        <w:t>iembros de la Comisión.</w:t>
      </w:r>
    </w:p>
    <w:p w14:paraId="4C37BCEE" w14:textId="77777777" w:rsidR="00A441FA" w:rsidRPr="00A23115" w:rsidRDefault="00A441FA" w:rsidP="00A441F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Theme="majorHAnsi" w:hAnsiTheme="majorHAnsi"/>
          <w:sz w:val="20"/>
          <w:szCs w:val="20"/>
          <w:lang w:val="es-ES"/>
        </w:rPr>
      </w:pPr>
    </w:p>
    <w:p w14:paraId="7CD4DFBD" w14:textId="77777777" w:rsidR="003239B8" w:rsidRPr="00A23115" w:rsidRDefault="003239B8" w:rsidP="002A543E">
      <w:pPr>
        <w:pStyle w:val="ListParagraph"/>
        <w:suppressAutoHyphens/>
        <w:spacing w:before="240" w:after="240"/>
        <w:ind w:left="0" w:firstLine="720"/>
        <w:jc w:val="both"/>
        <w:rPr>
          <w:rFonts w:asciiTheme="majorHAnsi" w:hAnsiTheme="majorHAnsi"/>
          <w:sz w:val="20"/>
          <w:szCs w:val="20"/>
          <w:lang w:val="es-ES"/>
        </w:rPr>
      </w:pPr>
    </w:p>
    <w:p w14:paraId="0D98495A" w14:textId="77777777" w:rsidR="008D768D" w:rsidRPr="00A23115" w:rsidRDefault="008D768D" w:rsidP="002A543E">
      <w:pPr>
        <w:tabs>
          <w:tab w:val="center" w:pos="5400"/>
        </w:tabs>
        <w:suppressAutoHyphens/>
        <w:spacing w:before="240" w:after="240"/>
        <w:ind w:firstLine="720"/>
        <w:rPr>
          <w:rFonts w:asciiTheme="majorHAnsi" w:hAnsiTheme="majorHAnsi"/>
          <w:sz w:val="20"/>
          <w:szCs w:val="20"/>
          <w:lang w:val="es-ES"/>
        </w:rPr>
      </w:pPr>
    </w:p>
    <w:p w14:paraId="2642C68E" w14:textId="77777777" w:rsidR="008D768D" w:rsidRPr="00A23115" w:rsidRDefault="008D768D" w:rsidP="002A543E">
      <w:pPr>
        <w:tabs>
          <w:tab w:val="center" w:pos="5400"/>
        </w:tabs>
        <w:suppressAutoHyphens/>
        <w:spacing w:before="240" w:after="240"/>
        <w:ind w:firstLine="720"/>
        <w:rPr>
          <w:rFonts w:asciiTheme="majorHAnsi" w:hAnsiTheme="majorHAnsi"/>
          <w:sz w:val="20"/>
          <w:szCs w:val="20"/>
          <w:lang w:val="es-ES_tradnl"/>
        </w:rPr>
      </w:pPr>
    </w:p>
    <w:p w14:paraId="6AC80CA6" w14:textId="77777777" w:rsidR="00722C9F" w:rsidRPr="00A23115" w:rsidRDefault="00722C9F" w:rsidP="002A543E">
      <w:pPr>
        <w:spacing w:before="240" w:after="240"/>
        <w:ind w:firstLine="720"/>
        <w:rPr>
          <w:rFonts w:asciiTheme="majorHAnsi" w:hAnsiTheme="majorHAnsi" w:cs="Calibri"/>
          <w:sz w:val="20"/>
          <w:szCs w:val="20"/>
          <w:lang w:val="es-ES"/>
        </w:rPr>
      </w:pPr>
    </w:p>
    <w:sectPr w:rsidR="00722C9F" w:rsidRPr="00A23115"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05C2" w14:textId="77777777" w:rsidR="00F74109" w:rsidRDefault="00F74109">
      <w:r>
        <w:separator/>
      </w:r>
    </w:p>
  </w:endnote>
  <w:endnote w:type="continuationSeparator" w:id="0">
    <w:p w14:paraId="5504928C" w14:textId="77777777" w:rsidR="00F74109" w:rsidRDefault="00F7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2EAA" w14:textId="77777777" w:rsidR="00F74109" w:rsidRPr="000F35ED" w:rsidRDefault="00F7410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E12F7D6" w14:textId="77777777" w:rsidR="00F74109" w:rsidRPr="000F35ED" w:rsidRDefault="00F74109" w:rsidP="000F35ED">
      <w:pPr>
        <w:rPr>
          <w:rFonts w:asciiTheme="majorHAnsi" w:hAnsiTheme="majorHAnsi"/>
          <w:sz w:val="16"/>
          <w:szCs w:val="16"/>
        </w:rPr>
      </w:pPr>
      <w:r w:rsidRPr="000F35ED">
        <w:rPr>
          <w:rFonts w:asciiTheme="majorHAnsi" w:hAnsiTheme="majorHAnsi"/>
          <w:sz w:val="16"/>
          <w:szCs w:val="16"/>
        </w:rPr>
        <w:separator/>
      </w:r>
    </w:p>
    <w:p w14:paraId="18BAC0A9" w14:textId="77777777" w:rsidR="00F74109" w:rsidRPr="000F35ED" w:rsidRDefault="00F74109"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27404AD1" w14:textId="77777777" w:rsidR="00F74109" w:rsidRPr="000F35ED" w:rsidRDefault="00F7410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56A9CE87" w14:textId="77777777" w:rsidR="005F4C54" w:rsidRPr="00CF02F2" w:rsidRDefault="005F4C54" w:rsidP="00A441FA">
      <w:pPr>
        <w:pStyle w:val="FootnoteText"/>
        <w:ind w:firstLine="720"/>
        <w:jc w:val="both"/>
        <w:rPr>
          <w:rFonts w:asciiTheme="majorHAnsi" w:hAnsiTheme="majorHAnsi"/>
          <w:sz w:val="16"/>
          <w:szCs w:val="16"/>
          <w:lang w:val="es-ES"/>
        </w:rPr>
      </w:pPr>
      <w:r w:rsidRPr="000B6CF7">
        <w:rPr>
          <w:rStyle w:val="FootnoteReference"/>
          <w:rFonts w:asciiTheme="majorHAnsi" w:hAnsiTheme="majorHAnsi"/>
          <w:sz w:val="16"/>
          <w:szCs w:val="16"/>
        </w:rPr>
        <w:footnoteRef/>
      </w:r>
      <w:r w:rsidRPr="000B6CF7">
        <w:rPr>
          <w:rFonts w:asciiTheme="majorHAnsi" w:hAnsiTheme="majorHAnsi"/>
          <w:sz w:val="16"/>
          <w:szCs w:val="16"/>
          <w:lang w:val="es-ES"/>
        </w:rPr>
        <w:t xml:space="preserve"> Conforme a lo dispuesto en el artículo 17.2.a del Reglamento de la Comisión, </w:t>
      </w:r>
      <w:r>
        <w:rPr>
          <w:rFonts w:asciiTheme="majorHAnsi" w:hAnsiTheme="majorHAnsi"/>
          <w:sz w:val="16"/>
          <w:szCs w:val="16"/>
          <w:lang w:val="es-ES"/>
        </w:rPr>
        <w:t>el Comisionado</w:t>
      </w:r>
      <w:r w:rsidRPr="009D4060">
        <w:rPr>
          <w:rFonts w:asciiTheme="majorHAnsi" w:hAnsiTheme="majorHAnsi"/>
          <w:sz w:val="16"/>
          <w:szCs w:val="16"/>
          <w:lang w:val="es-ES"/>
        </w:rPr>
        <w:t xml:space="preserve"> </w:t>
      </w:r>
      <w:r>
        <w:rPr>
          <w:rFonts w:asciiTheme="majorHAnsi" w:hAnsiTheme="majorHAnsi"/>
          <w:sz w:val="16"/>
          <w:szCs w:val="16"/>
          <w:lang w:val="es-ES"/>
        </w:rPr>
        <w:t>Carlos Bernal Pulido</w:t>
      </w:r>
      <w:r w:rsidRPr="009D4060">
        <w:rPr>
          <w:rFonts w:asciiTheme="majorHAnsi" w:hAnsiTheme="majorHAnsi"/>
          <w:sz w:val="16"/>
          <w:szCs w:val="16"/>
          <w:lang w:val="es-ES"/>
        </w:rPr>
        <w:t xml:space="preserve">, de nacionalidad </w:t>
      </w:r>
      <w:r>
        <w:rPr>
          <w:rFonts w:asciiTheme="majorHAnsi" w:hAnsiTheme="majorHAnsi"/>
          <w:sz w:val="16"/>
          <w:szCs w:val="16"/>
          <w:lang w:val="es-ES"/>
        </w:rPr>
        <w:t>colombiana</w:t>
      </w:r>
      <w:r w:rsidRPr="009D4060">
        <w:rPr>
          <w:rFonts w:asciiTheme="majorHAnsi" w:hAnsiTheme="majorHAnsi"/>
          <w:sz w:val="16"/>
          <w:szCs w:val="16"/>
          <w:lang w:val="es-ES"/>
        </w:rPr>
        <w:t>,</w:t>
      </w:r>
      <w:r w:rsidRPr="000B6CF7">
        <w:rPr>
          <w:rFonts w:asciiTheme="majorHAnsi" w:hAnsiTheme="majorHAnsi"/>
          <w:sz w:val="16"/>
          <w:szCs w:val="16"/>
          <w:lang w:val="es-ES"/>
        </w:rPr>
        <w:t xml:space="preserve"> no participó en el debate ni en la decisión del presente asunto.</w:t>
      </w:r>
    </w:p>
  </w:footnote>
  <w:footnote w:id="3">
    <w:p w14:paraId="0E9BC8FD" w14:textId="77777777" w:rsidR="00035CDD" w:rsidRPr="00E16652" w:rsidRDefault="00035CDD" w:rsidP="002A7444">
      <w:pPr>
        <w:pStyle w:val="FootnoteText"/>
        <w:ind w:firstLine="720"/>
        <w:jc w:val="both"/>
        <w:rPr>
          <w:rFonts w:asciiTheme="majorHAnsi" w:hAnsiTheme="majorHAnsi"/>
          <w:sz w:val="16"/>
          <w:szCs w:val="16"/>
          <w:lang w:val="es-BO"/>
        </w:rPr>
      </w:pPr>
      <w:r w:rsidRPr="00E16652">
        <w:rPr>
          <w:rStyle w:val="FootnoteReference"/>
          <w:rFonts w:asciiTheme="majorHAnsi" w:hAnsiTheme="majorHAnsi"/>
          <w:sz w:val="16"/>
          <w:szCs w:val="16"/>
        </w:rPr>
        <w:footnoteRef/>
      </w:r>
      <w:r w:rsidRPr="00E16652">
        <w:rPr>
          <w:rFonts w:asciiTheme="majorHAnsi" w:hAnsiTheme="majorHAnsi"/>
          <w:sz w:val="16"/>
          <w:szCs w:val="16"/>
          <w:lang w:val="es-BO"/>
        </w:rPr>
        <w:t xml:space="preserve"> En adelante “La Convención” o “Convención Americana”.</w:t>
      </w:r>
    </w:p>
  </w:footnote>
  <w:footnote w:id="4">
    <w:p w14:paraId="79F07139" w14:textId="746FA3EF" w:rsidR="008E3BFE" w:rsidRPr="00537490" w:rsidRDefault="008E3BFE" w:rsidP="00A441FA">
      <w:pPr>
        <w:pStyle w:val="FootnoteText"/>
        <w:spacing w:after="120"/>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r w:rsidR="002A7444">
        <w:rPr>
          <w:rFonts w:ascii="Cambria" w:hAnsi="Cambria"/>
          <w:sz w:val="16"/>
          <w:szCs w:val="16"/>
          <w:lang w:val="es-ES"/>
        </w:rPr>
        <w:t xml:space="preserve"> </w:t>
      </w:r>
    </w:p>
  </w:footnote>
  <w:footnote w:id="5">
    <w:p w14:paraId="077BEF4E" w14:textId="77777777" w:rsidR="001B1C17" w:rsidRPr="00FC1463" w:rsidRDefault="001B1C17" w:rsidP="00A441FA">
      <w:pPr>
        <w:pStyle w:val="FootnoteText"/>
        <w:ind w:firstLine="720"/>
        <w:jc w:val="both"/>
        <w:rPr>
          <w:rFonts w:asciiTheme="majorHAnsi" w:hAnsiTheme="majorHAnsi"/>
          <w:sz w:val="16"/>
          <w:szCs w:val="16"/>
          <w:lang w:val="es-PE"/>
        </w:rPr>
      </w:pPr>
      <w:r w:rsidRPr="00FC1463">
        <w:rPr>
          <w:rStyle w:val="FootnoteReference"/>
          <w:rFonts w:asciiTheme="majorHAnsi" w:hAnsiTheme="majorHAnsi"/>
          <w:sz w:val="16"/>
          <w:szCs w:val="16"/>
        </w:rPr>
        <w:footnoteRef/>
      </w:r>
      <w:r w:rsidRPr="00FC1463">
        <w:rPr>
          <w:rFonts w:asciiTheme="majorHAnsi" w:hAnsiTheme="majorHAnsi"/>
          <w:sz w:val="16"/>
          <w:szCs w:val="16"/>
          <w:lang w:val="es-PE"/>
        </w:rPr>
        <w:t xml:space="preserve"> CIDH, Informe No. 155/17, Petición 1470-08</w:t>
      </w:r>
      <w:r>
        <w:rPr>
          <w:rFonts w:asciiTheme="majorHAnsi" w:hAnsiTheme="majorHAnsi"/>
          <w:sz w:val="16"/>
          <w:szCs w:val="16"/>
          <w:lang w:val="es-PE"/>
        </w:rPr>
        <w:t>,</w:t>
      </w:r>
      <w:r w:rsidRPr="00FC1463">
        <w:rPr>
          <w:rFonts w:asciiTheme="majorHAnsi" w:hAnsiTheme="majorHAnsi"/>
          <w:sz w:val="16"/>
          <w:szCs w:val="16"/>
          <w:lang w:val="es-PE"/>
        </w:rPr>
        <w:t xml:space="preserve"> Admisibilidad. Beatriz Elena San Miguel Bastidas y familia</w:t>
      </w:r>
      <w:r>
        <w:rPr>
          <w:rFonts w:asciiTheme="majorHAnsi" w:hAnsiTheme="majorHAnsi"/>
          <w:sz w:val="16"/>
          <w:szCs w:val="16"/>
          <w:lang w:val="es-PE"/>
        </w:rPr>
        <w:t>,</w:t>
      </w:r>
      <w:r w:rsidRPr="00FC1463">
        <w:rPr>
          <w:rFonts w:asciiTheme="majorHAnsi" w:hAnsiTheme="majorHAnsi"/>
          <w:sz w:val="16"/>
          <w:szCs w:val="16"/>
          <w:lang w:val="es-PE"/>
        </w:rPr>
        <w:t xml:space="preserve"> Colombia. 30 noviembre de 2017, párr. 9.</w:t>
      </w:r>
    </w:p>
  </w:footnote>
  <w:footnote w:id="6">
    <w:p w14:paraId="38983610" w14:textId="77777777" w:rsidR="001B1C17" w:rsidRPr="006F3D2C" w:rsidRDefault="001B1C17" w:rsidP="00A441FA">
      <w:pPr>
        <w:pStyle w:val="FootnoteText"/>
        <w:ind w:firstLine="720"/>
        <w:jc w:val="both"/>
        <w:rPr>
          <w:rFonts w:ascii="Cambria" w:hAnsi="Cambria"/>
          <w:color w:val="auto"/>
          <w:sz w:val="16"/>
          <w:szCs w:val="16"/>
          <w:lang w:val="es-ES"/>
        </w:rPr>
      </w:pPr>
      <w:r w:rsidRPr="0026787C">
        <w:rPr>
          <w:rStyle w:val="FootnoteReference"/>
          <w:rFonts w:ascii="Cambria" w:hAnsi="Cambria"/>
          <w:color w:val="auto"/>
          <w:sz w:val="16"/>
          <w:szCs w:val="16"/>
        </w:rPr>
        <w:footnoteRef/>
      </w:r>
      <w:r w:rsidRPr="0026787C">
        <w:rPr>
          <w:rFonts w:ascii="Cambria" w:hAnsi="Cambria"/>
          <w:color w:val="auto"/>
          <w:sz w:val="16"/>
          <w:szCs w:val="16"/>
          <w:lang w:val="es-ES"/>
        </w:rPr>
        <w:t xml:space="preserve"> CIDH, Informe No. 221/22. Petición 434-12. Admisibilidad. </w:t>
      </w:r>
      <w:r w:rsidRPr="006F3D2C">
        <w:rPr>
          <w:rFonts w:ascii="Cambria" w:hAnsi="Cambria"/>
          <w:color w:val="auto"/>
          <w:sz w:val="16"/>
          <w:szCs w:val="16"/>
          <w:lang w:val="es-ES"/>
        </w:rPr>
        <w:t>Hugo Paz Lavadenz. Bolivia. 13 de agosto de 2022, párr.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4F1893"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4A121338"/>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788C"/>
    <w:rsid w:val="000337EF"/>
    <w:rsid w:val="00034037"/>
    <w:rsid w:val="00035CDD"/>
    <w:rsid w:val="00036090"/>
    <w:rsid w:val="00040C3A"/>
    <w:rsid w:val="000419AD"/>
    <w:rsid w:val="000433C9"/>
    <w:rsid w:val="00065D74"/>
    <w:rsid w:val="000716C5"/>
    <w:rsid w:val="00075E23"/>
    <w:rsid w:val="0008556E"/>
    <w:rsid w:val="000867C9"/>
    <w:rsid w:val="0009344A"/>
    <w:rsid w:val="000A1974"/>
    <w:rsid w:val="000A392E"/>
    <w:rsid w:val="000A3B21"/>
    <w:rsid w:val="000A575F"/>
    <w:rsid w:val="000B062C"/>
    <w:rsid w:val="000D05CB"/>
    <w:rsid w:val="000D10DB"/>
    <w:rsid w:val="000E541C"/>
    <w:rsid w:val="000E5EB5"/>
    <w:rsid w:val="000F35ED"/>
    <w:rsid w:val="000F3A3E"/>
    <w:rsid w:val="00107131"/>
    <w:rsid w:val="0010736F"/>
    <w:rsid w:val="00111C0A"/>
    <w:rsid w:val="00113A3F"/>
    <w:rsid w:val="00113F73"/>
    <w:rsid w:val="00121CC2"/>
    <w:rsid w:val="00131425"/>
    <w:rsid w:val="00133EE5"/>
    <w:rsid w:val="00167A34"/>
    <w:rsid w:val="0018260D"/>
    <w:rsid w:val="0019566B"/>
    <w:rsid w:val="001A7870"/>
    <w:rsid w:val="001B1C17"/>
    <w:rsid w:val="001B2104"/>
    <w:rsid w:val="001B3A00"/>
    <w:rsid w:val="001C1B41"/>
    <w:rsid w:val="001D65EF"/>
    <w:rsid w:val="001D7945"/>
    <w:rsid w:val="001E49E7"/>
    <w:rsid w:val="001E75D3"/>
    <w:rsid w:val="001F7201"/>
    <w:rsid w:val="00210807"/>
    <w:rsid w:val="00223A29"/>
    <w:rsid w:val="002250A3"/>
    <w:rsid w:val="00235217"/>
    <w:rsid w:val="0023686F"/>
    <w:rsid w:val="00242820"/>
    <w:rsid w:val="00244867"/>
    <w:rsid w:val="002469D2"/>
    <w:rsid w:val="00246D1F"/>
    <w:rsid w:val="00247403"/>
    <w:rsid w:val="00247542"/>
    <w:rsid w:val="0026020D"/>
    <w:rsid w:val="00266B61"/>
    <w:rsid w:val="0026712A"/>
    <w:rsid w:val="002704DB"/>
    <w:rsid w:val="002736B3"/>
    <w:rsid w:val="002A0AAE"/>
    <w:rsid w:val="002A1A28"/>
    <w:rsid w:val="002A543E"/>
    <w:rsid w:val="002A5820"/>
    <w:rsid w:val="002A7444"/>
    <w:rsid w:val="002B4B34"/>
    <w:rsid w:val="002D2B26"/>
    <w:rsid w:val="002D5531"/>
    <w:rsid w:val="002D7EA2"/>
    <w:rsid w:val="002E187C"/>
    <w:rsid w:val="00302733"/>
    <w:rsid w:val="00314078"/>
    <w:rsid w:val="0031535D"/>
    <w:rsid w:val="003239B8"/>
    <w:rsid w:val="0033102D"/>
    <w:rsid w:val="0033169F"/>
    <w:rsid w:val="00344977"/>
    <w:rsid w:val="00346C95"/>
    <w:rsid w:val="00356185"/>
    <w:rsid w:val="00360380"/>
    <w:rsid w:val="0037519E"/>
    <w:rsid w:val="00386CF0"/>
    <w:rsid w:val="003B1B44"/>
    <w:rsid w:val="003B70FB"/>
    <w:rsid w:val="003C2239"/>
    <w:rsid w:val="003C23B2"/>
    <w:rsid w:val="003C676B"/>
    <w:rsid w:val="003D3BC2"/>
    <w:rsid w:val="003D648F"/>
    <w:rsid w:val="003E6CA1"/>
    <w:rsid w:val="003F10E0"/>
    <w:rsid w:val="00405F9C"/>
    <w:rsid w:val="004065A8"/>
    <w:rsid w:val="004165C2"/>
    <w:rsid w:val="0042084E"/>
    <w:rsid w:val="00421D27"/>
    <w:rsid w:val="00433D8A"/>
    <w:rsid w:val="00436B39"/>
    <w:rsid w:val="00441524"/>
    <w:rsid w:val="00441E0D"/>
    <w:rsid w:val="00441ECB"/>
    <w:rsid w:val="00445193"/>
    <w:rsid w:val="00462C1B"/>
    <w:rsid w:val="00462E05"/>
    <w:rsid w:val="00467B7E"/>
    <w:rsid w:val="00473BB4"/>
    <w:rsid w:val="00477592"/>
    <w:rsid w:val="00486F1C"/>
    <w:rsid w:val="0049419D"/>
    <w:rsid w:val="004A6A54"/>
    <w:rsid w:val="004A7DDB"/>
    <w:rsid w:val="004B3B0B"/>
    <w:rsid w:val="004C20D2"/>
    <w:rsid w:val="004C2312"/>
    <w:rsid w:val="004C4B62"/>
    <w:rsid w:val="004C54C9"/>
    <w:rsid w:val="004C56C9"/>
    <w:rsid w:val="004C7254"/>
    <w:rsid w:val="004D4ABA"/>
    <w:rsid w:val="004D6025"/>
    <w:rsid w:val="004E2649"/>
    <w:rsid w:val="004F1893"/>
    <w:rsid w:val="004F353B"/>
    <w:rsid w:val="004F626F"/>
    <w:rsid w:val="00501399"/>
    <w:rsid w:val="0050633D"/>
    <w:rsid w:val="00507BC4"/>
    <w:rsid w:val="005128E4"/>
    <w:rsid w:val="005133C1"/>
    <w:rsid w:val="005133DB"/>
    <w:rsid w:val="00514504"/>
    <w:rsid w:val="0052527A"/>
    <w:rsid w:val="00525560"/>
    <w:rsid w:val="00530513"/>
    <w:rsid w:val="00544C49"/>
    <w:rsid w:val="005516A1"/>
    <w:rsid w:val="005559EF"/>
    <w:rsid w:val="005564B7"/>
    <w:rsid w:val="00563557"/>
    <w:rsid w:val="005650D8"/>
    <w:rsid w:val="005665D7"/>
    <w:rsid w:val="0057402A"/>
    <w:rsid w:val="005771D0"/>
    <w:rsid w:val="00590738"/>
    <w:rsid w:val="00590DA1"/>
    <w:rsid w:val="0059191A"/>
    <w:rsid w:val="005921FF"/>
    <w:rsid w:val="00595805"/>
    <w:rsid w:val="005A24ED"/>
    <w:rsid w:val="005A254F"/>
    <w:rsid w:val="005A6D0E"/>
    <w:rsid w:val="005B52B0"/>
    <w:rsid w:val="005B6806"/>
    <w:rsid w:val="005C2B81"/>
    <w:rsid w:val="005C4225"/>
    <w:rsid w:val="005D38F9"/>
    <w:rsid w:val="005D7D57"/>
    <w:rsid w:val="005F0DAD"/>
    <w:rsid w:val="005F0F33"/>
    <w:rsid w:val="005F4C54"/>
    <w:rsid w:val="00600DEB"/>
    <w:rsid w:val="00627C9F"/>
    <w:rsid w:val="006311E9"/>
    <w:rsid w:val="00631E67"/>
    <w:rsid w:val="00632354"/>
    <w:rsid w:val="00635421"/>
    <w:rsid w:val="00637AC5"/>
    <w:rsid w:val="00642810"/>
    <w:rsid w:val="00652333"/>
    <w:rsid w:val="006675D3"/>
    <w:rsid w:val="0068009E"/>
    <w:rsid w:val="00692219"/>
    <w:rsid w:val="006A05B8"/>
    <w:rsid w:val="006A17D2"/>
    <w:rsid w:val="006A73E6"/>
    <w:rsid w:val="006B2D5C"/>
    <w:rsid w:val="006B6E32"/>
    <w:rsid w:val="006C445E"/>
    <w:rsid w:val="006C4EB1"/>
    <w:rsid w:val="006D3A67"/>
    <w:rsid w:val="006D5B19"/>
    <w:rsid w:val="006E0166"/>
    <w:rsid w:val="006E2FFB"/>
    <w:rsid w:val="006E7B34"/>
    <w:rsid w:val="006F7382"/>
    <w:rsid w:val="0070697F"/>
    <w:rsid w:val="007114E4"/>
    <w:rsid w:val="00720C61"/>
    <w:rsid w:val="0072199C"/>
    <w:rsid w:val="00722C9F"/>
    <w:rsid w:val="007253B8"/>
    <w:rsid w:val="0073741F"/>
    <w:rsid w:val="00761B78"/>
    <w:rsid w:val="0076643F"/>
    <w:rsid w:val="00777F63"/>
    <w:rsid w:val="007A0F81"/>
    <w:rsid w:val="007A5817"/>
    <w:rsid w:val="007B05C4"/>
    <w:rsid w:val="007B60E9"/>
    <w:rsid w:val="007B6CC3"/>
    <w:rsid w:val="007B76D3"/>
    <w:rsid w:val="007C3334"/>
    <w:rsid w:val="007C7E8C"/>
    <w:rsid w:val="007D22A4"/>
    <w:rsid w:val="007D2B98"/>
    <w:rsid w:val="007E21BC"/>
    <w:rsid w:val="007E7C82"/>
    <w:rsid w:val="007F2AA1"/>
    <w:rsid w:val="007F588D"/>
    <w:rsid w:val="007F652C"/>
    <w:rsid w:val="007F7BAB"/>
    <w:rsid w:val="00803F1C"/>
    <w:rsid w:val="0080600E"/>
    <w:rsid w:val="00814688"/>
    <w:rsid w:val="00815529"/>
    <w:rsid w:val="00817612"/>
    <w:rsid w:val="00823AED"/>
    <w:rsid w:val="0083100C"/>
    <w:rsid w:val="008338A4"/>
    <w:rsid w:val="00834D49"/>
    <w:rsid w:val="00837C45"/>
    <w:rsid w:val="00844730"/>
    <w:rsid w:val="008457C2"/>
    <w:rsid w:val="00857A82"/>
    <w:rsid w:val="00867314"/>
    <w:rsid w:val="00873836"/>
    <w:rsid w:val="00884B12"/>
    <w:rsid w:val="00885737"/>
    <w:rsid w:val="008875EC"/>
    <w:rsid w:val="00890650"/>
    <w:rsid w:val="00891246"/>
    <w:rsid w:val="00897E12"/>
    <w:rsid w:val="008A7E0F"/>
    <w:rsid w:val="008B12F5"/>
    <w:rsid w:val="008C5E2D"/>
    <w:rsid w:val="008D768D"/>
    <w:rsid w:val="008E3759"/>
    <w:rsid w:val="008E3BFE"/>
    <w:rsid w:val="008F1912"/>
    <w:rsid w:val="0090270B"/>
    <w:rsid w:val="009041DC"/>
    <w:rsid w:val="00917B5A"/>
    <w:rsid w:val="00920A58"/>
    <w:rsid w:val="00920A8C"/>
    <w:rsid w:val="00925F0C"/>
    <w:rsid w:val="00934A2C"/>
    <w:rsid w:val="00955CCE"/>
    <w:rsid w:val="0096009C"/>
    <w:rsid w:val="0096706E"/>
    <w:rsid w:val="00974491"/>
    <w:rsid w:val="00975C4E"/>
    <w:rsid w:val="00981FBA"/>
    <w:rsid w:val="00984A16"/>
    <w:rsid w:val="00997BC5"/>
    <w:rsid w:val="009A4F41"/>
    <w:rsid w:val="009B381B"/>
    <w:rsid w:val="009C1B70"/>
    <w:rsid w:val="009C6586"/>
    <w:rsid w:val="009D1753"/>
    <w:rsid w:val="009D7611"/>
    <w:rsid w:val="009E0B61"/>
    <w:rsid w:val="009E53DE"/>
    <w:rsid w:val="00A000AD"/>
    <w:rsid w:val="00A006A5"/>
    <w:rsid w:val="00A0194E"/>
    <w:rsid w:val="00A11212"/>
    <w:rsid w:val="00A11E44"/>
    <w:rsid w:val="00A23115"/>
    <w:rsid w:val="00A23907"/>
    <w:rsid w:val="00A30100"/>
    <w:rsid w:val="00A328B3"/>
    <w:rsid w:val="00A40753"/>
    <w:rsid w:val="00A441FA"/>
    <w:rsid w:val="00A50FCF"/>
    <w:rsid w:val="00A528D1"/>
    <w:rsid w:val="00A610CD"/>
    <w:rsid w:val="00A758AA"/>
    <w:rsid w:val="00AA09A2"/>
    <w:rsid w:val="00AA1606"/>
    <w:rsid w:val="00AA52AC"/>
    <w:rsid w:val="00AA7996"/>
    <w:rsid w:val="00AB09EC"/>
    <w:rsid w:val="00AC19CB"/>
    <w:rsid w:val="00AE5488"/>
    <w:rsid w:val="00AE6F91"/>
    <w:rsid w:val="00AF5571"/>
    <w:rsid w:val="00B07341"/>
    <w:rsid w:val="00B11747"/>
    <w:rsid w:val="00B20C4E"/>
    <w:rsid w:val="00B25E5B"/>
    <w:rsid w:val="00B30539"/>
    <w:rsid w:val="00B314DB"/>
    <w:rsid w:val="00B361F2"/>
    <w:rsid w:val="00B3718B"/>
    <w:rsid w:val="00B3745F"/>
    <w:rsid w:val="00B4632A"/>
    <w:rsid w:val="00B530F1"/>
    <w:rsid w:val="00B95335"/>
    <w:rsid w:val="00BA276C"/>
    <w:rsid w:val="00BB306F"/>
    <w:rsid w:val="00BD4B89"/>
    <w:rsid w:val="00BD5922"/>
    <w:rsid w:val="00BE5710"/>
    <w:rsid w:val="00BF02CB"/>
    <w:rsid w:val="00BF26A6"/>
    <w:rsid w:val="00BF6FD8"/>
    <w:rsid w:val="00C03680"/>
    <w:rsid w:val="00C054DF"/>
    <w:rsid w:val="00C21762"/>
    <w:rsid w:val="00C21FEF"/>
    <w:rsid w:val="00C23BA4"/>
    <w:rsid w:val="00C24543"/>
    <w:rsid w:val="00C256A2"/>
    <w:rsid w:val="00C25ADB"/>
    <w:rsid w:val="00C51515"/>
    <w:rsid w:val="00C5660B"/>
    <w:rsid w:val="00C66B72"/>
    <w:rsid w:val="00C741C1"/>
    <w:rsid w:val="00C77F58"/>
    <w:rsid w:val="00C87AC4"/>
    <w:rsid w:val="00C9567A"/>
    <w:rsid w:val="00CB212D"/>
    <w:rsid w:val="00CB2660"/>
    <w:rsid w:val="00CC442D"/>
    <w:rsid w:val="00CC5E90"/>
    <w:rsid w:val="00CD046C"/>
    <w:rsid w:val="00CE076C"/>
    <w:rsid w:val="00CE13B3"/>
    <w:rsid w:val="00CE5199"/>
    <w:rsid w:val="00CE66D5"/>
    <w:rsid w:val="00CF51DB"/>
    <w:rsid w:val="00CF637A"/>
    <w:rsid w:val="00D059DE"/>
    <w:rsid w:val="00D05ABD"/>
    <w:rsid w:val="00D13530"/>
    <w:rsid w:val="00D13FCE"/>
    <w:rsid w:val="00D17AD6"/>
    <w:rsid w:val="00D21EF6"/>
    <w:rsid w:val="00D306D1"/>
    <w:rsid w:val="00D30800"/>
    <w:rsid w:val="00D34786"/>
    <w:rsid w:val="00D37BFC"/>
    <w:rsid w:val="00D47A8E"/>
    <w:rsid w:val="00D52D14"/>
    <w:rsid w:val="00D54D56"/>
    <w:rsid w:val="00D677A6"/>
    <w:rsid w:val="00D712D3"/>
    <w:rsid w:val="00D71422"/>
    <w:rsid w:val="00D71CD2"/>
    <w:rsid w:val="00D72DC6"/>
    <w:rsid w:val="00D74C0A"/>
    <w:rsid w:val="00D7558D"/>
    <w:rsid w:val="00D81D92"/>
    <w:rsid w:val="00D839AA"/>
    <w:rsid w:val="00D876F9"/>
    <w:rsid w:val="00DA059D"/>
    <w:rsid w:val="00DA7B5F"/>
    <w:rsid w:val="00DC11E7"/>
    <w:rsid w:val="00DC24E3"/>
    <w:rsid w:val="00DC7023"/>
    <w:rsid w:val="00DC769A"/>
    <w:rsid w:val="00DD3D86"/>
    <w:rsid w:val="00DD4AD2"/>
    <w:rsid w:val="00DF1EC4"/>
    <w:rsid w:val="00E0340B"/>
    <w:rsid w:val="00E04A90"/>
    <w:rsid w:val="00E0551F"/>
    <w:rsid w:val="00E219C7"/>
    <w:rsid w:val="00E272E7"/>
    <w:rsid w:val="00E4118C"/>
    <w:rsid w:val="00E43157"/>
    <w:rsid w:val="00E461CE"/>
    <w:rsid w:val="00E52A45"/>
    <w:rsid w:val="00E54D28"/>
    <w:rsid w:val="00E573E4"/>
    <w:rsid w:val="00E64C3D"/>
    <w:rsid w:val="00E67C67"/>
    <w:rsid w:val="00E720CA"/>
    <w:rsid w:val="00E7360E"/>
    <w:rsid w:val="00E75845"/>
    <w:rsid w:val="00E82DDC"/>
    <w:rsid w:val="00E84EB5"/>
    <w:rsid w:val="00E85662"/>
    <w:rsid w:val="00E8789F"/>
    <w:rsid w:val="00E95CDD"/>
    <w:rsid w:val="00E97B71"/>
    <w:rsid w:val="00EA2476"/>
    <w:rsid w:val="00EA3D34"/>
    <w:rsid w:val="00EB197F"/>
    <w:rsid w:val="00EB454D"/>
    <w:rsid w:val="00ED0092"/>
    <w:rsid w:val="00ED549D"/>
    <w:rsid w:val="00ED76BE"/>
    <w:rsid w:val="00ED7C1C"/>
    <w:rsid w:val="00EE00E9"/>
    <w:rsid w:val="00EF1AAA"/>
    <w:rsid w:val="00EF619B"/>
    <w:rsid w:val="00EF76F5"/>
    <w:rsid w:val="00F00B55"/>
    <w:rsid w:val="00F02AD1"/>
    <w:rsid w:val="00F253CC"/>
    <w:rsid w:val="00F37106"/>
    <w:rsid w:val="00F44E25"/>
    <w:rsid w:val="00F510A5"/>
    <w:rsid w:val="00F519CF"/>
    <w:rsid w:val="00F56BA5"/>
    <w:rsid w:val="00F60E22"/>
    <w:rsid w:val="00F74109"/>
    <w:rsid w:val="00F80900"/>
    <w:rsid w:val="00F81395"/>
    <w:rsid w:val="00F81BB8"/>
    <w:rsid w:val="00F83340"/>
    <w:rsid w:val="00F90C64"/>
    <w:rsid w:val="00F917D1"/>
    <w:rsid w:val="00F9653B"/>
    <w:rsid w:val="00FB62CF"/>
    <w:rsid w:val="00FD39ED"/>
    <w:rsid w:val="00FD3C3B"/>
    <w:rsid w:val="00FE07DD"/>
    <w:rsid w:val="00FE67C0"/>
    <w:rsid w:val="00FE6B45"/>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5F4C5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1B1C17"/>
    <w:rPr>
      <w:rFonts w:ascii="Cambria" w:eastAsia="Cambria" w:hAnsi="Cambria" w:cs="Cambria"/>
      <w:color w:val="000000"/>
      <w:sz w:val="24"/>
      <w:szCs w:val="24"/>
      <w:u w:color="000000"/>
      <w:lang w:val="en-US"/>
    </w:rPr>
  </w:style>
  <w:style w:type="paragraph" w:customStyle="1" w:styleId="paragraph">
    <w:name w:val="paragraph"/>
    <w:basedOn w:val="Normal"/>
    <w:rsid w:val="002368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23686F"/>
  </w:style>
  <w:style w:type="character" w:customStyle="1" w:styleId="eop">
    <w:name w:val="eop"/>
    <w:basedOn w:val="DefaultParagraphFont"/>
    <w:rsid w:val="0023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3233">
      <w:bodyDiv w:val="1"/>
      <w:marLeft w:val="0"/>
      <w:marRight w:val="0"/>
      <w:marTop w:val="0"/>
      <w:marBottom w:val="0"/>
      <w:divBdr>
        <w:top w:val="none" w:sz="0" w:space="0" w:color="auto"/>
        <w:left w:val="none" w:sz="0" w:space="0" w:color="auto"/>
        <w:bottom w:val="none" w:sz="0" w:space="0" w:color="auto"/>
        <w:right w:val="none" w:sz="0" w:space="0" w:color="auto"/>
      </w:divBdr>
    </w:div>
    <w:div w:id="912738190">
      <w:bodyDiv w:val="1"/>
      <w:marLeft w:val="0"/>
      <w:marRight w:val="0"/>
      <w:marTop w:val="0"/>
      <w:marBottom w:val="0"/>
      <w:divBdr>
        <w:top w:val="none" w:sz="0" w:space="0" w:color="auto"/>
        <w:left w:val="none" w:sz="0" w:space="0" w:color="auto"/>
        <w:bottom w:val="none" w:sz="0" w:space="0" w:color="auto"/>
        <w:right w:val="none" w:sz="0" w:space="0" w:color="auto"/>
      </w:divBdr>
    </w:div>
    <w:div w:id="1029834718">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52616789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2109035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B68CE"/>
    <w:rsid w:val="00200821"/>
    <w:rsid w:val="00201CE6"/>
    <w:rsid w:val="00244867"/>
    <w:rsid w:val="0025245B"/>
    <w:rsid w:val="002A3923"/>
    <w:rsid w:val="002A496C"/>
    <w:rsid w:val="002D5531"/>
    <w:rsid w:val="00312754"/>
    <w:rsid w:val="00394049"/>
    <w:rsid w:val="003E4EFC"/>
    <w:rsid w:val="00462E05"/>
    <w:rsid w:val="004B5BBB"/>
    <w:rsid w:val="004F2DF8"/>
    <w:rsid w:val="00631E67"/>
    <w:rsid w:val="006F24A1"/>
    <w:rsid w:val="00787C63"/>
    <w:rsid w:val="007F711E"/>
    <w:rsid w:val="00815529"/>
    <w:rsid w:val="00866AFC"/>
    <w:rsid w:val="00951F60"/>
    <w:rsid w:val="0096009C"/>
    <w:rsid w:val="009A261B"/>
    <w:rsid w:val="009C3CB6"/>
    <w:rsid w:val="00A4418E"/>
    <w:rsid w:val="00AA2E17"/>
    <w:rsid w:val="00AC15A4"/>
    <w:rsid w:val="00B0336C"/>
    <w:rsid w:val="00B30277"/>
    <w:rsid w:val="00C2368C"/>
    <w:rsid w:val="00D241E9"/>
    <w:rsid w:val="00D74C0A"/>
    <w:rsid w:val="00D7750D"/>
    <w:rsid w:val="00E52A45"/>
    <w:rsid w:val="00E75845"/>
    <w:rsid w:val="00F00D2F"/>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B21CBBEB-8610-43AA-BABA-022F1272B77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906039F4-9E8E-40D3-A673-79672C6004EB}">
  <ds:schemaRefs>
    <ds:schemaRef ds:uri="http://schemas.microsoft.com/sharepoint/v3/contenttype/forms"/>
  </ds:schemaRefs>
</ds:datastoreItem>
</file>

<file path=customXml/itemProps4.xml><?xml version="1.0" encoding="utf-8"?>
<ds:datastoreItem xmlns:ds="http://schemas.openxmlformats.org/officeDocument/2006/customXml" ds:itemID="{57B7D25D-038D-4D15-A3B0-0FBC45053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2250</Words>
  <Characters>12828</Characters>
  <Application>Microsoft Office Word</Application>
  <DocSecurity>0</DocSecurity>
  <Lines>106</Lines>
  <Paragraphs>30</Paragraphs>
  <ScaleCrop>false</ScaleCrop>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2025-09-25T21:06:00Z</dcterms:created>
  <dcterms:modified xsi:type="dcterms:W3CDTF">2025-09-25T21:06:00Z</dcterms:modified>
</cp:coreProperties>
</file>