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6691" w14:textId="77777777"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0" behindDoc="0" locked="0" layoutInCell="1" allowOverlap="1" wp14:anchorId="0A6BA128" wp14:editId="5E122E98">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30891"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90270B">
        <w:rPr>
          <w:rFonts w:asciiTheme="majorHAnsi" w:hAnsiTheme="majorHAnsi"/>
          <w:noProof/>
          <w:sz w:val="22"/>
          <w:szCs w:val="22"/>
        </w:rPr>
        <mc:AlternateContent>
          <mc:Choice Requires="wps">
            <w:drawing>
              <wp:anchor distT="0" distB="0" distL="114300" distR="114300" simplePos="0" relativeHeight="251658244" behindDoc="0" locked="0" layoutInCell="1" allowOverlap="1" wp14:anchorId="7A92621B" wp14:editId="5CCAA91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621B"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r w:rsidR="00071174">
        <w:rPr>
          <w:rFonts w:asciiTheme="majorHAnsi" w:hAnsiTheme="majorHAnsi" w:cs="Univers"/>
          <w:b/>
          <w:bCs/>
          <w:sz w:val="22"/>
          <w:szCs w:val="22"/>
          <w:lang w:val="es-ES_tradnl"/>
        </w:rPr>
        <w:t xml:space="preserve"> </w:t>
      </w:r>
    </w:p>
    <w:p w14:paraId="751BC92D"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601B0E5"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9EC0A3F" w14:textId="77777777" w:rsidR="005128E4" w:rsidRPr="0090270B" w:rsidRDefault="005128E4" w:rsidP="00040C3A">
      <w:pPr>
        <w:tabs>
          <w:tab w:val="center" w:pos="5400"/>
        </w:tabs>
        <w:suppressAutoHyphens/>
        <w:rPr>
          <w:rFonts w:asciiTheme="majorHAnsi" w:hAnsiTheme="majorHAnsi"/>
          <w:sz w:val="22"/>
          <w:szCs w:val="22"/>
          <w:lang w:val="es-ES_tradnl"/>
        </w:rPr>
      </w:pPr>
    </w:p>
    <w:p w14:paraId="7F51F08B"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58606A7"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1B9D56A"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513D0572"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2D06BA4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762470A2"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6F01DDF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35ACB11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D124B92"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1E9EAD2" w14:textId="77777777"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1" behindDoc="0" locked="0" layoutInCell="1" allowOverlap="1" wp14:anchorId="65C56D75" wp14:editId="620511BF">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328D9" w14:textId="26D5E01A"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6441BE">
                              <w:rPr>
                                <w:rFonts w:asciiTheme="majorHAnsi" w:hAnsiTheme="majorHAnsi" w:cs="Arial"/>
                                <w:b/>
                                <w:bCs/>
                                <w:color w:val="0D0D0D" w:themeColor="text1" w:themeTint="F2"/>
                                <w:sz w:val="36"/>
                                <w:szCs w:val="22"/>
                                <w:lang w:val="es-ES_tradnl"/>
                              </w:rPr>
                              <w:t>143</w:t>
                            </w:r>
                            <w:r w:rsidR="007B05C4">
                              <w:rPr>
                                <w:rFonts w:asciiTheme="majorHAnsi" w:hAnsiTheme="majorHAnsi" w:cs="Arial"/>
                                <w:b/>
                                <w:bCs/>
                                <w:color w:val="0D0D0D" w:themeColor="text1" w:themeTint="F2"/>
                                <w:sz w:val="36"/>
                                <w:szCs w:val="22"/>
                                <w:lang w:val="es-ES_tradnl"/>
                              </w:rPr>
                              <w:t>/</w:t>
                            </w:r>
                            <w:r w:rsidR="0008158C">
                              <w:rPr>
                                <w:rFonts w:asciiTheme="majorHAnsi" w:hAnsiTheme="majorHAnsi" w:cs="Arial"/>
                                <w:b/>
                                <w:bCs/>
                                <w:color w:val="0D0D0D" w:themeColor="text1" w:themeTint="F2"/>
                                <w:sz w:val="36"/>
                                <w:szCs w:val="22"/>
                                <w:lang w:val="es-ES_tradnl"/>
                              </w:rPr>
                              <w:t>2</w:t>
                            </w:r>
                            <w:r w:rsidR="00477887">
                              <w:rPr>
                                <w:rFonts w:asciiTheme="majorHAnsi" w:hAnsiTheme="majorHAnsi" w:cs="Arial"/>
                                <w:b/>
                                <w:bCs/>
                                <w:color w:val="0D0D0D" w:themeColor="text1" w:themeTint="F2"/>
                                <w:sz w:val="36"/>
                                <w:szCs w:val="22"/>
                                <w:lang w:val="es-ES_tradnl"/>
                              </w:rPr>
                              <w:t>5</w:t>
                            </w:r>
                          </w:p>
                          <w:p w14:paraId="45F30ECA" w14:textId="5E84F782"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10031E">
                              <w:rPr>
                                <w:rFonts w:asciiTheme="majorHAnsi" w:hAnsiTheme="majorHAnsi" w:cs="Arial"/>
                                <w:b/>
                                <w:color w:val="0D0D0D" w:themeColor="text1" w:themeTint="F2"/>
                                <w:sz w:val="36"/>
                                <w:szCs w:val="22"/>
                                <w:lang w:val="es-ES_tradnl"/>
                              </w:rPr>
                              <w:t>1223-15</w:t>
                            </w:r>
                            <w:r w:rsidR="00246D1F" w:rsidRPr="004E2649">
                              <w:rPr>
                                <w:rFonts w:asciiTheme="majorHAnsi" w:hAnsiTheme="majorHAnsi" w:cs="Arial"/>
                                <w:b/>
                                <w:color w:val="0D0D0D" w:themeColor="text1" w:themeTint="F2"/>
                                <w:sz w:val="36"/>
                                <w:szCs w:val="22"/>
                                <w:lang w:val="es-ES_tradnl"/>
                              </w:rPr>
                              <w:t xml:space="preserve"> </w:t>
                            </w:r>
                          </w:p>
                          <w:p w14:paraId="188B4303" w14:textId="07F43B18"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INADMISIBILIDAD</w:t>
                            </w:r>
                            <w:r w:rsidR="008F1912" w:rsidRPr="0010736F">
                              <w:rPr>
                                <w:rFonts w:asciiTheme="majorHAnsi" w:hAnsiTheme="majorHAnsi" w:cs="Arial"/>
                                <w:color w:val="0D0D0D" w:themeColor="text1" w:themeTint="F2"/>
                                <w:szCs w:val="22"/>
                                <w:lang w:val="es-ES_tradnl"/>
                              </w:rPr>
                              <w:t xml:space="preserve"> </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p w14:paraId="768F8782" w14:textId="071C7D6A" w:rsidR="005B52B0" w:rsidRPr="0010736F" w:rsidRDefault="0010031E" w:rsidP="00997BC5">
                            <w:pPr>
                              <w:spacing w:line="276" w:lineRule="auto"/>
                              <w:rPr>
                                <w:rFonts w:asciiTheme="majorHAnsi" w:hAnsiTheme="majorHAnsi" w:cs="Arial"/>
                                <w:color w:val="0D0D0D" w:themeColor="text1" w:themeTint="F2"/>
                                <w:szCs w:val="22"/>
                                <w:lang w:val="es-ES_tradnl"/>
                              </w:rPr>
                            </w:pPr>
                            <w:r w:rsidRPr="0010031E">
                              <w:rPr>
                                <w:rFonts w:asciiTheme="majorHAnsi" w:hAnsiTheme="majorHAnsi" w:cs="Arial"/>
                                <w:color w:val="0D0D0D" w:themeColor="text1" w:themeTint="F2"/>
                                <w:szCs w:val="22"/>
                              </w:rPr>
                              <w:t>CAMPO ELIAS VEGA GOYENECHE</w:t>
                            </w:r>
                          </w:p>
                          <w:bookmarkEnd w:id="0"/>
                          <w:p w14:paraId="0B9F7D22" w14:textId="4A156D98" w:rsidR="005B52B0" w:rsidRPr="00F56ECB" w:rsidRDefault="0010031E"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COLOMBIA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6D75" id="Text Box 5" o:spid="_x0000_s1027" type="#_x0000_t202" style="position:absolute;left:0;text-align:left;margin-left:106.5pt;margin-top:8.45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7D7328D9" w14:textId="26D5E01A"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6441BE">
                        <w:rPr>
                          <w:rFonts w:asciiTheme="majorHAnsi" w:hAnsiTheme="majorHAnsi" w:cs="Arial"/>
                          <w:b/>
                          <w:bCs/>
                          <w:color w:val="0D0D0D" w:themeColor="text1" w:themeTint="F2"/>
                          <w:sz w:val="36"/>
                          <w:szCs w:val="22"/>
                          <w:lang w:val="es-ES_tradnl"/>
                        </w:rPr>
                        <w:t>143</w:t>
                      </w:r>
                      <w:r w:rsidR="007B05C4">
                        <w:rPr>
                          <w:rFonts w:asciiTheme="majorHAnsi" w:hAnsiTheme="majorHAnsi" w:cs="Arial"/>
                          <w:b/>
                          <w:bCs/>
                          <w:color w:val="0D0D0D" w:themeColor="text1" w:themeTint="F2"/>
                          <w:sz w:val="36"/>
                          <w:szCs w:val="22"/>
                          <w:lang w:val="es-ES_tradnl"/>
                        </w:rPr>
                        <w:t>/</w:t>
                      </w:r>
                      <w:r w:rsidR="0008158C">
                        <w:rPr>
                          <w:rFonts w:asciiTheme="majorHAnsi" w:hAnsiTheme="majorHAnsi" w:cs="Arial"/>
                          <w:b/>
                          <w:bCs/>
                          <w:color w:val="0D0D0D" w:themeColor="text1" w:themeTint="F2"/>
                          <w:sz w:val="36"/>
                          <w:szCs w:val="22"/>
                          <w:lang w:val="es-ES_tradnl"/>
                        </w:rPr>
                        <w:t>2</w:t>
                      </w:r>
                      <w:r w:rsidR="00477887">
                        <w:rPr>
                          <w:rFonts w:asciiTheme="majorHAnsi" w:hAnsiTheme="majorHAnsi" w:cs="Arial"/>
                          <w:b/>
                          <w:bCs/>
                          <w:color w:val="0D0D0D" w:themeColor="text1" w:themeTint="F2"/>
                          <w:sz w:val="36"/>
                          <w:szCs w:val="22"/>
                          <w:lang w:val="es-ES_tradnl"/>
                        </w:rPr>
                        <w:t>5</w:t>
                      </w:r>
                    </w:p>
                    <w:p w14:paraId="45F30ECA" w14:textId="5E84F782"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10031E">
                        <w:rPr>
                          <w:rFonts w:asciiTheme="majorHAnsi" w:hAnsiTheme="majorHAnsi" w:cs="Arial"/>
                          <w:b/>
                          <w:color w:val="0D0D0D" w:themeColor="text1" w:themeTint="F2"/>
                          <w:sz w:val="36"/>
                          <w:szCs w:val="22"/>
                          <w:lang w:val="es-ES_tradnl"/>
                        </w:rPr>
                        <w:t>1223-15</w:t>
                      </w:r>
                      <w:r w:rsidR="00246D1F" w:rsidRPr="004E2649">
                        <w:rPr>
                          <w:rFonts w:asciiTheme="majorHAnsi" w:hAnsiTheme="majorHAnsi" w:cs="Arial"/>
                          <w:b/>
                          <w:color w:val="0D0D0D" w:themeColor="text1" w:themeTint="F2"/>
                          <w:sz w:val="36"/>
                          <w:szCs w:val="22"/>
                          <w:lang w:val="es-ES_tradnl"/>
                        </w:rPr>
                        <w:t xml:space="preserve"> </w:t>
                      </w:r>
                    </w:p>
                    <w:p w14:paraId="188B4303" w14:textId="07F43B18"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INADMISIBILIDAD</w:t>
                      </w:r>
                      <w:r w:rsidR="008F1912" w:rsidRPr="0010736F">
                        <w:rPr>
                          <w:rFonts w:asciiTheme="majorHAnsi" w:hAnsiTheme="majorHAnsi" w:cs="Arial"/>
                          <w:color w:val="0D0D0D" w:themeColor="text1" w:themeTint="F2"/>
                          <w:szCs w:val="22"/>
                          <w:lang w:val="es-ES_tradnl"/>
                        </w:rPr>
                        <w:t xml:space="preserve"> </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p w14:paraId="768F8782" w14:textId="071C7D6A" w:rsidR="005B52B0" w:rsidRPr="0010736F" w:rsidRDefault="0010031E" w:rsidP="00997BC5">
                      <w:pPr>
                        <w:spacing w:line="276" w:lineRule="auto"/>
                        <w:rPr>
                          <w:rFonts w:asciiTheme="majorHAnsi" w:hAnsiTheme="majorHAnsi" w:cs="Arial"/>
                          <w:color w:val="0D0D0D" w:themeColor="text1" w:themeTint="F2"/>
                          <w:szCs w:val="22"/>
                          <w:lang w:val="es-ES_tradnl"/>
                        </w:rPr>
                      </w:pPr>
                      <w:r w:rsidRPr="0010031E">
                        <w:rPr>
                          <w:rFonts w:asciiTheme="majorHAnsi" w:hAnsiTheme="majorHAnsi" w:cs="Arial"/>
                          <w:color w:val="0D0D0D" w:themeColor="text1" w:themeTint="F2"/>
                          <w:szCs w:val="22"/>
                        </w:rPr>
                        <w:t>CAMPO ELIAS VEGA GOYENECHE</w:t>
                      </w:r>
                    </w:p>
                    <w:bookmarkEnd w:id="1"/>
                    <w:p w14:paraId="0B9F7D22" w14:textId="4A156D98" w:rsidR="005B52B0" w:rsidRPr="00F56ECB" w:rsidRDefault="0010031E"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COLOMBIA</w:t>
                      </w:r>
                    </w:p>
                  </w:txbxContent>
                </v:textbox>
              </v:shape>
            </w:pict>
          </mc:Fallback>
        </mc:AlternateContent>
      </w:r>
      <w:r w:rsidR="004E2649" w:rsidRPr="0090270B">
        <w:rPr>
          <w:rFonts w:asciiTheme="majorHAnsi" w:hAnsiTheme="majorHAnsi"/>
          <w:noProof/>
          <w:sz w:val="22"/>
          <w:szCs w:val="22"/>
        </w:rPr>
        <mc:AlternateContent>
          <mc:Choice Requires="wps">
            <w:drawing>
              <wp:anchor distT="0" distB="0" distL="114300" distR="114300" simplePos="0" relativeHeight="251658243" behindDoc="0" locked="0" layoutInCell="1" allowOverlap="1" wp14:anchorId="7786A9F8" wp14:editId="04338A48">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3871B" w14:textId="66A7578F" w:rsidR="00627C9F" w:rsidRPr="004E2649" w:rsidRDefault="00834D49" w:rsidP="007A5817">
                            <w:pPr>
                              <w:spacing w:line="276" w:lineRule="auto"/>
                              <w:jc w:val="right"/>
                              <w:rPr>
                                <w:rFonts w:asciiTheme="minorHAnsi" w:hAnsiTheme="minorHAnsi"/>
                                <w:color w:val="FFFFFF" w:themeColor="background1"/>
                                <w:sz w:val="22"/>
                                <w:lang w:val="pt-BR"/>
                              </w:rPr>
                            </w:pPr>
                            <w:r>
                              <w:rPr>
                                <w:rFonts w:asciiTheme="minorHAnsi" w:hAnsiTheme="minorHAnsi"/>
                                <w:color w:val="FFFFFF" w:themeColor="background1"/>
                                <w:sz w:val="22"/>
                                <w:lang w:val="pt-BR"/>
                              </w:rPr>
                              <w:t>OEA/Ser.L/V/II</w:t>
                            </w:r>
                          </w:p>
                          <w:p w14:paraId="71D2D5D2" w14:textId="456DAB69" w:rsidR="00627C9F" w:rsidRPr="004E2649" w:rsidRDefault="00627C9F" w:rsidP="007A5817">
                            <w:pPr>
                              <w:spacing w:line="276" w:lineRule="auto"/>
                              <w:jc w:val="right"/>
                              <w:rPr>
                                <w:rFonts w:asciiTheme="minorHAnsi" w:hAnsiTheme="minorHAnsi"/>
                                <w:color w:val="FFFFFF" w:themeColor="background1"/>
                                <w:sz w:val="22"/>
                                <w:lang w:val="pt-BR"/>
                              </w:rPr>
                            </w:pPr>
                            <w:r w:rsidRPr="004E2649">
                              <w:rPr>
                                <w:rFonts w:asciiTheme="minorHAnsi" w:hAnsiTheme="minorHAnsi"/>
                                <w:color w:val="FFFFFF" w:themeColor="background1"/>
                                <w:sz w:val="22"/>
                                <w:lang w:val="pt-BR"/>
                              </w:rPr>
                              <w:t xml:space="preserve">Doc. </w:t>
                            </w:r>
                            <w:r w:rsidR="00952216">
                              <w:rPr>
                                <w:rFonts w:asciiTheme="minorHAnsi" w:hAnsiTheme="minorHAnsi"/>
                                <w:color w:val="FFFFFF" w:themeColor="background1"/>
                                <w:sz w:val="22"/>
                                <w:lang w:val="pt-BR"/>
                              </w:rPr>
                              <w:t>154</w:t>
                            </w:r>
                          </w:p>
                          <w:p w14:paraId="4061DBBD" w14:textId="60836B6B" w:rsidR="00627C9F" w:rsidRPr="00903A7D" w:rsidRDefault="00DB6B87" w:rsidP="007A5817">
                            <w:pPr>
                              <w:spacing w:line="276" w:lineRule="auto"/>
                              <w:jc w:val="right"/>
                              <w:rPr>
                                <w:rFonts w:asciiTheme="minorHAnsi" w:hAnsiTheme="minorHAnsi"/>
                                <w:color w:val="FFFFFF" w:themeColor="background1"/>
                                <w:sz w:val="22"/>
                                <w:lang w:val="pt-PT"/>
                              </w:rPr>
                            </w:pPr>
                            <w:r w:rsidRPr="00903A7D">
                              <w:rPr>
                                <w:rFonts w:asciiTheme="minorHAnsi" w:hAnsiTheme="minorHAnsi"/>
                                <w:color w:val="FFFFFF" w:themeColor="background1"/>
                                <w:sz w:val="22"/>
                                <w:lang w:val="pt-PT"/>
                              </w:rPr>
                              <w:t>11 agosto</w:t>
                            </w:r>
                            <w:r w:rsidR="00627C9F" w:rsidRPr="00903A7D">
                              <w:rPr>
                                <w:rFonts w:asciiTheme="minorHAnsi" w:hAnsiTheme="minorHAnsi"/>
                                <w:color w:val="FFFFFF" w:themeColor="background1"/>
                                <w:sz w:val="22"/>
                                <w:lang w:val="pt-PT"/>
                              </w:rPr>
                              <w:t xml:space="preserve"> 20</w:t>
                            </w:r>
                            <w:r w:rsidR="00C23BA4" w:rsidRPr="00903A7D">
                              <w:rPr>
                                <w:rFonts w:asciiTheme="minorHAnsi" w:hAnsiTheme="minorHAnsi"/>
                                <w:color w:val="FFFFFF" w:themeColor="background1"/>
                                <w:sz w:val="22"/>
                                <w:lang w:val="pt-PT"/>
                              </w:rPr>
                              <w:t>2</w:t>
                            </w:r>
                            <w:r w:rsidR="00477887" w:rsidRPr="00903A7D">
                              <w:rPr>
                                <w:rFonts w:asciiTheme="minorHAnsi" w:hAnsiTheme="minorHAnsi"/>
                                <w:color w:val="FFFFFF" w:themeColor="background1"/>
                                <w:sz w:val="22"/>
                                <w:lang w:val="pt-PT"/>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6A9F8"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3633871B" w14:textId="66A7578F" w:rsidR="00627C9F" w:rsidRPr="004E2649" w:rsidRDefault="00834D49" w:rsidP="007A5817">
                      <w:pPr>
                        <w:spacing w:line="276" w:lineRule="auto"/>
                        <w:jc w:val="right"/>
                        <w:rPr>
                          <w:rFonts w:asciiTheme="minorHAnsi" w:hAnsiTheme="minorHAnsi"/>
                          <w:color w:val="FFFFFF" w:themeColor="background1"/>
                          <w:sz w:val="22"/>
                          <w:lang w:val="pt-BR"/>
                        </w:rPr>
                      </w:pPr>
                      <w:r>
                        <w:rPr>
                          <w:rFonts w:asciiTheme="minorHAnsi" w:hAnsiTheme="minorHAnsi"/>
                          <w:color w:val="FFFFFF" w:themeColor="background1"/>
                          <w:sz w:val="22"/>
                          <w:lang w:val="pt-BR"/>
                        </w:rPr>
                        <w:t>OEA/Ser.L/V/II</w:t>
                      </w:r>
                    </w:p>
                    <w:p w14:paraId="71D2D5D2" w14:textId="456DAB69" w:rsidR="00627C9F" w:rsidRPr="004E2649" w:rsidRDefault="00627C9F" w:rsidP="007A5817">
                      <w:pPr>
                        <w:spacing w:line="276" w:lineRule="auto"/>
                        <w:jc w:val="right"/>
                        <w:rPr>
                          <w:rFonts w:asciiTheme="minorHAnsi" w:hAnsiTheme="minorHAnsi"/>
                          <w:color w:val="FFFFFF" w:themeColor="background1"/>
                          <w:sz w:val="22"/>
                          <w:lang w:val="pt-BR"/>
                        </w:rPr>
                      </w:pPr>
                      <w:r w:rsidRPr="004E2649">
                        <w:rPr>
                          <w:rFonts w:asciiTheme="minorHAnsi" w:hAnsiTheme="minorHAnsi"/>
                          <w:color w:val="FFFFFF" w:themeColor="background1"/>
                          <w:sz w:val="22"/>
                          <w:lang w:val="pt-BR"/>
                        </w:rPr>
                        <w:t xml:space="preserve">Doc. </w:t>
                      </w:r>
                      <w:r w:rsidR="00952216">
                        <w:rPr>
                          <w:rFonts w:asciiTheme="minorHAnsi" w:hAnsiTheme="minorHAnsi"/>
                          <w:color w:val="FFFFFF" w:themeColor="background1"/>
                          <w:sz w:val="22"/>
                          <w:lang w:val="pt-BR"/>
                        </w:rPr>
                        <w:t>154</w:t>
                      </w:r>
                    </w:p>
                    <w:p w14:paraId="4061DBBD" w14:textId="60836B6B" w:rsidR="00627C9F" w:rsidRPr="00903A7D" w:rsidRDefault="00DB6B87" w:rsidP="007A5817">
                      <w:pPr>
                        <w:spacing w:line="276" w:lineRule="auto"/>
                        <w:jc w:val="right"/>
                        <w:rPr>
                          <w:rFonts w:asciiTheme="minorHAnsi" w:hAnsiTheme="minorHAnsi"/>
                          <w:color w:val="FFFFFF" w:themeColor="background1"/>
                          <w:sz w:val="22"/>
                          <w:lang w:val="pt-PT"/>
                        </w:rPr>
                      </w:pPr>
                      <w:r w:rsidRPr="00903A7D">
                        <w:rPr>
                          <w:rFonts w:asciiTheme="minorHAnsi" w:hAnsiTheme="minorHAnsi"/>
                          <w:color w:val="FFFFFF" w:themeColor="background1"/>
                          <w:sz w:val="22"/>
                          <w:lang w:val="pt-PT"/>
                        </w:rPr>
                        <w:t>11 agosto</w:t>
                      </w:r>
                      <w:r w:rsidR="00627C9F" w:rsidRPr="00903A7D">
                        <w:rPr>
                          <w:rFonts w:asciiTheme="minorHAnsi" w:hAnsiTheme="minorHAnsi"/>
                          <w:color w:val="FFFFFF" w:themeColor="background1"/>
                          <w:sz w:val="22"/>
                          <w:lang w:val="pt-PT"/>
                        </w:rPr>
                        <w:t xml:space="preserve"> 20</w:t>
                      </w:r>
                      <w:r w:rsidR="00C23BA4" w:rsidRPr="00903A7D">
                        <w:rPr>
                          <w:rFonts w:asciiTheme="minorHAnsi" w:hAnsiTheme="minorHAnsi"/>
                          <w:color w:val="FFFFFF" w:themeColor="background1"/>
                          <w:sz w:val="22"/>
                          <w:lang w:val="pt-PT"/>
                        </w:rPr>
                        <w:t>2</w:t>
                      </w:r>
                      <w:r w:rsidR="00477887" w:rsidRPr="00903A7D">
                        <w:rPr>
                          <w:rFonts w:asciiTheme="minorHAnsi" w:hAnsiTheme="minorHAnsi"/>
                          <w:color w:val="FFFFFF" w:themeColor="background1"/>
                          <w:sz w:val="22"/>
                          <w:lang w:val="pt-PT"/>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05E2386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29AB783"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47F033C"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67ABD98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46C4195B"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C0D9CAF"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140E39A"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16878DE"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FF1A208"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3E1EE64"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D8331F2"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1D1FCC8F"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7F753E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65AA97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F2457A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04393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B80B26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4846D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6D2C63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F0B7F5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21893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C99136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8A919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A001DA7"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17E7AA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34B44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CF516E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17C999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41C6754"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2" behindDoc="0" locked="0" layoutInCell="1" allowOverlap="1" wp14:anchorId="484C90F2" wp14:editId="3C6174DF">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E1DD7" w14:textId="655ED9CD"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DB6B87">
                              <w:rPr>
                                <w:rFonts w:asciiTheme="majorHAnsi" w:hAnsiTheme="majorHAnsi"/>
                                <w:color w:val="0D0D0D" w:themeColor="text1" w:themeTint="F2"/>
                                <w:sz w:val="18"/>
                                <w:szCs w:val="22"/>
                                <w:lang w:val="es-ES"/>
                              </w:rPr>
                              <w:t>11</w:t>
                            </w:r>
                            <w:r w:rsidRPr="00890650">
                              <w:rPr>
                                <w:rFonts w:asciiTheme="majorHAnsi" w:hAnsiTheme="majorHAnsi"/>
                                <w:color w:val="0D0D0D" w:themeColor="text1" w:themeTint="F2"/>
                                <w:sz w:val="18"/>
                                <w:szCs w:val="22"/>
                                <w:lang w:val="es-ES"/>
                              </w:rPr>
                              <w:t xml:space="preserve"> de </w:t>
                            </w:r>
                            <w:r w:rsidR="00DB6B87">
                              <w:rPr>
                                <w:rFonts w:asciiTheme="majorHAnsi" w:hAnsiTheme="majorHAnsi"/>
                                <w:color w:val="0D0D0D" w:themeColor="text1" w:themeTint="F2"/>
                                <w:sz w:val="18"/>
                                <w:szCs w:val="22"/>
                                <w:lang w:val="es-ES"/>
                              </w:rPr>
                              <w:t>agosto</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477887">
                              <w:rPr>
                                <w:rFonts w:asciiTheme="majorHAnsi" w:hAnsiTheme="majorHAnsi"/>
                                <w:color w:val="0D0D0D" w:themeColor="text1" w:themeTint="F2"/>
                                <w:sz w:val="18"/>
                                <w:szCs w:val="22"/>
                                <w:lang w:val="es-ES"/>
                              </w:rPr>
                              <w:t>5</w:t>
                            </w:r>
                            <w:r w:rsidR="00DB6B87">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90F2" id="Text Box 7" o:spid="_x0000_s1029" type="#_x0000_t202" style="position:absolute;left:0;text-align:left;margin-left:105.65pt;margin-top:1.8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179E1DD7" w14:textId="655ED9CD"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DB6B87">
                        <w:rPr>
                          <w:rFonts w:asciiTheme="majorHAnsi" w:hAnsiTheme="majorHAnsi"/>
                          <w:color w:val="0D0D0D" w:themeColor="text1" w:themeTint="F2"/>
                          <w:sz w:val="18"/>
                          <w:szCs w:val="22"/>
                          <w:lang w:val="es-ES"/>
                        </w:rPr>
                        <w:t>11</w:t>
                      </w:r>
                      <w:r w:rsidRPr="00890650">
                        <w:rPr>
                          <w:rFonts w:asciiTheme="majorHAnsi" w:hAnsiTheme="majorHAnsi"/>
                          <w:color w:val="0D0D0D" w:themeColor="text1" w:themeTint="F2"/>
                          <w:sz w:val="18"/>
                          <w:szCs w:val="22"/>
                          <w:lang w:val="es-ES"/>
                        </w:rPr>
                        <w:t xml:space="preserve"> de </w:t>
                      </w:r>
                      <w:r w:rsidR="00DB6B87">
                        <w:rPr>
                          <w:rFonts w:asciiTheme="majorHAnsi" w:hAnsiTheme="majorHAnsi"/>
                          <w:color w:val="0D0D0D" w:themeColor="text1" w:themeTint="F2"/>
                          <w:sz w:val="18"/>
                          <w:szCs w:val="22"/>
                          <w:lang w:val="es-ES"/>
                        </w:rPr>
                        <w:t>agosto</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477887">
                        <w:rPr>
                          <w:rFonts w:asciiTheme="majorHAnsi" w:hAnsiTheme="majorHAnsi"/>
                          <w:color w:val="0D0D0D" w:themeColor="text1" w:themeTint="F2"/>
                          <w:sz w:val="18"/>
                          <w:szCs w:val="22"/>
                          <w:lang w:val="es-ES"/>
                        </w:rPr>
                        <w:t>5</w:t>
                      </w:r>
                      <w:r w:rsidR="00DB6B87">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30B4F3E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8FED95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3E3A27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EDC5EE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730F205"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rPr>
        <mc:AlternateContent>
          <mc:Choice Requires="wps">
            <w:drawing>
              <wp:anchor distT="0" distB="0" distL="114300" distR="114300" simplePos="0" relativeHeight="251658245" behindDoc="0" locked="0" layoutInCell="1" allowOverlap="1" wp14:anchorId="01CD6A81" wp14:editId="407B8206">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7C4A46" w14:textId="77777777" w:rsidR="00DB6B87"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DB6B87" w:rsidRPr="00DB6B87">
                              <w:rPr>
                                <w:rFonts w:asciiTheme="majorHAnsi" w:hAnsiTheme="majorHAnsi"/>
                                <w:color w:val="595959" w:themeColor="text1" w:themeTint="A6"/>
                                <w:sz w:val="18"/>
                                <w:szCs w:val="18"/>
                                <w:lang w:val="pt-BR"/>
                              </w:rPr>
                              <w:t>143</w:t>
                            </w:r>
                            <w:r w:rsidR="007B05C4" w:rsidRPr="00DB6B87">
                              <w:rPr>
                                <w:rFonts w:asciiTheme="majorHAnsi" w:hAnsiTheme="majorHAnsi"/>
                                <w:color w:val="595959" w:themeColor="text1" w:themeTint="A6"/>
                                <w:sz w:val="18"/>
                                <w:szCs w:val="18"/>
                                <w:lang w:val="pt-BR"/>
                              </w:rPr>
                              <w:t>/</w:t>
                            </w:r>
                            <w:r w:rsidR="00DB6B87" w:rsidRPr="00DB6B87">
                              <w:rPr>
                                <w:rFonts w:asciiTheme="majorHAnsi" w:hAnsiTheme="majorHAnsi"/>
                                <w:color w:val="595959" w:themeColor="text1" w:themeTint="A6"/>
                                <w:sz w:val="18"/>
                                <w:szCs w:val="18"/>
                                <w:lang w:val="pt-BR"/>
                              </w:rPr>
                              <w:t>25</w:t>
                            </w:r>
                            <w:r w:rsidRPr="00DB6B87">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DB6B87">
                              <w:rPr>
                                <w:rFonts w:asciiTheme="majorHAnsi" w:hAnsiTheme="majorHAnsi"/>
                                <w:color w:val="595959" w:themeColor="text1" w:themeTint="A6"/>
                                <w:sz w:val="18"/>
                                <w:szCs w:val="18"/>
                                <w:lang w:val="es-ES"/>
                              </w:rPr>
                              <w:t>1223</w:t>
                            </w:r>
                            <w:r w:rsidR="000433C9">
                              <w:rPr>
                                <w:rFonts w:asciiTheme="majorHAnsi" w:hAnsiTheme="majorHAnsi"/>
                                <w:color w:val="595959" w:themeColor="text1" w:themeTint="A6"/>
                                <w:sz w:val="18"/>
                                <w:szCs w:val="18"/>
                                <w:lang w:val="es-ES"/>
                              </w:rPr>
                              <w:t>-</w:t>
                            </w:r>
                            <w:r w:rsidR="00DB6B87">
                              <w:rPr>
                                <w:rFonts w:asciiTheme="majorHAnsi" w:hAnsiTheme="majorHAnsi"/>
                                <w:color w:val="595959" w:themeColor="text1" w:themeTint="A6"/>
                                <w:sz w:val="18"/>
                                <w:szCs w:val="18"/>
                                <w:lang w:val="es-ES"/>
                              </w:rPr>
                              <w:t>15</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 xml:space="preserve">Inadmisibilidad. </w:t>
                            </w:r>
                          </w:p>
                          <w:p w14:paraId="7FD77785" w14:textId="1F230701" w:rsidR="00113F73" w:rsidRPr="007B05C4" w:rsidRDefault="00DB6B87"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Campo Elias Vega Goyeneche</w:t>
                            </w:r>
                            <w:r w:rsidR="00113F73" w:rsidRPr="00890650">
                              <w:rPr>
                                <w:rFonts w:asciiTheme="majorHAnsi" w:hAnsiTheme="majorHAnsi"/>
                                <w:color w:val="595959" w:themeColor="text1" w:themeTint="A6"/>
                                <w:sz w:val="18"/>
                                <w:szCs w:val="18"/>
                                <w:lang w:val="es-ES_tradnl"/>
                              </w:rPr>
                              <w:t xml:space="preserve">. </w:t>
                            </w:r>
                            <w:r w:rsidR="00306D74">
                              <w:rPr>
                                <w:rFonts w:asciiTheme="majorHAnsi" w:hAnsiTheme="majorHAnsi"/>
                                <w:color w:val="595959" w:themeColor="text1" w:themeTint="A6"/>
                                <w:sz w:val="18"/>
                                <w:szCs w:val="18"/>
                                <w:lang w:val="es-ES_tradnl"/>
                              </w:rPr>
                              <w:t>Colombia</w:t>
                            </w:r>
                            <w:r w:rsidR="00113F73" w:rsidRPr="00890650">
                              <w:rPr>
                                <w:rFonts w:asciiTheme="majorHAnsi" w:hAnsiTheme="majorHAnsi"/>
                                <w:color w:val="595959" w:themeColor="text1" w:themeTint="A6"/>
                                <w:sz w:val="18"/>
                                <w:szCs w:val="18"/>
                                <w:lang w:val="es-ES_tradnl"/>
                              </w:rPr>
                              <w:t xml:space="preserve">. </w:t>
                            </w:r>
                            <w:r w:rsidR="00306D74">
                              <w:rPr>
                                <w:rFonts w:asciiTheme="majorHAnsi" w:hAnsiTheme="majorHAnsi"/>
                                <w:color w:val="595959" w:themeColor="text1" w:themeTint="A6"/>
                                <w:sz w:val="18"/>
                                <w:szCs w:val="18"/>
                                <w:lang w:val="es-ES"/>
                              </w:rPr>
                              <w:t>11 de agosto de 2025</w:t>
                            </w:r>
                            <w:r w:rsidR="00113F73"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6A81" id="Text Box 10" o:spid="_x0000_s1030" type="#_x0000_t202" style="position:absolute;left:0;text-align:left;margin-left:105pt;margin-top:.4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397C4A46" w14:textId="77777777" w:rsidR="00DB6B87"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DB6B87" w:rsidRPr="00DB6B87">
                        <w:rPr>
                          <w:rFonts w:asciiTheme="majorHAnsi" w:hAnsiTheme="majorHAnsi"/>
                          <w:color w:val="595959" w:themeColor="text1" w:themeTint="A6"/>
                          <w:sz w:val="18"/>
                          <w:szCs w:val="18"/>
                          <w:lang w:val="pt-BR"/>
                        </w:rPr>
                        <w:t>143</w:t>
                      </w:r>
                      <w:r w:rsidR="007B05C4" w:rsidRPr="00DB6B87">
                        <w:rPr>
                          <w:rFonts w:asciiTheme="majorHAnsi" w:hAnsiTheme="majorHAnsi"/>
                          <w:color w:val="595959" w:themeColor="text1" w:themeTint="A6"/>
                          <w:sz w:val="18"/>
                          <w:szCs w:val="18"/>
                          <w:lang w:val="pt-BR"/>
                        </w:rPr>
                        <w:t>/</w:t>
                      </w:r>
                      <w:r w:rsidR="00DB6B87" w:rsidRPr="00DB6B87">
                        <w:rPr>
                          <w:rFonts w:asciiTheme="majorHAnsi" w:hAnsiTheme="majorHAnsi"/>
                          <w:color w:val="595959" w:themeColor="text1" w:themeTint="A6"/>
                          <w:sz w:val="18"/>
                          <w:szCs w:val="18"/>
                          <w:lang w:val="pt-BR"/>
                        </w:rPr>
                        <w:t>25</w:t>
                      </w:r>
                      <w:r w:rsidRPr="00DB6B87">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DB6B87">
                        <w:rPr>
                          <w:rFonts w:asciiTheme="majorHAnsi" w:hAnsiTheme="majorHAnsi"/>
                          <w:color w:val="595959" w:themeColor="text1" w:themeTint="A6"/>
                          <w:sz w:val="18"/>
                          <w:szCs w:val="18"/>
                          <w:lang w:val="es-ES"/>
                        </w:rPr>
                        <w:t>1223</w:t>
                      </w:r>
                      <w:r w:rsidR="000433C9">
                        <w:rPr>
                          <w:rFonts w:asciiTheme="majorHAnsi" w:hAnsiTheme="majorHAnsi"/>
                          <w:color w:val="595959" w:themeColor="text1" w:themeTint="A6"/>
                          <w:sz w:val="18"/>
                          <w:szCs w:val="18"/>
                          <w:lang w:val="es-ES"/>
                        </w:rPr>
                        <w:t>-</w:t>
                      </w:r>
                      <w:r w:rsidR="00DB6B87">
                        <w:rPr>
                          <w:rFonts w:asciiTheme="majorHAnsi" w:hAnsiTheme="majorHAnsi"/>
                          <w:color w:val="595959" w:themeColor="text1" w:themeTint="A6"/>
                          <w:sz w:val="18"/>
                          <w:szCs w:val="18"/>
                          <w:lang w:val="es-ES"/>
                        </w:rPr>
                        <w:t>15</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 xml:space="preserve">Inadmisibilidad. </w:t>
                      </w:r>
                    </w:p>
                    <w:p w14:paraId="7FD77785" w14:textId="1F230701" w:rsidR="00113F73" w:rsidRPr="007B05C4" w:rsidRDefault="00DB6B87"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Campo Elias Vega Goyeneche</w:t>
                      </w:r>
                      <w:r w:rsidR="00113F73" w:rsidRPr="00890650">
                        <w:rPr>
                          <w:rFonts w:asciiTheme="majorHAnsi" w:hAnsiTheme="majorHAnsi"/>
                          <w:color w:val="595959" w:themeColor="text1" w:themeTint="A6"/>
                          <w:sz w:val="18"/>
                          <w:szCs w:val="18"/>
                          <w:lang w:val="es-ES_tradnl"/>
                        </w:rPr>
                        <w:t xml:space="preserve">. </w:t>
                      </w:r>
                      <w:r w:rsidR="00306D74">
                        <w:rPr>
                          <w:rFonts w:asciiTheme="majorHAnsi" w:hAnsiTheme="majorHAnsi"/>
                          <w:color w:val="595959" w:themeColor="text1" w:themeTint="A6"/>
                          <w:sz w:val="18"/>
                          <w:szCs w:val="18"/>
                          <w:lang w:val="es-ES_tradnl"/>
                        </w:rPr>
                        <w:t>Colombia</w:t>
                      </w:r>
                      <w:r w:rsidR="00113F73" w:rsidRPr="00890650">
                        <w:rPr>
                          <w:rFonts w:asciiTheme="majorHAnsi" w:hAnsiTheme="majorHAnsi"/>
                          <w:color w:val="595959" w:themeColor="text1" w:themeTint="A6"/>
                          <w:sz w:val="18"/>
                          <w:szCs w:val="18"/>
                          <w:lang w:val="es-ES_tradnl"/>
                        </w:rPr>
                        <w:t xml:space="preserve">. </w:t>
                      </w:r>
                      <w:r w:rsidR="00306D74">
                        <w:rPr>
                          <w:rFonts w:asciiTheme="majorHAnsi" w:hAnsiTheme="majorHAnsi"/>
                          <w:color w:val="595959" w:themeColor="text1" w:themeTint="A6"/>
                          <w:sz w:val="18"/>
                          <w:szCs w:val="18"/>
                          <w:lang w:val="es-ES"/>
                        </w:rPr>
                        <w:t>11 de agosto de 2025</w:t>
                      </w:r>
                      <w:r w:rsidR="00113F73" w:rsidRPr="007B05C4">
                        <w:rPr>
                          <w:rFonts w:asciiTheme="majorHAnsi" w:hAnsiTheme="majorHAnsi"/>
                          <w:color w:val="595959" w:themeColor="text1" w:themeTint="A6"/>
                          <w:sz w:val="18"/>
                          <w:szCs w:val="18"/>
                          <w:lang w:val="es-ES"/>
                        </w:rPr>
                        <w:t>.</w:t>
                      </w:r>
                    </w:p>
                  </w:txbxContent>
                </v:textbox>
              </v:shape>
            </w:pict>
          </mc:Fallback>
        </mc:AlternateContent>
      </w:r>
    </w:p>
    <w:p w14:paraId="3BC195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9396CC" w14:textId="246B61B9" w:rsidR="0090270B" w:rsidRDefault="0090270B" w:rsidP="005516A1">
      <w:pPr>
        <w:tabs>
          <w:tab w:val="center" w:pos="5400"/>
        </w:tabs>
        <w:suppressAutoHyphens/>
        <w:jc w:val="center"/>
        <w:rPr>
          <w:rFonts w:asciiTheme="majorHAnsi" w:hAnsiTheme="majorHAnsi"/>
          <w:b/>
          <w:sz w:val="20"/>
          <w:lang w:val="es-ES_tradnl"/>
        </w:rPr>
      </w:pPr>
    </w:p>
    <w:p w14:paraId="150CCFA7" w14:textId="4690A9C2" w:rsidR="0070697F" w:rsidRDefault="008173FB" w:rsidP="005516A1">
      <w:pPr>
        <w:tabs>
          <w:tab w:val="center" w:pos="5400"/>
        </w:tabs>
        <w:suppressAutoHyphens/>
        <w:jc w:val="center"/>
        <w:rPr>
          <w:rFonts w:asciiTheme="majorHAnsi" w:hAnsiTheme="majorHAnsi"/>
          <w:b/>
          <w:sz w:val="20"/>
          <w:lang w:val="es-ES_tradnl"/>
        </w:rPr>
        <w:sectPr w:rsidR="0070697F" w:rsidSect="00C054DF">
          <w:headerReference w:type="even" r:id="rId12"/>
          <w:headerReference w:type="default" r:id="rId13"/>
          <w:footerReference w:type="default" r:id="rId14"/>
          <w:footerReference w:type="first" r:id="rId15"/>
          <w:type w:val="oddPage"/>
          <w:pgSz w:w="12240" w:h="15840"/>
          <w:pgMar w:top="1440" w:right="1440" w:bottom="1440" w:left="1440" w:header="720" w:footer="720" w:gutter="0"/>
          <w:pgNumType w:start="0"/>
          <w:cols w:space="720"/>
          <w:titlePg/>
          <w:docGrid w:linePitch="326"/>
        </w:sectPr>
      </w:pPr>
      <w:r w:rsidRPr="00625030">
        <w:rPr>
          <w:rFonts w:asciiTheme="majorHAnsi" w:hAnsiTheme="majorHAnsi"/>
          <w:noProof/>
          <w:sz w:val="22"/>
          <w:szCs w:val="22"/>
        </w:rPr>
        <mc:AlternateContent>
          <mc:Choice Requires="wps">
            <w:drawing>
              <wp:anchor distT="0" distB="0" distL="114300" distR="114300" simplePos="0" relativeHeight="251658247" behindDoc="0" locked="0" layoutInCell="1" allowOverlap="1" wp14:anchorId="4BBB9917" wp14:editId="2CB200B4">
                <wp:simplePos x="0" y="0"/>
                <wp:positionH relativeFrom="column">
                  <wp:posOffset>-261874</wp:posOffset>
                </wp:positionH>
                <wp:positionV relativeFrom="paragraph">
                  <wp:posOffset>699135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9917" id="Text Box 4" o:spid="_x0000_s1031" type="#_x0000_t202" style="position:absolute;left:0;text-align:left;margin-left:-20.6pt;margin-top:55.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" filled="f" stroked="f" strokeweight=".5pt">
                <v:textbo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r>
        <w:rPr>
          <w:rFonts w:asciiTheme="majorHAnsi" w:hAnsiTheme="majorHAnsi"/>
          <w:noProof/>
          <w:sz w:val="18"/>
          <w:szCs w:val="22"/>
        </w:rPr>
        <mc:AlternateContent>
          <mc:Choice Requires="wps">
            <w:drawing>
              <wp:anchor distT="0" distB="0" distL="114300" distR="114300" simplePos="0" relativeHeight="251658246" behindDoc="0" locked="0" layoutInCell="1" allowOverlap="1" wp14:anchorId="5D37EBA2" wp14:editId="086ADF3C">
                <wp:simplePos x="0" y="0"/>
                <wp:positionH relativeFrom="column">
                  <wp:posOffset>1301496</wp:posOffset>
                </wp:positionH>
                <wp:positionV relativeFrom="paragraph">
                  <wp:posOffset>488950</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6"/>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7EBA2" id="Text Box 9" o:spid="_x0000_s1032" type="#_x0000_t202" style="position:absolute;left:0;text-align:left;margin-left:102.5pt;margin-top:38.5pt;width:322.55pt;height:44.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7c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" fillcolor="white [3201]" stroked="f" strokeweight=".5pt">
                <v:textbo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6"/>
                                    <a:stretch>
                                      <a:fillRect/>
                                    </a:stretch>
                                  </pic:blipFill>
                                  <pic:spPr>
                                    <a:xfrm>
                                      <a:off x="0" y="0"/>
                                      <a:ext cx="1824355" cy="469265"/>
                                    </a:xfrm>
                                    <a:prstGeom prst="rect">
                                      <a:avLst/>
                                    </a:prstGeom>
                                  </pic:spPr>
                                </pic:pic>
                              </a:graphicData>
                            </a:graphic>
                          </wp:inline>
                        </w:drawing>
                      </w:r>
                    </w:p>
                  </w:txbxContent>
                </v:textbox>
              </v:shape>
            </w:pict>
          </mc:Fallback>
        </mc:AlternateContent>
      </w:r>
      <w:r w:rsidR="004A6A54">
        <w:rPr>
          <w:rFonts w:asciiTheme="majorHAnsi" w:hAnsiTheme="majorHAnsi"/>
          <w:b/>
          <w:sz w:val="20"/>
          <w:lang w:val="es-ES_tradnl"/>
        </w:rPr>
        <w:tab/>
      </w:r>
    </w:p>
    <w:p w14:paraId="2786EE58" w14:textId="2DE7C3D4" w:rsidR="003239B8" w:rsidRPr="000419AD" w:rsidRDefault="003239B8" w:rsidP="00315058">
      <w:pPr>
        <w:pStyle w:val="Ttulos"/>
        <w:numPr>
          <w:ilvl w:val="0"/>
          <w:numId w:val="64"/>
        </w:numPr>
      </w:pPr>
      <w:r w:rsidRPr="000419AD">
        <w:lastRenderedPageBreak/>
        <w:t xml:space="preserve">DATOS DE LA PETICIÓN </w:t>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3239B8" w14:paraId="6B58C8A4" w14:textId="77777777" w:rsidTr="00394073">
        <w:tc>
          <w:tcPr>
            <w:tcW w:w="3600" w:type="dxa"/>
            <w:tcBorders>
              <w:top w:val="single" w:sz="4" w:space="0" w:color="auto"/>
              <w:bottom w:val="single" w:sz="6" w:space="0" w:color="auto"/>
            </w:tcBorders>
            <w:shd w:val="clear" w:color="auto" w:fill="386294"/>
            <w:vAlign w:val="center"/>
          </w:tcPr>
          <w:p w14:paraId="7E72740A"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Parte peticionaria:</w:t>
            </w:r>
          </w:p>
        </w:tc>
        <w:tc>
          <w:tcPr>
            <w:tcW w:w="5647" w:type="dxa"/>
            <w:vAlign w:val="center"/>
          </w:tcPr>
          <w:p w14:paraId="07DAAE2E" w14:textId="3B3507BF" w:rsidR="003239B8" w:rsidRPr="000D05CB" w:rsidRDefault="00982824" w:rsidP="008D2290">
            <w:pPr>
              <w:jc w:val="both"/>
              <w:rPr>
                <w:rFonts w:ascii="Cambria" w:hAnsi="Cambria"/>
                <w:bCs/>
                <w:sz w:val="20"/>
                <w:szCs w:val="20"/>
              </w:rPr>
            </w:pPr>
            <w:r w:rsidRPr="00982824">
              <w:rPr>
                <w:rFonts w:ascii="Cambria" w:hAnsi="Cambria"/>
                <w:bCs/>
                <w:sz w:val="20"/>
                <w:szCs w:val="20"/>
              </w:rPr>
              <w:t>Campo El</w:t>
            </w:r>
            <w:r>
              <w:rPr>
                <w:rFonts w:ascii="Cambria" w:hAnsi="Cambria"/>
                <w:bCs/>
                <w:sz w:val="20"/>
                <w:szCs w:val="20"/>
              </w:rPr>
              <w:t>í</w:t>
            </w:r>
            <w:r w:rsidRPr="00982824">
              <w:rPr>
                <w:rFonts w:ascii="Cambria" w:hAnsi="Cambria"/>
                <w:bCs/>
                <w:sz w:val="20"/>
                <w:szCs w:val="20"/>
              </w:rPr>
              <w:t>as Vega Goyeneche</w:t>
            </w:r>
          </w:p>
        </w:tc>
      </w:tr>
      <w:tr w:rsidR="003239B8" w:rsidRPr="001E49E7" w14:paraId="0D7F9389" w14:textId="77777777" w:rsidTr="00394073">
        <w:tc>
          <w:tcPr>
            <w:tcW w:w="3600" w:type="dxa"/>
            <w:tcBorders>
              <w:top w:val="single" w:sz="6" w:space="0" w:color="auto"/>
              <w:bottom w:val="single" w:sz="6" w:space="0" w:color="auto"/>
            </w:tcBorders>
            <w:shd w:val="clear" w:color="auto" w:fill="386294"/>
            <w:vAlign w:val="center"/>
          </w:tcPr>
          <w:p w14:paraId="481622AE" w14:textId="77777777" w:rsidR="003239B8" w:rsidRPr="000D05CB" w:rsidRDefault="000E260B" w:rsidP="008D2290">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3239B8" w:rsidRPr="000D05CB">
                  <w:rPr>
                    <w:rFonts w:ascii="Cambria" w:hAnsi="Cambria"/>
                    <w:b/>
                    <w:bCs/>
                    <w:color w:val="FFFFFF" w:themeColor="background1"/>
                    <w:sz w:val="20"/>
                    <w:szCs w:val="20"/>
                  </w:rPr>
                  <w:t>Presunta víctima</w:t>
                </w:r>
              </w:sdtContent>
            </w:sdt>
            <w:r w:rsidR="003239B8" w:rsidRPr="000D05CB">
              <w:rPr>
                <w:rFonts w:ascii="Cambria" w:hAnsi="Cambria"/>
                <w:b/>
                <w:bCs/>
                <w:color w:val="FFFFFF" w:themeColor="background1"/>
                <w:sz w:val="20"/>
                <w:szCs w:val="20"/>
              </w:rPr>
              <w:t>:</w:t>
            </w:r>
          </w:p>
        </w:tc>
        <w:tc>
          <w:tcPr>
            <w:tcW w:w="5647" w:type="dxa"/>
            <w:vAlign w:val="center"/>
          </w:tcPr>
          <w:p w14:paraId="143D44A8" w14:textId="10AB2C28" w:rsidR="003239B8" w:rsidRPr="000D05CB" w:rsidRDefault="00982824" w:rsidP="008D2290">
            <w:pPr>
              <w:jc w:val="both"/>
              <w:rPr>
                <w:rFonts w:ascii="Cambria" w:hAnsi="Cambria"/>
                <w:bCs/>
                <w:sz w:val="20"/>
                <w:szCs w:val="20"/>
                <w:lang w:val="es-ES"/>
              </w:rPr>
            </w:pPr>
            <w:r w:rsidRPr="00982824">
              <w:rPr>
                <w:rFonts w:ascii="Cambria" w:hAnsi="Cambria"/>
                <w:bCs/>
                <w:sz w:val="20"/>
                <w:szCs w:val="20"/>
              </w:rPr>
              <w:t>Campo El</w:t>
            </w:r>
            <w:r>
              <w:rPr>
                <w:rFonts w:ascii="Cambria" w:hAnsi="Cambria"/>
                <w:bCs/>
                <w:sz w:val="20"/>
                <w:szCs w:val="20"/>
              </w:rPr>
              <w:t>í</w:t>
            </w:r>
            <w:r w:rsidRPr="00982824">
              <w:rPr>
                <w:rFonts w:ascii="Cambria" w:hAnsi="Cambria"/>
                <w:bCs/>
                <w:sz w:val="20"/>
                <w:szCs w:val="20"/>
              </w:rPr>
              <w:t>as Vega Goyeneche</w:t>
            </w:r>
          </w:p>
        </w:tc>
      </w:tr>
      <w:tr w:rsidR="003239B8" w14:paraId="19F69F82" w14:textId="77777777" w:rsidTr="00394073">
        <w:tc>
          <w:tcPr>
            <w:tcW w:w="3600" w:type="dxa"/>
            <w:tcBorders>
              <w:top w:val="single" w:sz="6" w:space="0" w:color="auto"/>
              <w:bottom w:val="single" w:sz="6" w:space="0" w:color="auto"/>
            </w:tcBorders>
            <w:shd w:val="clear" w:color="auto" w:fill="386294"/>
            <w:vAlign w:val="center"/>
          </w:tcPr>
          <w:p w14:paraId="724BB294"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Estado denunciado:</w:t>
            </w:r>
          </w:p>
        </w:tc>
        <w:tc>
          <w:tcPr>
            <w:tcW w:w="5647" w:type="dxa"/>
            <w:vAlign w:val="center"/>
          </w:tcPr>
          <w:p w14:paraId="5D0EC05D" w14:textId="254B2ECB" w:rsidR="003239B8" w:rsidRPr="000D05CB" w:rsidRDefault="00982824" w:rsidP="008D2290">
            <w:pPr>
              <w:jc w:val="both"/>
              <w:rPr>
                <w:rFonts w:ascii="Cambria" w:hAnsi="Cambria"/>
                <w:bCs/>
                <w:sz w:val="20"/>
                <w:szCs w:val="20"/>
              </w:rPr>
            </w:pPr>
            <w:r>
              <w:rPr>
                <w:rFonts w:ascii="Cambria" w:hAnsi="Cambria"/>
                <w:bCs/>
                <w:sz w:val="20"/>
                <w:szCs w:val="20"/>
              </w:rPr>
              <w:t>Colombia</w:t>
            </w:r>
            <w:r w:rsidR="004A6A54" w:rsidRPr="000D05CB">
              <w:rPr>
                <w:rStyle w:val="FootnoteReference"/>
                <w:rFonts w:ascii="Cambria" w:hAnsi="Cambria"/>
                <w:bCs/>
                <w:sz w:val="20"/>
                <w:szCs w:val="20"/>
              </w:rPr>
              <w:footnoteReference w:id="2"/>
            </w:r>
          </w:p>
        </w:tc>
      </w:tr>
      <w:tr w:rsidR="00223A29" w:rsidRPr="00903A7D" w14:paraId="256E66EF" w14:textId="77777777" w:rsidTr="00394073">
        <w:tc>
          <w:tcPr>
            <w:tcW w:w="3600" w:type="dxa"/>
            <w:tcBorders>
              <w:top w:val="single" w:sz="6" w:space="0" w:color="auto"/>
              <w:bottom w:val="single" w:sz="6" w:space="0" w:color="auto"/>
            </w:tcBorders>
            <w:shd w:val="clear" w:color="auto" w:fill="386294"/>
            <w:vAlign w:val="center"/>
          </w:tcPr>
          <w:p w14:paraId="2551EB09" w14:textId="77777777" w:rsidR="00223A29" w:rsidRPr="000D05CB" w:rsidRDefault="001B3A00" w:rsidP="00E4118C">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 xml:space="preserve">Derechos </w:t>
            </w:r>
            <w:r w:rsidR="00E4118C" w:rsidRPr="000D05CB">
              <w:rPr>
                <w:rFonts w:ascii="Cambria" w:hAnsi="Cambria"/>
                <w:b/>
                <w:bCs/>
                <w:color w:val="FFFFFF" w:themeColor="background1"/>
                <w:sz w:val="20"/>
                <w:szCs w:val="20"/>
              </w:rPr>
              <w:t>invocados</w:t>
            </w:r>
            <w:r w:rsidRPr="000D05CB">
              <w:rPr>
                <w:rFonts w:ascii="Cambria" w:hAnsi="Cambria"/>
                <w:b/>
                <w:bCs/>
                <w:color w:val="FFFFFF" w:themeColor="background1"/>
                <w:sz w:val="20"/>
                <w:szCs w:val="20"/>
              </w:rPr>
              <w:t>:</w:t>
            </w:r>
          </w:p>
        </w:tc>
        <w:tc>
          <w:tcPr>
            <w:tcW w:w="5647" w:type="dxa"/>
            <w:vAlign w:val="center"/>
          </w:tcPr>
          <w:p w14:paraId="52B28392" w14:textId="4D0F8951" w:rsidR="00223A29" w:rsidRPr="000A1013" w:rsidRDefault="000A1013" w:rsidP="008D2290">
            <w:pPr>
              <w:jc w:val="both"/>
              <w:rPr>
                <w:rFonts w:ascii="Cambria" w:hAnsi="Cambria"/>
                <w:bCs/>
                <w:sz w:val="20"/>
                <w:szCs w:val="20"/>
                <w:lang w:val="es-CO"/>
              </w:rPr>
            </w:pPr>
            <w:r w:rsidRPr="002C6FBF">
              <w:rPr>
                <w:rFonts w:ascii="Cambria" w:hAnsi="Cambria"/>
                <w:bCs/>
                <w:sz w:val="20"/>
                <w:szCs w:val="20"/>
                <w:lang w:val="es-CO"/>
              </w:rPr>
              <w:t xml:space="preserve">Artículos 8 </w:t>
            </w:r>
            <w:r>
              <w:rPr>
                <w:rFonts w:ascii="Cambria" w:hAnsi="Cambria"/>
                <w:bCs/>
                <w:sz w:val="20"/>
                <w:szCs w:val="20"/>
                <w:lang w:val="es-CO"/>
              </w:rPr>
              <w:t xml:space="preserve">(garantías judiciales), </w:t>
            </w:r>
            <w:r w:rsidR="00012F36">
              <w:rPr>
                <w:rFonts w:ascii="Cambria" w:hAnsi="Cambria"/>
                <w:bCs/>
                <w:sz w:val="20"/>
                <w:szCs w:val="20"/>
                <w:lang w:val="es-CO"/>
              </w:rPr>
              <w:t xml:space="preserve">9 (principio de legalidad y de retroactividad), </w:t>
            </w:r>
            <w:r>
              <w:rPr>
                <w:rFonts w:ascii="Cambria" w:hAnsi="Cambria"/>
                <w:bCs/>
                <w:sz w:val="20"/>
                <w:szCs w:val="20"/>
                <w:lang w:val="es-CO"/>
              </w:rPr>
              <w:t>23 (derechos políticos) y 25 (protección judicial) de la Convención Americana sobre Derechos Humanos</w:t>
            </w:r>
            <w:r>
              <w:rPr>
                <w:rStyle w:val="FootnoteReference"/>
                <w:rFonts w:ascii="Cambria" w:hAnsi="Cambria"/>
                <w:bCs/>
                <w:sz w:val="20"/>
                <w:szCs w:val="20"/>
                <w:lang w:val="es-CO"/>
              </w:rPr>
              <w:footnoteReference w:id="3"/>
            </w:r>
            <w:r>
              <w:rPr>
                <w:rFonts w:ascii="Cambria" w:hAnsi="Cambria"/>
                <w:bCs/>
                <w:sz w:val="20"/>
                <w:szCs w:val="20"/>
                <w:lang w:val="es-CO"/>
              </w:rPr>
              <w:t xml:space="preserve">; y artículos II, </w:t>
            </w:r>
            <w:r w:rsidR="00342915">
              <w:rPr>
                <w:rFonts w:ascii="Cambria" w:hAnsi="Cambria"/>
                <w:bCs/>
                <w:sz w:val="20"/>
                <w:szCs w:val="20"/>
                <w:lang w:val="es-CO"/>
              </w:rPr>
              <w:t xml:space="preserve">VIII y XXX de la Declaración Americana de </w:t>
            </w:r>
            <w:r w:rsidR="004941B8">
              <w:rPr>
                <w:rFonts w:ascii="Cambria" w:hAnsi="Cambria"/>
                <w:bCs/>
                <w:sz w:val="20"/>
                <w:szCs w:val="20"/>
                <w:lang w:val="es-CO"/>
              </w:rPr>
              <w:t>los Derechos y Deberes del Hombre</w:t>
            </w:r>
            <w:r w:rsidR="004941B8">
              <w:rPr>
                <w:rStyle w:val="FootnoteReference"/>
                <w:rFonts w:ascii="Cambria" w:hAnsi="Cambria"/>
                <w:bCs/>
                <w:sz w:val="20"/>
                <w:szCs w:val="20"/>
                <w:lang w:val="es-CO"/>
              </w:rPr>
              <w:footnoteReference w:id="4"/>
            </w:r>
          </w:p>
        </w:tc>
      </w:tr>
    </w:tbl>
    <w:p w14:paraId="176FB213" w14:textId="3F55F756" w:rsidR="003239B8" w:rsidRPr="00315058" w:rsidRDefault="003239B8" w:rsidP="00315058">
      <w:pPr>
        <w:pStyle w:val="ListParagraph"/>
        <w:numPr>
          <w:ilvl w:val="0"/>
          <w:numId w:val="64"/>
        </w:numPr>
        <w:jc w:val="both"/>
        <w:rPr>
          <w:rFonts w:asciiTheme="majorHAnsi" w:hAnsiTheme="majorHAnsi"/>
          <w:b/>
          <w:bCs/>
          <w:sz w:val="20"/>
          <w:szCs w:val="20"/>
          <w:lang w:val="es-ES"/>
        </w:rPr>
      </w:pPr>
      <w:r w:rsidRPr="00315058">
        <w:rPr>
          <w:rFonts w:asciiTheme="majorHAnsi" w:hAnsiTheme="majorHAnsi"/>
          <w:b/>
          <w:bCs/>
          <w:sz w:val="20"/>
          <w:szCs w:val="20"/>
          <w:lang w:val="es-ES"/>
        </w:rPr>
        <w:t>TRÁMITE ANTE LA CIDH</w:t>
      </w:r>
      <w:r w:rsidR="008E3BFE" w:rsidRPr="008E3BFE">
        <w:rPr>
          <w:rStyle w:val="FootnoteReference"/>
          <w:b/>
          <w:sz w:val="20"/>
          <w:szCs w:val="20"/>
        </w:rPr>
        <w:footnoteReference w:id="5"/>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4C2312" w:rsidRPr="004A6A54" w14:paraId="1D831514" w14:textId="77777777" w:rsidTr="00394073">
        <w:tc>
          <w:tcPr>
            <w:tcW w:w="3600" w:type="dxa"/>
            <w:tcBorders>
              <w:top w:val="single" w:sz="6" w:space="0" w:color="auto"/>
              <w:bottom w:val="single" w:sz="6" w:space="0" w:color="auto"/>
            </w:tcBorders>
            <w:shd w:val="clear" w:color="auto" w:fill="386294"/>
            <w:vAlign w:val="center"/>
          </w:tcPr>
          <w:p w14:paraId="330F2ED0"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P</w:t>
            </w:r>
            <w:r w:rsidR="004C2312" w:rsidRPr="003239B8">
              <w:rPr>
                <w:rFonts w:ascii="Cambria" w:hAnsi="Cambria"/>
                <w:b/>
                <w:bCs/>
                <w:color w:val="FFFFFF" w:themeColor="background1"/>
                <w:sz w:val="20"/>
                <w:szCs w:val="20"/>
                <w:lang w:val="es-ES"/>
              </w:rPr>
              <w:t>resentación de la petición:</w:t>
            </w:r>
          </w:p>
        </w:tc>
        <w:tc>
          <w:tcPr>
            <w:tcW w:w="5647" w:type="dxa"/>
            <w:vAlign w:val="center"/>
          </w:tcPr>
          <w:p w14:paraId="6883A5F8" w14:textId="397A2673" w:rsidR="004C2312" w:rsidRPr="003239B8" w:rsidRDefault="007315EE" w:rsidP="002625EA">
            <w:pPr>
              <w:jc w:val="both"/>
              <w:rPr>
                <w:rFonts w:ascii="Cambria" w:hAnsi="Cambria"/>
                <w:bCs/>
                <w:sz w:val="20"/>
                <w:szCs w:val="20"/>
                <w:lang w:val="es-ES"/>
              </w:rPr>
            </w:pPr>
            <w:r>
              <w:rPr>
                <w:rFonts w:ascii="Cambria" w:hAnsi="Cambria"/>
                <w:bCs/>
                <w:sz w:val="20"/>
                <w:szCs w:val="20"/>
                <w:lang w:val="es-ES"/>
              </w:rPr>
              <w:t>24 de agosto de 2015</w:t>
            </w:r>
          </w:p>
        </w:tc>
      </w:tr>
      <w:tr w:rsidR="00131425" w:rsidRPr="00F45424" w14:paraId="54F62341" w14:textId="77777777" w:rsidTr="00394073">
        <w:tc>
          <w:tcPr>
            <w:tcW w:w="3600" w:type="dxa"/>
            <w:tcBorders>
              <w:top w:val="single" w:sz="6" w:space="0" w:color="auto"/>
              <w:bottom w:val="single" w:sz="6" w:space="0" w:color="auto"/>
            </w:tcBorders>
            <w:shd w:val="clear" w:color="auto" w:fill="386294"/>
            <w:vAlign w:val="center"/>
          </w:tcPr>
          <w:p w14:paraId="48CC6F04" w14:textId="77777777" w:rsidR="00131425" w:rsidRDefault="00131425"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Información adicional recibida durante la etapa de estudio:</w:t>
            </w:r>
          </w:p>
        </w:tc>
        <w:tc>
          <w:tcPr>
            <w:tcW w:w="5647" w:type="dxa"/>
            <w:vAlign w:val="center"/>
          </w:tcPr>
          <w:p w14:paraId="65CBC29E" w14:textId="76324351" w:rsidR="00131425" w:rsidRPr="00F45424" w:rsidRDefault="003B0DD0" w:rsidP="002625EA">
            <w:pPr>
              <w:jc w:val="both"/>
              <w:rPr>
                <w:rFonts w:ascii="Cambria" w:hAnsi="Cambria"/>
                <w:bCs/>
                <w:sz w:val="20"/>
                <w:szCs w:val="20"/>
                <w:lang w:val="es-CO"/>
              </w:rPr>
            </w:pPr>
            <w:r w:rsidRPr="00F45424">
              <w:rPr>
                <w:rFonts w:ascii="Cambria" w:hAnsi="Cambria"/>
                <w:bCs/>
                <w:sz w:val="20"/>
                <w:szCs w:val="20"/>
                <w:lang w:val="es-CO"/>
              </w:rPr>
              <w:t xml:space="preserve">18 de noviembre de 2016, </w:t>
            </w:r>
            <w:r w:rsidR="00F45424" w:rsidRPr="00F45424">
              <w:rPr>
                <w:rFonts w:ascii="Cambria" w:hAnsi="Cambria"/>
                <w:bCs/>
                <w:sz w:val="20"/>
                <w:szCs w:val="20"/>
                <w:lang w:val="es-CO"/>
              </w:rPr>
              <w:t>19 de noviembre</w:t>
            </w:r>
            <w:r w:rsidR="00F45424">
              <w:rPr>
                <w:rFonts w:ascii="Cambria" w:hAnsi="Cambria"/>
                <w:bCs/>
                <w:sz w:val="20"/>
                <w:szCs w:val="20"/>
                <w:lang w:val="es-CO"/>
              </w:rPr>
              <w:t xml:space="preserve"> de 2019, </w:t>
            </w:r>
          </w:p>
        </w:tc>
      </w:tr>
      <w:tr w:rsidR="004C2312" w:rsidRPr="008D11BA" w14:paraId="6A9025D9" w14:textId="77777777" w:rsidTr="00394073">
        <w:tc>
          <w:tcPr>
            <w:tcW w:w="3600" w:type="dxa"/>
            <w:tcBorders>
              <w:top w:val="single" w:sz="6" w:space="0" w:color="auto"/>
              <w:bottom w:val="single" w:sz="6" w:space="0" w:color="auto"/>
            </w:tcBorders>
            <w:shd w:val="clear" w:color="auto" w:fill="386294"/>
            <w:vAlign w:val="center"/>
          </w:tcPr>
          <w:p w14:paraId="01B3581F"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N</w:t>
            </w:r>
            <w:r w:rsidR="004C2312" w:rsidRPr="003239B8">
              <w:rPr>
                <w:rFonts w:ascii="Cambria" w:hAnsi="Cambria"/>
                <w:b/>
                <w:color w:val="FFFFFF" w:themeColor="background1"/>
                <w:sz w:val="20"/>
                <w:szCs w:val="20"/>
                <w:lang w:val="es-ES"/>
              </w:rPr>
              <w:t>otificación de la petición al Estado:</w:t>
            </w:r>
          </w:p>
        </w:tc>
        <w:tc>
          <w:tcPr>
            <w:tcW w:w="5647" w:type="dxa"/>
            <w:vAlign w:val="center"/>
          </w:tcPr>
          <w:p w14:paraId="58485921" w14:textId="34CF8FA1" w:rsidR="004C2312" w:rsidRPr="003239B8" w:rsidRDefault="009F58E9" w:rsidP="008D2290">
            <w:pPr>
              <w:jc w:val="both"/>
              <w:rPr>
                <w:rFonts w:ascii="Cambria" w:hAnsi="Cambria"/>
                <w:bCs/>
                <w:sz w:val="20"/>
                <w:szCs w:val="20"/>
                <w:lang w:val="es-ES"/>
              </w:rPr>
            </w:pPr>
            <w:r>
              <w:rPr>
                <w:rFonts w:ascii="Cambria" w:hAnsi="Cambria"/>
                <w:bCs/>
                <w:sz w:val="20"/>
                <w:szCs w:val="20"/>
                <w:lang w:val="es-ES"/>
              </w:rPr>
              <w:t>11 de febrero de 2020</w:t>
            </w:r>
          </w:p>
        </w:tc>
      </w:tr>
      <w:tr w:rsidR="004C2312" w:rsidRPr="004A6A54" w14:paraId="1EC979C3" w14:textId="77777777" w:rsidTr="00394073">
        <w:tc>
          <w:tcPr>
            <w:tcW w:w="3600" w:type="dxa"/>
            <w:tcBorders>
              <w:top w:val="single" w:sz="6" w:space="0" w:color="auto"/>
              <w:bottom w:val="single" w:sz="6" w:space="0" w:color="auto"/>
            </w:tcBorders>
            <w:shd w:val="clear" w:color="auto" w:fill="386294"/>
            <w:vAlign w:val="center"/>
          </w:tcPr>
          <w:p w14:paraId="3708E507" w14:textId="1259278A" w:rsidR="004C2312" w:rsidRPr="003239B8" w:rsidRDefault="00A724CE"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R</w:t>
            </w:r>
            <w:r w:rsidR="004C2312" w:rsidRPr="003239B8">
              <w:rPr>
                <w:rFonts w:ascii="Cambria" w:hAnsi="Cambria"/>
                <w:b/>
                <w:color w:val="FFFFFF" w:themeColor="background1"/>
                <w:sz w:val="20"/>
                <w:szCs w:val="20"/>
                <w:lang w:val="es-ES"/>
              </w:rPr>
              <w:t>espuesta del Estado:</w:t>
            </w:r>
          </w:p>
        </w:tc>
        <w:tc>
          <w:tcPr>
            <w:tcW w:w="5647" w:type="dxa"/>
            <w:vAlign w:val="center"/>
          </w:tcPr>
          <w:p w14:paraId="6B47064C" w14:textId="149434FB" w:rsidR="004C2312" w:rsidRPr="003239B8" w:rsidRDefault="009F5F40" w:rsidP="008D2290">
            <w:pPr>
              <w:jc w:val="both"/>
              <w:rPr>
                <w:rFonts w:ascii="Cambria" w:hAnsi="Cambria"/>
                <w:bCs/>
                <w:sz w:val="20"/>
                <w:szCs w:val="20"/>
                <w:lang w:val="es-ES"/>
              </w:rPr>
            </w:pPr>
            <w:r>
              <w:rPr>
                <w:rFonts w:ascii="Cambria" w:hAnsi="Cambria"/>
                <w:bCs/>
                <w:sz w:val="20"/>
                <w:szCs w:val="20"/>
                <w:lang w:val="es-ES"/>
              </w:rPr>
              <w:t>28 de octubre de 2020</w:t>
            </w:r>
          </w:p>
        </w:tc>
      </w:tr>
      <w:tr w:rsidR="004C2312" w:rsidRPr="008D11BA" w14:paraId="1253D75C" w14:textId="77777777" w:rsidTr="00394073">
        <w:tc>
          <w:tcPr>
            <w:tcW w:w="3600" w:type="dxa"/>
            <w:tcBorders>
              <w:top w:val="single" w:sz="6" w:space="0" w:color="auto"/>
              <w:bottom w:val="single" w:sz="6" w:space="0" w:color="auto"/>
            </w:tcBorders>
            <w:shd w:val="clear" w:color="auto" w:fill="386294"/>
            <w:vAlign w:val="center"/>
          </w:tcPr>
          <w:p w14:paraId="3250F3E6" w14:textId="77777777" w:rsidR="004C2312" w:rsidRPr="003239B8" w:rsidRDefault="008E3BFE" w:rsidP="008E3BFE">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Observaciones adicionales de la parte peticionaria:</w:t>
            </w:r>
          </w:p>
        </w:tc>
        <w:tc>
          <w:tcPr>
            <w:tcW w:w="5647" w:type="dxa"/>
            <w:vAlign w:val="center"/>
          </w:tcPr>
          <w:p w14:paraId="66A99206" w14:textId="4B8F5722" w:rsidR="004C2312" w:rsidRPr="003239B8" w:rsidRDefault="00FC7979" w:rsidP="008D2290">
            <w:pPr>
              <w:jc w:val="both"/>
              <w:rPr>
                <w:rFonts w:ascii="Cambria" w:hAnsi="Cambria"/>
                <w:bCs/>
                <w:sz w:val="20"/>
                <w:szCs w:val="20"/>
                <w:lang w:val="es-ES"/>
              </w:rPr>
            </w:pPr>
            <w:r>
              <w:rPr>
                <w:rFonts w:ascii="Cambria" w:hAnsi="Cambria"/>
                <w:bCs/>
                <w:sz w:val="20"/>
                <w:szCs w:val="20"/>
                <w:lang w:val="es-ES"/>
              </w:rPr>
              <w:t>21 de diciembre de 2020</w:t>
            </w:r>
          </w:p>
        </w:tc>
      </w:tr>
      <w:tr w:rsidR="001E49E7" w:rsidRPr="007B76D3" w14:paraId="0F2C6E3B" w14:textId="77777777" w:rsidTr="00394073">
        <w:tc>
          <w:tcPr>
            <w:tcW w:w="3600" w:type="dxa"/>
            <w:tcBorders>
              <w:top w:val="single" w:sz="6" w:space="0" w:color="auto"/>
              <w:bottom w:val="single" w:sz="6" w:space="0" w:color="auto"/>
            </w:tcBorders>
            <w:shd w:val="clear" w:color="auto" w:fill="386294"/>
            <w:vAlign w:val="center"/>
          </w:tcPr>
          <w:p w14:paraId="23F9FF77" w14:textId="77777777" w:rsidR="001E49E7" w:rsidRPr="003239B8" w:rsidRDefault="004A6A54" w:rsidP="00DD4AD2">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A</w:t>
            </w:r>
            <w:r w:rsidR="001E49E7" w:rsidRPr="003239B8">
              <w:rPr>
                <w:rFonts w:ascii="Cambria" w:hAnsi="Cambria"/>
                <w:b/>
                <w:bCs/>
                <w:color w:val="FFFFFF" w:themeColor="background1"/>
                <w:sz w:val="20"/>
                <w:szCs w:val="20"/>
                <w:lang w:val="es-ES"/>
              </w:rPr>
              <w:t>dvertencia sobre posible archivo:</w:t>
            </w:r>
          </w:p>
        </w:tc>
        <w:tc>
          <w:tcPr>
            <w:tcW w:w="5647" w:type="dxa"/>
            <w:vAlign w:val="center"/>
          </w:tcPr>
          <w:p w14:paraId="48CA2CFB" w14:textId="05348E18" w:rsidR="001E49E7" w:rsidRPr="003239B8" w:rsidRDefault="00EC1D56" w:rsidP="002625EA">
            <w:pPr>
              <w:jc w:val="both"/>
              <w:rPr>
                <w:rFonts w:ascii="Cambria" w:hAnsi="Cambria"/>
                <w:bCs/>
                <w:sz w:val="20"/>
                <w:szCs w:val="20"/>
                <w:lang w:val="es-ES"/>
              </w:rPr>
            </w:pPr>
            <w:r>
              <w:rPr>
                <w:rFonts w:ascii="Cambria" w:hAnsi="Cambria"/>
                <w:bCs/>
                <w:sz w:val="20"/>
                <w:szCs w:val="20"/>
                <w:lang w:val="es-ES"/>
              </w:rPr>
              <w:t>27 de marzo de 2025</w:t>
            </w:r>
          </w:p>
        </w:tc>
      </w:tr>
      <w:tr w:rsidR="001E49E7" w:rsidRPr="008D11BA" w14:paraId="1EC61DBE" w14:textId="77777777" w:rsidTr="00394073">
        <w:tc>
          <w:tcPr>
            <w:tcW w:w="3600" w:type="dxa"/>
            <w:tcBorders>
              <w:top w:val="single" w:sz="6" w:space="0" w:color="auto"/>
              <w:bottom w:val="single" w:sz="6" w:space="0" w:color="auto"/>
            </w:tcBorders>
            <w:shd w:val="clear" w:color="auto" w:fill="386294"/>
            <w:vAlign w:val="center"/>
          </w:tcPr>
          <w:p w14:paraId="368D8721" w14:textId="77777777" w:rsidR="001E49E7"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R</w:t>
            </w:r>
            <w:r w:rsidR="001E49E7" w:rsidRPr="003239B8">
              <w:rPr>
                <w:rFonts w:ascii="Cambria" w:hAnsi="Cambria"/>
                <w:b/>
                <w:bCs/>
                <w:color w:val="FFFFFF" w:themeColor="background1"/>
                <w:sz w:val="20"/>
                <w:szCs w:val="20"/>
                <w:lang w:val="es-ES"/>
              </w:rPr>
              <w:t xml:space="preserve">espuesta de la parte peticionaria ante advertencia </w:t>
            </w:r>
            <w:r w:rsidR="00DD4AD2">
              <w:rPr>
                <w:rFonts w:ascii="Cambria" w:hAnsi="Cambria"/>
                <w:b/>
                <w:bCs/>
                <w:color w:val="FFFFFF" w:themeColor="background1"/>
                <w:sz w:val="20"/>
                <w:szCs w:val="20"/>
                <w:lang w:val="es-ES"/>
              </w:rPr>
              <w:t xml:space="preserve">de </w:t>
            </w:r>
            <w:r w:rsidR="001E49E7" w:rsidRPr="003239B8">
              <w:rPr>
                <w:rFonts w:ascii="Cambria" w:hAnsi="Cambria"/>
                <w:b/>
                <w:bCs/>
                <w:color w:val="FFFFFF" w:themeColor="background1"/>
                <w:sz w:val="20"/>
                <w:szCs w:val="20"/>
                <w:lang w:val="es-ES"/>
              </w:rPr>
              <w:t>posible archivo:</w:t>
            </w:r>
          </w:p>
        </w:tc>
        <w:tc>
          <w:tcPr>
            <w:tcW w:w="5647" w:type="dxa"/>
            <w:vAlign w:val="center"/>
          </w:tcPr>
          <w:p w14:paraId="6E85D194" w14:textId="57D4C00C" w:rsidR="001E49E7" w:rsidRPr="003239B8" w:rsidRDefault="00F5343D" w:rsidP="002625EA">
            <w:pPr>
              <w:jc w:val="both"/>
              <w:rPr>
                <w:rFonts w:ascii="Cambria" w:hAnsi="Cambria"/>
                <w:bCs/>
                <w:sz w:val="20"/>
                <w:szCs w:val="20"/>
                <w:lang w:val="es-ES"/>
              </w:rPr>
            </w:pPr>
            <w:r>
              <w:rPr>
                <w:rFonts w:ascii="Cambria" w:hAnsi="Cambria"/>
                <w:bCs/>
                <w:sz w:val="20"/>
                <w:szCs w:val="20"/>
                <w:lang w:val="es-ES"/>
              </w:rPr>
              <w:t>2 de abril de 2025</w:t>
            </w:r>
          </w:p>
        </w:tc>
      </w:tr>
    </w:tbl>
    <w:p w14:paraId="0FC6E9E8" w14:textId="7A032D9E" w:rsidR="003239B8" w:rsidRPr="00315058" w:rsidRDefault="003239B8" w:rsidP="00315058">
      <w:pPr>
        <w:pStyle w:val="ListParagraph"/>
        <w:numPr>
          <w:ilvl w:val="0"/>
          <w:numId w:val="64"/>
        </w:numPr>
        <w:jc w:val="both"/>
        <w:rPr>
          <w:rFonts w:asciiTheme="majorHAnsi" w:hAnsiTheme="majorHAnsi"/>
          <w:b/>
          <w:bCs/>
          <w:sz w:val="20"/>
          <w:szCs w:val="20"/>
          <w:lang w:val="es-ES"/>
        </w:rPr>
      </w:pPr>
      <w:r w:rsidRPr="00315058">
        <w:rPr>
          <w:rFonts w:asciiTheme="majorHAnsi" w:hAnsiTheme="majorHAnsi"/>
          <w:b/>
          <w:bCs/>
          <w:sz w:val="20"/>
          <w:szCs w:val="20"/>
          <w:lang w:val="es-ES"/>
        </w:rPr>
        <w:t>COMPETENCIA</w:t>
      </w:r>
      <w:r w:rsidR="00EE00E9" w:rsidRPr="00315058">
        <w:rPr>
          <w:rFonts w:asciiTheme="majorHAnsi" w:hAnsiTheme="majorHAnsi"/>
          <w:b/>
          <w:bCs/>
          <w:sz w:val="20"/>
          <w:szCs w:val="20"/>
          <w:lang w:val="es-ES"/>
        </w:rPr>
        <w:t xml:space="preserve"> </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1"/>
        <w:gridCol w:w="5681"/>
      </w:tblGrid>
      <w:tr w:rsidR="003239B8" w:rsidRPr="00540F17" w14:paraId="7D299FC7" w14:textId="77777777" w:rsidTr="004A6A54">
        <w:trPr>
          <w:cantSplit/>
        </w:trPr>
        <w:tc>
          <w:tcPr>
            <w:tcW w:w="3600" w:type="dxa"/>
            <w:tcBorders>
              <w:top w:val="single" w:sz="4" w:space="0" w:color="auto"/>
              <w:bottom w:val="single" w:sz="6" w:space="0" w:color="auto"/>
            </w:tcBorders>
            <w:shd w:val="clear" w:color="auto" w:fill="386294"/>
            <w:vAlign w:val="center"/>
          </w:tcPr>
          <w:p w14:paraId="5D0830E9" w14:textId="77777777" w:rsidR="003239B8" w:rsidRPr="00B3745F" w:rsidRDefault="003239B8" w:rsidP="008D2290">
            <w:pPr>
              <w:jc w:val="center"/>
              <w:rPr>
                <w:rFonts w:ascii="Cambria" w:hAnsi="Cambria"/>
                <w:b/>
                <w:bCs/>
                <w:i/>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personae:</w:t>
            </w:r>
          </w:p>
        </w:tc>
        <w:tc>
          <w:tcPr>
            <w:tcW w:w="5760" w:type="dxa"/>
            <w:vAlign w:val="center"/>
          </w:tcPr>
          <w:p w14:paraId="1E494D5D" w14:textId="7F5983F6" w:rsidR="003239B8" w:rsidRPr="00B3745F" w:rsidRDefault="00BD0513" w:rsidP="008D2290">
            <w:pPr>
              <w:rPr>
                <w:rFonts w:ascii="Cambria" w:hAnsi="Cambria"/>
                <w:bCs/>
                <w:sz w:val="20"/>
                <w:szCs w:val="20"/>
              </w:rPr>
            </w:pPr>
            <w:r>
              <w:rPr>
                <w:rFonts w:ascii="Cambria" w:hAnsi="Cambria"/>
                <w:bCs/>
                <w:sz w:val="20"/>
                <w:szCs w:val="20"/>
              </w:rPr>
              <w:t>Sí</w:t>
            </w:r>
          </w:p>
        </w:tc>
      </w:tr>
      <w:tr w:rsidR="003239B8" w:rsidRPr="00540F17" w14:paraId="54503A4F" w14:textId="77777777" w:rsidTr="004A6A54">
        <w:trPr>
          <w:cantSplit/>
        </w:trPr>
        <w:tc>
          <w:tcPr>
            <w:tcW w:w="3600" w:type="dxa"/>
            <w:tcBorders>
              <w:top w:val="single" w:sz="6" w:space="0" w:color="auto"/>
              <w:bottom w:val="single" w:sz="6" w:space="0" w:color="auto"/>
            </w:tcBorders>
            <w:shd w:val="clear" w:color="auto" w:fill="386294"/>
            <w:vAlign w:val="center"/>
          </w:tcPr>
          <w:p w14:paraId="40E3A1EF"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loci</w:t>
            </w:r>
            <w:r w:rsidRPr="00B3745F">
              <w:rPr>
                <w:rFonts w:ascii="Cambria" w:hAnsi="Cambria"/>
                <w:b/>
                <w:bCs/>
                <w:color w:val="FFFFFF" w:themeColor="background1"/>
                <w:sz w:val="20"/>
                <w:szCs w:val="20"/>
              </w:rPr>
              <w:t>:</w:t>
            </w:r>
          </w:p>
        </w:tc>
        <w:tc>
          <w:tcPr>
            <w:tcW w:w="5760" w:type="dxa"/>
            <w:vAlign w:val="center"/>
          </w:tcPr>
          <w:p w14:paraId="77C8256A" w14:textId="353D5DA5" w:rsidR="003239B8" w:rsidRPr="00B3745F" w:rsidRDefault="00BD0513" w:rsidP="008D2290">
            <w:pPr>
              <w:rPr>
                <w:rFonts w:ascii="Cambria" w:hAnsi="Cambria"/>
                <w:bCs/>
                <w:sz w:val="20"/>
                <w:szCs w:val="20"/>
              </w:rPr>
            </w:pPr>
            <w:r>
              <w:rPr>
                <w:rFonts w:ascii="Cambria" w:hAnsi="Cambria"/>
                <w:bCs/>
                <w:sz w:val="20"/>
                <w:szCs w:val="20"/>
              </w:rPr>
              <w:t>Sí</w:t>
            </w:r>
          </w:p>
        </w:tc>
      </w:tr>
      <w:tr w:rsidR="003239B8" w:rsidRPr="00540F17" w14:paraId="6618D96A" w14:textId="77777777" w:rsidTr="004A6A54">
        <w:trPr>
          <w:cantSplit/>
        </w:trPr>
        <w:tc>
          <w:tcPr>
            <w:tcW w:w="3600" w:type="dxa"/>
            <w:tcBorders>
              <w:top w:val="single" w:sz="6" w:space="0" w:color="auto"/>
              <w:bottom w:val="single" w:sz="6" w:space="0" w:color="auto"/>
            </w:tcBorders>
            <w:shd w:val="clear" w:color="auto" w:fill="386294"/>
            <w:vAlign w:val="center"/>
          </w:tcPr>
          <w:p w14:paraId="24D9CAA2"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temporis</w:t>
            </w:r>
            <w:r w:rsidRPr="00B3745F">
              <w:rPr>
                <w:rFonts w:ascii="Cambria" w:hAnsi="Cambria"/>
                <w:b/>
                <w:bCs/>
                <w:color w:val="FFFFFF" w:themeColor="background1"/>
                <w:sz w:val="20"/>
                <w:szCs w:val="20"/>
              </w:rPr>
              <w:t>:</w:t>
            </w:r>
          </w:p>
        </w:tc>
        <w:tc>
          <w:tcPr>
            <w:tcW w:w="5760" w:type="dxa"/>
            <w:vAlign w:val="center"/>
          </w:tcPr>
          <w:p w14:paraId="523F6BD6" w14:textId="40CDBDAA" w:rsidR="003239B8" w:rsidRPr="00B3745F" w:rsidRDefault="00BD0513" w:rsidP="008D2290">
            <w:pPr>
              <w:rPr>
                <w:rFonts w:ascii="Cambria" w:hAnsi="Cambria"/>
                <w:bCs/>
                <w:sz w:val="20"/>
                <w:szCs w:val="20"/>
              </w:rPr>
            </w:pPr>
            <w:r>
              <w:rPr>
                <w:rFonts w:ascii="Cambria" w:hAnsi="Cambria"/>
                <w:bCs/>
                <w:sz w:val="20"/>
                <w:szCs w:val="20"/>
              </w:rPr>
              <w:t>Sí</w:t>
            </w:r>
          </w:p>
        </w:tc>
      </w:tr>
      <w:tr w:rsidR="003239B8" w:rsidRPr="00903A7D" w14:paraId="34C2A0A9" w14:textId="77777777" w:rsidTr="004A6A54">
        <w:trPr>
          <w:cantSplit/>
        </w:trPr>
        <w:tc>
          <w:tcPr>
            <w:tcW w:w="3600" w:type="dxa"/>
            <w:tcBorders>
              <w:top w:val="single" w:sz="6" w:space="0" w:color="auto"/>
              <w:bottom w:val="single" w:sz="6" w:space="0" w:color="auto"/>
            </w:tcBorders>
            <w:shd w:val="clear" w:color="auto" w:fill="386294"/>
            <w:vAlign w:val="center"/>
          </w:tcPr>
          <w:p w14:paraId="6259AE31"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materia</w:t>
            </w:r>
            <w:r w:rsidR="00EE00E9" w:rsidRPr="00B3745F">
              <w:rPr>
                <w:rFonts w:ascii="Cambria" w:hAnsi="Cambria"/>
                <w:b/>
                <w:bCs/>
                <w:i/>
                <w:color w:val="FFFFFF" w:themeColor="background1"/>
                <w:sz w:val="20"/>
                <w:szCs w:val="20"/>
              </w:rPr>
              <w:t>e</w:t>
            </w:r>
            <w:r w:rsidRPr="00B3745F">
              <w:rPr>
                <w:rFonts w:ascii="Cambria" w:hAnsi="Cambria"/>
                <w:b/>
                <w:bCs/>
                <w:color w:val="FFFFFF" w:themeColor="background1"/>
                <w:sz w:val="20"/>
                <w:szCs w:val="20"/>
              </w:rPr>
              <w:t>:</w:t>
            </w:r>
          </w:p>
        </w:tc>
        <w:tc>
          <w:tcPr>
            <w:tcW w:w="5760" w:type="dxa"/>
            <w:vAlign w:val="center"/>
          </w:tcPr>
          <w:p w14:paraId="257C8337" w14:textId="2308B7C6" w:rsidR="003239B8" w:rsidRPr="00B3745F" w:rsidRDefault="004C1454" w:rsidP="008D2290">
            <w:pPr>
              <w:jc w:val="both"/>
              <w:rPr>
                <w:rFonts w:ascii="Cambria" w:hAnsi="Cambria"/>
                <w:bCs/>
                <w:sz w:val="20"/>
                <w:szCs w:val="20"/>
                <w:lang w:val="es-ES"/>
              </w:rPr>
            </w:pPr>
            <w:r w:rsidRPr="0011075B">
              <w:rPr>
                <w:rFonts w:ascii="Cambria" w:hAnsi="Cambria"/>
                <w:bCs/>
                <w:sz w:val="20"/>
                <w:szCs w:val="20"/>
                <w:lang w:val="es-419" w:bidi="es-ES"/>
              </w:rPr>
              <w:t xml:space="preserve">Sí, </w:t>
            </w:r>
            <w:r>
              <w:rPr>
                <w:rFonts w:ascii="Cambria" w:hAnsi="Cambria"/>
                <w:bCs/>
                <w:sz w:val="20"/>
                <w:szCs w:val="20"/>
                <w:lang w:val="es-419" w:bidi="es-ES"/>
              </w:rPr>
              <w:t xml:space="preserve">la </w:t>
            </w:r>
            <w:r w:rsidRPr="0011075B">
              <w:rPr>
                <w:rFonts w:ascii="Cambria" w:hAnsi="Cambria"/>
                <w:bCs/>
                <w:sz w:val="20"/>
                <w:szCs w:val="20"/>
                <w:lang w:val="es-419" w:bidi="es-ES"/>
              </w:rPr>
              <w:t>Convención Americana (depósito de instrumento realizado el 31 de julio de 1973)</w:t>
            </w:r>
          </w:p>
        </w:tc>
      </w:tr>
    </w:tbl>
    <w:p w14:paraId="299A3868" w14:textId="4B3E918E" w:rsidR="003239B8" w:rsidRPr="00315058" w:rsidRDefault="00EE00E9" w:rsidP="00145A77">
      <w:pPr>
        <w:pStyle w:val="ListParagraph"/>
        <w:numPr>
          <w:ilvl w:val="0"/>
          <w:numId w:val="64"/>
        </w:numPr>
        <w:ind w:left="216" w:firstLine="720"/>
        <w:jc w:val="both"/>
        <w:rPr>
          <w:rFonts w:asciiTheme="majorHAnsi" w:hAnsiTheme="majorHAnsi"/>
          <w:b/>
          <w:bCs/>
          <w:sz w:val="20"/>
          <w:szCs w:val="20"/>
          <w:lang w:val="es-ES"/>
        </w:rPr>
      </w:pPr>
      <w:r w:rsidRPr="00315058">
        <w:rPr>
          <w:rFonts w:asciiTheme="majorHAnsi" w:hAnsiTheme="majorHAnsi"/>
          <w:b/>
          <w:bCs/>
          <w:sz w:val="20"/>
          <w:szCs w:val="20"/>
          <w:lang w:val="es-ES"/>
        </w:rPr>
        <w:t>DUPLICACIÓN</w:t>
      </w:r>
      <w:r w:rsidRPr="00315058">
        <w:rPr>
          <w:rFonts w:asciiTheme="majorHAnsi" w:hAnsiTheme="majorHAnsi"/>
          <w:b/>
          <w:bCs/>
          <w:color w:val="FFFFFF" w:themeColor="background1"/>
          <w:sz w:val="20"/>
          <w:szCs w:val="20"/>
          <w:lang w:val="es-ES"/>
        </w:rPr>
        <w:t xml:space="preserve"> </w:t>
      </w:r>
      <w:r w:rsidRPr="00315058">
        <w:rPr>
          <w:rFonts w:asciiTheme="majorHAnsi" w:hAnsiTheme="majorHAnsi"/>
          <w:b/>
          <w:bCs/>
          <w:sz w:val="20"/>
          <w:szCs w:val="20"/>
          <w:lang w:val="es-ES"/>
        </w:rPr>
        <w:t>DE PROCEDIMIENTOS Y COSA JUZGADA</w:t>
      </w:r>
      <w:r w:rsidRPr="00315058">
        <w:rPr>
          <w:rFonts w:asciiTheme="majorHAnsi" w:hAnsiTheme="majorHAnsi"/>
          <w:b/>
          <w:bCs/>
          <w:i/>
          <w:sz w:val="20"/>
          <w:szCs w:val="20"/>
          <w:lang w:val="es-ES"/>
        </w:rPr>
        <w:t xml:space="preserve"> </w:t>
      </w:r>
      <w:r w:rsidR="00950C33" w:rsidRPr="00315058">
        <w:rPr>
          <w:rFonts w:asciiTheme="majorHAnsi" w:hAnsiTheme="majorHAnsi"/>
          <w:b/>
          <w:bCs/>
          <w:sz w:val="20"/>
          <w:szCs w:val="20"/>
          <w:lang w:val="es-ES"/>
        </w:rPr>
        <w:t>INTERNACIONAL, CARACTERIZACIÓN</w:t>
      </w:r>
      <w:r w:rsidR="003239B8" w:rsidRPr="00315058">
        <w:rPr>
          <w:rFonts w:asciiTheme="majorHAnsi" w:hAnsiTheme="majorHAnsi"/>
          <w:b/>
          <w:bCs/>
          <w:sz w:val="20"/>
          <w:szCs w:val="20"/>
          <w:lang w:val="es-ES"/>
        </w:rPr>
        <w:t xml:space="preserve">, </w:t>
      </w:r>
      <w:r w:rsidR="003239B8" w:rsidRPr="00315058">
        <w:rPr>
          <w:rFonts w:asciiTheme="majorHAnsi" w:hAnsiTheme="majorHAnsi"/>
          <w:b/>
          <w:sz w:val="20"/>
          <w:szCs w:val="20"/>
          <w:lang w:val="es-ES"/>
        </w:rPr>
        <w:t>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6"/>
        <w:gridCol w:w="5676"/>
      </w:tblGrid>
      <w:tr w:rsidR="00EE00E9" w:rsidRPr="008D11BA" w14:paraId="161C8568" w14:textId="77777777" w:rsidTr="004A6A54">
        <w:trPr>
          <w:cantSplit/>
        </w:trPr>
        <w:tc>
          <w:tcPr>
            <w:tcW w:w="3600" w:type="dxa"/>
            <w:tcBorders>
              <w:top w:val="single" w:sz="4" w:space="0" w:color="auto"/>
              <w:bottom w:val="single" w:sz="6" w:space="0" w:color="auto"/>
            </w:tcBorders>
            <w:shd w:val="clear" w:color="auto" w:fill="386294"/>
            <w:vAlign w:val="center"/>
          </w:tcPr>
          <w:p w14:paraId="1C72AC6C" w14:textId="77777777" w:rsidR="00EE00E9" w:rsidRPr="00DC24E3" w:rsidRDefault="00EE00E9"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Duplicación de procedimientos y cosa juzgada internacional:</w:t>
            </w:r>
          </w:p>
        </w:tc>
        <w:tc>
          <w:tcPr>
            <w:tcW w:w="5760" w:type="dxa"/>
            <w:vAlign w:val="center"/>
          </w:tcPr>
          <w:p w14:paraId="764D7F60" w14:textId="6F5503B2" w:rsidR="00EE00E9" w:rsidRPr="00DC24E3" w:rsidRDefault="00BD0513" w:rsidP="008D2290">
            <w:pPr>
              <w:jc w:val="both"/>
              <w:rPr>
                <w:rFonts w:ascii="Cambria" w:hAnsi="Cambria"/>
                <w:bCs/>
                <w:sz w:val="20"/>
                <w:szCs w:val="20"/>
                <w:lang w:val="es-ES"/>
              </w:rPr>
            </w:pPr>
            <w:r>
              <w:rPr>
                <w:rFonts w:ascii="Cambria" w:hAnsi="Cambria"/>
                <w:bCs/>
                <w:sz w:val="20"/>
                <w:szCs w:val="20"/>
                <w:lang w:val="es-ES"/>
              </w:rPr>
              <w:t>No</w:t>
            </w:r>
          </w:p>
        </w:tc>
      </w:tr>
      <w:tr w:rsidR="003239B8" w:rsidRPr="002021CE" w14:paraId="3ED57BF3" w14:textId="77777777" w:rsidTr="004A6A54">
        <w:trPr>
          <w:cantSplit/>
        </w:trPr>
        <w:tc>
          <w:tcPr>
            <w:tcW w:w="3600" w:type="dxa"/>
            <w:tcBorders>
              <w:top w:val="single" w:sz="4" w:space="0" w:color="auto"/>
              <w:bottom w:val="single" w:sz="6" w:space="0" w:color="auto"/>
            </w:tcBorders>
            <w:shd w:val="clear" w:color="auto" w:fill="386294"/>
            <w:vAlign w:val="center"/>
          </w:tcPr>
          <w:p w14:paraId="5F36A040" w14:textId="77777777" w:rsidR="003239B8" w:rsidRPr="00DC24E3" w:rsidRDefault="003239B8" w:rsidP="008D2290">
            <w:pPr>
              <w:jc w:val="center"/>
              <w:rPr>
                <w:rFonts w:ascii="Cambria" w:hAnsi="Cambria"/>
                <w:b/>
                <w:bCs/>
                <w:i/>
                <w:color w:val="FFFFFF" w:themeColor="background1"/>
                <w:sz w:val="20"/>
                <w:szCs w:val="20"/>
              </w:rPr>
            </w:pPr>
            <w:r w:rsidRPr="00DC24E3">
              <w:rPr>
                <w:rFonts w:ascii="Cambria" w:hAnsi="Cambria"/>
                <w:b/>
                <w:bCs/>
                <w:color w:val="FFFFFF" w:themeColor="background1"/>
                <w:sz w:val="20"/>
                <w:szCs w:val="20"/>
              </w:rPr>
              <w:t>Derechos declarados admisibles</w:t>
            </w:r>
            <w:r w:rsidRPr="00DC24E3">
              <w:rPr>
                <w:rFonts w:ascii="Cambria" w:hAnsi="Cambria"/>
                <w:b/>
                <w:bCs/>
                <w:i/>
                <w:color w:val="FFFFFF" w:themeColor="background1"/>
                <w:sz w:val="20"/>
                <w:szCs w:val="20"/>
              </w:rPr>
              <w:t>:</w:t>
            </w:r>
          </w:p>
        </w:tc>
        <w:tc>
          <w:tcPr>
            <w:tcW w:w="5760" w:type="dxa"/>
            <w:vAlign w:val="center"/>
          </w:tcPr>
          <w:p w14:paraId="4DAE9D4D" w14:textId="3EAE0BEA" w:rsidR="003239B8" w:rsidRPr="00DC24E3" w:rsidRDefault="00834B4B" w:rsidP="008D2290">
            <w:pPr>
              <w:jc w:val="both"/>
              <w:rPr>
                <w:rFonts w:ascii="Cambria" w:hAnsi="Cambria"/>
                <w:bCs/>
                <w:sz w:val="20"/>
                <w:szCs w:val="20"/>
              </w:rPr>
            </w:pPr>
            <w:r>
              <w:rPr>
                <w:rFonts w:ascii="Cambria" w:hAnsi="Cambria"/>
                <w:bCs/>
                <w:sz w:val="20"/>
                <w:szCs w:val="20"/>
              </w:rPr>
              <w:t>N/A</w:t>
            </w:r>
          </w:p>
        </w:tc>
      </w:tr>
      <w:tr w:rsidR="003239B8" w:rsidRPr="00903A7D" w14:paraId="5702249F" w14:textId="77777777" w:rsidTr="004A6A54">
        <w:trPr>
          <w:cantSplit/>
        </w:trPr>
        <w:tc>
          <w:tcPr>
            <w:tcW w:w="3600" w:type="dxa"/>
            <w:tcBorders>
              <w:top w:val="single" w:sz="6" w:space="0" w:color="auto"/>
              <w:bottom w:val="single" w:sz="6" w:space="0" w:color="auto"/>
            </w:tcBorders>
            <w:shd w:val="clear" w:color="auto" w:fill="386294"/>
            <w:vAlign w:val="center"/>
          </w:tcPr>
          <w:p w14:paraId="1F00DF1D" w14:textId="77777777" w:rsidR="003239B8" w:rsidRPr="00DC24E3" w:rsidRDefault="003239B8"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Agotamiento de recursos internos</w:t>
            </w:r>
            <w:r w:rsidR="00EE00E9" w:rsidRPr="00DC24E3">
              <w:rPr>
                <w:rFonts w:ascii="Cambria" w:hAnsi="Cambria"/>
                <w:b/>
                <w:bCs/>
                <w:color w:val="FFFFFF" w:themeColor="background1"/>
                <w:sz w:val="20"/>
                <w:szCs w:val="20"/>
                <w:lang w:val="es-ES"/>
              </w:rPr>
              <w:t xml:space="preserve"> o procedencia de una excepción</w:t>
            </w:r>
            <w:r w:rsidRPr="00DC24E3">
              <w:rPr>
                <w:rFonts w:ascii="Cambria" w:hAnsi="Cambria"/>
                <w:b/>
                <w:bCs/>
                <w:color w:val="FFFFFF" w:themeColor="background1"/>
                <w:sz w:val="20"/>
                <w:szCs w:val="20"/>
                <w:lang w:val="es-ES"/>
              </w:rPr>
              <w:t>:</w:t>
            </w:r>
          </w:p>
        </w:tc>
        <w:tc>
          <w:tcPr>
            <w:tcW w:w="5760" w:type="dxa"/>
            <w:vAlign w:val="center"/>
          </w:tcPr>
          <w:p w14:paraId="7F7C1A19" w14:textId="720A0682" w:rsidR="003239B8" w:rsidRPr="00DC24E3" w:rsidRDefault="00834B4B" w:rsidP="008D2290">
            <w:pPr>
              <w:rPr>
                <w:rFonts w:ascii="Cambria" w:hAnsi="Cambria"/>
                <w:bCs/>
                <w:sz w:val="20"/>
                <w:szCs w:val="20"/>
                <w:lang w:val="es-ES"/>
              </w:rPr>
            </w:pPr>
            <w:r>
              <w:rPr>
                <w:rFonts w:ascii="Cambria" w:hAnsi="Cambria"/>
                <w:bCs/>
                <w:sz w:val="20"/>
                <w:szCs w:val="20"/>
                <w:lang w:val="es-ES"/>
              </w:rPr>
              <w:t>No, en los términos de la Sección VI</w:t>
            </w:r>
          </w:p>
        </w:tc>
      </w:tr>
      <w:tr w:rsidR="003239B8" w:rsidRPr="00903A7D" w14:paraId="7A101B89" w14:textId="77777777" w:rsidTr="004A6A54">
        <w:trPr>
          <w:cantSplit/>
        </w:trPr>
        <w:tc>
          <w:tcPr>
            <w:tcW w:w="3600" w:type="dxa"/>
            <w:tcBorders>
              <w:top w:val="single" w:sz="6" w:space="0" w:color="auto"/>
              <w:bottom w:val="single" w:sz="6" w:space="0" w:color="auto"/>
            </w:tcBorders>
            <w:shd w:val="clear" w:color="auto" w:fill="386294"/>
            <w:vAlign w:val="center"/>
          </w:tcPr>
          <w:p w14:paraId="0843C533" w14:textId="77777777" w:rsidR="003239B8" w:rsidRPr="00DC24E3" w:rsidRDefault="003239B8" w:rsidP="008D2290">
            <w:pPr>
              <w:jc w:val="center"/>
              <w:rPr>
                <w:rFonts w:ascii="Cambria" w:hAnsi="Cambria"/>
                <w:b/>
                <w:bCs/>
                <w:color w:val="FFFFFF" w:themeColor="background1"/>
                <w:sz w:val="20"/>
                <w:szCs w:val="20"/>
              </w:rPr>
            </w:pPr>
            <w:r w:rsidRPr="00DC24E3">
              <w:rPr>
                <w:rFonts w:ascii="Cambria" w:hAnsi="Cambria"/>
                <w:b/>
                <w:bCs/>
                <w:color w:val="FFFFFF" w:themeColor="background1"/>
                <w:sz w:val="20"/>
                <w:szCs w:val="20"/>
              </w:rPr>
              <w:t>Presentación dentro de plazo:</w:t>
            </w:r>
          </w:p>
        </w:tc>
        <w:tc>
          <w:tcPr>
            <w:tcW w:w="5760" w:type="dxa"/>
            <w:vAlign w:val="center"/>
          </w:tcPr>
          <w:p w14:paraId="2AF0FC69" w14:textId="1CDC9093" w:rsidR="003239B8" w:rsidRPr="00834B4B" w:rsidRDefault="00834B4B" w:rsidP="008D2290">
            <w:pPr>
              <w:rPr>
                <w:rFonts w:ascii="Cambria" w:hAnsi="Cambria"/>
                <w:bCs/>
                <w:sz w:val="20"/>
                <w:szCs w:val="20"/>
                <w:lang w:val="es-CO"/>
              </w:rPr>
            </w:pPr>
            <w:r>
              <w:rPr>
                <w:rFonts w:ascii="Cambria" w:hAnsi="Cambria"/>
                <w:bCs/>
                <w:sz w:val="20"/>
                <w:szCs w:val="20"/>
                <w:lang w:val="es-ES"/>
              </w:rPr>
              <w:t>No, en los términos de la Sección VI</w:t>
            </w:r>
          </w:p>
        </w:tc>
      </w:tr>
    </w:tbl>
    <w:p w14:paraId="2CD2BE94" w14:textId="77777777" w:rsidR="00BA57A5" w:rsidRDefault="00BA57A5" w:rsidP="00BA57A5">
      <w:pPr>
        <w:pStyle w:val="ListParagraph"/>
        <w:numPr>
          <w:ilvl w:val="0"/>
          <w:numId w:val="0"/>
        </w:numPr>
        <w:ind w:left="1440"/>
        <w:jc w:val="both"/>
        <w:rPr>
          <w:rFonts w:asciiTheme="majorHAnsi" w:hAnsiTheme="majorHAnsi"/>
          <w:b/>
          <w:sz w:val="20"/>
          <w:szCs w:val="20"/>
          <w:lang w:val="es-UY"/>
        </w:rPr>
      </w:pPr>
    </w:p>
    <w:p w14:paraId="2F9153ED" w14:textId="77777777" w:rsidR="00BA57A5" w:rsidRDefault="00BA57A5" w:rsidP="00BA57A5">
      <w:pPr>
        <w:pStyle w:val="ListParagraph"/>
        <w:numPr>
          <w:ilvl w:val="0"/>
          <w:numId w:val="0"/>
        </w:numPr>
        <w:ind w:left="1440"/>
        <w:jc w:val="both"/>
        <w:rPr>
          <w:rFonts w:asciiTheme="majorHAnsi" w:hAnsiTheme="majorHAnsi"/>
          <w:b/>
          <w:sz w:val="20"/>
          <w:szCs w:val="20"/>
          <w:lang w:val="es-UY"/>
        </w:rPr>
      </w:pPr>
    </w:p>
    <w:p w14:paraId="56FD5D57" w14:textId="2BE5F268" w:rsidR="003239B8" w:rsidRPr="00A81029" w:rsidRDefault="004241A0" w:rsidP="008173FB">
      <w:pPr>
        <w:pStyle w:val="ListParagraph"/>
        <w:numPr>
          <w:ilvl w:val="0"/>
          <w:numId w:val="64"/>
        </w:numPr>
        <w:ind w:hanging="540"/>
        <w:jc w:val="both"/>
        <w:rPr>
          <w:rFonts w:asciiTheme="majorHAnsi" w:hAnsiTheme="majorHAnsi"/>
          <w:b/>
          <w:sz w:val="20"/>
          <w:szCs w:val="20"/>
          <w:lang w:val="es-ES"/>
        </w:rPr>
      </w:pPr>
      <w:r w:rsidRPr="00A81029">
        <w:rPr>
          <w:rFonts w:asciiTheme="majorHAnsi" w:hAnsiTheme="majorHAnsi"/>
          <w:b/>
          <w:sz w:val="20"/>
          <w:szCs w:val="20"/>
          <w:lang w:val="es-ES"/>
        </w:rPr>
        <w:lastRenderedPageBreak/>
        <w:t>POSICIÓN DE LAS PARTES</w:t>
      </w:r>
      <w:r w:rsidR="003239B8" w:rsidRPr="00A81029">
        <w:rPr>
          <w:rFonts w:asciiTheme="majorHAnsi" w:hAnsiTheme="majorHAnsi"/>
          <w:b/>
          <w:sz w:val="20"/>
          <w:szCs w:val="20"/>
          <w:lang w:val="es-ES"/>
        </w:rPr>
        <w:t xml:space="preserve"> </w:t>
      </w:r>
    </w:p>
    <w:p w14:paraId="6901F992" w14:textId="2868F9D8" w:rsidR="0008158C" w:rsidRPr="00A81029" w:rsidRDefault="00125980" w:rsidP="00A81029">
      <w:pPr>
        <w:pStyle w:val="ListParagraph"/>
        <w:numPr>
          <w:ilvl w:val="0"/>
          <w:numId w:val="0"/>
        </w:numPr>
        <w:ind w:left="720"/>
        <w:jc w:val="both"/>
        <w:rPr>
          <w:rFonts w:asciiTheme="majorHAnsi" w:hAnsiTheme="majorHAnsi"/>
          <w:b/>
          <w:sz w:val="20"/>
          <w:szCs w:val="20"/>
          <w:lang w:val="es-ES"/>
        </w:rPr>
      </w:pPr>
      <w:r w:rsidRPr="00A81029">
        <w:rPr>
          <w:rFonts w:asciiTheme="majorHAnsi" w:hAnsiTheme="majorHAnsi"/>
          <w:b/>
          <w:sz w:val="20"/>
          <w:szCs w:val="20"/>
          <w:lang w:val="es-ES"/>
        </w:rPr>
        <w:t>La p</w:t>
      </w:r>
      <w:r w:rsidR="0008158C" w:rsidRPr="00A81029">
        <w:rPr>
          <w:rFonts w:asciiTheme="majorHAnsi" w:hAnsiTheme="majorHAnsi"/>
          <w:b/>
          <w:sz w:val="20"/>
          <w:szCs w:val="20"/>
          <w:lang w:val="es-ES"/>
        </w:rPr>
        <w:t>arte peticionaria</w:t>
      </w:r>
    </w:p>
    <w:p w14:paraId="53BD3EF6" w14:textId="53D1C4BC" w:rsidR="006E621A" w:rsidRPr="00A81029" w:rsidRDefault="00B947C1" w:rsidP="00A81029">
      <w:pPr>
        <w:pStyle w:val="ListParagraph"/>
        <w:numPr>
          <w:ilvl w:val="0"/>
          <w:numId w:val="61"/>
        </w:numPr>
        <w:ind w:left="0" w:firstLine="720"/>
        <w:jc w:val="both"/>
        <w:rPr>
          <w:rFonts w:asciiTheme="majorHAnsi" w:hAnsiTheme="majorHAnsi"/>
          <w:bCs/>
          <w:sz w:val="20"/>
          <w:szCs w:val="20"/>
          <w:lang w:val="es-ES"/>
        </w:rPr>
      </w:pPr>
      <w:r w:rsidRPr="00A81029">
        <w:rPr>
          <w:sz w:val="20"/>
          <w:szCs w:val="20"/>
          <w:lang w:val="es-ES"/>
        </w:rPr>
        <w:t xml:space="preserve">El señor </w:t>
      </w:r>
      <w:r w:rsidRPr="00A81029">
        <w:rPr>
          <w:bCs/>
          <w:sz w:val="20"/>
          <w:szCs w:val="20"/>
          <w:lang w:val="es-ES"/>
        </w:rPr>
        <w:t xml:space="preserve">Campo Elías Vega Goyeneche (en adelante “el peticionario”, “la presunta víctima” o “el Sr. Vega Goyeneche”) alega la violación de sus garantías judiciales al debido proceso por la falta de notificación de </w:t>
      </w:r>
      <w:r w:rsidR="00D35941" w:rsidRPr="00A81029">
        <w:rPr>
          <w:bCs/>
          <w:sz w:val="20"/>
          <w:szCs w:val="20"/>
          <w:lang w:val="es-ES"/>
        </w:rPr>
        <w:t>una sentencia condenatoria proferida en su contra, y la falta de acceso a un recurso para impugnarla.</w:t>
      </w:r>
    </w:p>
    <w:p w14:paraId="7CFB56BF" w14:textId="7A61C2AB" w:rsidR="006E621A" w:rsidRPr="00A81029" w:rsidRDefault="00B95E98" w:rsidP="00A81029">
      <w:pPr>
        <w:pStyle w:val="ListParagraph"/>
        <w:numPr>
          <w:ilvl w:val="0"/>
          <w:numId w:val="61"/>
        </w:numPr>
        <w:ind w:left="0" w:firstLine="720"/>
        <w:jc w:val="both"/>
        <w:rPr>
          <w:rFonts w:asciiTheme="majorHAnsi" w:hAnsiTheme="majorHAnsi"/>
          <w:bCs/>
          <w:sz w:val="20"/>
          <w:szCs w:val="20"/>
          <w:lang w:val="es-ES"/>
        </w:rPr>
      </w:pPr>
      <w:r w:rsidRPr="00A81029">
        <w:rPr>
          <w:sz w:val="20"/>
          <w:szCs w:val="20"/>
          <w:lang w:val="es-ES"/>
        </w:rPr>
        <w:t xml:space="preserve">El peticionario relata que </w:t>
      </w:r>
      <w:r w:rsidR="0088736D" w:rsidRPr="00A81029">
        <w:rPr>
          <w:sz w:val="20"/>
          <w:szCs w:val="20"/>
          <w:lang w:val="es-ES"/>
        </w:rPr>
        <w:t xml:space="preserve">el Juzgado Promiscuo de Mitú, departamento del Vaupés tramitó un proceso penal en su contra por el delito de </w:t>
      </w:r>
      <w:r w:rsidR="00D46B52" w:rsidRPr="00A81029">
        <w:rPr>
          <w:sz w:val="20"/>
          <w:szCs w:val="20"/>
          <w:lang w:val="es-ES"/>
        </w:rPr>
        <w:t xml:space="preserve">corrupción al sufragante, en condición de cómplice, </w:t>
      </w:r>
      <w:r w:rsidR="004C2785" w:rsidRPr="00A81029">
        <w:rPr>
          <w:sz w:val="20"/>
          <w:szCs w:val="20"/>
          <w:lang w:val="es-ES"/>
        </w:rPr>
        <w:t xml:space="preserve">cuya primera instancia culminó con una sentencia absolutoria a su favor proferida el 7 de diciembre </w:t>
      </w:r>
      <w:r w:rsidR="00533AAB" w:rsidRPr="00A81029">
        <w:rPr>
          <w:sz w:val="20"/>
          <w:szCs w:val="20"/>
          <w:lang w:val="es-ES"/>
        </w:rPr>
        <w:t xml:space="preserve">2009. </w:t>
      </w:r>
      <w:r w:rsidR="00AF497C" w:rsidRPr="00A81029">
        <w:rPr>
          <w:sz w:val="20"/>
          <w:szCs w:val="20"/>
          <w:lang w:val="es-ES"/>
        </w:rPr>
        <w:t>No obstante, refiere que la fiscalía apeló dicha decisión</w:t>
      </w:r>
      <w:r w:rsidR="00203A12" w:rsidRPr="00A81029">
        <w:rPr>
          <w:sz w:val="20"/>
          <w:szCs w:val="20"/>
          <w:lang w:val="es-ES"/>
        </w:rPr>
        <w:t xml:space="preserve"> y el trámite se surtió primero en el Tribunal Superior de Villavicencio, departamento del Meta, y luego fue remitido al </w:t>
      </w:r>
      <w:r w:rsidR="00824003" w:rsidRPr="00A81029">
        <w:rPr>
          <w:sz w:val="20"/>
          <w:szCs w:val="20"/>
          <w:lang w:val="es-ES"/>
        </w:rPr>
        <w:t>Tribunal Superior de San Gil, departamento de San</w:t>
      </w:r>
      <w:r w:rsidR="009B096A" w:rsidRPr="00A81029">
        <w:rPr>
          <w:sz w:val="20"/>
          <w:szCs w:val="20"/>
          <w:lang w:val="es-ES"/>
        </w:rPr>
        <w:t>t</w:t>
      </w:r>
      <w:r w:rsidR="00824003" w:rsidRPr="00A81029">
        <w:rPr>
          <w:sz w:val="20"/>
          <w:szCs w:val="20"/>
          <w:lang w:val="es-ES"/>
        </w:rPr>
        <w:t>ander.</w:t>
      </w:r>
    </w:p>
    <w:p w14:paraId="0F6520BF" w14:textId="502DBC33" w:rsidR="009B096A" w:rsidRPr="00A81029" w:rsidRDefault="00BA57A5" w:rsidP="00A81029">
      <w:pPr>
        <w:pStyle w:val="ListParagraph"/>
        <w:numPr>
          <w:ilvl w:val="0"/>
          <w:numId w:val="61"/>
        </w:numPr>
        <w:ind w:left="0" w:firstLine="720"/>
        <w:jc w:val="both"/>
        <w:rPr>
          <w:rFonts w:asciiTheme="majorHAnsi" w:hAnsiTheme="majorHAnsi"/>
          <w:bCs/>
          <w:sz w:val="20"/>
          <w:szCs w:val="20"/>
          <w:lang w:val="es-ES"/>
        </w:rPr>
      </w:pPr>
      <w:r w:rsidRPr="00A81029">
        <w:rPr>
          <w:rFonts w:asciiTheme="majorHAnsi" w:hAnsiTheme="majorHAnsi"/>
          <w:bCs/>
          <w:sz w:val="20"/>
          <w:szCs w:val="20"/>
          <w:lang w:val="es-ES"/>
        </w:rPr>
        <w:t>Luego</w:t>
      </w:r>
      <w:r w:rsidR="009B096A" w:rsidRPr="00A81029">
        <w:rPr>
          <w:rFonts w:asciiTheme="majorHAnsi" w:hAnsiTheme="majorHAnsi"/>
          <w:bCs/>
          <w:sz w:val="20"/>
          <w:szCs w:val="20"/>
          <w:lang w:val="es-ES"/>
        </w:rPr>
        <w:t xml:space="preserve"> de más de tres años sin tener noticia del proceso, </w:t>
      </w:r>
      <w:r w:rsidR="006E6468" w:rsidRPr="00A81029">
        <w:rPr>
          <w:rFonts w:asciiTheme="majorHAnsi" w:hAnsiTheme="majorHAnsi"/>
          <w:bCs/>
          <w:sz w:val="20"/>
          <w:szCs w:val="20"/>
          <w:lang w:val="es-ES"/>
        </w:rPr>
        <w:t xml:space="preserve">el 17 de diciembre de 2013 elevó una petición al juzgado de primera instancia </w:t>
      </w:r>
      <w:r w:rsidR="00212139" w:rsidRPr="00A81029">
        <w:rPr>
          <w:rFonts w:asciiTheme="majorHAnsi" w:hAnsiTheme="majorHAnsi"/>
          <w:bCs/>
          <w:sz w:val="20"/>
          <w:szCs w:val="20"/>
          <w:lang w:val="es-ES"/>
        </w:rPr>
        <w:t xml:space="preserve">solicitando información sobre el estado del recurso de apelación, y en respuesta recibió la noticia de que había sido </w:t>
      </w:r>
      <w:r w:rsidR="00843FCD" w:rsidRPr="00A81029">
        <w:rPr>
          <w:rFonts w:asciiTheme="majorHAnsi" w:hAnsiTheme="majorHAnsi"/>
          <w:bCs/>
          <w:sz w:val="20"/>
          <w:szCs w:val="20"/>
          <w:lang w:val="es-ES"/>
        </w:rPr>
        <w:t>condenado en segunda instancia e</w:t>
      </w:r>
      <w:r w:rsidR="00D8078F" w:rsidRPr="00A81029">
        <w:rPr>
          <w:rFonts w:asciiTheme="majorHAnsi" w:hAnsiTheme="majorHAnsi"/>
          <w:bCs/>
          <w:sz w:val="20"/>
          <w:szCs w:val="20"/>
          <w:lang w:val="es-ES"/>
        </w:rPr>
        <w:t>l 15 de</w:t>
      </w:r>
      <w:r w:rsidR="00843FCD" w:rsidRPr="00A81029">
        <w:rPr>
          <w:rFonts w:asciiTheme="majorHAnsi" w:hAnsiTheme="majorHAnsi"/>
          <w:bCs/>
          <w:sz w:val="20"/>
          <w:szCs w:val="20"/>
          <w:lang w:val="es-ES"/>
        </w:rPr>
        <w:t xml:space="preserve"> febrero de ese año</w:t>
      </w:r>
      <w:r w:rsidR="00B673C3" w:rsidRPr="00A81029">
        <w:rPr>
          <w:rFonts w:asciiTheme="majorHAnsi" w:hAnsiTheme="majorHAnsi"/>
          <w:bCs/>
          <w:sz w:val="20"/>
          <w:szCs w:val="20"/>
          <w:lang w:val="es-ES"/>
        </w:rPr>
        <w:t>, sin haber</w:t>
      </w:r>
      <w:r w:rsidR="00881949" w:rsidRPr="00A81029">
        <w:rPr>
          <w:rFonts w:asciiTheme="majorHAnsi" w:hAnsiTheme="majorHAnsi"/>
          <w:bCs/>
          <w:sz w:val="20"/>
          <w:szCs w:val="20"/>
          <w:lang w:val="es-ES"/>
        </w:rPr>
        <w:t xml:space="preserve"> sido formalmente</w:t>
      </w:r>
      <w:r w:rsidR="00B673C3" w:rsidRPr="00A81029">
        <w:rPr>
          <w:rFonts w:asciiTheme="majorHAnsi" w:hAnsiTheme="majorHAnsi"/>
          <w:bCs/>
          <w:sz w:val="20"/>
          <w:szCs w:val="20"/>
          <w:lang w:val="es-ES"/>
        </w:rPr>
        <w:t xml:space="preserve"> notificado</w:t>
      </w:r>
      <w:r w:rsidR="00843FCD" w:rsidRPr="00A81029">
        <w:rPr>
          <w:rFonts w:asciiTheme="majorHAnsi" w:hAnsiTheme="majorHAnsi"/>
          <w:bCs/>
          <w:sz w:val="20"/>
          <w:szCs w:val="20"/>
          <w:lang w:val="es-ES"/>
        </w:rPr>
        <w:t>.</w:t>
      </w:r>
      <w:r w:rsidR="00CF13D3" w:rsidRPr="00A81029">
        <w:rPr>
          <w:rFonts w:asciiTheme="majorHAnsi" w:hAnsiTheme="majorHAnsi"/>
          <w:bCs/>
          <w:sz w:val="20"/>
          <w:szCs w:val="20"/>
          <w:lang w:val="es-ES"/>
        </w:rPr>
        <w:t xml:space="preserve"> Afirma que la Sala Penal de Descongestión del Tribunal Superior de San Gil profirió </w:t>
      </w:r>
      <w:r w:rsidR="00621C6C" w:rsidRPr="00A81029">
        <w:rPr>
          <w:rFonts w:asciiTheme="majorHAnsi" w:hAnsiTheme="majorHAnsi"/>
          <w:bCs/>
          <w:sz w:val="20"/>
          <w:szCs w:val="20"/>
          <w:lang w:val="es-ES"/>
        </w:rPr>
        <w:t>sentencia condenatoria en su contra, pero habría remitido</w:t>
      </w:r>
      <w:r w:rsidR="00CB5C80" w:rsidRPr="00A81029">
        <w:rPr>
          <w:rFonts w:asciiTheme="majorHAnsi" w:hAnsiTheme="majorHAnsi"/>
          <w:bCs/>
          <w:sz w:val="20"/>
          <w:szCs w:val="20"/>
          <w:lang w:val="es-ES"/>
        </w:rPr>
        <w:t xml:space="preserve"> el expediente al Tribunal Superior de Villavicencio</w:t>
      </w:r>
      <w:r w:rsidR="00621C6C" w:rsidRPr="00A81029">
        <w:rPr>
          <w:rFonts w:asciiTheme="majorHAnsi" w:hAnsiTheme="majorHAnsi"/>
          <w:bCs/>
          <w:sz w:val="20"/>
          <w:szCs w:val="20"/>
          <w:lang w:val="es-ES"/>
        </w:rPr>
        <w:t xml:space="preserve"> para </w:t>
      </w:r>
      <w:r w:rsidR="00CB5C80" w:rsidRPr="00A81029">
        <w:rPr>
          <w:rFonts w:asciiTheme="majorHAnsi" w:hAnsiTheme="majorHAnsi"/>
          <w:bCs/>
          <w:sz w:val="20"/>
          <w:szCs w:val="20"/>
          <w:lang w:val="es-ES"/>
        </w:rPr>
        <w:t>que su</w:t>
      </w:r>
      <w:r w:rsidR="00356EF8" w:rsidRPr="00A81029">
        <w:rPr>
          <w:rFonts w:asciiTheme="majorHAnsi" w:hAnsiTheme="majorHAnsi"/>
          <w:bCs/>
          <w:sz w:val="20"/>
          <w:szCs w:val="20"/>
          <w:lang w:val="es-ES"/>
        </w:rPr>
        <w:t xml:space="preserve">rtiera </w:t>
      </w:r>
      <w:r w:rsidR="00621C6C" w:rsidRPr="00A81029">
        <w:rPr>
          <w:rFonts w:asciiTheme="majorHAnsi" w:hAnsiTheme="majorHAnsi"/>
          <w:bCs/>
          <w:sz w:val="20"/>
          <w:szCs w:val="20"/>
          <w:lang w:val="es-ES"/>
        </w:rPr>
        <w:t>la notificación</w:t>
      </w:r>
      <w:r w:rsidR="00B754B3" w:rsidRPr="00A81029">
        <w:rPr>
          <w:rFonts w:asciiTheme="majorHAnsi" w:hAnsiTheme="majorHAnsi"/>
          <w:bCs/>
          <w:sz w:val="20"/>
          <w:szCs w:val="20"/>
          <w:lang w:val="es-ES"/>
        </w:rPr>
        <w:t>. Aduce que dicho tribunal</w:t>
      </w:r>
      <w:r w:rsidR="00621C6C" w:rsidRPr="00A81029">
        <w:rPr>
          <w:rFonts w:asciiTheme="majorHAnsi" w:hAnsiTheme="majorHAnsi"/>
          <w:bCs/>
          <w:sz w:val="20"/>
          <w:szCs w:val="20"/>
          <w:lang w:val="es-ES"/>
        </w:rPr>
        <w:t xml:space="preserve"> </w:t>
      </w:r>
      <w:r w:rsidR="008F3429" w:rsidRPr="00A81029">
        <w:rPr>
          <w:rFonts w:asciiTheme="majorHAnsi" w:hAnsiTheme="majorHAnsi"/>
          <w:bCs/>
          <w:sz w:val="20"/>
          <w:szCs w:val="20"/>
          <w:lang w:val="es-ES"/>
        </w:rPr>
        <w:t>tuvo</w:t>
      </w:r>
      <w:r w:rsidR="00880BA1" w:rsidRPr="00A81029">
        <w:rPr>
          <w:rFonts w:asciiTheme="majorHAnsi" w:hAnsiTheme="majorHAnsi"/>
          <w:bCs/>
          <w:sz w:val="20"/>
          <w:szCs w:val="20"/>
          <w:lang w:val="es-ES"/>
        </w:rPr>
        <w:t xml:space="preserve"> una confusión entre su proceso y otro, </w:t>
      </w:r>
      <w:r w:rsidR="00C64D9B" w:rsidRPr="00A81029">
        <w:rPr>
          <w:rFonts w:asciiTheme="majorHAnsi" w:hAnsiTheme="majorHAnsi"/>
          <w:bCs/>
          <w:sz w:val="20"/>
          <w:szCs w:val="20"/>
          <w:lang w:val="es-ES"/>
        </w:rPr>
        <w:t>por lo que</w:t>
      </w:r>
      <w:r w:rsidR="00880BA1" w:rsidRPr="00A81029">
        <w:rPr>
          <w:rFonts w:asciiTheme="majorHAnsi" w:hAnsiTheme="majorHAnsi"/>
          <w:bCs/>
          <w:sz w:val="20"/>
          <w:szCs w:val="20"/>
          <w:lang w:val="es-ES"/>
        </w:rPr>
        <w:t xml:space="preserve"> </w:t>
      </w:r>
      <w:r w:rsidR="00E7642D" w:rsidRPr="00A81029">
        <w:rPr>
          <w:rFonts w:asciiTheme="majorHAnsi" w:hAnsiTheme="majorHAnsi"/>
          <w:bCs/>
          <w:sz w:val="20"/>
          <w:szCs w:val="20"/>
          <w:lang w:val="es-ES"/>
        </w:rPr>
        <w:t xml:space="preserve">el 21 de febrero de 2013 </w:t>
      </w:r>
      <w:r w:rsidR="00880BA1" w:rsidRPr="00A81029">
        <w:rPr>
          <w:rFonts w:asciiTheme="majorHAnsi" w:hAnsiTheme="majorHAnsi"/>
          <w:bCs/>
          <w:sz w:val="20"/>
          <w:szCs w:val="20"/>
          <w:lang w:val="es-ES"/>
        </w:rPr>
        <w:t xml:space="preserve">envió la notificación de la sentencia condenatoria a direcciones diferentes </w:t>
      </w:r>
      <w:r w:rsidR="00F25AA0" w:rsidRPr="00A81029">
        <w:rPr>
          <w:rFonts w:asciiTheme="majorHAnsi" w:hAnsiTheme="majorHAnsi"/>
          <w:bCs/>
          <w:sz w:val="20"/>
          <w:szCs w:val="20"/>
          <w:lang w:val="es-ES"/>
        </w:rPr>
        <w:t>a</w:t>
      </w:r>
      <w:r w:rsidR="00880BA1" w:rsidRPr="00A81029">
        <w:rPr>
          <w:rFonts w:asciiTheme="majorHAnsi" w:hAnsiTheme="majorHAnsi"/>
          <w:bCs/>
          <w:sz w:val="20"/>
          <w:szCs w:val="20"/>
          <w:lang w:val="es-ES"/>
        </w:rPr>
        <w:t xml:space="preserve"> las </w:t>
      </w:r>
      <w:r w:rsidR="00F25AA0" w:rsidRPr="00A81029">
        <w:rPr>
          <w:rFonts w:asciiTheme="majorHAnsi" w:hAnsiTheme="majorHAnsi"/>
          <w:bCs/>
          <w:sz w:val="20"/>
          <w:szCs w:val="20"/>
          <w:lang w:val="es-ES"/>
        </w:rPr>
        <w:t xml:space="preserve">que </w:t>
      </w:r>
      <w:r w:rsidR="00880BA1" w:rsidRPr="00A81029">
        <w:rPr>
          <w:rFonts w:asciiTheme="majorHAnsi" w:hAnsiTheme="majorHAnsi"/>
          <w:bCs/>
          <w:sz w:val="20"/>
          <w:szCs w:val="20"/>
          <w:lang w:val="es-ES"/>
        </w:rPr>
        <w:t>él y su abogado</w:t>
      </w:r>
      <w:r w:rsidR="00F25AA0" w:rsidRPr="00A81029">
        <w:rPr>
          <w:rFonts w:asciiTheme="majorHAnsi" w:hAnsiTheme="majorHAnsi"/>
          <w:bCs/>
          <w:sz w:val="20"/>
          <w:szCs w:val="20"/>
          <w:lang w:val="es-ES"/>
        </w:rPr>
        <w:t xml:space="preserve"> habían proporcionado</w:t>
      </w:r>
      <w:r w:rsidR="00E7642D" w:rsidRPr="00A81029">
        <w:rPr>
          <w:rFonts w:asciiTheme="majorHAnsi" w:hAnsiTheme="majorHAnsi"/>
          <w:bCs/>
          <w:sz w:val="20"/>
          <w:szCs w:val="20"/>
          <w:lang w:val="es-ES"/>
        </w:rPr>
        <w:t>, que no aparecían en el expediente.</w:t>
      </w:r>
      <w:r w:rsidR="002E7C82" w:rsidRPr="00A81029">
        <w:rPr>
          <w:rFonts w:asciiTheme="majorHAnsi" w:hAnsiTheme="majorHAnsi"/>
          <w:bCs/>
          <w:sz w:val="20"/>
          <w:szCs w:val="20"/>
          <w:lang w:val="es-ES"/>
        </w:rPr>
        <w:t xml:space="preserve"> Narra que el </w:t>
      </w:r>
      <w:r w:rsidR="00E32B57" w:rsidRPr="00A81029">
        <w:rPr>
          <w:rFonts w:asciiTheme="majorHAnsi" w:hAnsiTheme="majorHAnsi"/>
          <w:bCs/>
          <w:sz w:val="20"/>
          <w:szCs w:val="20"/>
          <w:lang w:val="es-ES"/>
        </w:rPr>
        <w:t xml:space="preserve">26 de ese mes el Tribunal de Villavicencio fijó un edicto y comenzó a contar el término de 15 días </w:t>
      </w:r>
      <w:r w:rsidR="0031704B" w:rsidRPr="00A81029">
        <w:rPr>
          <w:rFonts w:asciiTheme="majorHAnsi" w:hAnsiTheme="majorHAnsi"/>
          <w:bCs/>
          <w:sz w:val="20"/>
          <w:szCs w:val="20"/>
          <w:lang w:val="es-ES"/>
        </w:rPr>
        <w:t>h</w:t>
      </w:r>
      <w:r w:rsidR="00D34BF8" w:rsidRPr="00A81029">
        <w:rPr>
          <w:rFonts w:asciiTheme="majorHAnsi" w:hAnsiTheme="majorHAnsi"/>
          <w:bCs/>
          <w:sz w:val="20"/>
          <w:szCs w:val="20"/>
          <w:lang w:val="es-ES"/>
        </w:rPr>
        <w:t>á</w:t>
      </w:r>
      <w:r w:rsidR="0031704B" w:rsidRPr="00A81029">
        <w:rPr>
          <w:rFonts w:asciiTheme="majorHAnsi" w:hAnsiTheme="majorHAnsi"/>
          <w:bCs/>
          <w:sz w:val="20"/>
          <w:szCs w:val="20"/>
          <w:lang w:val="es-ES"/>
        </w:rPr>
        <w:t xml:space="preserve">biles </w:t>
      </w:r>
      <w:r w:rsidR="00E32B57" w:rsidRPr="00A81029">
        <w:rPr>
          <w:rFonts w:asciiTheme="majorHAnsi" w:hAnsiTheme="majorHAnsi"/>
          <w:bCs/>
          <w:sz w:val="20"/>
          <w:szCs w:val="20"/>
          <w:lang w:val="es-ES"/>
        </w:rPr>
        <w:t xml:space="preserve">para interponer el recurso de casación a partir del </w:t>
      </w:r>
      <w:r w:rsidR="00F1330B" w:rsidRPr="00A81029">
        <w:rPr>
          <w:rFonts w:asciiTheme="majorHAnsi" w:hAnsiTheme="majorHAnsi"/>
          <w:bCs/>
          <w:sz w:val="20"/>
          <w:szCs w:val="20"/>
          <w:lang w:val="es-ES"/>
        </w:rPr>
        <w:t xml:space="preserve">6 de marzo </w:t>
      </w:r>
      <w:r w:rsidR="00E3698F" w:rsidRPr="00A81029">
        <w:rPr>
          <w:rFonts w:asciiTheme="majorHAnsi" w:hAnsiTheme="majorHAnsi"/>
          <w:bCs/>
          <w:sz w:val="20"/>
          <w:szCs w:val="20"/>
          <w:lang w:val="es-ES"/>
        </w:rPr>
        <w:t xml:space="preserve">hasta el </w:t>
      </w:r>
      <w:r w:rsidR="0031704B" w:rsidRPr="00A81029">
        <w:rPr>
          <w:rFonts w:asciiTheme="majorHAnsi" w:hAnsiTheme="majorHAnsi"/>
          <w:bCs/>
          <w:sz w:val="20"/>
          <w:szCs w:val="20"/>
          <w:lang w:val="es-ES"/>
        </w:rPr>
        <w:t xml:space="preserve">2 de abril </w:t>
      </w:r>
      <w:r w:rsidR="00F1330B" w:rsidRPr="00A81029">
        <w:rPr>
          <w:rFonts w:asciiTheme="majorHAnsi" w:hAnsiTheme="majorHAnsi"/>
          <w:bCs/>
          <w:sz w:val="20"/>
          <w:szCs w:val="20"/>
          <w:lang w:val="es-ES"/>
        </w:rPr>
        <w:t>de 2013, por lo cual, para cuan</w:t>
      </w:r>
      <w:r w:rsidR="008A0CF4" w:rsidRPr="00A81029">
        <w:rPr>
          <w:rFonts w:asciiTheme="majorHAnsi" w:hAnsiTheme="majorHAnsi"/>
          <w:bCs/>
          <w:sz w:val="20"/>
          <w:szCs w:val="20"/>
          <w:lang w:val="es-ES"/>
        </w:rPr>
        <w:t>d</w:t>
      </w:r>
      <w:r w:rsidR="00F1330B" w:rsidRPr="00A81029">
        <w:rPr>
          <w:rFonts w:asciiTheme="majorHAnsi" w:hAnsiTheme="majorHAnsi"/>
          <w:bCs/>
          <w:sz w:val="20"/>
          <w:szCs w:val="20"/>
          <w:lang w:val="es-ES"/>
        </w:rPr>
        <w:t xml:space="preserve">o el peticionario </w:t>
      </w:r>
      <w:r w:rsidR="00EC3163" w:rsidRPr="00A81029">
        <w:rPr>
          <w:rFonts w:asciiTheme="majorHAnsi" w:hAnsiTheme="majorHAnsi"/>
          <w:bCs/>
          <w:sz w:val="20"/>
          <w:szCs w:val="20"/>
          <w:lang w:val="es-ES"/>
        </w:rPr>
        <w:t>conoció</w:t>
      </w:r>
      <w:r w:rsidR="00F1330B" w:rsidRPr="00A81029">
        <w:rPr>
          <w:rFonts w:asciiTheme="majorHAnsi" w:hAnsiTheme="majorHAnsi"/>
          <w:bCs/>
          <w:sz w:val="20"/>
          <w:szCs w:val="20"/>
          <w:lang w:val="es-ES"/>
        </w:rPr>
        <w:t xml:space="preserve"> de la decisión los términos</w:t>
      </w:r>
      <w:r w:rsidR="00DC1385" w:rsidRPr="00A81029">
        <w:rPr>
          <w:rFonts w:asciiTheme="majorHAnsi" w:hAnsiTheme="majorHAnsi"/>
          <w:bCs/>
          <w:sz w:val="20"/>
          <w:szCs w:val="20"/>
          <w:lang w:val="es-ES"/>
        </w:rPr>
        <w:t xml:space="preserve"> para presentar recursos</w:t>
      </w:r>
      <w:r w:rsidR="00F1330B" w:rsidRPr="00A81029">
        <w:rPr>
          <w:rFonts w:asciiTheme="majorHAnsi" w:hAnsiTheme="majorHAnsi"/>
          <w:bCs/>
          <w:sz w:val="20"/>
          <w:szCs w:val="20"/>
          <w:lang w:val="es-ES"/>
        </w:rPr>
        <w:t xml:space="preserve"> habían fenecido.</w:t>
      </w:r>
    </w:p>
    <w:p w14:paraId="3EBCE3E3" w14:textId="6A541608" w:rsidR="00C03DA8" w:rsidRPr="00A81029" w:rsidRDefault="0062234C" w:rsidP="00A81029">
      <w:pPr>
        <w:pStyle w:val="ListParagraph"/>
        <w:numPr>
          <w:ilvl w:val="0"/>
          <w:numId w:val="61"/>
        </w:numPr>
        <w:ind w:left="0" w:firstLine="720"/>
        <w:jc w:val="both"/>
        <w:rPr>
          <w:rFonts w:asciiTheme="majorHAnsi" w:hAnsiTheme="majorHAnsi"/>
          <w:bCs/>
          <w:sz w:val="20"/>
          <w:szCs w:val="20"/>
          <w:lang w:val="es-ES"/>
        </w:rPr>
      </w:pPr>
      <w:r w:rsidRPr="00A81029">
        <w:rPr>
          <w:rFonts w:asciiTheme="majorHAnsi" w:hAnsiTheme="majorHAnsi"/>
          <w:bCs/>
          <w:sz w:val="20"/>
          <w:szCs w:val="20"/>
          <w:lang w:val="es-ES"/>
        </w:rPr>
        <w:t xml:space="preserve">Ante ello, </w:t>
      </w:r>
      <w:r w:rsidR="00B732AD" w:rsidRPr="00A81029">
        <w:rPr>
          <w:rFonts w:asciiTheme="majorHAnsi" w:hAnsiTheme="majorHAnsi"/>
          <w:bCs/>
          <w:sz w:val="20"/>
          <w:szCs w:val="20"/>
          <w:lang w:val="es-ES"/>
        </w:rPr>
        <w:t>el 4 de junio de 2014</w:t>
      </w:r>
      <w:r w:rsidR="002762DF" w:rsidRPr="00A81029">
        <w:rPr>
          <w:rFonts w:asciiTheme="majorHAnsi" w:hAnsiTheme="majorHAnsi"/>
          <w:bCs/>
          <w:sz w:val="20"/>
          <w:szCs w:val="20"/>
          <w:lang w:val="es-ES"/>
        </w:rPr>
        <w:t xml:space="preserve"> el peticionario</w:t>
      </w:r>
      <w:r w:rsidR="00B732AD" w:rsidRPr="00A81029">
        <w:rPr>
          <w:rFonts w:asciiTheme="majorHAnsi" w:hAnsiTheme="majorHAnsi"/>
          <w:bCs/>
          <w:sz w:val="20"/>
          <w:szCs w:val="20"/>
          <w:lang w:val="es-ES"/>
        </w:rPr>
        <w:t xml:space="preserve"> promovió una acción de tutela contra </w:t>
      </w:r>
      <w:r w:rsidR="00123F8C" w:rsidRPr="00A81029">
        <w:rPr>
          <w:rFonts w:asciiTheme="majorHAnsi" w:hAnsiTheme="majorHAnsi"/>
          <w:bCs/>
          <w:sz w:val="20"/>
          <w:szCs w:val="20"/>
          <w:lang w:val="es-ES"/>
        </w:rPr>
        <w:t>la Sala Penal del Tribunal Superior de Villavicencio, pero ésta habría sido denegada en ambas instancias</w:t>
      </w:r>
      <w:r w:rsidR="00133A6B" w:rsidRPr="00A81029">
        <w:rPr>
          <w:rFonts w:asciiTheme="majorHAnsi" w:hAnsiTheme="majorHAnsi"/>
          <w:bCs/>
          <w:sz w:val="20"/>
          <w:szCs w:val="20"/>
          <w:lang w:val="es-ES"/>
        </w:rPr>
        <w:t xml:space="preserve"> </w:t>
      </w:r>
      <w:r w:rsidR="00C4062C" w:rsidRPr="00A81029">
        <w:rPr>
          <w:rFonts w:asciiTheme="majorHAnsi" w:hAnsiTheme="majorHAnsi"/>
          <w:bCs/>
          <w:sz w:val="20"/>
          <w:szCs w:val="20"/>
          <w:lang w:val="es-ES"/>
        </w:rPr>
        <w:t>(</w:t>
      </w:r>
      <w:r w:rsidR="00133A6B" w:rsidRPr="00A81029">
        <w:rPr>
          <w:rFonts w:asciiTheme="majorHAnsi" w:hAnsiTheme="majorHAnsi"/>
          <w:bCs/>
          <w:sz w:val="20"/>
          <w:szCs w:val="20"/>
          <w:lang w:val="es-ES"/>
        </w:rPr>
        <w:t>no especifica bajo qué fundamentos, ni en qué fecha</w:t>
      </w:r>
      <w:r w:rsidR="00C4062C" w:rsidRPr="00A81029">
        <w:rPr>
          <w:rFonts w:asciiTheme="majorHAnsi" w:hAnsiTheme="majorHAnsi"/>
          <w:bCs/>
          <w:sz w:val="20"/>
          <w:szCs w:val="20"/>
          <w:lang w:val="es-ES"/>
        </w:rPr>
        <w:t>)</w:t>
      </w:r>
      <w:r w:rsidR="00133A6B" w:rsidRPr="00A81029">
        <w:rPr>
          <w:rFonts w:asciiTheme="majorHAnsi" w:hAnsiTheme="majorHAnsi"/>
          <w:bCs/>
          <w:sz w:val="20"/>
          <w:szCs w:val="20"/>
          <w:lang w:val="es-ES"/>
        </w:rPr>
        <w:t xml:space="preserve">. </w:t>
      </w:r>
      <w:r w:rsidR="002762DF" w:rsidRPr="00A81029">
        <w:rPr>
          <w:rFonts w:asciiTheme="majorHAnsi" w:hAnsiTheme="majorHAnsi"/>
          <w:bCs/>
          <w:sz w:val="20"/>
          <w:szCs w:val="20"/>
          <w:lang w:val="es-ES"/>
        </w:rPr>
        <w:t>E</w:t>
      </w:r>
      <w:r w:rsidR="00934C25" w:rsidRPr="00A81029">
        <w:rPr>
          <w:rFonts w:asciiTheme="majorHAnsi" w:hAnsiTheme="majorHAnsi"/>
          <w:bCs/>
          <w:sz w:val="20"/>
          <w:szCs w:val="20"/>
          <w:lang w:val="es-ES"/>
        </w:rPr>
        <w:t>l 16 de agosto de 2</w:t>
      </w:r>
      <w:r w:rsidR="005747BE" w:rsidRPr="00A81029">
        <w:rPr>
          <w:rFonts w:asciiTheme="majorHAnsi" w:hAnsiTheme="majorHAnsi"/>
          <w:bCs/>
          <w:sz w:val="20"/>
          <w:szCs w:val="20"/>
          <w:lang w:val="es-ES"/>
        </w:rPr>
        <w:t>0</w:t>
      </w:r>
      <w:r w:rsidR="00934C25" w:rsidRPr="00A81029">
        <w:rPr>
          <w:rFonts w:asciiTheme="majorHAnsi" w:hAnsiTheme="majorHAnsi"/>
          <w:bCs/>
          <w:sz w:val="20"/>
          <w:szCs w:val="20"/>
          <w:lang w:val="es-ES"/>
        </w:rPr>
        <w:t xml:space="preserve">14 </w:t>
      </w:r>
      <w:r w:rsidRPr="00A81029">
        <w:rPr>
          <w:rFonts w:asciiTheme="majorHAnsi" w:hAnsiTheme="majorHAnsi"/>
          <w:bCs/>
          <w:sz w:val="20"/>
          <w:szCs w:val="20"/>
          <w:lang w:val="es-ES"/>
        </w:rPr>
        <w:t xml:space="preserve">interpuso un incidente de nulidad por indebida notificación </w:t>
      </w:r>
      <w:r w:rsidR="00296BA3" w:rsidRPr="00A81029">
        <w:rPr>
          <w:rFonts w:asciiTheme="majorHAnsi" w:hAnsiTheme="majorHAnsi"/>
          <w:bCs/>
          <w:sz w:val="20"/>
          <w:szCs w:val="20"/>
          <w:lang w:val="es-ES"/>
        </w:rPr>
        <w:t>ante el Tribunal Superior de Villavicencio</w:t>
      </w:r>
      <w:r w:rsidR="00DC60B4" w:rsidRPr="00A81029">
        <w:rPr>
          <w:rFonts w:asciiTheme="majorHAnsi" w:hAnsiTheme="majorHAnsi"/>
          <w:bCs/>
          <w:sz w:val="20"/>
          <w:szCs w:val="20"/>
          <w:lang w:val="es-ES"/>
        </w:rPr>
        <w:t xml:space="preserve">. </w:t>
      </w:r>
      <w:r w:rsidR="004519DE" w:rsidRPr="00A81029">
        <w:rPr>
          <w:rFonts w:asciiTheme="majorHAnsi" w:hAnsiTheme="majorHAnsi"/>
          <w:bCs/>
          <w:sz w:val="20"/>
          <w:szCs w:val="20"/>
          <w:lang w:val="es-ES"/>
        </w:rPr>
        <w:t xml:space="preserve">Sin embargo, el 16 de </w:t>
      </w:r>
      <w:r w:rsidR="00496219" w:rsidRPr="00A81029">
        <w:rPr>
          <w:rFonts w:asciiTheme="majorHAnsi" w:hAnsiTheme="majorHAnsi"/>
          <w:bCs/>
          <w:sz w:val="20"/>
          <w:szCs w:val="20"/>
          <w:lang w:val="es-ES"/>
        </w:rPr>
        <w:t>dic</w:t>
      </w:r>
      <w:r w:rsidR="004519DE" w:rsidRPr="00A81029">
        <w:rPr>
          <w:rFonts w:asciiTheme="majorHAnsi" w:hAnsiTheme="majorHAnsi"/>
          <w:bCs/>
          <w:sz w:val="20"/>
          <w:szCs w:val="20"/>
          <w:lang w:val="es-ES"/>
        </w:rPr>
        <w:t xml:space="preserve">iembre </w:t>
      </w:r>
      <w:r w:rsidR="00496219" w:rsidRPr="00A81029">
        <w:rPr>
          <w:rFonts w:asciiTheme="majorHAnsi" w:hAnsiTheme="majorHAnsi"/>
          <w:bCs/>
          <w:sz w:val="20"/>
          <w:szCs w:val="20"/>
          <w:lang w:val="es-ES"/>
        </w:rPr>
        <w:t xml:space="preserve">de 2014 </w:t>
      </w:r>
      <w:r w:rsidR="004519DE" w:rsidRPr="00A81029">
        <w:rPr>
          <w:rFonts w:asciiTheme="majorHAnsi" w:hAnsiTheme="majorHAnsi"/>
          <w:bCs/>
          <w:sz w:val="20"/>
          <w:szCs w:val="20"/>
          <w:lang w:val="es-ES"/>
        </w:rPr>
        <w:t xml:space="preserve">dicho tribunal </w:t>
      </w:r>
      <w:r w:rsidR="005A1F63" w:rsidRPr="00A81029">
        <w:rPr>
          <w:rFonts w:asciiTheme="majorHAnsi" w:hAnsiTheme="majorHAnsi"/>
          <w:bCs/>
          <w:sz w:val="20"/>
          <w:szCs w:val="20"/>
          <w:lang w:val="es-ES"/>
        </w:rPr>
        <w:t>denegó su solicitud debido a que</w:t>
      </w:r>
      <w:r w:rsidR="00833EC5" w:rsidRPr="00A81029">
        <w:rPr>
          <w:rFonts w:asciiTheme="majorHAnsi" w:hAnsiTheme="majorHAnsi"/>
          <w:bCs/>
          <w:sz w:val="20"/>
          <w:szCs w:val="20"/>
          <w:lang w:val="es-ES"/>
        </w:rPr>
        <w:t xml:space="preserve"> consideraba que la notificación se había enviado a la dirección que el defensor de confianza de la presunta víctima </w:t>
      </w:r>
      <w:r w:rsidR="00D11C10" w:rsidRPr="00A81029">
        <w:rPr>
          <w:rFonts w:asciiTheme="majorHAnsi" w:hAnsiTheme="majorHAnsi"/>
          <w:bCs/>
          <w:sz w:val="20"/>
          <w:szCs w:val="20"/>
          <w:lang w:val="es-ES"/>
        </w:rPr>
        <w:t xml:space="preserve">había proporcionado, y aunque no se notificó a la dirección del peticionario conforme lo disponía la legislación interna, la sentencia había hecho tránsito a cosa juzgada y </w:t>
      </w:r>
      <w:r w:rsidR="0001635F" w:rsidRPr="00A81029">
        <w:rPr>
          <w:rFonts w:asciiTheme="majorHAnsi" w:hAnsiTheme="majorHAnsi"/>
          <w:bCs/>
          <w:sz w:val="20"/>
          <w:szCs w:val="20"/>
          <w:lang w:val="es-ES"/>
        </w:rPr>
        <w:t xml:space="preserve">el tribunal </w:t>
      </w:r>
      <w:r w:rsidR="00247646" w:rsidRPr="00A81029">
        <w:rPr>
          <w:rFonts w:asciiTheme="majorHAnsi" w:hAnsiTheme="majorHAnsi"/>
          <w:bCs/>
          <w:sz w:val="20"/>
          <w:szCs w:val="20"/>
          <w:lang w:val="es-ES"/>
        </w:rPr>
        <w:t xml:space="preserve">no podía </w:t>
      </w:r>
      <w:r w:rsidR="004A3E63" w:rsidRPr="00A81029">
        <w:rPr>
          <w:rFonts w:asciiTheme="majorHAnsi" w:hAnsiTheme="majorHAnsi"/>
          <w:bCs/>
          <w:sz w:val="20"/>
          <w:szCs w:val="20"/>
          <w:lang w:val="es-ES"/>
        </w:rPr>
        <w:t>reabrir</w:t>
      </w:r>
      <w:r w:rsidR="00247646" w:rsidRPr="00A81029">
        <w:rPr>
          <w:rFonts w:asciiTheme="majorHAnsi" w:hAnsiTheme="majorHAnsi"/>
          <w:bCs/>
          <w:sz w:val="20"/>
          <w:szCs w:val="20"/>
          <w:lang w:val="es-ES"/>
        </w:rPr>
        <w:t xml:space="preserve"> etapas procesales concluidas.</w:t>
      </w:r>
      <w:r w:rsidR="007B17D4" w:rsidRPr="00A81029">
        <w:rPr>
          <w:rFonts w:asciiTheme="majorHAnsi" w:hAnsiTheme="majorHAnsi"/>
          <w:bCs/>
          <w:sz w:val="20"/>
          <w:szCs w:val="20"/>
          <w:lang w:val="es-ES"/>
        </w:rPr>
        <w:t xml:space="preserve"> Sin embargo, la presunta víctima aduce que su defensor no fue notificado en su domicilio como lo afirmó el </w:t>
      </w:r>
      <w:r w:rsidR="00924762" w:rsidRPr="00A81029">
        <w:rPr>
          <w:rFonts w:asciiTheme="majorHAnsi" w:hAnsiTheme="majorHAnsi"/>
          <w:bCs/>
          <w:sz w:val="20"/>
          <w:szCs w:val="20"/>
          <w:lang w:val="es-ES"/>
        </w:rPr>
        <w:t>t</w:t>
      </w:r>
      <w:r w:rsidR="007B17D4" w:rsidRPr="00A81029">
        <w:rPr>
          <w:rFonts w:asciiTheme="majorHAnsi" w:hAnsiTheme="majorHAnsi"/>
          <w:bCs/>
          <w:sz w:val="20"/>
          <w:szCs w:val="20"/>
          <w:lang w:val="es-ES"/>
        </w:rPr>
        <w:t>ribunal, por lo que e</w:t>
      </w:r>
      <w:r w:rsidR="00760FE1" w:rsidRPr="00A81029">
        <w:rPr>
          <w:rFonts w:asciiTheme="majorHAnsi" w:hAnsiTheme="majorHAnsi"/>
          <w:bCs/>
          <w:sz w:val="20"/>
          <w:szCs w:val="20"/>
          <w:lang w:val="es-ES"/>
        </w:rPr>
        <w:t xml:space="preserve">l </w:t>
      </w:r>
      <w:r w:rsidR="00E60747" w:rsidRPr="00A81029">
        <w:rPr>
          <w:rFonts w:asciiTheme="majorHAnsi" w:hAnsiTheme="majorHAnsi"/>
          <w:bCs/>
          <w:sz w:val="20"/>
          <w:szCs w:val="20"/>
          <w:lang w:val="es-ES"/>
        </w:rPr>
        <w:t xml:space="preserve">19 de enero de 2015 el </w:t>
      </w:r>
      <w:r w:rsidR="00760FE1" w:rsidRPr="00A81029">
        <w:rPr>
          <w:rFonts w:asciiTheme="majorHAnsi" w:hAnsiTheme="majorHAnsi"/>
          <w:bCs/>
          <w:sz w:val="20"/>
          <w:szCs w:val="20"/>
          <w:lang w:val="es-ES"/>
        </w:rPr>
        <w:t>Sr. Vega</w:t>
      </w:r>
      <w:r w:rsidR="00DD1117" w:rsidRPr="00A81029">
        <w:rPr>
          <w:rFonts w:asciiTheme="majorHAnsi" w:hAnsiTheme="majorHAnsi"/>
          <w:bCs/>
          <w:sz w:val="20"/>
          <w:szCs w:val="20"/>
          <w:lang w:val="es-ES"/>
        </w:rPr>
        <w:t xml:space="preserve"> Goyeneche </w:t>
      </w:r>
      <w:r w:rsidR="00E60747" w:rsidRPr="00A81029">
        <w:rPr>
          <w:rFonts w:asciiTheme="majorHAnsi" w:hAnsiTheme="majorHAnsi"/>
          <w:bCs/>
          <w:sz w:val="20"/>
          <w:szCs w:val="20"/>
          <w:lang w:val="es-ES"/>
        </w:rPr>
        <w:t xml:space="preserve">interpuso un recurso de reposición y en subsidio de apelación contra dicha decisión, pero </w:t>
      </w:r>
      <w:r w:rsidR="00317C34" w:rsidRPr="00A81029">
        <w:rPr>
          <w:rFonts w:asciiTheme="majorHAnsi" w:hAnsiTheme="majorHAnsi"/>
          <w:bCs/>
          <w:sz w:val="20"/>
          <w:szCs w:val="20"/>
          <w:lang w:val="es-ES"/>
        </w:rPr>
        <w:t xml:space="preserve">la impugnación fue rechazada el 20 enero por la misma corporación porque no procedía </w:t>
      </w:r>
      <w:r w:rsidR="009E536B" w:rsidRPr="00A81029">
        <w:rPr>
          <w:rFonts w:asciiTheme="majorHAnsi" w:hAnsiTheme="majorHAnsi"/>
          <w:bCs/>
          <w:sz w:val="20"/>
          <w:szCs w:val="20"/>
          <w:lang w:val="es-ES"/>
        </w:rPr>
        <w:t xml:space="preserve">ningún </w:t>
      </w:r>
      <w:r w:rsidR="00317C34" w:rsidRPr="00A81029">
        <w:rPr>
          <w:rFonts w:asciiTheme="majorHAnsi" w:hAnsiTheme="majorHAnsi"/>
          <w:bCs/>
          <w:sz w:val="20"/>
          <w:szCs w:val="20"/>
          <w:lang w:val="es-ES"/>
        </w:rPr>
        <w:t xml:space="preserve">recurso contra </w:t>
      </w:r>
      <w:r w:rsidR="00745C98" w:rsidRPr="00A81029">
        <w:rPr>
          <w:rFonts w:asciiTheme="majorHAnsi" w:hAnsiTheme="majorHAnsi"/>
          <w:bCs/>
          <w:sz w:val="20"/>
          <w:szCs w:val="20"/>
          <w:lang w:val="es-ES"/>
        </w:rPr>
        <w:t>el auto de nulidad</w:t>
      </w:r>
      <w:r w:rsidR="000443D8" w:rsidRPr="00A81029">
        <w:rPr>
          <w:rFonts w:asciiTheme="majorHAnsi" w:hAnsiTheme="majorHAnsi"/>
          <w:bCs/>
          <w:sz w:val="20"/>
          <w:szCs w:val="20"/>
          <w:lang w:val="es-ES"/>
        </w:rPr>
        <w:t>.</w:t>
      </w:r>
    </w:p>
    <w:p w14:paraId="4D858D89" w14:textId="0A1112E1" w:rsidR="00247646" w:rsidRPr="00A81029" w:rsidRDefault="00202922" w:rsidP="00A81029">
      <w:pPr>
        <w:pStyle w:val="ListParagraph"/>
        <w:numPr>
          <w:ilvl w:val="0"/>
          <w:numId w:val="61"/>
        </w:numPr>
        <w:ind w:left="0" w:firstLine="720"/>
        <w:jc w:val="both"/>
        <w:rPr>
          <w:rFonts w:asciiTheme="majorHAnsi" w:hAnsiTheme="majorHAnsi"/>
          <w:bCs/>
          <w:sz w:val="20"/>
          <w:szCs w:val="20"/>
          <w:lang w:val="es-ES"/>
        </w:rPr>
      </w:pPr>
      <w:r w:rsidRPr="00A81029">
        <w:rPr>
          <w:rFonts w:asciiTheme="majorHAnsi" w:hAnsiTheme="majorHAnsi"/>
          <w:bCs/>
          <w:sz w:val="20"/>
          <w:szCs w:val="20"/>
          <w:lang w:val="es-ES"/>
        </w:rPr>
        <w:t>E</w:t>
      </w:r>
      <w:r w:rsidR="00A10752" w:rsidRPr="00A81029">
        <w:rPr>
          <w:rFonts w:asciiTheme="majorHAnsi" w:hAnsiTheme="majorHAnsi"/>
          <w:bCs/>
          <w:sz w:val="20"/>
          <w:szCs w:val="20"/>
          <w:lang w:val="es-ES"/>
        </w:rPr>
        <w:t xml:space="preserve">l 9 de marzo de 2015 </w:t>
      </w:r>
      <w:r w:rsidRPr="00A81029">
        <w:rPr>
          <w:rFonts w:asciiTheme="majorHAnsi" w:hAnsiTheme="majorHAnsi"/>
          <w:bCs/>
          <w:sz w:val="20"/>
          <w:szCs w:val="20"/>
          <w:lang w:val="es-ES"/>
        </w:rPr>
        <w:t xml:space="preserve">el peticionario </w:t>
      </w:r>
      <w:r w:rsidR="000E0611" w:rsidRPr="00A81029">
        <w:rPr>
          <w:rFonts w:asciiTheme="majorHAnsi" w:hAnsiTheme="majorHAnsi"/>
          <w:bCs/>
          <w:sz w:val="20"/>
          <w:szCs w:val="20"/>
          <w:lang w:val="es-ES"/>
        </w:rPr>
        <w:t xml:space="preserve">ejerció un recurso extraordinario de revisión </w:t>
      </w:r>
      <w:r w:rsidR="00024A76" w:rsidRPr="00A81029">
        <w:rPr>
          <w:rFonts w:asciiTheme="majorHAnsi" w:hAnsiTheme="majorHAnsi"/>
          <w:bCs/>
          <w:sz w:val="20"/>
          <w:szCs w:val="20"/>
          <w:lang w:val="es-ES"/>
        </w:rPr>
        <w:t>ante la Corte Suprema de Justicia</w:t>
      </w:r>
      <w:r w:rsidR="00A10752" w:rsidRPr="00A81029">
        <w:rPr>
          <w:rFonts w:asciiTheme="majorHAnsi" w:hAnsiTheme="majorHAnsi"/>
          <w:bCs/>
          <w:sz w:val="20"/>
          <w:szCs w:val="20"/>
          <w:lang w:val="es-ES"/>
        </w:rPr>
        <w:t>, pero ésta lo inadmitió el 15 de junio de 2015.</w:t>
      </w:r>
      <w:r w:rsidR="00C03DA8" w:rsidRPr="00A81029">
        <w:rPr>
          <w:rFonts w:asciiTheme="majorHAnsi" w:hAnsiTheme="majorHAnsi"/>
          <w:bCs/>
          <w:sz w:val="20"/>
          <w:szCs w:val="20"/>
          <w:lang w:val="es-ES"/>
        </w:rPr>
        <w:t xml:space="preserve"> </w:t>
      </w:r>
      <w:r w:rsidRPr="00A81029">
        <w:rPr>
          <w:rFonts w:asciiTheme="majorHAnsi" w:hAnsiTheme="majorHAnsi"/>
          <w:bCs/>
          <w:sz w:val="20"/>
          <w:szCs w:val="20"/>
          <w:lang w:val="es-ES"/>
        </w:rPr>
        <w:t>En este sentido</w:t>
      </w:r>
      <w:r w:rsidR="00A47B3E" w:rsidRPr="00A81029">
        <w:rPr>
          <w:rFonts w:asciiTheme="majorHAnsi" w:hAnsiTheme="majorHAnsi"/>
          <w:bCs/>
          <w:sz w:val="20"/>
          <w:szCs w:val="20"/>
          <w:lang w:val="es-ES"/>
        </w:rPr>
        <w:t xml:space="preserve"> señala como fecha de la última decisión que agotó los recursos el 18 de agosto de 2015</w:t>
      </w:r>
      <w:r w:rsidR="001D44AA" w:rsidRPr="00A81029">
        <w:rPr>
          <w:rFonts w:asciiTheme="majorHAnsi" w:hAnsiTheme="majorHAnsi"/>
          <w:bCs/>
          <w:sz w:val="20"/>
          <w:szCs w:val="20"/>
          <w:lang w:val="es-ES"/>
        </w:rPr>
        <w:t>, ya que ese día fue notificado de una sentencia de tutela, al parecer, de una nueva acción que él habría promovido después de la desestimación del incidente de nulidad, pero no explica cómo se surtió dicho proceso.</w:t>
      </w:r>
    </w:p>
    <w:p w14:paraId="1A1CA357" w14:textId="5FE2CD53" w:rsidR="00155141" w:rsidRPr="00A81029" w:rsidRDefault="00912B1C" w:rsidP="00A81029">
      <w:pPr>
        <w:pStyle w:val="ListParagraph"/>
        <w:numPr>
          <w:ilvl w:val="0"/>
          <w:numId w:val="61"/>
        </w:numPr>
        <w:ind w:left="0" w:firstLine="720"/>
        <w:jc w:val="both"/>
        <w:rPr>
          <w:rFonts w:asciiTheme="majorHAnsi" w:hAnsiTheme="majorHAnsi"/>
          <w:bCs/>
          <w:sz w:val="20"/>
          <w:szCs w:val="20"/>
          <w:lang w:val="es-ES"/>
        </w:rPr>
      </w:pPr>
      <w:r w:rsidRPr="00A81029">
        <w:rPr>
          <w:rFonts w:asciiTheme="majorHAnsi" w:hAnsiTheme="majorHAnsi"/>
          <w:bCs/>
          <w:sz w:val="20"/>
          <w:szCs w:val="20"/>
          <w:lang w:val="es-ES"/>
        </w:rPr>
        <w:t xml:space="preserve">El peticionario sostiene que la falta de notificación de la sentencia condenatoria constituyó una violación de sus garantías judiciales y de su derecho a acceder a un recurso para impugnar la condena. En respuesta a las observaciones del Estado, </w:t>
      </w:r>
      <w:r w:rsidR="00BF4602" w:rsidRPr="00A81029">
        <w:rPr>
          <w:rFonts w:asciiTheme="majorHAnsi" w:hAnsiTheme="majorHAnsi"/>
          <w:bCs/>
          <w:sz w:val="20"/>
          <w:szCs w:val="20"/>
          <w:lang w:val="es-ES"/>
        </w:rPr>
        <w:t>asegura que él no cambió su dirección durante el proceso penal, y pese a ello, no fue notificado en debida forma.</w:t>
      </w:r>
      <w:r w:rsidR="00333025" w:rsidRPr="00A81029">
        <w:rPr>
          <w:rFonts w:asciiTheme="majorHAnsi" w:hAnsiTheme="majorHAnsi"/>
          <w:bCs/>
          <w:sz w:val="20"/>
          <w:szCs w:val="20"/>
          <w:lang w:val="es-ES"/>
        </w:rPr>
        <w:t xml:space="preserve"> También aduce que </w:t>
      </w:r>
      <w:r w:rsidR="008A41EA" w:rsidRPr="00A81029">
        <w:rPr>
          <w:rFonts w:asciiTheme="majorHAnsi" w:hAnsiTheme="majorHAnsi"/>
          <w:bCs/>
          <w:sz w:val="20"/>
          <w:szCs w:val="20"/>
          <w:lang w:val="es-ES"/>
        </w:rPr>
        <w:t>la decisión que agotó los recursos internos fue la sentencia de</w:t>
      </w:r>
      <w:r w:rsidR="00D71555" w:rsidRPr="00A81029">
        <w:rPr>
          <w:rFonts w:asciiTheme="majorHAnsi" w:hAnsiTheme="majorHAnsi"/>
          <w:bCs/>
          <w:sz w:val="20"/>
          <w:szCs w:val="20"/>
          <w:lang w:val="es-ES"/>
        </w:rPr>
        <w:t>ntro de</w:t>
      </w:r>
      <w:r w:rsidR="008A41EA" w:rsidRPr="00A81029">
        <w:rPr>
          <w:rFonts w:asciiTheme="majorHAnsi" w:hAnsiTheme="majorHAnsi"/>
          <w:bCs/>
          <w:sz w:val="20"/>
          <w:szCs w:val="20"/>
          <w:lang w:val="es-ES"/>
        </w:rPr>
        <w:t xml:space="preserve"> la segunda acción de tutela, </w:t>
      </w:r>
      <w:r w:rsidR="00F56839" w:rsidRPr="00A81029">
        <w:rPr>
          <w:rFonts w:asciiTheme="majorHAnsi" w:hAnsiTheme="majorHAnsi"/>
          <w:bCs/>
          <w:sz w:val="20"/>
          <w:szCs w:val="20"/>
          <w:lang w:val="es-ES"/>
        </w:rPr>
        <w:t xml:space="preserve">interpuesta </w:t>
      </w:r>
      <w:r w:rsidR="00545787" w:rsidRPr="00A81029">
        <w:rPr>
          <w:rFonts w:asciiTheme="majorHAnsi" w:hAnsiTheme="majorHAnsi"/>
          <w:bCs/>
          <w:sz w:val="20"/>
          <w:szCs w:val="20"/>
          <w:lang w:val="es-ES"/>
        </w:rPr>
        <w:t xml:space="preserve">con sustento en </w:t>
      </w:r>
      <w:r w:rsidR="00276298" w:rsidRPr="00A81029">
        <w:rPr>
          <w:rFonts w:asciiTheme="majorHAnsi" w:hAnsiTheme="majorHAnsi"/>
          <w:bCs/>
          <w:sz w:val="20"/>
          <w:szCs w:val="20"/>
          <w:lang w:val="es-ES"/>
        </w:rPr>
        <w:t xml:space="preserve">un hecho nuevo, </w:t>
      </w:r>
      <w:r w:rsidR="00A12C6A" w:rsidRPr="00A81029">
        <w:rPr>
          <w:rFonts w:asciiTheme="majorHAnsi" w:hAnsiTheme="majorHAnsi"/>
          <w:bCs/>
          <w:sz w:val="20"/>
          <w:szCs w:val="20"/>
          <w:lang w:val="es-ES"/>
        </w:rPr>
        <w:t xml:space="preserve">que fue el incidente de nulidad, </w:t>
      </w:r>
      <w:r w:rsidR="00276298" w:rsidRPr="00A81029">
        <w:rPr>
          <w:rFonts w:asciiTheme="majorHAnsi" w:hAnsiTheme="majorHAnsi"/>
          <w:bCs/>
          <w:sz w:val="20"/>
          <w:szCs w:val="20"/>
          <w:lang w:val="es-ES"/>
        </w:rPr>
        <w:t>y</w:t>
      </w:r>
      <w:r w:rsidR="00BA0A2E" w:rsidRPr="00A81029">
        <w:rPr>
          <w:rFonts w:asciiTheme="majorHAnsi" w:hAnsiTheme="majorHAnsi"/>
          <w:bCs/>
          <w:sz w:val="20"/>
          <w:szCs w:val="20"/>
          <w:lang w:val="es-ES"/>
        </w:rPr>
        <w:t xml:space="preserve"> que</w:t>
      </w:r>
      <w:r w:rsidR="00276298" w:rsidRPr="00A81029">
        <w:rPr>
          <w:rFonts w:asciiTheme="majorHAnsi" w:hAnsiTheme="majorHAnsi"/>
          <w:bCs/>
          <w:sz w:val="20"/>
          <w:szCs w:val="20"/>
          <w:lang w:val="es-ES"/>
        </w:rPr>
        <w:t xml:space="preserve"> fue </w:t>
      </w:r>
      <w:r w:rsidR="00FF6B5B" w:rsidRPr="00A81029">
        <w:rPr>
          <w:rFonts w:asciiTheme="majorHAnsi" w:hAnsiTheme="majorHAnsi"/>
          <w:bCs/>
          <w:sz w:val="20"/>
          <w:szCs w:val="20"/>
          <w:lang w:val="es-ES"/>
        </w:rPr>
        <w:t xml:space="preserve">notificada </w:t>
      </w:r>
      <w:r w:rsidR="00276298" w:rsidRPr="00A81029">
        <w:rPr>
          <w:rFonts w:asciiTheme="majorHAnsi" w:hAnsiTheme="majorHAnsi"/>
          <w:bCs/>
          <w:sz w:val="20"/>
          <w:szCs w:val="20"/>
          <w:lang w:val="es-ES"/>
        </w:rPr>
        <w:t>el 18 de agosto de 2015.</w:t>
      </w:r>
    </w:p>
    <w:p w14:paraId="65111480" w14:textId="77777777" w:rsidR="00BA0A2E" w:rsidRPr="00A81029" w:rsidRDefault="00BA0A2E" w:rsidP="00A81029">
      <w:pPr>
        <w:pStyle w:val="ListParagraph"/>
        <w:numPr>
          <w:ilvl w:val="0"/>
          <w:numId w:val="0"/>
        </w:numPr>
        <w:ind w:left="720"/>
        <w:jc w:val="both"/>
        <w:rPr>
          <w:b/>
          <w:bCs/>
          <w:sz w:val="20"/>
          <w:szCs w:val="20"/>
          <w:lang w:val="es-ES"/>
        </w:rPr>
      </w:pPr>
    </w:p>
    <w:p w14:paraId="1A640868" w14:textId="77777777" w:rsidR="00BA0A2E" w:rsidRPr="00A81029" w:rsidRDefault="00BA0A2E" w:rsidP="00A81029">
      <w:pPr>
        <w:pStyle w:val="ListParagraph"/>
        <w:numPr>
          <w:ilvl w:val="0"/>
          <w:numId w:val="0"/>
        </w:numPr>
        <w:ind w:left="720"/>
        <w:jc w:val="both"/>
        <w:rPr>
          <w:b/>
          <w:bCs/>
          <w:sz w:val="20"/>
          <w:szCs w:val="20"/>
          <w:lang w:val="es-ES"/>
        </w:rPr>
      </w:pPr>
    </w:p>
    <w:p w14:paraId="142267EB" w14:textId="5B4C54F4" w:rsidR="00890DA0" w:rsidRPr="00A81029" w:rsidRDefault="00125980" w:rsidP="00A81029">
      <w:pPr>
        <w:pStyle w:val="ListParagraph"/>
        <w:numPr>
          <w:ilvl w:val="0"/>
          <w:numId w:val="0"/>
        </w:numPr>
        <w:ind w:left="720"/>
        <w:jc w:val="both"/>
        <w:rPr>
          <w:rFonts w:asciiTheme="majorHAnsi" w:hAnsiTheme="majorHAnsi"/>
          <w:b/>
          <w:bCs/>
          <w:sz w:val="20"/>
          <w:szCs w:val="20"/>
          <w:lang w:val="es-ES"/>
        </w:rPr>
      </w:pPr>
      <w:r w:rsidRPr="00A81029">
        <w:rPr>
          <w:b/>
          <w:bCs/>
          <w:sz w:val="20"/>
          <w:szCs w:val="20"/>
          <w:lang w:val="es-ES"/>
        </w:rPr>
        <w:lastRenderedPageBreak/>
        <w:t xml:space="preserve">El </w:t>
      </w:r>
      <w:r w:rsidR="00890DA0" w:rsidRPr="00A81029">
        <w:rPr>
          <w:b/>
          <w:bCs/>
          <w:sz w:val="20"/>
          <w:szCs w:val="20"/>
          <w:lang w:val="es-ES"/>
        </w:rPr>
        <w:t>Estado</w:t>
      </w:r>
      <w:r w:rsidRPr="00A81029">
        <w:rPr>
          <w:b/>
          <w:bCs/>
          <w:sz w:val="20"/>
          <w:szCs w:val="20"/>
          <w:lang w:val="es-ES"/>
        </w:rPr>
        <w:t xml:space="preserve"> </w:t>
      </w:r>
      <w:r w:rsidR="00D766B0" w:rsidRPr="00A81029">
        <w:rPr>
          <w:b/>
          <w:bCs/>
          <w:sz w:val="20"/>
          <w:szCs w:val="20"/>
          <w:lang w:val="es-ES"/>
        </w:rPr>
        <w:t>colombiano</w:t>
      </w:r>
    </w:p>
    <w:p w14:paraId="68A417B2" w14:textId="23C4CF3D" w:rsidR="00B93D7F" w:rsidRPr="00A81029" w:rsidRDefault="00F945DB" w:rsidP="00A81029">
      <w:pPr>
        <w:pStyle w:val="ListParagraph"/>
        <w:numPr>
          <w:ilvl w:val="0"/>
          <w:numId w:val="61"/>
        </w:numPr>
        <w:ind w:left="0" w:firstLine="720"/>
        <w:jc w:val="both"/>
        <w:rPr>
          <w:rFonts w:asciiTheme="majorHAnsi" w:hAnsiTheme="majorHAnsi"/>
          <w:bCs/>
          <w:sz w:val="20"/>
          <w:szCs w:val="20"/>
          <w:lang w:val="es-ES"/>
        </w:rPr>
      </w:pPr>
      <w:r w:rsidRPr="00A81029">
        <w:rPr>
          <w:sz w:val="20"/>
          <w:szCs w:val="20"/>
          <w:lang w:val="es-ES"/>
        </w:rPr>
        <w:t>E</w:t>
      </w:r>
      <w:r w:rsidR="00B93D7F" w:rsidRPr="00A81029">
        <w:rPr>
          <w:sz w:val="20"/>
          <w:szCs w:val="20"/>
          <w:lang w:val="es-ES"/>
        </w:rPr>
        <w:t>l Es</w:t>
      </w:r>
      <w:r w:rsidR="003F5154" w:rsidRPr="00A81029">
        <w:rPr>
          <w:sz w:val="20"/>
          <w:szCs w:val="20"/>
          <w:lang w:val="es-ES"/>
        </w:rPr>
        <w:t xml:space="preserve">tado, </w:t>
      </w:r>
      <w:r w:rsidRPr="00A81029">
        <w:rPr>
          <w:sz w:val="20"/>
          <w:szCs w:val="20"/>
          <w:lang w:val="es-ES"/>
        </w:rPr>
        <w:t>por su par</w:t>
      </w:r>
      <w:r w:rsidR="00971F2E" w:rsidRPr="00A81029">
        <w:rPr>
          <w:sz w:val="20"/>
          <w:szCs w:val="20"/>
          <w:lang w:val="es-ES"/>
        </w:rPr>
        <w:t>t</w:t>
      </w:r>
      <w:r w:rsidRPr="00A81029">
        <w:rPr>
          <w:sz w:val="20"/>
          <w:szCs w:val="20"/>
          <w:lang w:val="es-ES"/>
        </w:rPr>
        <w:t xml:space="preserve">e, </w:t>
      </w:r>
      <w:r w:rsidR="00971F2E" w:rsidRPr="00A81029">
        <w:rPr>
          <w:sz w:val="20"/>
          <w:szCs w:val="20"/>
          <w:lang w:val="es-ES"/>
        </w:rPr>
        <w:t>replica que la presente petición es inadmisible por</w:t>
      </w:r>
      <w:r w:rsidR="00E21B80" w:rsidRPr="00A81029">
        <w:rPr>
          <w:sz w:val="20"/>
          <w:szCs w:val="20"/>
          <w:lang w:val="es-ES"/>
        </w:rPr>
        <w:t>que no contiene hechos que caractericen violaciones de los derechos consagrados en la Convención Americana, por</w:t>
      </w:r>
      <w:r w:rsidR="00971F2E" w:rsidRPr="00A81029">
        <w:rPr>
          <w:sz w:val="20"/>
          <w:szCs w:val="20"/>
          <w:lang w:val="es-ES"/>
        </w:rPr>
        <w:t xml:space="preserve"> extemporaneidad </w:t>
      </w:r>
      <w:r w:rsidR="006A393C" w:rsidRPr="00A81029">
        <w:rPr>
          <w:sz w:val="20"/>
          <w:szCs w:val="20"/>
          <w:lang w:val="es-ES"/>
        </w:rPr>
        <w:t xml:space="preserve">en su presentación </w:t>
      </w:r>
      <w:r w:rsidR="00971F2E" w:rsidRPr="00A81029">
        <w:rPr>
          <w:sz w:val="20"/>
          <w:szCs w:val="20"/>
          <w:lang w:val="es-ES"/>
        </w:rPr>
        <w:t xml:space="preserve">y </w:t>
      </w:r>
      <w:r w:rsidR="00417359" w:rsidRPr="00A81029">
        <w:rPr>
          <w:sz w:val="20"/>
          <w:szCs w:val="20"/>
          <w:lang w:val="es-ES"/>
        </w:rPr>
        <w:t>por la configuración de la denominada ‘fórmula de la cuarta instancia internacional’</w:t>
      </w:r>
      <w:r w:rsidR="003F5154" w:rsidRPr="00A81029">
        <w:rPr>
          <w:sz w:val="20"/>
          <w:szCs w:val="20"/>
          <w:lang w:val="es-ES"/>
        </w:rPr>
        <w:t>.</w:t>
      </w:r>
    </w:p>
    <w:p w14:paraId="725BEE34" w14:textId="7C143432" w:rsidR="007D1A83" w:rsidRPr="00A81029" w:rsidRDefault="00D0058F" w:rsidP="00A81029">
      <w:pPr>
        <w:pStyle w:val="ListParagraph"/>
        <w:numPr>
          <w:ilvl w:val="0"/>
          <w:numId w:val="61"/>
        </w:numPr>
        <w:ind w:left="0" w:firstLine="720"/>
        <w:jc w:val="both"/>
        <w:rPr>
          <w:rFonts w:asciiTheme="majorHAnsi" w:hAnsiTheme="majorHAnsi"/>
          <w:bCs/>
          <w:sz w:val="20"/>
          <w:szCs w:val="20"/>
          <w:lang w:val="es-ES"/>
        </w:rPr>
      </w:pPr>
      <w:r w:rsidRPr="00A81029">
        <w:rPr>
          <w:rFonts w:asciiTheme="majorHAnsi" w:hAnsiTheme="majorHAnsi"/>
          <w:bCs/>
          <w:sz w:val="20"/>
          <w:szCs w:val="20"/>
          <w:lang w:val="es-ES"/>
        </w:rPr>
        <w:t xml:space="preserve">En cuanto a los hechos, </w:t>
      </w:r>
      <w:r w:rsidR="00B37416" w:rsidRPr="00A81029">
        <w:rPr>
          <w:rFonts w:asciiTheme="majorHAnsi" w:hAnsiTheme="majorHAnsi"/>
          <w:bCs/>
          <w:sz w:val="20"/>
          <w:szCs w:val="20"/>
          <w:lang w:val="es-ES"/>
        </w:rPr>
        <w:t xml:space="preserve">Colombia explica que </w:t>
      </w:r>
      <w:r w:rsidR="000C11D5" w:rsidRPr="00A81029">
        <w:rPr>
          <w:rFonts w:asciiTheme="majorHAnsi" w:hAnsiTheme="majorHAnsi"/>
          <w:bCs/>
          <w:sz w:val="20"/>
          <w:szCs w:val="20"/>
          <w:lang w:val="es-ES"/>
        </w:rPr>
        <w:t>el Sr. Vega Goyeneche interpuso una primera acción de tutela ante la Corte Suprema de Justicia</w:t>
      </w:r>
      <w:r w:rsidR="00574643" w:rsidRPr="00A81029">
        <w:rPr>
          <w:rFonts w:asciiTheme="majorHAnsi" w:hAnsiTheme="majorHAnsi"/>
          <w:bCs/>
          <w:sz w:val="20"/>
          <w:szCs w:val="20"/>
          <w:lang w:val="es-ES"/>
        </w:rPr>
        <w:t xml:space="preserve">, pero fue rechazada en primera instancia el 12 de junio de 2014 porque </w:t>
      </w:r>
      <w:r w:rsidR="00851E2E" w:rsidRPr="00A81029">
        <w:rPr>
          <w:rFonts w:asciiTheme="majorHAnsi" w:hAnsiTheme="majorHAnsi"/>
          <w:bCs/>
          <w:sz w:val="20"/>
          <w:szCs w:val="20"/>
          <w:lang w:val="es-ES"/>
        </w:rPr>
        <w:t>esta</w:t>
      </w:r>
      <w:r w:rsidR="005B5A6A" w:rsidRPr="00A81029">
        <w:rPr>
          <w:rFonts w:asciiTheme="majorHAnsi" w:hAnsiTheme="majorHAnsi"/>
          <w:bCs/>
          <w:sz w:val="20"/>
          <w:szCs w:val="20"/>
          <w:lang w:val="es-ES"/>
        </w:rPr>
        <w:t xml:space="preserve"> estimó que estaba usando el mecanismo como un recurso de instancia y no para la protección de derechos fundamentales. </w:t>
      </w:r>
      <w:r w:rsidR="001C3718" w:rsidRPr="00A81029">
        <w:rPr>
          <w:rFonts w:asciiTheme="majorHAnsi" w:hAnsiTheme="majorHAnsi"/>
          <w:bCs/>
          <w:sz w:val="20"/>
          <w:szCs w:val="20"/>
          <w:lang w:val="es-ES"/>
        </w:rPr>
        <w:t>E</w:t>
      </w:r>
      <w:r w:rsidR="005B5A6A" w:rsidRPr="00A81029">
        <w:rPr>
          <w:rFonts w:asciiTheme="majorHAnsi" w:hAnsiTheme="majorHAnsi"/>
          <w:bCs/>
          <w:sz w:val="20"/>
          <w:szCs w:val="20"/>
          <w:lang w:val="es-ES"/>
        </w:rPr>
        <w:t xml:space="preserve">l peticionario impugnó esta </w:t>
      </w:r>
      <w:r w:rsidR="00A14D38" w:rsidRPr="00A81029">
        <w:rPr>
          <w:rFonts w:asciiTheme="majorHAnsi" w:hAnsiTheme="majorHAnsi"/>
          <w:bCs/>
          <w:sz w:val="20"/>
          <w:szCs w:val="20"/>
          <w:lang w:val="es-ES"/>
        </w:rPr>
        <w:t xml:space="preserve">decisión, pero el 11 de julio de 2014 </w:t>
      </w:r>
      <w:r w:rsidR="000A695D" w:rsidRPr="00A81029">
        <w:rPr>
          <w:rFonts w:asciiTheme="majorHAnsi" w:hAnsiTheme="majorHAnsi"/>
          <w:bCs/>
          <w:sz w:val="20"/>
          <w:szCs w:val="20"/>
          <w:lang w:val="es-ES"/>
        </w:rPr>
        <w:t>fue confirmada</w:t>
      </w:r>
      <w:r w:rsidR="00716B16" w:rsidRPr="00A81029">
        <w:rPr>
          <w:rFonts w:asciiTheme="majorHAnsi" w:hAnsiTheme="majorHAnsi"/>
          <w:bCs/>
          <w:sz w:val="20"/>
          <w:szCs w:val="20"/>
          <w:lang w:val="es-ES"/>
        </w:rPr>
        <w:t xml:space="preserve"> por </w:t>
      </w:r>
      <w:r w:rsidR="00F84B2A" w:rsidRPr="00A81029">
        <w:rPr>
          <w:rFonts w:asciiTheme="majorHAnsi" w:hAnsiTheme="majorHAnsi"/>
          <w:bCs/>
          <w:sz w:val="20"/>
          <w:szCs w:val="20"/>
          <w:lang w:val="es-ES"/>
        </w:rPr>
        <w:t>otra sala de la propia Corte Suprema,</w:t>
      </w:r>
      <w:r w:rsidR="000A695D" w:rsidRPr="00A81029">
        <w:rPr>
          <w:rFonts w:asciiTheme="majorHAnsi" w:hAnsiTheme="majorHAnsi"/>
          <w:bCs/>
          <w:sz w:val="20"/>
          <w:szCs w:val="20"/>
          <w:lang w:val="es-ES"/>
        </w:rPr>
        <w:t xml:space="preserve"> </w:t>
      </w:r>
      <w:r w:rsidR="007A41D1" w:rsidRPr="00A81029">
        <w:rPr>
          <w:rFonts w:asciiTheme="majorHAnsi" w:hAnsiTheme="majorHAnsi"/>
          <w:bCs/>
          <w:sz w:val="20"/>
          <w:szCs w:val="20"/>
          <w:lang w:val="es-ES"/>
        </w:rPr>
        <w:t xml:space="preserve">recalcando que las direcciones empleadas para notificar la sentencia condenatoria </w:t>
      </w:r>
      <w:r w:rsidR="00A042E1" w:rsidRPr="00A81029">
        <w:rPr>
          <w:rFonts w:asciiTheme="majorHAnsi" w:hAnsiTheme="majorHAnsi"/>
          <w:bCs/>
          <w:sz w:val="20"/>
          <w:szCs w:val="20"/>
          <w:lang w:val="es-ES"/>
        </w:rPr>
        <w:t xml:space="preserve">correspondían a las suministradas por el apoderado de la presunta víctima en el proceso, y si habían cambiado de dirección, </w:t>
      </w:r>
      <w:r w:rsidR="003D7CBD" w:rsidRPr="00A81029">
        <w:rPr>
          <w:rFonts w:asciiTheme="majorHAnsi" w:hAnsiTheme="majorHAnsi"/>
          <w:bCs/>
          <w:sz w:val="20"/>
          <w:szCs w:val="20"/>
          <w:lang w:val="es-ES"/>
        </w:rPr>
        <w:t xml:space="preserve">el peticionario </w:t>
      </w:r>
      <w:r w:rsidR="00A042E1" w:rsidRPr="00A81029">
        <w:rPr>
          <w:rFonts w:asciiTheme="majorHAnsi" w:hAnsiTheme="majorHAnsi"/>
          <w:bCs/>
          <w:sz w:val="20"/>
          <w:szCs w:val="20"/>
          <w:lang w:val="es-ES"/>
        </w:rPr>
        <w:t>tenía la carga de informarlo al tribunal.</w:t>
      </w:r>
      <w:r w:rsidR="006E0881" w:rsidRPr="00A81029">
        <w:rPr>
          <w:rFonts w:asciiTheme="majorHAnsi" w:hAnsiTheme="majorHAnsi"/>
          <w:bCs/>
          <w:sz w:val="20"/>
          <w:szCs w:val="20"/>
          <w:lang w:val="es-ES"/>
        </w:rPr>
        <w:t xml:space="preserve"> El 25 de septiembre de 2014 la Corte Constitucional </w:t>
      </w:r>
      <w:r w:rsidR="00612AC6" w:rsidRPr="00A81029">
        <w:rPr>
          <w:rFonts w:asciiTheme="majorHAnsi" w:hAnsiTheme="majorHAnsi"/>
          <w:bCs/>
          <w:sz w:val="20"/>
          <w:szCs w:val="20"/>
          <w:lang w:val="es-ES"/>
        </w:rPr>
        <w:t>inform</w:t>
      </w:r>
      <w:r w:rsidR="006E0881" w:rsidRPr="00A81029">
        <w:rPr>
          <w:rFonts w:asciiTheme="majorHAnsi" w:hAnsiTheme="majorHAnsi"/>
          <w:bCs/>
          <w:sz w:val="20"/>
          <w:szCs w:val="20"/>
          <w:lang w:val="es-ES"/>
        </w:rPr>
        <w:t xml:space="preserve">ó </w:t>
      </w:r>
      <w:r w:rsidR="00612AC6" w:rsidRPr="00A81029">
        <w:rPr>
          <w:rFonts w:asciiTheme="majorHAnsi" w:hAnsiTheme="majorHAnsi"/>
          <w:bCs/>
          <w:sz w:val="20"/>
          <w:szCs w:val="20"/>
          <w:lang w:val="es-ES"/>
        </w:rPr>
        <w:t xml:space="preserve">que </w:t>
      </w:r>
      <w:r w:rsidR="006E0881" w:rsidRPr="00A81029">
        <w:rPr>
          <w:rFonts w:asciiTheme="majorHAnsi" w:hAnsiTheme="majorHAnsi"/>
          <w:bCs/>
          <w:sz w:val="20"/>
          <w:szCs w:val="20"/>
          <w:lang w:val="es-ES"/>
        </w:rPr>
        <w:t xml:space="preserve">no </w:t>
      </w:r>
      <w:r w:rsidR="00612AC6" w:rsidRPr="00A81029">
        <w:rPr>
          <w:rFonts w:asciiTheme="majorHAnsi" w:hAnsiTheme="majorHAnsi"/>
          <w:bCs/>
          <w:sz w:val="20"/>
          <w:szCs w:val="20"/>
          <w:lang w:val="es-ES"/>
        </w:rPr>
        <w:t>seleccionó la acción de tutela del peticionario para revisión.</w:t>
      </w:r>
    </w:p>
    <w:p w14:paraId="1AEB799A" w14:textId="09DF2252" w:rsidR="00854008" w:rsidRPr="00A81029" w:rsidRDefault="008D6F81" w:rsidP="00A81029">
      <w:pPr>
        <w:pStyle w:val="ListParagraph"/>
        <w:numPr>
          <w:ilvl w:val="0"/>
          <w:numId w:val="61"/>
        </w:numPr>
        <w:ind w:left="0" w:firstLine="720"/>
        <w:jc w:val="both"/>
        <w:rPr>
          <w:rFonts w:asciiTheme="majorHAnsi" w:hAnsiTheme="majorHAnsi"/>
          <w:bCs/>
          <w:sz w:val="20"/>
          <w:szCs w:val="20"/>
          <w:lang w:val="es-ES"/>
        </w:rPr>
      </w:pPr>
      <w:r w:rsidRPr="00A81029">
        <w:rPr>
          <w:rFonts w:asciiTheme="majorHAnsi" w:hAnsiTheme="majorHAnsi"/>
          <w:bCs/>
          <w:sz w:val="20"/>
          <w:szCs w:val="20"/>
          <w:lang w:val="es-ES"/>
        </w:rPr>
        <w:t>Posteriormente,</w:t>
      </w:r>
      <w:r w:rsidR="0054239F" w:rsidRPr="00A81029">
        <w:rPr>
          <w:rFonts w:asciiTheme="majorHAnsi" w:hAnsiTheme="majorHAnsi"/>
          <w:bCs/>
          <w:sz w:val="20"/>
          <w:szCs w:val="20"/>
          <w:lang w:val="es-ES"/>
        </w:rPr>
        <w:t xml:space="preserve"> </w:t>
      </w:r>
      <w:r w:rsidR="00DE2F53" w:rsidRPr="00A81029">
        <w:rPr>
          <w:rFonts w:asciiTheme="majorHAnsi" w:hAnsiTheme="majorHAnsi"/>
          <w:bCs/>
          <w:sz w:val="20"/>
          <w:szCs w:val="20"/>
          <w:lang w:val="es-ES"/>
        </w:rPr>
        <w:t xml:space="preserve">el Sr. Vega Goyeneche promovió una segunda acción de tutela por lo mismos hechos que fue denegada por la Corte Suprema de Justicia </w:t>
      </w:r>
      <w:r w:rsidR="00337F58" w:rsidRPr="00A81029">
        <w:rPr>
          <w:rFonts w:asciiTheme="majorHAnsi" w:hAnsiTheme="majorHAnsi"/>
          <w:bCs/>
          <w:sz w:val="20"/>
          <w:szCs w:val="20"/>
          <w:lang w:val="es-ES"/>
        </w:rPr>
        <w:t>el 24 de febrero de 2015 por temeridad de la acción constitucional al estimar que ya existía cosa juzgada sobre el asunto.</w:t>
      </w:r>
      <w:r w:rsidR="00CB486A" w:rsidRPr="00A81029">
        <w:rPr>
          <w:rFonts w:asciiTheme="majorHAnsi" w:hAnsiTheme="majorHAnsi"/>
          <w:bCs/>
          <w:sz w:val="20"/>
          <w:szCs w:val="20"/>
          <w:lang w:val="es-ES"/>
        </w:rPr>
        <w:t xml:space="preserve"> El peticionario presentó un recurso de reposición, pero el 29 de julio de 2015 la misma Corte Suprema declaró su improcedencia.</w:t>
      </w:r>
      <w:r w:rsidR="00777E53" w:rsidRPr="00A81029">
        <w:rPr>
          <w:rFonts w:asciiTheme="majorHAnsi" w:hAnsiTheme="majorHAnsi"/>
          <w:bCs/>
          <w:sz w:val="20"/>
          <w:szCs w:val="20"/>
          <w:lang w:val="es-ES"/>
        </w:rPr>
        <w:t xml:space="preserve"> </w:t>
      </w:r>
      <w:r w:rsidR="00962FF9" w:rsidRPr="00A81029">
        <w:rPr>
          <w:rFonts w:asciiTheme="majorHAnsi" w:hAnsiTheme="majorHAnsi"/>
          <w:bCs/>
          <w:sz w:val="20"/>
          <w:szCs w:val="20"/>
          <w:lang w:val="es-ES"/>
        </w:rPr>
        <w:t xml:space="preserve">Ese mismo día la Corte Suprema también declaró improcedente un recurso </w:t>
      </w:r>
      <w:r w:rsidR="00D553EA" w:rsidRPr="00A81029">
        <w:rPr>
          <w:rFonts w:asciiTheme="majorHAnsi" w:hAnsiTheme="majorHAnsi"/>
          <w:bCs/>
          <w:sz w:val="20"/>
          <w:szCs w:val="20"/>
          <w:lang w:val="es-ES"/>
        </w:rPr>
        <w:t xml:space="preserve">extraordinario </w:t>
      </w:r>
      <w:r w:rsidR="00962FF9" w:rsidRPr="00A81029">
        <w:rPr>
          <w:rFonts w:asciiTheme="majorHAnsi" w:hAnsiTheme="majorHAnsi"/>
          <w:bCs/>
          <w:sz w:val="20"/>
          <w:szCs w:val="20"/>
          <w:lang w:val="es-ES"/>
        </w:rPr>
        <w:t>de re</w:t>
      </w:r>
      <w:r w:rsidR="00D553EA" w:rsidRPr="00A81029">
        <w:rPr>
          <w:rFonts w:asciiTheme="majorHAnsi" w:hAnsiTheme="majorHAnsi"/>
          <w:bCs/>
          <w:sz w:val="20"/>
          <w:szCs w:val="20"/>
          <w:lang w:val="es-ES"/>
        </w:rPr>
        <w:t>vis</w:t>
      </w:r>
      <w:r w:rsidR="00962FF9" w:rsidRPr="00A81029">
        <w:rPr>
          <w:rFonts w:asciiTheme="majorHAnsi" w:hAnsiTheme="majorHAnsi"/>
          <w:bCs/>
          <w:sz w:val="20"/>
          <w:szCs w:val="20"/>
          <w:lang w:val="es-ES"/>
        </w:rPr>
        <w:t xml:space="preserve">ión interpuesto por el peticionario </w:t>
      </w:r>
      <w:r w:rsidR="00367EAD" w:rsidRPr="00A81029">
        <w:rPr>
          <w:rFonts w:asciiTheme="majorHAnsi" w:hAnsiTheme="majorHAnsi"/>
          <w:bCs/>
          <w:sz w:val="20"/>
          <w:szCs w:val="20"/>
          <w:lang w:val="es-ES"/>
        </w:rPr>
        <w:t xml:space="preserve">en marzo </w:t>
      </w:r>
      <w:r w:rsidR="00240502" w:rsidRPr="00A81029">
        <w:rPr>
          <w:rFonts w:asciiTheme="majorHAnsi" w:hAnsiTheme="majorHAnsi"/>
          <w:bCs/>
          <w:sz w:val="20"/>
          <w:szCs w:val="20"/>
          <w:lang w:val="es-ES"/>
        </w:rPr>
        <w:t>de 2015</w:t>
      </w:r>
      <w:r w:rsidR="0086799B" w:rsidRPr="00A81029">
        <w:rPr>
          <w:rFonts w:asciiTheme="majorHAnsi" w:hAnsiTheme="majorHAnsi"/>
          <w:bCs/>
          <w:sz w:val="20"/>
          <w:szCs w:val="20"/>
          <w:lang w:val="es-ES"/>
        </w:rPr>
        <w:t>, con fundamento en</w:t>
      </w:r>
      <w:r w:rsidR="00240502" w:rsidRPr="00A81029">
        <w:rPr>
          <w:rFonts w:asciiTheme="majorHAnsi" w:hAnsiTheme="majorHAnsi"/>
          <w:bCs/>
          <w:sz w:val="20"/>
          <w:szCs w:val="20"/>
          <w:lang w:val="es-ES"/>
        </w:rPr>
        <w:t xml:space="preserve"> que dicho mecanismo </w:t>
      </w:r>
      <w:r w:rsidR="00D31050" w:rsidRPr="00A81029">
        <w:rPr>
          <w:rFonts w:asciiTheme="majorHAnsi" w:hAnsiTheme="majorHAnsi"/>
          <w:bCs/>
          <w:sz w:val="20"/>
          <w:szCs w:val="20"/>
          <w:lang w:val="es-ES"/>
        </w:rPr>
        <w:t>era propio de</w:t>
      </w:r>
      <w:r w:rsidR="00240502" w:rsidRPr="00A81029">
        <w:rPr>
          <w:rFonts w:asciiTheme="majorHAnsi" w:hAnsiTheme="majorHAnsi"/>
          <w:bCs/>
          <w:sz w:val="20"/>
          <w:szCs w:val="20"/>
          <w:lang w:val="es-ES"/>
        </w:rPr>
        <w:t xml:space="preserve"> la jurisdicción civil y no </w:t>
      </w:r>
      <w:r w:rsidR="00EF04B2" w:rsidRPr="00A81029">
        <w:rPr>
          <w:rFonts w:asciiTheme="majorHAnsi" w:hAnsiTheme="majorHAnsi"/>
          <w:bCs/>
          <w:sz w:val="20"/>
          <w:szCs w:val="20"/>
          <w:lang w:val="es-ES"/>
        </w:rPr>
        <w:t>de</w:t>
      </w:r>
      <w:r w:rsidR="00240502" w:rsidRPr="00A81029">
        <w:rPr>
          <w:rFonts w:asciiTheme="majorHAnsi" w:hAnsiTheme="majorHAnsi"/>
          <w:bCs/>
          <w:sz w:val="20"/>
          <w:szCs w:val="20"/>
          <w:lang w:val="es-ES"/>
        </w:rPr>
        <w:t xml:space="preserve"> la penal.</w:t>
      </w:r>
    </w:p>
    <w:p w14:paraId="142C8232" w14:textId="65879056" w:rsidR="00E21B80" w:rsidRPr="00A81029" w:rsidRDefault="00E21B80" w:rsidP="00A81029">
      <w:pPr>
        <w:pStyle w:val="ListParagraph"/>
        <w:numPr>
          <w:ilvl w:val="0"/>
          <w:numId w:val="61"/>
        </w:numPr>
        <w:ind w:left="0" w:firstLine="720"/>
        <w:jc w:val="both"/>
        <w:rPr>
          <w:rFonts w:asciiTheme="majorHAnsi" w:hAnsiTheme="majorHAnsi"/>
          <w:bCs/>
          <w:sz w:val="20"/>
          <w:szCs w:val="20"/>
          <w:lang w:val="es-ES"/>
        </w:rPr>
      </w:pPr>
      <w:r w:rsidRPr="00A81029">
        <w:rPr>
          <w:rFonts w:asciiTheme="majorHAnsi" w:hAnsiTheme="majorHAnsi"/>
          <w:bCs/>
          <w:sz w:val="20"/>
          <w:szCs w:val="20"/>
          <w:lang w:val="es-ES"/>
        </w:rPr>
        <w:t>Ahora bien, con respecto a la admisibilidad de la petición,</w:t>
      </w:r>
      <w:r w:rsidR="00814A8E" w:rsidRPr="00A81029">
        <w:rPr>
          <w:rFonts w:asciiTheme="majorHAnsi" w:hAnsiTheme="majorHAnsi"/>
          <w:bCs/>
          <w:sz w:val="20"/>
          <w:szCs w:val="20"/>
          <w:lang w:val="es-ES"/>
        </w:rPr>
        <w:t xml:space="preserve"> Colombia </w:t>
      </w:r>
      <w:r w:rsidR="00C91E32" w:rsidRPr="00A81029">
        <w:rPr>
          <w:rFonts w:asciiTheme="majorHAnsi" w:hAnsiTheme="majorHAnsi"/>
          <w:bCs/>
          <w:sz w:val="20"/>
          <w:szCs w:val="20"/>
          <w:lang w:val="es-ES"/>
        </w:rPr>
        <w:t>recuerd</w:t>
      </w:r>
      <w:r w:rsidR="00814A8E" w:rsidRPr="00A81029">
        <w:rPr>
          <w:rFonts w:asciiTheme="majorHAnsi" w:hAnsiTheme="majorHAnsi"/>
          <w:bCs/>
          <w:sz w:val="20"/>
          <w:szCs w:val="20"/>
          <w:lang w:val="es-ES"/>
        </w:rPr>
        <w:t>a que</w:t>
      </w:r>
      <w:r w:rsidR="00FD2DA9" w:rsidRPr="00A81029">
        <w:rPr>
          <w:rFonts w:asciiTheme="majorHAnsi" w:hAnsiTheme="majorHAnsi"/>
          <w:bCs/>
          <w:sz w:val="20"/>
          <w:szCs w:val="20"/>
          <w:lang w:val="es-ES"/>
        </w:rPr>
        <w:t>, de conformidad con el artículo 47.b) de la Convención Americana, resultan inadmisibles las denuncias que n</w:t>
      </w:r>
      <w:r w:rsidR="00E30D77" w:rsidRPr="00A81029">
        <w:rPr>
          <w:rFonts w:asciiTheme="majorHAnsi" w:hAnsiTheme="majorHAnsi"/>
          <w:bCs/>
          <w:sz w:val="20"/>
          <w:szCs w:val="20"/>
          <w:lang w:val="es-ES"/>
        </w:rPr>
        <w:t xml:space="preserve">o evidencian </w:t>
      </w:r>
      <w:r w:rsidR="00E30D77" w:rsidRPr="00A81029">
        <w:rPr>
          <w:rFonts w:asciiTheme="majorHAnsi" w:hAnsiTheme="majorHAnsi"/>
          <w:bCs/>
          <w:i/>
          <w:iCs/>
          <w:sz w:val="20"/>
          <w:szCs w:val="20"/>
          <w:lang w:val="es-ES"/>
        </w:rPr>
        <w:t>prima facie</w:t>
      </w:r>
      <w:r w:rsidR="00E30D77" w:rsidRPr="00A81029">
        <w:rPr>
          <w:rFonts w:asciiTheme="majorHAnsi" w:hAnsiTheme="majorHAnsi"/>
          <w:bCs/>
          <w:sz w:val="20"/>
          <w:szCs w:val="20"/>
          <w:lang w:val="es-ES"/>
        </w:rPr>
        <w:t xml:space="preserve"> la caracterización de una posible violación de derechos huma</w:t>
      </w:r>
      <w:r w:rsidR="00FD4281" w:rsidRPr="00A81029">
        <w:rPr>
          <w:rFonts w:asciiTheme="majorHAnsi" w:hAnsiTheme="majorHAnsi"/>
          <w:bCs/>
          <w:sz w:val="20"/>
          <w:szCs w:val="20"/>
          <w:lang w:val="es-ES"/>
        </w:rPr>
        <w:t>n</w:t>
      </w:r>
      <w:r w:rsidR="00E30D77" w:rsidRPr="00A81029">
        <w:rPr>
          <w:rFonts w:asciiTheme="majorHAnsi" w:hAnsiTheme="majorHAnsi"/>
          <w:bCs/>
          <w:sz w:val="20"/>
          <w:szCs w:val="20"/>
          <w:lang w:val="es-ES"/>
        </w:rPr>
        <w:t>os.</w:t>
      </w:r>
      <w:r w:rsidR="00143775" w:rsidRPr="00A81029">
        <w:rPr>
          <w:rFonts w:asciiTheme="majorHAnsi" w:hAnsiTheme="majorHAnsi"/>
          <w:bCs/>
          <w:sz w:val="20"/>
          <w:szCs w:val="20"/>
          <w:lang w:val="es-ES"/>
        </w:rPr>
        <w:t xml:space="preserve"> Así, </w:t>
      </w:r>
      <w:r w:rsidR="00C91E32" w:rsidRPr="00A81029">
        <w:rPr>
          <w:rFonts w:asciiTheme="majorHAnsi" w:hAnsiTheme="majorHAnsi"/>
          <w:bCs/>
          <w:sz w:val="20"/>
          <w:szCs w:val="20"/>
          <w:lang w:val="es-ES"/>
        </w:rPr>
        <w:t xml:space="preserve">plantea que </w:t>
      </w:r>
      <w:r w:rsidR="004D0831" w:rsidRPr="00A81029">
        <w:rPr>
          <w:rFonts w:asciiTheme="majorHAnsi" w:hAnsiTheme="majorHAnsi"/>
          <w:bCs/>
          <w:sz w:val="20"/>
          <w:szCs w:val="20"/>
          <w:lang w:val="es-ES"/>
        </w:rPr>
        <w:t xml:space="preserve">la razón </w:t>
      </w:r>
      <w:r w:rsidR="00912B1C" w:rsidRPr="00A81029">
        <w:rPr>
          <w:rFonts w:asciiTheme="majorHAnsi" w:hAnsiTheme="majorHAnsi"/>
          <w:bCs/>
          <w:sz w:val="20"/>
          <w:szCs w:val="20"/>
          <w:lang w:val="es-ES"/>
        </w:rPr>
        <w:t xml:space="preserve">por la </w:t>
      </w:r>
      <w:r w:rsidR="00C7308D" w:rsidRPr="00A81029">
        <w:rPr>
          <w:rFonts w:asciiTheme="majorHAnsi" w:hAnsiTheme="majorHAnsi"/>
          <w:bCs/>
          <w:sz w:val="20"/>
          <w:szCs w:val="20"/>
          <w:lang w:val="es-ES"/>
        </w:rPr>
        <w:t>cual el peticionario no fue notificado de la sentencia de segunda instancia en el proceso penal fue porque había cambiado de dirección, pero no lo informó al tribunal.</w:t>
      </w:r>
      <w:r w:rsidR="005764B7" w:rsidRPr="00A81029">
        <w:rPr>
          <w:rFonts w:asciiTheme="majorHAnsi" w:hAnsiTheme="majorHAnsi"/>
          <w:bCs/>
          <w:sz w:val="20"/>
          <w:szCs w:val="20"/>
          <w:lang w:val="es-ES"/>
        </w:rPr>
        <w:t xml:space="preserve"> Con ello, </w:t>
      </w:r>
      <w:r w:rsidR="00180714" w:rsidRPr="00A81029">
        <w:rPr>
          <w:rFonts w:asciiTheme="majorHAnsi" w:hAnsiTheme="majorHAnsi"/>
          <w:bCs/>
          <w:sz w:val="20"/>
          <w:szCs w:val="20"/>
          <w:lang w:val="es-ES"/>
        </w:rPr>
        <w:t xml:space="preserve">arguye que </w:t>
      </w:r>
      <w:r w:rsidR="003B67ED" w:rsidRPr="00A81029">
        <w:rPr>
          <w:rFonts w:asciiTheme="majorHAnsi" w:hAnsiTheme="majorHAnsi"/>
          <w:bCs/>
          <w:sz w:val="20"/>
          <w:szCs w:val="20"/>
          <w:lang w:val="es-ES"/>
        </w:rPr>
        <w:t xml:space="preserve">no existió una violación de </w:t>
      </w:r>
      <w:r w:rsidR="00E23A3B" w:rsidRPr="00A81029">
        <w:rPr>
          <w:rFonts w:asciiTheme="majorHAnsi" w:hAnsiTheme="majorHAnsi"/>
          <w:bCs/>
          <w:sz w:val="20"/>
          <w:szCs w:val="20"/>
          <w:lang w:val="es-ES"/>
        </w:rPr>
        <w:t xml:space="preserve">sus derechos, lo cual </w:t>
      </w:r>
      <w:r w:rsidR="002B43AE" w:rsidRPr="00A81029">
        <w:rPr>
          <w:rFonts w:asciiTheme="majorHAnsi" w:hAnsiTheme="majorHAnsi"/>
          <w:bCs/>
          <w:sz w:val="20"/>
          <w:szCs w:val="20"/>
          <w:lang w:val="es-ES"/>
        </w:rPr>
        <w:t>fue</w:t>
      </w:r>
      <w:r w:rsidR="00E23A3B" w:rsidRPr="00A81029">
        <w:rPr>
          <w:rFonts w:asciiTheme="majorHAnsi" w:hAnsiTheme="majorHAnsi"/>
          <w:bCs/>
          <w:sz w:val="20"/>
          <w:szCs w:val="20"/>
          <w:lang w:val="es-ES"/>
        </w:rPr>
        <w:t xml:space="preserve"> comprobado por la Corte Suprema de Justicia, que revisó el proceso en más de tres ocasiones </w:t>
      </w:r>
      <w:r w:rsidR="00942383" w:rsidRPr="00A81029">
        <w:rPr>
          <w:rFonts w:asciiTheme="majorHAnsi" w:hAnsiTheme="majorHAnsi"/>
          <w:bCs/>
          <w:sz w:val="20"/>
          <w:szCs w:val="20"/>
          <w:lang w:val="es-ES"/>
        </w:rPr>
        <w:t>y realizó un análisis detenido para concluir que no presentó irregularidades.</w:t>
      </w:r>
    </w:p>
    <w:p w14:paraId="52F98FE3" w14:textId="7579F775" w:rsidR="00716483" w:rsidRPr="00A81029" w:rsidRDefault="00160358" w:rsidP="00A81029">
      <w:pPr>
        <w:pStyle w:val="ListParagraph"/>
        <w:numPr>
          <w:ilvl w:val="0"/>
          <w:numId w:val="61"/>
        </w:numPr>
        <w:ind w:left="0" w:firstLine="720"/>
        <w:jc w:val="both"/>
        <w:rPr>
          <w:rFonts w:asciiTheme="majorHAnsi" w:hAnsiTheme="majorHAnsi"/>
          <w:bCs/>
          <w:sz w:val="20"/>
          <w:szCs w:val="20"/>
          <w:lang w:val="es-ES"/>
        </w:rPr>
      </w:pPr>
      <w:r w:rsidRPr="00A81029">
        <w:rPr>
          <w:rFonts w:asciiTheme="majorHAnsi" w:hAnsiTheme="majorHAnsi"/>
          <w:bCs/>
          <w:sz w:val="20"/>
          <w:szCs w:val="20"/>
          <w:lang w:val="es-ES"/>
        </w:rPr>
        <w:t xml:space="preserve">Por otro lado, </w:t>
      </w:r>
      <w:r w:rsidR="00A36865" w:rsidRPr="00A81029">
        <w:rPr>
          <w:rFonts w:asciiTheme="majorHAnsi" w:hAnsiTheme="majorHAnsi"/>
          <w:bCs/>
          <w:sz w:val="20"/>
          <w:szCs w:val="20"/>
          <w:lang w:val="es-ES"/>
        </w:rPr>
        <w:t>plantea</w:t>
      </w:r>
      <w:r w:rsidRPr="00A81029">
        <w:rPr>
          <w:rFonts w:asciiTheme="majorHAnsi" w:hAnsiTheme="majorHAnsi"/>
          <w:bCs/>
          <w:sz w:val="20"/>
          <w:szCs w:val="20"/>
          <w:lang w:val="es-ES"/>
        </w:rPr>
        <w:t xml:space="preserve"> que la petición fue presentada </w:t>
      </w:r>
      <w:r w:rsidR="0002432D" w:rsidRPr="00A81029">
        <w:rPr>
          <w:rFonts w:asciiTheme="majorHAnsi" w:hAnsiTheme="majorHAnsi"/>
          <w:bCs/>
          <w:sz w:val="20"/>
          <w:szCs w:val="20"/>
          <w:lang w:val="es-ES"/>
        </w:rPr>
        <w:t>en exceso</w:t>
      </w:r>
      <w:r w:rsidRPr="00A81029">
        <w:rPr>
          <w:rFonts w:asciiTheme="majorHAnsi" w:hAnsiTheme="majorHAnsi"/>
          <w:bCs/>
          <w:sz w:val="20"/>
          <w:szCs w:val="20"/>
          <w:lang w:val="es-ES"/>
        </w:rPr>
        <w:t xml:space="preserve"> del plazo de seis meses establecido en el artículo 46.1.b) de la Convención respecto de la decisión que agotó los recursos internos. </w:t>
      </w:r>
      <w:r w:rsidR="0002432D" w:rsidRPr="00A81029">
        <w:rPr>
          <w:rFonts w:asciiTheme="majorHAnsi" w:hAnsiTheme="majorHAnsi"/>
          <w:bCs/>
          <w:sz w:val="20"/>
          <w:szCs w:val="20"/>
          <w:lang w:val="es-ES"/>
        </w:rPr>
        <w:t>P</w:t>
      </w:r>
      <w:r w:rsidRPr="00A81029">
        <w:rPr>
          <w:rFonts w:asciiTheme="majorHAnsi" w:hAnsiTheme="majorHAnsi"/>
          <w:bCs/>
          <w:sz w:val="20"/>
          <w:szCs w:val="20"/>
          <w:lang w:val="es-ES"/>
        </w:rPr>
        <w:t>or cuanto</w:t>
      </w:r>
      <w:r w:rsidR="00E20CEB" w:rsidRPr="00A81029">
        <w:rPr>
          <w:rFonts w:asciiTheme="majorHAnsi" w:hAnsiTheme="majorHAnsi"/>
          <w:bCs/>
          <w:sz w:val="20"/>
          <w:szCs w:val="20"/>
          <w:lang w:val="es-ES"/>
        </w:rPr>
        <w:t xml:space="preserve"> considera que</w:t>
      </w:r>
      <w:r w:rsidRPr="00A81029">
        <w:rPr>
          <w:rFonts w:asciiTheme="majorHAnsi" w:hAnsiTheme="majorHAnsi"/>
          <w:bCs/>
          <w:sz w:val="20"/>
          <w:szCs w:val="20"/>
          <w:lang w:val="es-ES"/>
        </w:rPr>
        <w:t xml:space="preserve"> </w:t>
      </w:r>
      <w:r w:rsidR="00746211" w:rsidRPr="00A81029">
        <w:rPr>
          <w:rFonts w:asciiTheme="majorHAnsi" w:hAnsiTheme="majorHAnsi"/>
          <w:bCs/>
          <w:sz w:val="20"/>
          <w:szCs w:val="20"/>
          <w:lang w:val="es-ES"/>
        </w:rPr>
        <w:t xml:space="preserve">la primera acción de tutela fue el mecanismo por el cual el peticionario agotó los recursos internos, ya que la segunda </w:t>
      </w:r>
      <w:r w:rsidR="003D4B4C" w:rsidRPr="00A81029">
        <w:rPr>
          <w:rFonts w:asciiTheme="majorHAnsi" w:hAnsiTheme="majorHAnsi"/>
          <w:bCs/>
          <w:sz w:val="20"/>
          <w:szCs w:val="20"/>
          <w:lang w:val="es-ES"/>
        </w:rPr>
        <w:t xml:space="preserve">tutela y el recurso de revisión </w:t>
      </w:r>
      <w:r w:rsidR="00746211" w:rsidRPr="00A81029">
        <w:rPr>
          <w:rFonts w:asciiTheme="majorHAnsi" w:hAnsiTheme="majorHAnsi"/>
          <w:bCs/>
          <w:sz w:val="20"/>
          <w:szCs w:val="20"/>
          <w:lang w:val="es-ES"/>
        </w:rPr>
        <w:t>era</w:t>
      </w:r>
      <w:r w:rsidR="003D4B4C" w:rsidRPr="00A81029">
        <w:rPr>
          <w:rFonts w:asciiTheme="majorHAnsi" w:hAnsiTheme="majorHAnsi"/>
          <w:bCs/>
          <w:sz w:val="20"/>
          <w:szCs w:val="20"/>
          <w:lang w:val="es-ES"/>
        </w:rPr>
        <w:t>n</w:t>
      </w:r>
      <w:r w:rsidR="00746211" w:rsidRPr="00A81029">
        <w:rPr>
          <w:rFonts w:asciiTheme="majorHAnsi" w:hAnsiTheme="majorHAnsi"/>
          <w:bCs/>
          <w:sz w:val="20"/>
          <w:szCs w:val="20"/>
          <w:lang w:val="es-ES"/>
        </w:rPr>
        <w:t xml:space="preserve"> abiertamente improcedente</w:t>
      </w:r>
      <w:r w:rsidR="003D4B4C" w:rsidRPr="00A81029">
        <w:rPr>
          <w:rFonts w:asciiTheme="majorHAnsi" w:hAnsiTheme="majorHAnsi"/>
          <w:bCs/>
          <w:sz w:val="20"/>
          <w:szCs w:val="20"/>
          <w:lang w:val="es-ES"/>
        </w:rPr>
        <w:t>s</w:t>
      </w:r>
      <w:r w:rsidR="009362A5" w:rsidRPr="00A81029">
        <w:rPr>
          <w:rFonts w:asciiTheme="majorHAnsi" w:hAnsiTheme="majorHAnsi"/>
          <w:bCs/>
          <w:sz w:val="20"/>
          <w:szCs w:val="20"/>
          <w:lang w:val="es-ES"/>
        </w:rPr>
        <w:t xml:space="preserve">. Y, dado que la primera acción de tutela culminó </w:t>
      </w:r>
      <w:r w:rsidR="00335AF4" w:rsidRPr="00A81029">
        <w:rPr>
          <w:rFonts w:asciiTheme="majorHAnsi" w:hAnsiTheme="majorHAnsi"/>
          <w:bCs/>
          <w:sz w:val="20"/>
          <w:szCs w:val="20"/>
          <w:lang w:val="es-ES"/>
        </w:rPr>
        <w:t xml:space="preserve">el 25 de septiembre de 2014 </w:t>
      </w:r>
      <w:r w:rsidR="009362A5" w:rsidRPr="00A81029">
        <w:rPr>
          <w:rFonts w:asciiTheme="majorHAnsi" w:hAnsiTheme="majorHAnsi"/>
          <w:bCs/>
          <w:sz w:val="20"/>
          <w:szCs w:val="20"/>
          <w:lang w:val="es-ES"/>
        </w:rPr>
        <w:t>con la notificación de la Corte Constitucional de su decisión de no revisar el expediente</w:t>
      </w:r>
      <w:r w:rsidR="00C753C0" w:rsidRPr="00A81029">
        <w:rPr>
          <w:rFonts w:asciiTheme="majorHAnsi" w:hAnsiTheme="majorHAnsi"/>
          <w:bCs/>
          <w:sz w:val="20"/>
          <w:szCs w:val="20"/>
          <w:lang w:val="es-ES"/>
        </w:rPr>
        <w:t>, y la petición fue interpuesta el 24 de agosto de 2015,</w:t>
      </w:r>
      <w:r w:rsidR="00C1580B" w:rsidRPr="00A81029">
        <w:rPr>
          <w:rFonts w:asciiTheme="majorHAnsi" w:hAnsiTheme="majorHAnsi"/>
          <w:bCs/>
          <w:sz w:val="20"/>
          <w:szCs w:val="20"/>
          <w:lang w:val="es-ES"/>
        </w:rPr>
        <w:t xml:space="preserve"> habían transcurrido once meses, con lo cual, resulta extemporánea, y, por consiguiente, inadmisible.</w:t>
      </w:r>
    </w:p>
    <w:p w14:paraId="10C5D0BB" w14:textId="5C09B3F2" w:rsidR="00C1580B" w:rsidRPr="00A81029" w:rsidRDefault="001A757D" w:rsidP="00A81029">
      <w:pPr>
        <w:pStyle w:val="ListParagraph"/>
        <w:numPr>
          <w:ilvl w:val="0"/>
          <w:numId w:val="61"/>
        </w:numPr>
        <w:ind w:left="0" w:firstLine="720"/>
        <w:jc w:val="both"/>
        <w:rPr>
          <w:rFonts w:asciiTheme="majorHAnsi" w:hAnsiTheme="majorHAnsi"/>
          <w:bCs/>
          <w:sz w:val="20"/>
          <w:szCs w:val="20"/>
          <w:lang w:val="es-ES"/>
        </w:rPr>
      </w:pPr>
      <w:r w:rsidRPr="00A81029">
        <w:rPr>
          <w:rFonts w:asciiTheme="majorHAnsi" w:hAnsiTheme="majorHAnsi"/>
          <w:bCs/>
          <w:sz w:val="20"/>
          <w:szCs w:val="20"/>
          <w:lang w:val="es-ES"/>
        </w:rPr>
        <w:t xml:space="preserve">Por último, el Estado </w:t>
      </w:r>
      <w:r w:rsidR="007162B7" w:rsidRPr="00A81029">
        <w:rPr>
          <w:rFonts w:asciiTheme="majorHAnsi" w:hAnsiTheme="majorHAnsi"/>
          <w:bCs/>
          <w:sz w:val="20"/>
          <w:szCs w:val="20"/>
          <w:lang w:val="es-ES"/>
        </w:rPr>
        <w:t>manifiest</w:t>
      </w:r>
      <w:r w:rsidR="00DC6E57" w:rsidRPr="00A81029">
        <w:rPr>
          <w:rFonts w:asciiTheme="majorHAnsi" w:hAnsiTheme="majorHAnsi"/>
          <w:bCs/>
          <w:sz w:val="20"/>
          <w:szCs w:val="20"/>
          <w:lang w:val="es-ES"/>
        </w:rPr>
        <w:t xml:space="preserve">a que </w:t>
      </w:r>
      <w:r w:rsidR="00F3439C" w:rsidRPr="00A81029">
        <w:rPr>
          <w:rFonts w:asciiTheme="majorHAnsi" w:hAnsiTheme="majorHAnsi"/>
          <w:bCs/>
          <w:sz w:val="20"/>
          <w:szCs w:val="20"/>
          <w:lang w:val="es-ES"/>
        </w:rPr>
        <w:t xml:space="preserve">la petición incurre en la denominada ‘fórmula de la cuarta instancia internacional’, </w:t>
      </w:r>
      <w:r w:rsidR="00E73808" w:rsidRPr="00A81029">
        <w:rPr>
          <w:rFonts w:asciiTheme="majorHAnsi" w:hAnsiTheme="majorHAnsi"/>
          <w:bCs/>
          <w:sz w:val="20"/>
          <w:szCs w:val="20"/>
          <w:lang w:val="es-ES"/>
        </w:rPr>
        <w:t>según</w:t>
      </w:r>
      <w:r w:rsidR="00F3439C" w:rsidRPr="00A81029">
        <w:rPr>
          <w:rFonts w:asciiTheme="majorHAnsi" w:hAnsiTheme="majorHAnsi"/>
          <w:bCs/>
          <w:sz w:val="20"/>
          <w:szCs w:val="20"/>
          <w:lang w:val="es-ES"/>
        </w:rPr>
        <w:t xml:space="preserve"> la cual, la CIDH </w:t>
      </w:r>
      <w:r w:rsidR="00417A9C" w:rsidRPr="00A81029">
        <w:rPr>
          <w:rFonts w:asciiTheme="majorHAnsi" w:hAnsiTheme="majorHAnsi"/>
          <w:bCs/>
          <w:sz w:val="20"/>
          <w:szCs w:val="20"/>
          <w:lang w:val="es-ES"/>
        </w:rPr>
        <w:t xml:space="preserve">no tiene la facultad de revisar providencias que emanan de los tribunales nacionales que actúen en la esfera de sus competencias </w:t>
      </w:r>
      <w:r w:rsidR="002F2E10" w:rsidRPr="00A81029">
        <w:rPr>
          <w:rFonts w:asciiTheme="majorHAnsi" w:hAnsiTheme="majorHAnsi"/>
          <w:bCs/>
          <w:sz w:val="20"/>
          <w:szCs w:val="20"/>
          <w:lang w:val="es-ES"/>
        </w:rPr>
        <w:t>y en aplicación de las garantías judiciales</w:t>
      </w:r>
      <w:r w:rsidR="0009556B" w:rsidRPr="00A81029">
        <w:rPr>
          <w:rFonts w:asciiTheme="majorHAnsi" w:hAnsiTheme="majorHAnsi"/>
          <w:bCs/>
          <w:sz w:val="20"/>
          <w:szCs w:val="20"/>
          <w:lang w:val="es-ES"/>
        </w:rPr>
        <w:t xml:space="preserve">, puesto que su función es garantizar la observancia </w:t>
      </w:r>
      <w:r w:rsidR="00FE1B65" w:rsidRPr="00A81029">
        <w:rPr>
          <w:rFonts w:asciiTheme="majorHAnsi" w:hAnsiTheme="majorHAnsi"/>
          <w:bCs/>
          <w:sz w:val="20"/>
          <w:szCs w:val="20"/>
          <w:lang w:val="es-ES"/>
        </w:rPr>
        <w:t>y no</w:t>
      </w:r>
      <w:r w:rsidR="0009556B" w:rsidRPr="00A81029">
        <w:rPr>
          <w:rFonts w:asciiTheme="majorHAnsi" w:hAnsiTheme="majorHAnsi"/>
          <w:bCs/>
          <w:sz w:val="20"/>
          <w:szCs w:val="20"/>
          <w:lang w:val="es-ES"/>
        </w:rPr>
        <w:t xml:space="preserve"> </w:t>
      </w:r>
      <w:r w:rsidR="007F3141" w:rsidRPr="00A81029">
        <w:rPr>
          <w:rFonts w:asciiTheme="majorHAnsi" w:hAnsiTheme="majorHAnsi"/>
          <w:bCs/>
          <w:sz w:val="20"/>
          <w:szCs w:val="20"/>
          <w:lang w:val="es-ES"/>
        </w:rPr>
        <w:t>fungir como un tribunal de alzada internacional</w:t>
      </w:r>
      <w:r w:rsidR="005927F5" w:rsidRPr="00A81029">
        <w:rPr>
          <w:rFonts w:asciiTheme="majorHAnsi" w:hAnsiTheme="majorHAnsi"/>
          <w:bCs/>
          <w:sz w:val="20"/>
          <w:szCs w:val="20"/>
          <w:lang w:val="es-ES"/>
        </w:rPr>
        <w:t>.</w:t>
      </w:r>
      <w:r w:rsidR="009304FA" w:rsidRPr="00A81029">
        <w:rPr>
          <w:rFonts w:asciiTheme="majorHAnsi" w:hAnsiTheme="majorHAnsi"/>
          <w:bCs/>
          <w:sz w:val="20"/>
          <w:szCs w:val="20"/>
          <w:lang w:val="es-ES"/>
        </w:rPr>
        <w:t xml:space="preserve"> En ese sentido, </w:t>
      </w:r>
      <w:r w:rsidR="000A1912" w:rsidRPr="00A81029">
        <w:rPr>
          <w:rFonts w:asciiTheme="majorHAnsi" w:hAnsiTheme="majorHAnsi"/>
          <w:bCs/>
          <w:sz w:val="20"/>
          <w:szCs w:val="20"/>
          <w:lang w:val="es-ES"/>
        </w:rPr>
        <w:t xml:space="preserve">Colombia recalca que </w:t>
      </w:r>
      <w:r w:rsidR="00FC0860" w:rsidRPr="00A81029">
        <w:rPr>
          <w:rFonts w:asciiTheme="majorHAnsi" w:hAnsiTheme="majorHAnsi"/>
          <w:bCs/>
          <w:sz w:val="20"/>
          <w:szCs w:val="20"/>
          <w:lang w:val="es-ES"/>
        </w:rPr>
        <w:t>la pretensión principal</w:t>
      </w:r>
      <w:r w:rsidR="00ED26EB" w:rsidRPr="00A81029">
        <w:rPr>
          <w:rFonts w:asciiTheme="majorHAnsi" w:hAnsiTheme="majorHAnsi"/>
          <w:bCs/>
          <w:sz w:val="20"/>
          <w:szCs w:val="20"/>
          <w:lang w:val="es-ES"/>
        </w:rPr>
        <w:t xml:space="preserve"> del peticionario </w:t>
      </w:r>
      <w:r w:rsidR="005D491F" w:rsidRPr="00A81029">
        <w:rPr>
          <w:rFonts w:asciiTheme="majorHAnsi" w:hAnsiTheme="majorHAnsi"/>
          <w:bCs/>
          <w:sz w:val="20"/>
          <w:szCs w:val="20"/>
          <w:lang w:val="es-ES"/>
        </w:rPr>
        <w:t xml:space="preserve">se refiere a un aspecto que ya fue resuelto a nivel interno, donde se determinó que </w:t>
      </w:r>
      <w:r w:rsidR="006C690D" w:rsidRPr="00A81029">
        <w:rPr>
          <w:rFonts w:asciiTheme="majorHAnsi" w:hAnsiTheme="majorHAnsi"/>
          <w:bCs/>
          <w:sz w:val="20"/>
          <w:szCs w:val="20"/>
          <w:lang w:val="es-ES"/>
        </w:rPr>
        <w:t>la notificación de la sentencia de segunda instancia se realizó a la</w:t>
      </w:r>
      <w:r w:rsidR="00E541DA" w:rsidRPr="00A81029">
        <w:rPr>
          <w:rFonts w:asciiTheme="majorHAnsi" w:hAnsiTheme="majorHAnsi"/>
          <w:bCs/>
          <w:sz w:val="20"/>
          <w:szCs w:val="20"/>
          <w:lang w:val="es-ES"/>
        </w:rPr>
        <w:t>s</w:t>
      </w:r>
      <w:r w:rsidR="006C690D" w:rsidRPr="00A81029">
        <w:rPr>
          <w:rFonts w:asciiTheme="majorHAnsi" w:hAnsiTheme="majorHAnsi"/>
          <w:bCs/>
          <w:sz w:val="20"/>
          <w:szCs w:val="20"/>
          <w:lang w:val="es-ES"/>
        </w:rPr>
        <w:t xml:space="preserve"> </w:t>
      </w:r>
      <w:r w:rsidR="00D50320" w:rsidRPr="00A81029">
        <w:rPr>
          <w:rFonts w:asciiTheme="majorHAnsi" w:hAnsiTheme="majorHAnsi"/>
          <w:bCs/>
          <w:sz w:val="20"/>
          <w:szCs w:val="20"/>
          <w:lang w:val="es-ES"/>
        </w:rPr>
        <w:t>direcci</w:t>
      </w:r>
      <w:r w:rsidR="00E541DA" w:rsidRPr="00A81029">
        <w:rPr>
          <w:rFonts w:asciiTheme="majorHAnsi" w:hAnsiTheme="majorHAnsi"/>
          <w:bCs/>
          <w:sz w:val="20"/>
          <w:szCs w:val="20"/>
          <w:lang w:val="es-ES"/>
        </w:rPr>
        <w:t>ones</w:t>
      </w:r>
      <w:r w:rsidR="00D50320" w:rsidRPr="00A81029">
        <w:rPr>
          <w:rFonts w:asciiTheme="majorHAnsi" w:hAnsiTheme="majorHAnsi"/>
          <w:bCs/>
          <w:sz w:val="20"/>
          <w:szCs w:val="20"/>
          <w:lang w:val="es-ES"/>
        </w:rPr>
        <w:t xml:space="preserve"> proporcionada</w:t>
      </w:r>
      <w:r w:rsidR="00E541DA" w:rsidRPr="00A81029">
        <w:rPr>
          <w:rFonts w:asciiTheme="majorHAnsi" w:hAnsiTheme="majorHAnsi"/>
          <w:bCs/>
          <w:sz w:val="20"/>
          <w:szCs w:val="20"/>
          <w:lang w:val="es-ES"/>
        </w:rPr>
        <w:t>s</w:t>
      </w:r>
      <w:r w:rsidR="00D50320" w:rsidRPr="00A81029">
        <w:rPr>
          <w:rFonts w:asciiTheme="majorHAnsi" w:hAnsiTheme="majorHAnsi"/>
          <w:bCs/>
          <w:sz w:val="20"/>
          <w:szCs w:val="20"/>
          <w:lang w:val="es-ES"/>
        </w:rPr>
        <w:t xml:space="preserve"> por </w:t>
      </w:r>
      <w:r w:rsidR="00E541DA" w:rsidRPr="00A81029">
        <w:rPr>
          <w:rFonts w:asciiTheme="majorHAnsi" w:hAnsiTheme="majorHAnsi"/>
          <w:bCs/>
          <w:sz w:val="20"/>
          <w:szCs w:val="20"/>
          <w:lang w:val="es-ES"/>
        </w:rPr>
        <w:t>su</w:t>
      </w:r>
      <w:r w:rsidR="00D50320" w:rsidRPr="00A81029">
        <w:rPr>
          <w:rFonts w:asciiTheme="majorHAnsi" w:hAnsiTheme="majorHAnsi"/>
          <w:bCs/>
          <w:sz w:val="20"/>
          <w:szCs w:val="20"/>
          <w:lang w:val="es-ES"/>
        </w:rPr>
        <w:t xml:space="preserve"> defensor de confianza</w:t>
      </w:r>
      <w:r w:rsidR="00983979" w:rsidRPr="00A81029">
        <w:rPr>
          <w:rFonts w:asciiTheme="majorHAnsi" w:hAnsiTheme="majorHAnsi"/>
          <w:bCs/>
          <w:sz w:val="20"/>
          <w:szCs w:val="20"/>
          <w:lang w:val="es-ES"/>
        </w:rPr>
        <w:t xml:space="preserve">, y no se encontraba registrada la de </w:t>
      </w:r>
      <w:r w:rsidR="00BE4377" w:rsidRPr="00A81029">
        <w:rPr>
          <w:rFonts w:asciiTheme="majorHAnsi" w:hAnsiTheme="majorHAnsi"/>
          <w:bCs/>
          <w:sz w:val="20"/>
          <w:szCs w:val="20"/>
          <w:lang w:val="es-ES"/>
        </w:rPr>
        <w:t>la presunta víctima porque no había sido informada por su defensor en el curso del proceso</w:t>
      </w:r>
      <w:r w:rsidR="00D50320" w:rsidRPr="00A81029">
        <w:rPr>
          <w:rFonts w:asciiTheme="majorHAnsi" w:hAnsiTheme="majorHAnsi"/>
          <w:bCs/>
          <w:sz w:val="20"/>
          <w:szCs w:val="20"/>
          <w:lang w:val="es-ES"/>
        </w:rPr>
        <w:t>.</w:t>
      </w:r>
      <w:r w:rsidR="00E544B4" w:rsidRPr="00A81029">
        <w:rPr>
          <w:rFonts w:asciiTheme="majorHAnsi" w:hAnsiTheme="majorHAnsi"/>
          <w:bCs/>
          <w:sz w:val="20"/>
          <w:szCs w:val="20"/>
          <w:lang w:val="es-ES"/>
        </w:rPr>
        <w:t xml:space="preserve"> Por esta razón, los tribunales internos concluyeron que la notificación no estaba viciada de nulidad, y los recursos resultaron improcedentes. De tal manera, el Estado solicita a la CIDH declarar la inadmisibilidad de esta petición</w:t>
      </w:r>
      <w:r w:rsidR="00AB20BA" w:rsidRPr="00A81029">
        <w:rPr>
          <w:rFonts w:asciiTheme="majorHAnsi" w:hAnsiTheme="majorHAnsi"/>
          <w:bCs/>
          <w:sz w:val="20"/>
          <w:szCs w:val="20"/>
          <w:lang w:val="es-ES"/>
        </w:rPr>
        <w:t xml:space="preserve"> porque pretende revertir las decisiones adoptadas, conforme al derecho internos, en el incidente de nulidad de la notificación</w:t>
      </w:r>
      <w:r w:rsidR="003D4C38" w:rsidRPr="00A81029">
        <w:rPr>
          <w:rFonts w:asciiTheme="majorHAnsi" w:hAnsiTheme="majorHAnsi"/>
          <w:bCs/>
          <w:sz w:val="20"/>
          <w:szCs w:val="20"/>
          <w:lang w:val="es-ES"/>
        </w:rPr>
        <w:t xml:space="preserve"> de la sentencia de segunda instancia</w:t>
      </w:r>
      <w:r w:rsidR="00AB20BA" w:rsidRPr="00A81029">
        <w:rPr>
          <w:rFonts w:asciiTheme="majorHAnsi" w:hAnsiTheme="majorHAnsi"/>
          <w:bCs/>
          <w:sz w:val="20"/>
          <w:szCs w:val="20"/>
          <w:lang w:val="es-ES"/>
        </w:rPr>
        <w:t>.</w:t>
      </w:r>
    </w:p>
    <w:p w14:paraId="41988528" w14:textId="77777777" w:rsidR="00AB1E19" w:rsidRPr="00A81029" w:rsidRDefault="00AB1E19" w:rsidP="00A81029">
      <w:pPr>
        <w:pStyle w:val="ListParagraph"/>
        <w:numPr>
          <w:ilvl w:val="0"/>
          <w:numId w:val="0"/>
        </w:numPr>
        <w:ind w:left="720"/>
        <w:jc w:val="both"/>
        <w:rPr>
          <w:rFonts w:asciiTheme="majorHAnsi" w:hAnsiTheme="majorHAnsi"/>
          <w:bCs/>
          <w:sz w:val="20"/>
          <w:szCs w:val="20"/>
          <w:lang w:val="es-ES"/>
        </w:rPr>
      </w:pPr>
    </w:p>
    <w:p w14:paraId="51F68C92" w14:textId="7027B74E" w:rsidR="003239B8" w:rsidRPr="00A81029" w:rsidRDefault="004A6A54" w:rsidP="008173FB">
      <w:pPr>
        <w:pStyle w:val="ListParagraph"/>
        <w:numPr>
          <w:ilvl w:val="0"/>
          <w:numId w:val="64"/>
        </w:numPr>
        <w:ind w:hanging="450"/>
        <w:jc w:val="both"/>
        <w:rPr>
          <w:sz w:val="20"/>
          <w:szCs w:val="20"/>
          <w:lang w:val="es-ES"/>
        </w:rPr>
      </w:pPr>
      <w:r w:rsidRPr="00A81029">
        <w:rPr>
          <w:rFonts w:asciiTheme="majorHAnsi" w:hAnsiTheme="majorHAnsi"/>
          <w:b/>
          <w:bCs/>
          <w:sz w:val="20"/>
          <w:szCs w:val="20"/>
          <w:lang w:val="es-ES"/>
        </w:rPr>
        <w:lastRenderedPageBreak/>
        <w:t xml:space="preserve">ANÁLISIS DE </w:t>
      </w:r>
      <w:r w:rsidR="00C21FEF" w:rsidRPr="00A81029">
        <w:rPr>
          <w:rFonts w:asciiTheme="majorHAnsi" w:hAnsiTheme="majorHAnsi"/>
          <w:b/>
          <w:sz w:val="20"/>
          <w:szCs w:val="20"/>
          <w:lang w:val="es-ES"/>
        </w:rPr>
        <w:t>AGOTAMIENTO DE LOS RECURSOS INTERNOS Y PLAZO DE PRESENTACIÓN</w:t>
      </w:r>
      <w:r w:rsidR="00C21FEF" w:rsidRPr="00A81029">
        <w:rPr>
          <w:rFonts w:asciiTheme="majorHAnsi" w:hAnsiTheme="majorHAnsi"/>
          <w:b/>
          <w:bCs/>
          <w:sz w:val="20"/>
          <w:szCs w:val="20"/>
          <w:lang w:val="es-ES"/>
        </w:rPr>
        <w:t xml:space="preserve"> </w:t>
      </w:r>
    </w:p>
    <w:p w14:paraId="7A7BA3C3" w14:textId="5CED1FCF" w:rsidR="006C0ECF" w:rsidRPr="00A81029" w:rsidRDefault="0048500E" w:rsidP="00A81029">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A81029">
        <w:rPr>
          <w:sz w:val="20"/>
          <w:szCs w:val="20"/>
          <w:lang w:val="es-ES"/>
        </w:rPr>
        <w:t>La presente petición versa sobre la alegada falta de notificación de la sentencia condenatoria a</w:t>
      </w:r>
      <w:r w:rsidR="008E692E" w:rsidRPr="00A81029">
        <w:rPr>
          <w:sz w:val="20"/>
          <w:szCs w:val="20"/>
          <w:lang w:val="es-ES"/>
        </w:rPr>
        <w:t xml:space="preserve"> la presunta víctima</w:t>
      </w:r>
      <w:r w:rsidRPr="00A81029">
        <w:rPr>
          <w:sz w:val="20"/>
          <w:szCs w:val="20"/>
          <w:lang w:val="es-ES"/>
        </w:rPr>
        <w:t>. El Estado</w:t>
      </w:r>
      <w:r w:rsidR="0021275C" w:rsidRPr="00A81029">
        <w:rPr>
          <w:sz w:val="20"/>
          <w:szCs w:val="20"/>
          <w:lang w:val="es-ES"/>
        </w:rPr>
        <w:t xml:space="preserve"> arguye que la petición es extemporánea porque la decisión que agotó los recursos a nivel interno fue </w:t>
      </w:r>
      <w:r w:rsidR="004E49AC" w:rsidRPr="00A81029">
        <w:rPr>
          <w:sz w:val="20"/>
          <w:szCs w:val="20"/>
          <w:lang w:val="es-ES"/>
        </w:rPr>
        <w:t>la</w:t>
      </w:r>
      <w:r w:rsidR="007764CA" w:rsidRPr="00A81029">
        <w:rPr>
          <w:sz w:val="20"/>
          <w:szCs w:val="20"/>
          <w:lang w:val="es-ES"/>
        </w:rPr>
        <w:t xml:space="preserve"> que concluyó </w:t>
      </w:r>
      <w:r w:rsidR="004D126B" w:rsidRPr="00A81029">
        <w:rPr>
          <w:sz w:val="20"/>
          <w:szCs w:val="20"/>
          <w:lang w:val="es-ES"/>
        </w:rPr>
        <w:t>el trámite de</w:t>
      </w:r>
      <w:r w:rsidR="007764CA" w:rsidRPr="00A81029">
        <w:rPr>
          <w:sz w:val="20"/>
          <w:szCs w:val="20"/>
          <w:lang w:val="es-ES"/>
        </w:rPr>
        <w:t xml:space="preserve"> la primera acción de tutela el 25 de septiembre de 2014</w:t>
      </w:r>
      <w:r w:rsidR="004D126B" w:rsidRPr="00A81029">
        <w:rPr>
          <w:sz w:val="20"/>
          <w:szCs w:val="20"/>
          <w:lang w:val="es-ES"/>
        </w:rPr>
        <w:t>, proferida por la Corte Constitucional</w:t>
      </w:r>
      <w:r w:rsidR="007764CA" w:rsidRPr="00A81029">
        <w:rPr>
          <w:sz w:val="20"/>
          <w:szCs w:val="20"/>
          <w:lang w:val="es-ES"/>
        </w:rPr>
        <w:t>.</w:t>
      </w:r>
      <w:r w:rsidR="00496B10" w:rsidRPr="00A81029">
        <w:rPr>
          <w:sz w:val="20"/>
          <w:szCs w:val="20"/>
          <w:lang w:val="es-ES"/>
        </w:rPr>
        <w:t xml:space="preserve"> El peticionario replica que la segunda acción de tutela fue un intento válido de agotar la jurisdicción interna porque </w:t>
      </w:r>
      <w:r w:rsidR="00743195" w:rsidRPr="00A81029">
        <w:rPr>
          <w:sz w:val="20"/>
          <w:szCs w:val="20"/>
          <w:lang w:val="es-ES"/>
        </w:rPr>
        <w:t xml:space="preserve">tuvo sustento </w:t>
      </w:r>
      <w:r w:rsidR="00496B10" w:rsidRPr="00A81029">
        <w:rPr>
          <w:sz w:val="20"/>
          <w:szCs w:val="20"/>
          <w:lang w:val="es-ES"/>
        </w:rPr>
        <w:t xml:space="preserve">en un hecho nuevo, </w:t>
      </w:r>
      <w:r w:rsidR="00ED113C" w:rsidRPr="00A81029">
        <w:rPr>
          <w:sz w:val="20"/>
          <w:szCs w:val="20"/>
          <w:lang w:val="es-ES"/>
        </w:rPr>
        <w:t xml:space="preserve">esto es, </w:t>
      </w:r>
      <w:r w:rsidR="00D929F2" w:rsidRPr="00A81029">
        <w:rPr>
          <w:sz w:val="20"/>
          <w:szCs w:val="20"/>
          <w:lang w:val="es-ES"/>
        </w:rPr>
        <w:t xml:space="preserve">el </w:t>
      </w:r>
      <w:r w:rsidR="00ED113C" w:rsidRPr="00A81029">
        <w:rPr>
          <w:sz w:val="20"/>
          <w:szCs w:val="20"/>
          <w:lang w:val="es-ES"/>
        </w:rPr>
        <w:t>incidente de nulidad de notificación.</w:t>
      </w:r>
    </w:p>
    <w:p w14:paraId="4D7045E1" w14:textId="03A9847A" w:rsidR="008C5E2D" w:rsidRPr="00A81029" w:rsidRDefault="00E25C10" w:rsidP="00A81029">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A81029">
        <w:rPr>
          <w:sz w:val="20"/>
          <w:szCs w:val="20"/>
          <w:lang w:val="es-ES"/>
        </w:rPr>
        <w:t xml:space="preserve">El artículo 46.1.a) de la Convención Americana dispone que para que una petición sea admitida se requiere “que se hayan interpuesto y agotado los recursos de jurisdicción interna, conforme a los principios del Derecho Internacional generalmente reconocidos”. </w:t>
      </w:r>
      <w:r w:rsidR="004A7F6D" w:rsidRPr="00A81029">
        <w:rPr>
          <w:sz w:val="20"/>
          <w:szCs w:val="20"/>
          <w:lang w:val="es-ES"/>
        </w:rPr>
        <w:t>La CIDH recuerda que el requisito de agotamiento de los recursos internos no significa que las presuntas víctimas tengan necesariamente la obligación de agotar todos los recursos que tengan disponibles</w:t>
      </w:r>
      <w:r w:rsidR="009B6E2C" w:rsidRPr="00A81029">
        <w:rPr>
          <w:rStyle w:val="FootnoteReference"/>
          <w:rFonts w:cs="Calibri"/>
          <w:sz w:val="20"/>
          <w:szCs w:val="20"/>
          <w:lang w:val="es-ES"/>
        </w:rPr>
        <w:footnoteReference w:id="6"/>
      </w:r>
      <w:r w:rsidR="002449D3" w:rsidRPr="00A81029">
        <w:rPr>
          <w:sz w:val="20"/>
          <w:szCs w:val="20"/>
          <w:lang w:val="es-ES"/>
        </w:rPr>
        <w:t>.</w:t>
      </w:r>
      <w:r w:rsidR="004A7F6D" w:rsidRPr="00A81029">
        <w:rPr>
          <w:sz w:val="20"/>
          <w:szCs w:val="20"/>
          <w:lang w:val="es-ES"/>
        </w:rPr>
        <w:t xml:space="preserve"> </w:t>
      </w:r>
      <w:r w:rsidR="002449D3" w:rsidRPr="00A81029">
        <w:rPr>
          <w:sz w:val="20"/>
          <w:szCs w:val="20"/>
          <w:lang w:val="es-ES"/>
        </w:rPr>
        <w:t>S</w:t>
      </w:r>
      <w:r w:rsidR="004A7F6D" w:rsidRPr="00A81029">
        <w:rPr>
          <w:sz w:val="20"/>
          <w:szCs w:val="20"/>
          <w:lang w:val="es-ES"/>
        </w:rPr>
        <w:t xml:space="preserve">in embargo, </w:t>
      </w:r>
      <w:r w:rsidR="00A17694" w:rsidRPr="00A81029">
        <w:rPr>
          <w:sz w:val="20"/>
          <w:szCs w:val="20"/>
          <w:lang w:val="es-ES"/>
        </w:rPr>
        <w:t xml:space="preserve">si bien en principio puede ser suficiente que la presunta víctima agote los recursos ordinarios, si </w:t>
      </w:r>
      <w:r w:rsidR="00554AED" w:rsidRPr="00A81029">
        <w:rPr>
          <w:sz w:val="20"/>
          <w:szCs w:val="20"/>
          <w:lang w:val="es-ES"/>
        </w:rPr>
        <w:t xml:space="preserve">ésta opta por ejercer los </w:t>
      </w:r>
      <w:r w:rsidR="00A17694" w:rsidRPr="00A81029">
        <w:rPr>
          <w:sz w:val="20"/>
          <w:szCs w:val="20"/>
          <w:lang w:val="es-ES"/>
        </w:rPr>
        <w:t>recursos extraordinarios</w:t>
      </w:r>
      <w:r w:rsidR="00554AED" w:rsidRPr="00A81029">
        <w:rPr>
          <w:sz w:val="20"/>
          <w:szCs w:val="20"/>
          <w:lang w:val="es-ES"/>
        </w:rPr>
        <w:t>, y lo hace</w:t>
      </w:r>
      <w:r w:rsidR="00A17694" w:rsidRPr="00A81029">
        <w:rPr>
          <w:sz w:val="20"/>
          <w:szCs w:val="20"/>
          <w:lang w:val="es-ES"/>
        </w:rPr>
        <w:t xml:space="preserve"> de manera correcta y con la expectativa razonable de obtener un resultado favorable, entonces estos pueden tomarse en cuenta como recursos válidamente agotados para efectos del cumplimiento de los requisitos de admisibilidad de la petición</w:t>
      </w:r>
      <w:r w:rsidR="00A17694" w:rsidRPr="00A81029">
        <w:rPr>
          <w:sz w:val="20"/>
          <w:szCs w:val="20"/>
          <w:vertAlign w:val="superscript"/>
          <w:lang w:val="es-ES"/>
        </w:rPr>
        <w:footnoteReference w:id="7"/>
      </w:r>
      <w:r w:rsidR="00A17694" w:rsidRPr="00A81029">
        <w:rPr>
          <w:sz w:val="20"/>
          <w:szCs w:val="20"/>
          <w:lang w:val="es-ES"/>
        </w:rPr>
        <w:t>.</w:t>
      </w:r>
    </w:p>
    <w:p w14:paraId="1F52FC37" w14:textId="16E48C99" w:rsidR="00017293" w:rsidRPr="00A81029" w:rsidRDefault="000674F9" w:rsidP="00A81029">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A81029">
        <w:rPr>
          <w:sz w:val="20"/>
          <w:szCs w:val="20"/>
          <w:lang w:val="es-ES"/>
        </w:rPr>
        <w:t>En este sentido</w:t>
      </w:r>
      <w:r w:rsidR="00017293" w:rsidRPr="00A81029">
        <w:rPr>
          <w:sz w:val="20"/>
          <w:szCs w:val="20"/>
          <w:lang w:val="es-ES"/>
        </w:rPr>
        <w:t xml:space="preserve"> el peticionario promovió una segunda acción de tutela contra la</w:t>
      </w:r>
      <w:r w:rsidR="00F5506D" w:rsidRPr="00A81029">
        <w:rPr>
          <w:sz w:val="20"/>
          <w:szCs w:val="20"/>
          <w:lang w:val="es-ES"/>
        </w:rPr>
        <w:t xml:space="preserve"> decisión del incidente de nulidad por indebida notificación</w:t>
      </w:r>
      <w:r w:rsidR="00D01DB1" w:rsidRPr="00A81029">
        <w:rPr>
          <w:sz w:val="20"/>
          <w:szCs w:val="20"/>
          <w:lang w:val="es-ES"/>
        </w:rPr>
        <w:t xml:space="preserve"> el 24 de febrero de 2015, </w:t>
      </w:r>
      <w:r w:rsidR="003E6276" w:rsidRPr="00A81029">
        <w:rPr>
          <w:sz w:val="20"/>
          <w:szCs w:val="20"/>
          <w:lang w:val="es-ES"/>
        </w:rPr>
        <w:t xml:space="preserve">al tiempo que </w:t>
      </w:r>
      <w:r w:rsidR="0001306C" w:rsidRPr="00A81029">
        <w:rPr>
          <w:sz w:val="20"/>
          <w:szCs w:val="20"/>
          <w:lang w:val="es-ES"/>
        </w:rPr>
        <w:t xml:space="preserve">interpuso un recurso extraordinario de revisión en el proceso penal en marzo de ese mismo año. </w:t>
      </w:r>
      <w:r w:rsidR="001175D7" w:rsidRPr="00A81029">
        <w:rPr>
          <w:sz w:val="20"/>
          <w:szCs w:val="20"/>
          <w:lang w:val="es-ES"/>
        </w:rPr>
        <w:t>Sobre la primera, el Estado informa que fue rechazada por temeridad de la acción al reproducir los mismos hechos que ya habían sido fallados</w:t>
      </w:r>
      <w:r w:rsidR="009B69EE" w:rsidRPr="00A81029">
        <w:rPr>
          <w:sz w:val="20"/>
          <w:szCs w:val="20"/>
          <w:lang w:val="es-ES"/>
        </w:rPr>
        <w:t>,</w:t>
      </w:r>
      <w:r w:rsidR="001175D7" w:rsidRPr="00A81029">
        <w:rPr>
          <w:sz w:val="20"/>
          <w:szCs w:val="20"/>
          <w:lang w:val="es-ES"/>
        </w:rPr>
        <w:t xml:space="preserve"> </w:t>
      </w:r>
      <w:r w:rsidR="008F3266" w:rsidRPr="00A81029">
        <w:rPr>
          <w:sz w:val="20"/>
          <w:szCs w:val="20"/>
          <w:lang w:val="es-ES"/>
        </w:rPr>
        <w:t xml:space="preserve">ante lo cual, el Sr. Vega Goyeche </w:t>
      </w:r>
      <w:r w:rsidR="009B69EE" w:rsidRPr="00A81029">
        <w:rPr>
          <w:sz w:val="20"/>
          <w:szCs w:val="20"/>
          <w:lang w:val="es-ES"/>
        </w:rPr>
        <w:t>interpuso</w:t>
      </w:r>
      <w:r w:rsidR="008F3266" w:rsidRPr="00A81029">
        <w:rPr>
          <w:sz w:val="20"/>
          <w:szCs w:val="20"/>
          <w:lang w:val="es-ES"/>
        </w:rPr>
        <w:t xml:space="preserve"> un recurso de reposición que fue declarado improcedente</w:t>
      </w:r>
      <w:r w:rsidR="002927F5" w:rsidRPr="00A81029">
        <w:rPr>
          <w:sz w:val="20"/>
          <w:szCs w:val="20"/>
          <w:lang w:val="es-ES"/>
        </w:rPr>
        <w:t xml:space="preserve">. </w:t>
      </w:r>
      <w:r w:rsidR="003E06AC" w:rsidRPr="00A81029">
        <w:rPr>
          <w:sz w:val="20"/>
          <w:szCs w:val="20"/>
          <w:lang w:val="es-ES"/>
        </w:rPr>
        <w:t>L</w:t>
      </w:r>
      <w:r w:rsidR="00673C88" w:rsidRPr="00A81029">
        <w:rPr>
          <w:sz w:val="20"/>
          <w:szCs w:val="20"/>
          <w:lang w:val="es-ES"/>
        </w:rPr>
        <w:t xml:space="preserve">a CIDH advierte que, si bien el peticionario ejerció una acción constitucional como la tutela, </w:t>
      </w:r>
      <w:r w:rsidR="009E53F7" w:rsidRPr="00A81029">
        <w:rPr>
          <w:sz w:val="20"/>
          <w:szCs w:val="20"/>
          <w:lang w:val="es-ES"/>
        </w:rPr>
        <w:t>no agotó el trámite en debida forma</w:t>
      </w:r>
      <w:r w:rsidR="009B69EE" w:rsidRPr="00A81029">
        <w:rPr>
          <w:sz w:val="20"/>
          <w:szCs w:val="20"/>
          <w:lang w:val="es-ES"/>
        </w:rPr>
        <w:t>,</w:t>
      </w:r>
      <w:r w:rsidR="009E53F7" w:rsidRPr="00A81029">
        <w:rPr>
          <w:sz w:val="20"/>
          <w:szCs w:val="20"/>
          <w:lang w:val="es-ES"/>
        </w:rPr>
        <w:t xml:space="preserve"> pues si consideraba que existía un hecho nuevo </w:t>
      </w:r>
      <w:r w:rsidR="0082122B" w:rsidRPr="00A81029">
        <w:rPr>
          <w:sz w:val="20"/>
          <w:szCs w:val="20"/>
          <w:lang w:val="es-ES"/>
        </w:rPr>
        <w:t>correspondía impugnar la decisión de primera instancia</w:t>
      </w:r>
      <w:r w:rsidR="00993C66" w:rsidRPr="00A81029">
        <w:rPr>
          <w:sz w:val="20"/>
          <w:szCs w:val="20"/>
          <w:lang w:val="es-ES"/>
        </w:rPr>
        <w:t xml:space="preserve"> mediante una apelación</w:t>
      </w:r>
      <w:r w:rsidR="0082122B" w:rsidRPr="00A81029">
        <w:rPr>
          <w:sz w:val="20"/>
          <w:szCs w:val="20"/>
          <w:lang w:val="es-ES"/>
        </w:rPr>
        <w:t>, pero en su lugar interpuso un recurso abiertamente improcedente, cual fue el de reposición.</w:t>
      </w:r>
    </w:p>
    <w:p w14:paraId="6D1246BB" w14:textId="03442C99" w:rsidR="00B057CA" w:rsidRPr="00A81029" w:rsidRDefault="00B71F1E" w:rsidP="00A81029">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A81029">
        <w:rPr>
          <w:bCs/>
          <w:sz w:val="20"/>
          <w:szCs w:val="20"/>
          <w:lang w:val="es-ES"/>
        </w:rPr>
        <w:t>A este respecto, l</w:t>
      </w:r>
      <w:r w:rsidR="00B3038B" w:rsidRPr="00A81029">
        <w:rPr>
          <w:bCs/>
          <w:sz w:val="20"/>
          <w:szCs w:val="20"/>
          <w:lang w:val="es-ES"/>
        </w:rPr>
        <w:t>a C</w:t>
      </w:r>
      <w:r w:rsidRPr="00A81029">
        <w:rPr>
          <w:bCs/>
          <w:sz w:val="20"/>
          <w:szCs w:val="20"/>
          <w:lang w:val="es-ES"/>
        </w:rPr>
        <w:t>omisión Interamericana</w:t>
      </w:r>
      <w:r w:rsidR="00B3038B" w:rsidRPr="00A81029">
        <w:rPr>
          <w:bCs/>
          <w:sz w:val="20"/>
          <w:szCs w:val="20"/>
          <w:lang w:val="es-ES"/>
        </w:rPr>
        <w:t xml:space="preserve"> ya ha establecido que la parte peticionaria debe agotar los recursos internos de conformidad con la legislación procesal interna</w:t>
      </w:r>
      <w:r w:rsidR="00B3038B" w:rsidRPr="00A81029">
        <w:rPr>
          <w:bCs/>
          <w:sz w:val="20"/>
          <w:szCs w:val="20"/>
          <w:vertAlign w:val="superscript"/>
          <w:lang w:val="es-ES"/>
        </w:rPr>
        <w:footnoteReference w:id="8"/>
      </w:r>
      <w:r w:rsidR="00B3038B" w:rsidRPr="00A81029">
        <w:rPr>
          <w:bCs/>
          <w:sz w:val="20"/>
          <w:szCs w:val="20"/>
          <w:lang w:val="es-ES"/>
        </w:rPr>
        <w:t>.</w:t>
      </w:r>
      <w:r w:rsidR="009126EA" w:rsidRPr="00A81029">
        <w:rPr>
          <w:bCs/>
          <w:sz w:val="20"/>
          <w:szCs w:val="20"/>
          <w:lang w:val="es-ES"/>
        </w:rPr>
        <w:t xml:space="preserve"> No obstante, en el presente caso, resulta evidente que el peticionario agotó la segunda acción de tutela de manera indebida, </w:t>
      </w:r>
      <w:r w:rsidR="00B057CA" w:rsidRPr="00A81029">
        <w:rPr>
          <w:bCs/>
          <w:sz w:val="20"/>
          <w:szCs w:val="20"/>
          <w:lang w:val="es-ES"/>
        </w:rPr>
        <w:t>pues la impugnó mediante un recurso abiertamente improcedente</w:t>
      </w:r>
      <w:r w:rsidR="00A81029" w:rsidRPr="00A81029">
        <w:rPr>
          <w:bCs/>
          <w:sz w:val="20"/>
          <w:szCs w:val="20"/>
          <w:lang w:val="es-ES"/>
        </w:rPr>
        <w:t xml:space="preserve">. </w:t>
      </w:r>
      <w:r w:rsidR="00B057CA" w:rsidRPr="00A81029">
        <w:rPr>
          <w:bCs/>
          <w:sz w:val="20"/>
          <w:szCs w:val="20"/>
          <w:lang w:val="es-ES"/>
        </w:rPr>
        <w:t xml:space="preserve">La misma suerte corre el recurso de revisión instaurado con posterioridad a la acción de tutela, ya que la Corte Suprema declaró que era un mecanismo </w:t>
      </w:r>
      <w:r w:rsidR="00B27F6B" w:rsidRPr="00A81029">
        <w:rPr>
          <w:bCs/>
          <w:sz w:val="20"/>
          <w:szCs w:val="20"/>
          <w:lang w:val="es-ES"/>
        </w:rPr>
        <w:t>que pertenecía a la jurisdicción civil y no a la penal.</w:t>
      </w:r>
    </w:p>
    <w:p w14:paraId="1A206D9A" w14:textId="4ADCDBB1" w:rsidR="00B27F6B" w:rsidRPr="00A81029" w:rsidRDefault="00145D9C" w:rsidP="00A81029">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A81029">
        <w:rPr>
          <w:bCs/>
          <w:sz w:val="20"/>
          <w:szCs w:val="20"/>
          <w:lang w:val="es-ES"/>
        </w:rPr>
        <w:t>Así</w:t>
      </w:r>
      <w:r w:rsidR="00235CE0" w:rsidRPr="00A81029">
        <w:rPr>
          <w:bCs/>
          <w:sz w:val="20"/>
          <w:szCs w:val="20"/>
          <w:lang w:val="es-ES"/>
        </w:rPr>
        <w:t xml:space="preserve">, respecto de </w:t>
      </w:r>
      <w:r w:rsidRPr="00A81029">
        <w:rPr>
          <w:bCs/>
          <w:sz w:val="20"/>
          <w:szCs w:val="20"/>
          <w:lang w:val="es-ES"/>
        </w:rPr>
        <w:t xml:space="preserve">los recursos que sí agotó en debida forma, esto es, </w:t>
      </w:r>
      <w:r w:rsidR="00235CE0" w:rsidRPr="00A81029">
        <w:rPr>
          <w:bCs/>
          <w:sz w:val="20"/>
          <w:szCs w:val="20"/>
          <w:lang w:val="es-ES"/>
        </w:rPr>
        <w:t xml:space="preserve">la primera acción de tutela y del incidente de nulidad, la petición resulta extemporánea, pues ambos </w:t>
      </w:r>
      <w:r w:rsidR="00DA5439" w:rsidRPr="00A81029">
        <w:rPr>
          <w:bCs/>
          <w:sz w:val="20"/>
          <w:szCs w:val="20"/>
          <w:lang w:val="es-ES"/>
        </w:rPr>
        <w:t xml:space="preserve">culminaron 11 y 8 meses antes de que la presunta víctima acudiera ante el Sistema Interamericano, en </w:t>
      </w:r>
      <w:r w:rsidR="004B760F" w:rsidRPr="00A81029">
        <w:rPr>
          <w:bCs/>
          <w:sz w:val="20"/>
          <w:szCs w:val="20"/>
          <w:lang w:val="es-ES"/>
        </w:rPr>
        <w:t>inobservancia del plazo de seis meses de presentación, contemplado en el artículo 46.1.b) de la Convención. En consecuencia, la presente petición</w:t>
      </w:r>
      <w:r w:rsidR="00393B37" w:rsidRPr="00A81029">
        <w:rPr>
          <w:bCs/>
          <w:sz w:val="20"/>
          <w:szCs w:val="20"/>
          <w:lang w:val="es-ES"/>
        </w:rPr>
        <w:t xml:space="preserve"> se torna </w:t>
      </w:r>
      <w:r w:rsidR="00C32438" w:rsidRPr="00A81029">
        <w:rPr>
          <w:bCs/>
          <w:sz w:val="20"/>
          <w:szCs w:val="20"/>
          <w:lang w:val="es-ES"/>
        </w:rPr>
        <w:t>inadmisible</w:t>
      </w:r>
      <w:r w:rsidR="00393B37" w:rsidRPr="00A81029">
        <w:rPr>
          <w:bCs/>
          <w:sz w:val="20"/>
          <w:szCs w:val="20"/>
          <w:lang w:val="es-ES"/>
        </w:rPr>
        <w:t>.</w:t>
      </w:r>
    </w:p>
    <w:p w14:paraId="16D21921" w14:textId="08C1AB4B" w:rsidR="002411EC" w:rsidRPr="00A81029" w:rsidRDefault="002411EC" w:rsidP="00A81029">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A81029">
        <w:rPr>
          <w:bCs/>
          <w:sz w:val="20"/>
          <w:szCs w:val="20"/>
          <w:lang w:val="es-ES"/>
        </w:rPr>
        <w:t xml:space="preserve">Al margen de lo anterior, </w:t>
      </w:r>
      <w:r w:rsidR="00145D9C" w:rsidRPr="00A81029">
        <w:rPr>
          <w:bCs/>
          <w:sz w:val="20"/>
          <w:szCs w:val="20"/>
          <w:lang w:val="es-ES"/>
        </w:rPr>
        <w:t xml:space="preserve">la Comisión advierte que </w:t>
      </w:r>
      <w:r w:rsidRPr="00A81029">
        <w:rPr>
          <w:bCs/>
          <w:sz w:val="20"/>
          <w:szCs w:val="20"/>
          <w:lang w:val="es-ES"/>
        </w:rPr>
        <w:t>el Estado acredita que la direcci</w:t>
      </w:r>
      <w:r w:rsidR="00145D9C" w:rsidRPr="00A81029">
        <w:rPr>
          <w:bCs/>
          <w:sz w:val="20"/>
          <w:szCs w:val="20"/>
          <w:lang w:val="es-ES"/>
        </w:rPr>
        <w:t xml:space="preserve">ones a las cuales se notificó la </w:t>
      </w:r>
      <w:r w:rsidR="00CC41D3" w:rsidRPr="00A81029">
        <w:rPr>
          <w:bCs/>
          <w:sz w:val="20"/>
          <w:szCs w:val="20"/>
          <w:lang w:val="es-ES"/>
        </w:rPr>
        <w:t xml:space="preserve">sentencia fueron las provistas por el defensor de confianza del peticionario, aún si aquel no incorporó </w:t>
      </w:r>
      <w:r w:rsidR="006033BF" w:rsidRPr="00A81029">
        <w:rPr>
          <w:bCs/>
          <w:sz w:val="20"/>
          <w:szCs w:val="20"/>
          <w:lang w:val="es-ES"/>
        </w:rPr>
        <w:t>el domicilio personal del procesado, ello no resulta atribuible a</w:t>
      </w:r>
      <w:r w:rsidR="00653CA3" w:rsidRPr="00A81029">
        <w:rPr>
          <w:bCs/>
          <w:sz w:val="20"/>
          <w:szCs w:val="20"/>
          <w:lang w:val="es-ES"/>
        </w:rPr>
        <w:t xml:space="preserve">l Estado, pues el apoderado tiene la carga de informar </w:t>
      </w:r>
      <w:r w:rsidR="00A45F6A" w:rsidRPr="00A81029">
        <w:rPr>
          <w:bCs/>
          <w:sz w:val="20"/>
          <w:szCs w:val="20"/>
          <w:lang w:val="es-ES"/>
        </w:rPr>
        <w:t>al tribunal la dirección personal de su representado</w:t>
      </w:r>
      <w:r w:rsidRPr="00A81029">
        <w:rPr>
          <w:bCs/>
          <w:sz w:val="20"/>
          <w:szCs w:val="20"/>
          <w:lang w:val="es-ES"/>
        </w:rPr>
        <w:t>.</w:t>
      </w:r>
      <w:r w:rsidR="006846BC" w:rsidRPr="00A81029">
        <w:rPr>
          <w:bCs/>
          <w:sz w:val="20"/>
          <w:szCs w:val="20"/>
          <w:lang w:val="es-ES"/>
        </w:rPr>
        <w:t xml:space="preserve"> Asimismo,</w:t>
      </w:r>
      <w:r w:rsidRPr="00A81029">
        <w:rPr>
          <w:bCs/>
          <w:sz w:val="20"/>
          <w:szCs w:val="20"/>
          <w:lang w:val="es-ES"/>
        </w:rPr>
        <w:t xml:space="preserve"> </w:t>
      </w:r>
      <w:r w:rsidR="00A81029" w:rsidRPr="00A81029">
        <w:rPr>
          <w:bCs/>
          <w:sz w:val="20"/>
          <w:szCs w:val="20"/>
          <w:lang w:val="es-ES"/>
        </w:rPr>
        <w:t xml:space="preserve">tampoco se desprende de la información aportada por las partes que </w:t>
      </w:r>
      <w:r w:rsidR="006846BC" w:rsidRPr="00A81029">
        <w:rPr>
          <w:bCs/>
          <w:sz w:val="20"/>
          <w:szCs w:val="20"/>
          <w:lang w:val="es-ES"/>
        </w:rPr>
        <w:t xml:space="preserve">el Sr. Vega Goyeneche </w:t>
      </w:r>
      <w:r w:rsidR="00A81029" w:rsidRPr="00A81029">
        <w:rPr>
          <w:bCs/>
          <w:sz w:val="20"/>
          <w:szCs w:val="20"/>
          <w:lang w:val="es-ES"/>
        </w:rPr>
        <w:t>haya estado efectivamente privado de su libertad al momento de la emisión de referida sentencia, ni posteriormente.</w:t>
      </w:r>
    </w:p>
    <w:p w14:paraId="1929D89D" w14:textId="77777777" w:rsidR="00145A77" w:rsidRPr="00A81029" w:rsidRDefault="00145A77" w:rsidP="00A81029">
      <w:pPr>
        <w:pStyle w:val="ListParagraph"/>
        <w:numPr>
          <w:ilvl w:val="0"/>
          <w:numId w:val="65"/>
        </w:numPr>
        <w:jc w:val="both"/>
        <w:rPr>
          <w:rFonts w:asciiTheme="majorHAnsi" w:hAnsiTheme="majorHAnsi"/>
          <w:b/>
          <w:bCs/>
          <w:vanish/>
          <w:sz w:val="20"/>
          <w:szCs w:val="20"/>
          <w:lang w:val="es-ES"/>
        </w:rPr>
      </w:pPr>
    </w:p>
    <w:p w14:paraId="2A348F5A" w14:textId="77777777" w:rsidR="00145A77" w:rsidRPr="00A81029" w:rsidRDefault="00145A77" w:rsidP="00A81029">
      <w:pPr>
        <w:pStyle w:val="ListParagraph"/>
        <w:numPr>
          <w:ilvl w:val="0"/>
          <w:numId w:val="65"/>
        </w:numPr>
        <w:jc w:val="both"/>
        <w:rPr>
          <w:rFonts w:asciiTheme="majorHAnsi" w:hAnsiTheme="majorHAnsi"/>
          <w:b/>
          <w:bCs/>
          <w:vanish/>
          <w:sz w:val="20"/>
          <w:szCs w:val="20"/>
          <w:lang w:val="es-ES"/>
        </w:rPr>
      </w:pPr>
    </w:p>
    <w:p w14:paraId="7D792802" w14:textId="77777777" w:rsidR="00145A77" w:rsidRPr="00A81029" w:rsidRDefault="00145A77" w:rsidP="00A81029">
      <w:pPr>
        <w:pStyle w:val="ListParagraph"/>
        <w:numPr>
          <w:ilvl w:val="0"/>
          <w:numId w:val="65"/>
        </w:numPr>
        <w:jc w:val="both"/>
        <w:rPr>
          <w:rFonts w:asciiTheme="majorHAnsi" w:hAnsiTheme="majorHAnsi"/>
          <w:b/>
          <w:bCs/>
          <w:vanish/>
          <w:sz w:val="20"/>
          <w:szCs w:val="20"/>
          <w:lang w:val="es-ES"/>
        </w:rPr>
      </w:pPr>
    </w:p>
    <w:p w14:paraId="36998459" w14:textId="77777777" w:rsidR="00145A77" w:rsidRPr="00A81029" w:rsidRDefault="00145A77" w:rsidP="00A81029">
      <w:pPr>
        <w:pStyle w:val="ListParagraph"/>
        <w:numPr>
          <w:ilvl w:val="0"/>
          <w:numId w:val="65"/>
        </w:numPr>
        <w:jc w:val="both"/>
        <w:rPr>
          <w:rFonts w:asciiTheme="majorHAnsi" w:hAnsiTheme="majorHAnsi"/>
          <w:b/>
          <w:bCs/>
          <w:vanish/>
          <w:sz w:val="20"/>
          <w:szCs w:val="20"/>
          <w:lang w:val="es-ES"/>
        </w:rPr>
      </w:pPr>
    </w:p>
    <w:p w14:paraId="0571B7A8" w14:textId="77777777" w:rsidR="00145A77" w:rsidRPr="00A81029" w:rsidRDefault="00145A77" w:rsidP="00A81029">
      <w:pPr>
        <w:pStyle w:val="ListParagraph"/>
        <w:numPr>
          <w:ilvl w:val="0"/>
          <w:numId w:val="65"/>
        </w:numPr>
        <w:jc w:val="both"/>
        <w:rPr>
          <w:rFonts w:asciiTheme="majorHAnsi" w:hAnsiTheme="majorHAnsi"/>
          <w:b/>
          <w:bCs/>
          <w:vanish/>
          <w:sz w:val="20"/>
          <w:szCs w:val="20"/>
          <w:lang w:val="es-ES"/>
        </w:rPr>
      </w:pPr>
    </w:p>
    <w:p w14:paraId="581C57B4" w14:textId="77777777" w:rsidR="00145A77" w:rsidRPr="00A81029" w:rsidRDefault="00145A77" w:rsidP="00A81029">
      <w:pPr>
        <w:pStyle w:val="ListParagraph"/>
        <w:numPr>
          <w:ilvl w:val="0"/>
          <w:numId w:val="65"/>
        </w:numPr>
        <w:jc w:val="both"/>
        <w:rPr>
          <w:rFonts w:asciiTheme="majorHAnsi" w:hAnsiTheme="majorHAnsi"/>
          <w:b/>
          <w:bCs/>
          <w:vanish/>
          <w:sz w:val="20"/>
          <w:szCs w:val="20"/>
          <w:lang w:val="es-ES"/>
        </w:rPr>
      </w:pPr>
    </w:p>
    <w:p w14:paraId="445BF42E" w14:textId="52B236CD" w:rsidR="003239B8" w:rsidRPr="00A81029" w:rsidRDefault="003239B8" w:rsidP="00757E7A">
      <w:pPr>
        <w:pStyle w:val="ListParagraph"/>
        <w:numPr>
          <w:ilvl w:val="0"/>
          <w:numId w:val="65"/>
        </w:numPr>
        <w:ind w:hanging="540"/>
        <w:jc w:val="both"/>
        <w:rPr>
          <w:rFonts w:asciiTheme="majorHAnsi" w:hAnsiTheme="majorHAnsi"/>
          <w:b/>
          <w:bCs/>
          <w:sz w:val="20"/>
          <w:szCs w:val="20"/>
          <w:lang w:val="es-ES"/>
        </w:rPr>
      </w:pPr>
      <w:r w:rsidRPr="00A81029">
        <w:rPr>
          <w:rFonts w:asciiTheme="majorHAnsi" w:hAnsiTheme="majorHAnsi"/>
          <w:b/>
          <w:bCs/>
          <w:sz w:val="20"/>
          <w:szCs w:val="20"/>
          <w:lang w:val="es-ES"/>
        </w:rPr>
        <w:t>DECISIÓN</w:t>
      </w:r>
    </w:p>
    <w:p w14:paraId="16B36F97" w14:textId="33DDEDEB" w:rsidR="003239B8" w:rsidRPr="00A81029" w:rsidRDefault="003239B8" w:rsidP="00A81029">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A81029">
        <w:rPr>
          <w:rFonts w:asciiTheme="majorHAnsi" w:hAnsiTheme="majorHAnsi"/>
          <w:sz w:val="20"/>
          <w:szCs w:val="20"/>
          <w:lang w:val="es-ES"/>
        </w:rPr>
        <w:t xml:space="preserve">Declarar </w:t>
      </w:r>
      <w:r w:rsidR="00FA0E02" w:rsidRPr="00A81029">
        <w:rPr>
          <w:rFonts w:asciiTheme="majorHAnsi" w:hAnsiTheme="majorHAnsi"/>
          <w:sz w:val="20"/>
          <w:szCs w:val="20"/>
          <w:lang w:val="es-ES"/>
        </w:rPr>
        <w:t>in</w:t>
      </w:r>
      <w:r w:rsidRPr="00A81029">
        <w:rPr>
          <w:rFonts w:asciiTheme="majorHAnsi" w:hAnsiTheme="majorHAnsi"/>
          <w:sz w:val="20"/>
          <w:szCs w:val="20"/>
          <w:lang w:val="es-ES"/>
        </w:rPr>
        <w:t>admisible la presente petición</w:t>
      </w:r>
      <w:r w:rsidR="00A758AA" w:rsidRPr="00A81029">
        <w:rPr>
          <w:rFonts w:asciiTheme="majorHAnsi" w:hAnsiTheme="majorHAnsi"/>
          <w:sz w:val="20"/>
          <w:szCs w:val="20"/>
          <w:lang w:val="es-ES"/>
        </w:rPr>
        <w:t>;</w:t>
      </w:r>
      <w:r w:rsidR="007B76D3" w:rsidRPr="00A81029">
        <w:rPr>
          <w:rFonts w:asciiTheme="majorHAnsi" w:hAnsiTheme="majorHAnsi"/>
          <w:sz w:val="20"/>
          <w:szCs w:val="20"/>
          <w:lang w:val="es-ES"/>
        </w:rPr>
        <w:t xml:space="preserve"> y</w:t>
      </w:r>
    </w:p>
    <w:p w14:paraId="02C904B2" w14:textId="64765037" w:rsidR="009A56CE" w:rsidRDefault="004A6A54" w:rsidP="00A81029">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lang w:val="es-ES"/>
        </w:rPr>
      </w:pPr>
      <w:r w:rsidRPr="00A81029">
        <w:rPr>
          <w:rFonts w:asciiTheme="majorHAnsi" w:hAnsiTheme="majorHAnsi"/>
          <w:sz w:val="20"/>
          <w:szCs w:val="20"/>
          <w:lang w:val="es-ES"/>
        </w:rPr>
        <w:t>Notificar a las partes la presente decisión; y publicar esta decisión e incluirla en su Informe Anual a la Asamblea Gener</w:t>
      </w:r>
      <w:r w:rsidRPr="00FA0E02">
        <w:rPr>
          <w:rFonts w:asciiTheme="majorHAnsi" w:hAnsiTheme="majorHAnsi"/>
          <w:sz w:val="20"/>
          <w:szCs w:val="20"/>
          <w:lang w:val="es-ES"/>
        </w:rPr>
        <w:t>al de la Organización de los Estados Americanos.</w:t>
      </w:r>
    </w:p>
    <w:p w14:paraId="319A8E33" w14:textId="58CB0A9D" w:rsidR="00DA5ABC" w:rsidRPr="008B34AD" w:rsidRDefault="003D7DC4" w:rsidP="008B34AD">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t>Aprobado por la Comisión Interamericana de Dere</w:t>
      </w:r>
      <w:r w:rsidRPr="0054566B">
        <w:rPr>
          <w:rStyle w:val="normaltextrun"/>
          <w:rFonts w:ascii="Cambria" w:hAnsi="Cambria" w:cs="Segoe UI"/>
          <w:color w:val="000000" w:themeColor="text1"/>
          <w:sz w:val="20"/>
          <w:szCs w:val="20"/>
          <w:lang w:val="es-CL"/>
        </w:rPr>
        <w:t xml:space="preserve">chos Humanos a los 11 días del mes de agosto de 2025.  (Firmado): José Luis Caballero Ochoa, Presidente; Arif Bulkan, Segundo Vicepresidente; Roberta Clarke y Gloria Monique de Mees, </w:t>
      </w:r>
      <w:r w:rsidR="00135AAA">
        <w:rPr>
          <w:rStyle w:val="normaltextrun"/>
          <w:rFonts w:ascii="Cambria" w:hAnsi="Cambria" w:cs="Segoe UI"/>
          <w:color w:val="000000" w:themeColor="text1"/>
          <w:sz w:val="20"/>
          <w:szCs w:val="20"/>
          <w:lang w:val="es-CL"/>
        </w:rPr>
        <w:t>m</w:t>
      </w:r>
      <w:r w:rsidRPr="0054566B">
        <w:rPr>
          <w:rStyle w:val="normaltextrun"/>
          <w:rFonts w:ascii="Cambria" w:hAnsi="Cambria" w:cs="Segoe UI"/>
          <w:color w:val="000000" w:themeColor="text1"/>
          <w:sz w:val="20"/>
          <w:szCs w:val="20"/>
          <w:lang w:val="es-CL"/>
        </w:rPr>
        <w:t>iembros de la Comisión.</w:t>
      </w:r>
    </w:p>
    <w:sectPr w:rsidR="00DA5ABC" w:rsidRPr="008B34AD"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27F4A" w14:textId="77777777" w:rsidR="007D467F" w:rsidRDefault="007D467F">
      <w:r>
        <w:separator/>
      </w:r>
    </w:p>
  </w:endnote>
  <w:endnote w:type="continuationSeparator" w:id="0">
    <w:p w14:paraId="23E84E2A" w14:textId="77777777" w:rsidR="007D467F" w:rsidRDefault="007D467F">
      <w:r>
        <w:continuationSeparator/>
      </w:r>
    </w:p>
  </w:endnote>
  <w:endnote w:type="continuationNotice" w:id="1">
    <w:p w14:paraId="29622F17" w14:textId="77777777" w:rsidR="007D467F" w:rsidRDefault="007D46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0460E969" w14:textId="7777777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BD0FF5">
          <w:rPr>
            <w:noProof/>
            <w:sz w:val="16"/>
            <w:szCs w:val="22"/>
          </w:rPr>
          <w:t>2</w:t>
        </w:r>
        <w:r w:rsidRPr="00934A2C">
          <w:rPr>
            <w:noProof/>
            <w:sz w:val="16"/>
            <w:szCs w:val="22"/>
          </w:rPr>
          <w:fldChar w:fldCharType="end"/>
        </w:r>
      </w:p>
    </w:sdtContent>
  </w:sdt>
  <w:p w14:paraId="14E72376"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0711" w14:textId="77777777" w:rsidR="0070697F" w:rsidRPr="00934A2C" w:rsidRDefault="0070697F">
    <w:pPr>
      <w:pStyle w:val="Footer"/>
      <w:jc w:val="center"/>
      <w:rPr>
        <w:sz w:val="16"/>
        <w:szCs w:val="22"/>
      </w:rPr>
    </w:pPr>
  </w:p>
  <w:p w14:paraId="46DFE2DB"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3C0B2" w14:textId="77777777" w:rsidR="007D467F" w:rsidRPr="000F35ED" w:rsidRDefault="007D467F">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68975006" w14:textId="77777777" w:rsidR="007D467F" w:rsidRPr="000F35ED" w:rsidRDefault="007D467F" w:rsidP="000F35ED">
      <w:pPr>
        <w:rPr>
          <w:rFonts w:asciiTheme="majorHAnsi" w:hAnsiTheme="majorHAnsi"/>
          <w:sz w:val="16"/>
          <w:szCs w:val="16"/>
        </w:rPr>
      </w:pPr>
      <w:r w:rsidRPr="000F35ED">
        <w:rPr>
          <w:rFonts w:asciiTheme="majorHAnsi" w:hAnsiTheme="majorHAnsi"/>
          <w:sz w:val="16"/>
          <w:szCs w:val="16"/>
        </w:rPr>
        <w:separator/>
      </w:r>
    </w:p>
    <w:p w14:paraId="0FE5DF75" w14:textId="77777777" w:rsidR="007D467F" w:rsidRPr="000F35ED" w:rsidRDefault="007D467F"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053CC748" w14:textId="77777777" w:rsidR="007D467F" w:rsidRPr="000F35ED" w:rsidRDefault="007D467F"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66E930B8" w14:textId="3BE96A26" w:rsidR="004A6A54" w:rsidRPr="00306F33" w:rsidRDefault="004A6A54" w:rsidP="009901FF">
      <w:pPr>
        <w:pStyle w:val="Notasalpie"/>
      </w:pPr>
      <w:r w:rsidRPr="00306F33">
        <w:rPr>
          <w:rStyle w:val="FootnoteReference"/>
        </w:rPr>
        <w:footnoteRef/>
      </w:r>
      <w:r w:rsidRPr="00306F33">
        <w:t xml:space="preserve"> Conforme a lo dispuesto en el artículo 17.2.a del Reglamento de la Comisión, el Comisionado </w:t>
      </w:r>
      <w:r w:rsidR="00C24984">
        <w:t>Carlos Bernal Pulido</w:t>
      </w:r>
      <w:r w:rsidRPr="00306F33">
        <w:t xml:space="preserve">, de nacionalidad </w:t>
      </w:r>
      <w:r w:rsidR="00C24984">
        <w:t>colombiana</w:t>
      </w:r>
      <w:r w:rsidRPr="00306F33">
        <w:t>, no participó en el debate ni en la decisión del presente asunto.</w:t>
      </w:r>
    </w:p>
  </w:footnote>
  <w:footnote w:id="3">
    <w:p w14:paraId="1CDAE4E7" w14:textId="77777777" w:rsidR="000A1013" w:rsidRPr="0067105E" w:rsidRDefault="000A1013" w:rsidP="000A1013">
      <w:pPr>
        <w:pStyle w:val="Notasalpie"/>
      </w:pPr>
      <w:r>
        <w:rPr>
          <w:rStyle w:val="FootnoteReference"/>
        </w:rPr>
        <w:footnoteRef/>
      </w:r>
      <w:r w:rsidRPr="0067105E">
        <w:t xml:space="preserve"> </w:t>
      </w:r>
      <w:r>
        <w:t>En adelante “la Convención Americana” o “la Convención”.</w:t>
      </w:r>
    </w:p>
  </w:footnote>
  <w:footnote w:id="4">
    <w:p w14:paraId="412B21AE" w14:textId="1B9E0E80" w:rsidR="004941B8" w:rsidRPr="004941B8" w:rsidRDefault="004941B8" w:rsidP="004941B8">
      <w:pPr>
        <w:pStyle w:val="Notasalpie"/>
        <w:rPr>
          <w:rStyle w:val="FootnoteReference"/>
          <w:lang w:val="es-CO"/>
        </w:rPr>
      </w:pPr>
      <w:r>
        <w:rPr>
          <w:rStyle w:val="FootnoteReference"/>
        </w:rPr>
        <w:footnoteRef/>
      </w:r>
      <w:r w:rsidRPr="004941B8">
        <w:t xml:space="preserve"> </w:t>
      </w:r>
      <w:r>
        <w:t>En adelante “la Declaración Americana” o “la Declaración”.</w:t>
      </w:r>
    </w:p>
  </w:footnote>
  <w:footnote w:id="5">
    <w:p w14:paraId="1AFEF3B0" w14:textId="3A69AC08" w:rsidR="008E3BFE" w:rsidRPr="00306F33" w:rsidRDefault="008E3BFE" w:rsidP="00306F33">
      <w:pPr>
        <w:pStyle w:val="FootnoteText"/>
        <w:ind w:firstLine="720"/>
        <w:jc w:val="both"/>
        <w:rPr>
          <w:rFonts w:asciiTheme="majorHAnsi" w:hAnsiTheme="majorHAnsi"/>
          <w:sz w:val="16"/>
          <w:szCs w:val="16"/>
          <w:lang w:val="es-ES"/>
        </w:rPr>
      </w:pPr>
      <w:r w:rsidRPr="00306F33">
        <w:rPr>
          <w:rStyle w:val="FootnoteReference"/>
          <w:rFonts w:asciiTheme="majorHAnsi" w:hAnsiTheme="majorHAnsi"/>
          <w:sz w:val="16"/>
          <w:szCs w:val="16"/>
        </w:rPr>
        <w:footnoteRef/>
      </w:r>
      <w:r w:rsidRPr="00306F33">
        <w:rPr>
          <w:rFonts w:asciiTheme="majorHAnsi" w:hAnsiTheme="majorHAnsi"/>
          <w:sz w:val="16"/>
          <w:szCs w:val="16"/>
          <w:lang w:val="es-ES"/>
        </w:rPr>
        <w:t xml:space="preserve"> </w:t>
      </w:r>
      <w:r w:rsidRPr="007315EE">
        <w:rPr>
          <w:rFonts w:asciiTheme="majorHAnsi" w:hAnsiTheme="majorHAnsi"/>
          <w:sz w:val="16"/>
          <w:szCs w:val="16"/>
          <w:lang w:val="es-ES"/>
        </w:rPr>
        <w:t>Las observaciones de cada parte fueron debidamente trasladadas a la parte contraria.</w:t>
      </w:r>
      <w:r w:rsidR="00155352">
        <w:rPr>
          <w:rFonts w:asciiTheme="majorHAnsi" w:hAnsiTheme="majorHAnsi"/>
          <w:sz w:val="16"/>
          <w:szCs w:val="16"/>
          <w:lang w:val="es-ES"/>
        </w:rPr>
        <w:t xml:space="preserve"> Junto con la petición inicial, el peticionario solicitó el otorgamiento de Medidas Cautelares de la CIDH para proteger su derecho a las</w:t>
      </w:r>
      <w:r w:rsidR="00482422">
        <w:rPr>
          <w:rFonts w:asciiTheme="majorHAnsi" w:hAnsiTheme="majorHAnsi"/>
          <w:sz w:val="16"/>
          <w:szCs w:val="16"/>
          <w:lang w:val="es-ES"/>
        </w:rPr>
        <w:t xml:space="preserve"> garantías judiciales</w:t>
      </w:r>
      <w:r w:rsidR="00FB4C07">
        <w:rPr>
          <w:rFonts w:asciiTheme="majorHAnsi" w:hAnsiTheme="majorHAnsi"/>
          <w:sz w:val="16"/>
          <w:szCs w:val="16"/>
          <w:lang w:val="es-ES"/>
        </w:rPr>
        <w:t xml:space="preserve">, tramite registrado bajo el número MC-426-15 Sin embargo, el </w:t>
      </w:r>
      <w:r w:rsidR="000A3687">
        <w:rPr>
          <w:rFonts w:asciiTheme="majorHAnsi" w:hAnsiTheme="majorHAnsi"/>
          <w:sz w:val="16"/>
          <w:szCs w:val="16"/>
          <w:lang w:val="es-ES"/>
        </w:rPr>
        <w:t xml:space="preserve">21 de febrero de 2017 </w:t>
      </w:r>
      <w:r w:rsidR="00CB029B">
        <w:rPr>
          <w:rFonts w:asciiTheme="majorHAnsi" w:hAnsiTheme="majorHAnsi"/>
          <w:sz w:val="16"/>
          <w:szCs w:val="16"/>
          <w:lang w:val="es-ES"/>
        </w:rPr>
        <w:t xml:space="preserve">la Comisión notificó </w:t>
      </w:r>
      <w:r w:rsidR="003A268A">
        <w:rPr>
          <w:rFonts w:asciiTheme="majorHAnsi" w:hAnsiTheme="majorHAnsi"/>
          <w:sz w:val="16"/>
          <w:szCs w:val="16"/>
          <w:lang w:val="es-ES"/>
        </w:rPr>
        <w:t>al peticionario del rechazo de esta solicitud, debido a que no cumplía con los requisitos establecidos en el artículo 25 de su Reglamento Interno</w:t>
      </w:r>
      <w:r w:rsidR="00993591">
        <w:rPr>
          <w:rFonts w:asciiTheme="majorHAnsi" w:hAnsiTheme="majorHAnsi"/>
          <w:sz w:val="16"/>
          <w:szCs w:val="16"/>
          <w:lang w:val="es-ES"/>
        </w:rPr>
        <w:t>.</w:t>
      </w:r>
    </w:p>
  </w:footnote>
  <w:footnote w:id="6">
    <w:p w14:paraId="4BC4EFB9" w14:textId="77777777" w:rsidR="009B6E2C" w:rsidRPr="00C1452B" w:rsidRDefault="009B6E2C" w:rsidP="009B6E2C">
      <w:pPr>
        <w:pStyle w:val="FootnoteText"/>
        <w:jc w:val="both"/>
        <w:rPr>
          <w:rFonts w:ascii="Cambria" w:hAnsi="Cambria"/>
          <w:sz w:val="16"/>
          <w:szCs w:val="16"/>
          <w:lang w:val="es-ES"/>
        </w:rPr>
      </w:pPr>
      <w:r w:rsidRPr="00F752CD">
        <w:rPr>
          <w:rFonts w:ascii="Cambria" w:hAnsi="Cambria"/>
          <w:sz w:val="16"/>
          <w:szCs w:val="16"/>
          <w:lang w:val="es-ES"/>
        </w:rPr>
        <w:tab/>
      </w:r>
      <w:r w:rsidRPr="00C1452B">
        <w:rPr>
          <w:rStyle w:val="FootnoteReference"/>
          <w:rFonts w:ascii="Cambria" w:hAnsi="Cambria"/>
          <w:sz w:val="16"/>
          <w:szCs w:val="16"/>
        </w:rPr>
        <w:footnoteRef/>
      </w:r>
      <w:r w:rsidRPr="00C1452B">
        <w:rPr>
          <w:rFonts w:ascii="Cambria" w:hAnsi="Cambria"/>
          <w:sz w:val="16"/>
          <w:szCs w:val="16"/>
          <w:lang w:val="es-ES"/>
        </w:rPr>
        <w:t xml:space="preserve"> CIDH, Informe No. 16/18, Petición 884-07. Admisibilidad. Victoria Piedad Palacios Tejada de Saavedra. Perú. 24 de febrero de 2018, párr. 12.</w:t>
      </w:r>
    </w:p>
  </w:footnote>
  <w:footnote w:id="7">
    <w:p w14:paraId="0B8F1E27" w14:textId="3DB01C4B" w:rsidR="00A17694" w:rsidRPr="00A11B3B" w:rsidRDefault="00A17694" w:rsidP="00A17694">
      <w:pPr>
        <w:pStyle w:val="FootnoteText"/>
        <w:ind w:firstLine="720"/>
        <w:jc w:val="both"/>
        <w:rPr>
          <w:rFonts w:ascii="Cambria" w:hAnsi="Cambria"/>
          <w:sz w:val="16"/>
          <w:szCs w:val="16"/>
          <w:lang w:val="es-ES"/>
        </w:rPr>
      </w:pPr>
      <w:r w:rsidRPr="00A11B3B">
        <w:rPr>
          <w:rStyle w:val="FootnoteReference"/>
          <w:rFonts w:ascii="Cambria" w:hAnsi="Cambria"/>
          <w:sz w:val="16"/>
          <w:szCs w:val="16"/>
        </w:rPr>
        <w:footnoteRef/>
      </w:r>
      <w:r w:rsidRPr="00A11B3B">
        <w:rPr>
          <w:rFonts w:ascii="Cambria" w:hAnsi="Cambria"/>
          <w:sz w:val="16"/>
          <w:szCs w:val="16"/>
          <w:lang w:val="es-ES"/>
        </w:rPr>
        <w:t xml:space="preserve"> Véase, por ejemplo: CIDH, Informe No. 16/22. Petición 574-17. Admisibilidad. Adela Vanín Dueñas. Colombia. 9 de febrero de 2022, párr. 24; </w:t>
      </w:r>
      <w:r w:rsidR="00A81029">
        <w:rPr>
          <w:rFonts w:ascii="Cambria" w:hAnsi="Cambria"/>
          <w:sz w:val="16"/>
          <w:szCs w:val="16"/>
          <w:lang w:val="es-ES"/>
        </w:rPr>
        <w:t>e</w:t>
      </w:r>
      <w:r w:rsidRPr="00A11B3B">
        <w:rPr>
          <w:rFonts w:ascii="Cambria" w:hAnsi="Cambria"/>
          <w:sz w:val="16"/>
          <w:szCs w:val="16"/>
          <w:lang w:val="es-ES"/>
        </w:rPr>
        <w:t xml:space="preserve"> Informe No. 58/18. Petición 1434-18. Admisibilidad. Rómulo Rubén Palma Rodríguez. Perú. 5 de mayo de 2018, párr. 15.</w:t>
      </w:r>
    </w:p>
  </w:footnote>
  <w:footnote w:id="8">
    <w:p w14:paraId="284DF7F0" w14:textId="2A6572C5" w:rsidR="00B3038B" w:rsidRPr="00485C0E" w:rsidRDefault="00B3038B" w:rsidP="00B3038B">
      <w:pPr>
        <w:pStyle w:val="FootnoteText"/>
        <w:ind w:firstLine="720"/>
        <w:jc w:val="both"/>
        <w:rPr>
          <w:rFonts w:ascii="Cambria" w:hAnsi="Cambria"/>
          <w:lang w:val="es-CO"/>
        </w:rPr>
      </w:pPr>
      <w:r w:rsidRPr="00485C0E">
        <w:rPr>
          <w:rStyle w:val="FootnoteReference"/>
          <w:rFonts w:ascii="Cambria" w:hAnsi="Cambria"/>
          <w:sz w:val="16"/>
          <w:szCs w:val="16"/>
        </w:rPr>
        <w:footnoteRef/>
      </w:r>
      <w:r w:rsidRPr="001374F4">
        <w:rPr>
          <w:rFonts w:ascii="Cambria" w:hAnsi="Cambria"/>
          <w:sz w:val="16"/>
          <w:szCs w:val="16"/>
          <w:lang w:val="es-CO"/>
        </w:rPr>
        <w:t xml:space="preserve"> CIDH,</w:t>
      </w:r>
      <w:r>
        <w:rPr>
          <w:rFonts w:ascii="Cambria" w:hAnsi="Cambria"/>
          <w:sz w:val="16"/>
          <w:szCs w:val="16"/>
          <w:lang w:val="es-CO"/>
        </w:rPr>
        <w:t xml:space="preserve"> </w:t>
      </w:r>
      <w:r w:rsidRPr="005C00C5">
        <w:rPr>
          <w:rFonts w:ascii="Cambria" w:hAnsi="Cambria"/>
          <w:sz w:val="16"/>
          <w:szCs w:val="16"/>
          <w:lang w:val="es-CO"/>
        </w:rPr>
        <w:t>Informe No. 377/21. Petición 1364-12. Inadmisibilidad. Radio Morena FM y otras. Ecuador. 1º de diciembre de 2021, párr.</w:t>
      </w:r>
      <w:r>
        <w:rPr>
          <w:rFonts w:ascii="Cambria" w:hAnsi="Cambria"/>
          <w:sz w:val="16"/>
          <w:szCs w:val="16"/>
          <w:lang w:val="es-CO"/>
        </w:rPr>
        <w:t xml:space="preserve"> 22</w:t>
      </w:r>
      <w:r w:rsidRPr="005C00C5">
        <w:rPr>
          <w:rFonts w:ascii="Cambria" w:hAnsi="Cambria"/>
          <w:sz w:val="16"/>
          <w:szCs w:val="16"/>
          <w:lang w:val="es-CO"/>
        </w:rPr>
        <w:t xml:space="preserve">; </w:t>
      </w:r>
      <w:r w:rsidR="00A81029">
        <w:rPr>
          <w:rFonts w:ascii="Cambria" w:hAnsi="Cambria"/>
          <w:sz w:val="16"/>
          <w:szCs w:val="16"/>
          <w:lang w:val="es-CO"/>
        </w:rPr>
        <w:t>e</w:t>
      </w:r>
      <w:r w:rsidRPr="001374F4">
        <w:rPr>
          <w:rFonts w:ascii="Cambria" w:hAnsi="Cambria"/>
          <w:sz w:val="16"/>
          <w:szCs w:val="16"/>
          <w:lang w:val="es-CO"/>
        </w:rPr>
        <w:t xml:space="preserve"> Informe No. 90/03, Petición 0581/1999. Inadmisibilidad. Gustavo Trujillo González. Perú. 22 de octubre de 2003, párr. </w:t>
      </w:r>
      <w:r w:rsidRPr="00A81029">
        <w:rPr>
          <w:rFonts w:ascii="Cambria" w:hAnsi="Cambria"/>
          <w:sz w:val="16"/>
          <w:szCs w:val="16"/>
          <w:lang w:val="es-ES"/>
        </w:rPr>
        <w:t>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4D8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13D4C370"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8A65"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523DD6CA" wp14:editId="2965DC79">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24BB2C52" w14:textId="77777777" w:rsidR="00040C3A" w:rsidRPr="00EC7D62" w:rsidRDefault="000E260B" w:rsidP="00A50FCF">
    <w:pPr>
      <w:pStyle w:val="Header"/>
      <w:tabs>
        <w:tab w:val="clear" w:pos="4320"/>
        <w:tab w:val="clear" w:pos="8640"/>
      </w:tabs>
      <w:jc w:val="center"/>
      <w:rPr>
        <w:sz w:val="22"/>
        <w:szCs w:val="22"/>
      </w:rPr>
    </w:pPr>
    <w:r>
      <w:rPr>
        <w:sz w:val="22"/>
        <w:szCs w:val="22"/>
      </w:rPr>
      <w:pict w14:anchorId="43C7E6A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0E1D2261"/>
    <w:multiLevelType w:val="hybridMultilevel"/>
    <w:tmpl w:val="29807C44"/>
    <w:lvl w:ilvl="0" w:tplc="99D62BE0">
      <w:start w:val="1"/>
      <w:numFmt w:val="decimal"/>
      <w:lvlText w:val="%1."/>
      <w:lvlJc w:val="left"/>
      <w:pPr>
        <w:tabs>
          <w:tab w:val="num" w:pos="720"/>
        </w:tabs>
        <w:ind w:left="0" w:firstLine="720"/>
      </w:pPr>
      <w:rPr>
        <w:rFonts w:asciiTheme="majorHAnsi" w:hAnsiTheme="majorHAnsi" w:hint="default"/>
        <w:b w:val="0"/>
        <w:bCs/>
        <w:i w:val="0"/>
        <w:iCs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7D15EC1"/>
    <w:multiLevelType w:val="hybridMultilevel"/>
    <w:tmpl w:val="9E92B0D8"/>
    <w:lvl w:ilvl="0" w:tplc="4F6091C4">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9"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2"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5"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1"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2" w15:restartNumberingAfterBreak="0">
    <w:nsid w:val="33B6098B"/>
    <w:multiLevelType w:val="hybridMultilevel"/>
    <w:tmpl w:val="A456E6F6"/>
    <w:lvl w:ilvl="0" w:tplc="D6D649A2">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7573314"/>
    <w:multiLevelType w:val="hybridMultilevel"/>
    <w:tmpl w:val="8F6A3E56"/>
    <w:lvl w:ilvl="0" w:tplc="4F6091C4">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986140F"/>
    <w:multiLevelType w:val="hybridMultilevel"/>
    <w:tmpl w:val="7E96C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1"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A804E46"/>
    <w:multiLevelType w:val="hybridMultilevel"/>
    <w:tmpl w:val="1E169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0"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2"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87187A"/>
    <w:multiLevelType w:val="multilevel"/>
    <w:tmpl w:val="D5303458"/>
    <w:styleLink w:val="List210"/>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4"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4580DED"/>
    <w:multiLevelType w:val="hybridMultilevel"/>
    <w:tmpl w:val="DF041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8" w15:restartNumberingAfterBreak="0">
    <w:nsid w:val="5BF62682"/>
    <w:multiLevelType w:val="multilevel"/>
    <w:tmpl w:val="44B09150"/>
    <w:styleLink w:val="List510"/>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9"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1" w15:restartNumberingAfterBreak="0">
    <w:nsid w:val="67D10D2A"/>
    <w:multiLevelType w:val="hybridMultilevel"/>
    <w:tmpl w:val="B92A2B32"/>
    <w:lvl w:ilvl="0" w:tplc="97DA0D9E">
      <w:start w:val="1"/>
      <w:numFmt w:val="upperRoman"/>
      <w:lvlText w:val="%1."/>
      <w:lvlJc w:val="right"/>
      <w:pPr>
        <w:ind w:left="1440" w:hanging="360"/>
      </w:pPr>
      <w:rPr>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3" w15:restartNumberingAfterBreak="0">
    <w:nsid w:val="6E254513"/>
    <w:multiLevelType w:val="hybridMultilevel"/>
    <w:tmpl w:val="08D29F7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5" w15:restartNumberingAfterBreak="0">
    <w:nsid w:val="6ED81597"/>
    <w:multiLevelType w:val="hybridMultilevel"/>
    <w:tmpl w:val="13CA9C6C"/>
    <w:lvl w:ilvl="0" w:tplc="4F6091C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60"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4"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41903036">
    <w:abstractNumId w:val="3"/>
  </w:num>
  <w:num w:numId="2" w16cid:durableId="2119787510">
    <w:abstractNumId w:val="5"/>
  </w:num>
  <w:num w:numId="3" w16cid:durableId="1836843260">
    <w:abstractNumId w:val="59"/>
  </w:num>
  <w:num w:numId="4" w16cid:durableId="2018339747">
    <w:abstractNumId w:val="21"/>
  </w:num>
  <w:num w:numId="5" w16cid:durableId="368341374">
    <w:abstractNumId w:val="50"/>
  </w:num>
  <w:num w:numId="6" w16cid:durableId="1074009954">
    <w:abstractNumId w:val="29"/>
  </w:num>
  <w:num w:numId="7" w16cid:durableId="1545016965">
    <w:abstractNumId w:val="7"/>
  </w:num>
  <w:num w:numId="8" w16cid:durableId="1165165820">
    <w:abstractNumId w:val="17"/>
  </w:num>
  <w:num w:numId="9" w16cid:durableId="751703382">
    <w:abstractNumId w:val="44"/>
  </w:num>
  <w:num w:numId="10" w16cid:durableId="1010065578">
    <w:abstractNumId w:val="0"/>
  </w:num>
  <w:num w:numId="11" w16cid:durableId="599265313">
    <w:abstractNumId w:val="39"/>
  </w:num>
  <w:num w:numId="12" w16cid:durableId="1094203649">
    <w:abstractNumId w:val="40"/>
  </w:num>
  <w:num w:numId="13" w16cid:durableId="393090155">
    <w:abstractNumId w:val="47"/>
  </w:num>
  <w:num w:numId="14" w16cid:durableId="1198931784">
    <w:abstractNumId w:val="1"/>
  </w:num>
  <w:num w:numId="15" w16cid:durableId="2056192837">
    <w:abstractNumId w:val="2"/>
  </w:num>
  <w:num w:numId="16" w16cid:durableId="1680153077">
    <w:abstractNumId w:val="8"/>
  </w:num>
  <w:num w:numId="17" w16cid:durableId="1790273299">
    <w:abstractNumId w:val="9"/>
  </w:num>
  <w:num w:numId="18" w16cid:durableId="2128112662">
    <w:abstractNumId w:val="10"/>
  </w:num>
  <w:num w:numId="19" w16cid:durableId="7217114">
    <w:abstractNumId w:val="11"/>
  </w:num>
  <w:num w:numId="20" w16cid:durableId="1858302314">
    <w:abstractNumId w:val="12"/>
  </w:num>
  <w:num w:numId="21" w16cid:durableId="1702172520">
    <w:abstractNumId w:val="13"/>
  </w:num>
  <w:num w:numId="22" w16cid:durableId="1700861223">
    <w:abstractNumId w:val="14"/>
  </w:num>
  <w:num w:numId="23" w16cid:durableId="1025131478">
    <w:abstractNumId w:val="15"/>
  </w:num>
  <w:num w:numId="24" w16cid:durableId="477890311">
    <w:abstractNumId w:val="16"/>
  </w:num>
  <w:num w:numId="25" w16cid:durableId="1967855925">
    <w:abstractNumId w:val="18"/>
  </w:num>
  <w:num w:numId="26" w16cid:durableId="998537020">
    <w:abstractNumId w:val="19"/>
  </w:num>
  <w:num w:numId="27" w16cid:durableId="642350406">
    <w:abstractNumId w:val="23"/>
  </w:num>
  <w:num w:numId="28" w16cid:durableId="1616718871">
    <w:abstractNumId w:val="24"/>
  </w:num>
  <w:num w:numId="29" w16cid:durableId="1530486082">
    <w:abstractNumId w:val="25"/>
  </w:num>
  <w:num w:numId="30" w16cid:durableId="802582976">
    <w:abstractNumId w:val="27"/>
  </w:num>
  <w:num w:numId="31" w16cid:durableId="287396833">
    <w:abstractNumId w:val="30"/>
  </w:num>
  <w:num w:numId="32" w16cid:durableId="535119711">
    <w:abstractNumId w:val="31"/>
  </w:num>
  <w:num w:numId="33" w16cid:durableId="2078547275">
    <w:abstractNumId w:val="32"/>
  </w:num>
  <w:num w:numId="34" w16cid:durableId="1703632659">
    <w:abstractNumId w:val="33"/>
  </w:num>
  <w:num w:numId="35" w16cid:durableId="1264075887">
    <w:abstractNumId w:val="34"/>
  </w:num>
  <w:num w:numId="36" w16cid:durableId="1752315512">
    <w:abstractNumId w:val="35"/>
  </w:num>
  <w:num w:numId="37" w16cid:durableId="1536426887">
    <w:abstractNumId w:val="36"/>
  </w:num>
  <w:num w:numId="38" w16cid:durableId="949702590">
    <w:abstractNumId w:val="37"/>
  </w:num>
  <w:num w:numId="39" w16cid:durableId="115605940">
    <w:abstractNumId w:val="41"/>
  </w:num>
  <w:num w:numId="40" w16cid:durableId="2008750670">
    <w:abstractNumId w:val="42"/>
  </w:num>
  <w:num w:numId="41" w16cid:durableId="579801488">
    <w:abstractNumId w:val="49"/>
  </w:num>
  <w:num w:numId="42" w16cid:durableId="910309630">
    <w:abstractNumId w:val="52"/>
  </w:num>
  <w:num w:numId="43" w16cid:durableId="221603102">
    <w:abstractNumId w:val="54"/>
  </w:num>
  <w:num w:numId="44" w16cid:durableId="779104680">
    <w:abstractNumId w:val="57"/>
  </w:num>
  <w:num w:numId="45" w16cid:durableId="1713115894">
    <w:abstractNumId w:val="58"/>
  </w:num>
  <w:num w:numId="46" w16cid:durableId="1387951419">
    <w:abstractNumId w:val="60"/>
  </w:num>
  <w:num w:numId="47" w16cid:durableId="648510715">
    <w:abstractNumId w:val="61"/>
  </w:num>
  <w:num w:numId="48" w16cid:durableId="1806315575">
    <w:abstractNumId w:val="62"/>
  </w:num>
  <w:num w:numId="49" w16cid:durableId="1682586011">
    <w:abstractNumId w:val="63"/>
  </w:num>
  <w:num w:numId="50" w16cid:durableId="2025083079">
    <w:abstractNumId w:val="64"/>
  </w:num>
  <w:num w:numId="51" w16cid:durableId="530342504">
    <w:abstractNumId w:val="20"/>
  </w:num>
  <w:num w:numId="52" w16cid:durableId="955454438">
    <w:abstractNumId w:val="43"/>
  </w:num>
  <w:num w:numId="53" w16cid:durableId="586957926">
    <w:abstractNumId w:val="56"/>
  </w:num>
  <w:num w:numId="54" w16cid:durableId="1498381482">
    <w:abstractNumId w:val="48"/>
  </w:num>
  <w:num w:numId="55" w16cid:durableId="1930308158">
    <w:abstractNumId w:val="46"/>
  </w:num>
  <w:num w:numId="56" w16cid:durableId="71783945">
    <w:abstractNumId w:val="28"/>
  </w:num>
  <w:num w:numId="57" w16cid:durableId="327246300">
    <w:abstractNumId w:val="26"/>
  </w:num>
  <w:num w:numId="58" w16cid:durableId="823088829">
    <w:abstractNumId w:val="38"/>
  </w:num>
  <w:num w:numId="59" w16cid:durableId="219633537">
    <w:abstractNumId w:val="4"/>
  </w:num>
  <w:num w:numId="60" w16cid:durableId="364453791">
    <w:abstractNumId w:val="45"/>
  </w:num>
  <w:num w:numId="61" w16cid:durableId="319626255">
    <w:abstractNumId w:val="55"/>
  </w:num>
  <w:num w:numId="62" w16cid:durableId="362898492">
    <w:abstractNumId w:val="6"/>
  </w:num>
  <w:num w:numId="63" w16cid:durableId="413744366">
    <w:abstractNumId w:val="22"/>
  </w:num>
  <w:num w:numId="64" w16cid:durableId="986857418">
    <w:abstractNumId w:val="51"/>
  </w:num>
  <w:num w:numId="65" w16cid:durableId="807403715">
    <w:abstractNumId w:val="5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5CD"/>
    <w:rsid w:val="00000CDA"/>
    <w:rsid w:val="00002A86"/>
    <w:rsid w:val="00006E1F"/>
    <w:rsid w:val="000070D7"/>
    <w:rsid w:val="00012F36"/>
    <w:rsid w:val="0001306C"/>
    <w:rsid w:val="0001635F"/>
    <w:rsid w:val="00016622"/>
    <w:rsid w:val="00017293"/>
    <w:rsid w:val="0001788C"/>
    <w:rsid w:val="0002349D"/>
    <w:rsid w:val="0002432D"/>
    <w:rsid w:val="00024A76"/>
    <w:rsid w:val="000337EF"/>
    <w:rsid w:val="00040C3A"/>
    <w:rsid w:val="000419AD"/>
    <w:rsid w:val="000433C9"/>
    <w:rsid w:val="000443D8"/>
    <w:rsid w:val="000619E3"/>
    <w:rsid w:val="000674F9"/>
    <w:rsid w:val="00071174"/>
    <w:rsid w:val="000716C5"/>
    <w:rsid w:val="00075E23"/>
    <w:rsid w:val="0008158C"/>
    <w:rsid w:val="0009344A"/>
    <w:rsid w:val="0009556B"/>
    <w:rsid w:val="000A1013"/>
    <w:rsid w:val="000A1912"/>
    <w:rsid w:val="000A3687"/>
    <w:rsid w:val="000A392E"/>
    <w:rsid w:val="000A575F"/>
    <w:rsid w:val="000A695D"/>
    <w:rsid w:val="000C11D5"/>
    <w:rsid w:val="000D05CB"/>
    <w:rsid w:val="000D10DB"/>
    <w:rsid w:val="000E0611"/>
    <w:rsid w:val="000E260B"/>
    <w:rsid w:val="000E3DEE"/>
    <w:rsid w:val="000E5EB5"/>
    <w:rsid w:val="000F29D5"/>
    <w:rsid w:val="000F35ED"/>
    <w:rsid w:val="0010031E"/>
    <w:rsid w:val="001004FE"/>
    <w:rsid w:val="00107131"/>
    <w:rsid w:val="0010736F"/>
    <w:rsid w:val="0011003F"/>
    <w:rsid w:val="00113F73"/>
    <w:rsid w:val="001175D7"/>
    <w:rsid w:val="00121CC2"/>
    <w:rsid w:val="00123F8C"/>
    <w:rsid w:val="00125980"/>
    <w:rsid w:val="0013087A"/>
    <w:rsid w:val="00131425"/>
    <w:rsid w:val="00133A6B"/>
    <w:rsid w:val="00133EE5"/>
    <w:rsid w:val="00135AAA"/>
    <w:rsid w:val="00143775"/>
    <w:rsid w:val="00145A77"/>
    <w:rsid w:val="00145D9C"/>
    <w:rsid w:val="00155141"/>
    <w:rsid w:val="00155352"/>
    <w:rsid w:val="00160358"/>
    <w:rsid w:val="00167A34"/>
    <w:rsid w:val="00180714"/>
    <w:rsid w:val="00191D83"/>
    <w:rsid w:val="001948EA"/>
    <w:rsid w:val="001A520D"/>
    <w:rsid w:val="001A757D"/>
    <w:rsid w:val="001A7870"/>
    <w:rsid w:val="001B3A00"/>
    <w:rsid w:val="001B478B"/>
    <w:rsid w:val="001C1B41"/>
    <w:rsid w:val="001C3718"/>
    <w:rsid w:val="001D44AA"/>
    <w:rsid w:val="001D65EF"/>
    <w:rsid w:val="001D7F96"/>
    <w:rsid w:val="001E49E7"/>
    <w:rsid w:val="001F5A7E"/>
    <w:rsid w:val="001F7201"/>
    <w:rsid w:val="00200EF2"/>
    <w:rsid w:val="00202922"/>
    <w:rsid w:val="00203A12"/>
    <w:rsid w:val="00212139"/>
    <w:rsid w:val="0021275C"/>
    <w:rsid w:val="0021298B"/>
    <w:rsid w:val="00222F0D"/>
    <w:rsid w:val="00223A29"/>
    <w:rsid w:val="002250A3"/>
    <w:rsid w:val="0022542D"/>
    <w:rsid w:val="00235217"/>
    <w:rsid w:val="00235CE0"/>
    <w:rsid w:val="002378BD"/>
    <w:rsid w:val="00240502"/>
    <w:rsid w:val="002411EC"/>
    <w:rsid w:val="002449D3"/>
    <w:rsid w:val="00245C2E"/>
    <w:rsid w:val="00246D1F"/>
    <w:rsid w:val="00247403"/>
    <w:rsid w:val="00247542"/>
    <w:rsid w:val="00247646"/>
    <w:rsid w:val="002543F0"/>
    <w:rsid w:val="00266B61"/>
    <w:rsid w:val="0026712A"/>
    <w:rsid w:val="002704DB"/>
    <w:rsid w:val="00276298"/>
    <w:rsid w:val="002762DF"/>
    <w:rsid w:val="002927F5"/>
    <w:rsid w:val="00296BA3"/>
    <w:rsid w:val="002A0AAE"/>
    <w:rsid w:val="002A5820"/>
    <w:rsid w:val="002B43AE"/>
    <w:rsid w:val="002D2B26"/>
    <w:rsid w:val="002D7EA2"/>
    <w:rsid w:val="002E187C"/>
    <w:rsid w:val="002E5A4F"/>
    <w:rsid w:val="002E7C82"/>
    <w:rsid w:val="002F2E10"/>
    <w:rsid w:val="00302733"/>
    <w:rsid w:val="00305835"/>
    <w:rsid w:val="00306D74"/>
    <w:rsid w:val="00306F33"/>
    <w:rsid w:val="00314078"/>
    <w:rsid w:val="00315058"/>
    <w:rsid w:val="0031535D"/>
    <w:rsid w:val="0031704B"/>
    <w:rsid w:val="00317C34"/>
    <w:rsid w:val="003239B8"/>
    <w:rsid w:val="00323DD5"/>
    <w:rsid w:val="0033169F"/>
    <w:rsid w:val="00333025"/>
    <w:rsid w:val="003352DA"/>
    <w:rsid w:val="00335AF4"/>
    <w:rsid w:val="00335D68"/>
    <w:rsid w:val="00337F58"/>
    <w:rsid w:val="00342915"/>
    <w:rsid w:val="00343057"/>
    <w:rsid w:val="00344977"/>
    <w:rsid w:val="00346C95"/>
    <w:rsid w:val="00356185"/>
    <w:rsid w:val="00356EF8"/>
    <w:rsid w:val="00360380"/>
    <w:rsid w:val="00367EAD"/>
    <w:rsid w:val="0037519E"/>
    <w:rsid w:val="0037710F"/>
    <w:rsid w:val="00381B21"/>
    <w:rsid w:val="00386CF0"/>
    <w:rsid w:val="00390302"/>
    <w:rsid w:val="003935FA"/>
    <w:rsid w:val="00393B37"/>
    <w:rsid w:val="00394073"/>
    <w:rsid w:val="003A268A"/>
    <w:rsid w:val="003B0DD0"/>
    <w:rsid w:val="003B67ED"/>
    <w:rsid w:val="003B70FB"/>
    <w:rsid w:val="003B795E"/>
    <w:rsid w:val="003C676B"/>
    <w:rsid w:val="003D3566"/>
    <w:rsid w:val="003D3BC2"/>
    <w:rsid w:val="003D4B4C"/>
    <w:rsid w:val="003D4C38"/>
    <w:rsid w:val="003D7CBD"/>
    <w:rsid w:val="003D7DC4"/>
    <w:rsid w:val="003E06AC"/>
    <w:rsid w:val="003E6276"/>
    <w:rsid w:val="003E6CA1"/>
    <w:rsid w:val="003F27AE"/>
    <w:rsid w:val="003F5154"/>
    <w:rsid w:val="00405F9C"/>
    <w:rsid w:val="004065A8"/>
    <w:rsid w:val="00414C6D"/>
    <w:rsid w:val="004165C2"/>
    <w:rsid w:val="00417359"/>
    <w:rsid w:val="00417A9C"/>
    <w:rsid w:val="00420C49"/>
    <w:rsid w:val="004241A0"/>
    <w:rsid w:val="004300DD"/>
    <w:rsid w:val="00441ECB"/>
    <w:rsid w:val="00445193"/>
    <w:rsid w:val="004519DE"/>
    <w:rsid w:val="00462C1B"/>
    <w:rsid w:val="00467B7E"/>
    <w:rsid w:val="00473BB4"/>
    <w:rsid w:val="00477592"/>
    <w:rsid w:val="00477887"/>
    <w:rsid w:val="00482422"/>
    <w:rsid w:val="0048500E"/>
    <w:rsid w:val="00486F1C"/>
    <w:rsid w:val="0049003A"/>
    <w:rsid w:val="0049419D"/>
    <w:rsid w:val="004941B8"/>
    <w:rsid w:val="00496219"/>
    <w:rsid w:val="00496B10"/>
    <w:rsid w:val="004A057B"/>
    <w:rsid w:val="004A3E63"/>
    <w:rsid w:val="004A6A54"/>
    <w:rsid w:val="004A7F6D"/>
    <w:rsid w:val="004B421C"/>
    <w:rsid w:val="004B760F"/>
    <w:rsid w:val="004C1454"/>
    <w:rsid w:val="004C20D2"/>
    <w:rsid w:val="004C2312"/>
    <w:rsid w:val="004C2785"/>
    <w:rsid w:val="004C4B62"/>
    <w:rsid w:val="004C54C9"/>
    <w:rsid w:val="004D0831"/>
    <w:rsid w:val="004D126B"/>
    <w:rsid w:val="004D4ABA"/>
    <w:rsid w:val="004D6025"/>
    <w:rsid w:val="004E2649"/>
    <w:rsid w:val="004E49AC"/>
    <w:rsid w:val="004F626F"/>
    <w:rsid w:val="00501399"/>
    <w:rsid w:val="005047ED"/>
    <w:rsid w:val="0050633D"/>
    <w:rsid w:val="00507BC4"/>
    <w:rsid w:val="005128E4"/>
    <w:rsid w:val="005133DB"/>
    <w:rsid w:val="00514504"/>
    <w:rsid w:val="005173A3"/>
    <w:rsid w:val="00521E1F"/>
    <w:rsid w:val="00525560"/>
    <w:rsid w:val="00533AAB"/>
    <w:rsid w:val="0054239F"/>
    <w:rsid w:val="00544C49"/>
    <w:rsid w:val="0054566B"/>
    <w:rsid w:val="00545787"/>
    <w:rsid w:val="005516A1"/>
    <w:rsid w:val="00554AED"/>
    <w:rsid w:val="005559EF"/>
    <w:rsid w:val="00563557"/>
    <w:rsid w:val="0056396D"/>
    <w:rsid w:val="0057402A"/>
    <w:rsid w:val="00574643"/>
    <w:rsid w:val="005747BE"/>
    <w:rsid w:val="005764B7"/>
    <w:rsid w:val="00576BD2"/>
    <w:rsid w:val="005771D0"/>
    <w:rsid w:val="005851FF"/>
    <w:rsid w:val="0059191A"/>
    <w:rsid w:val="005921FF"/>
    <w:rsid w:val="005927F5"/>
    <w:rsid w:val="005A1F63"/>
    <w:rsid w:val="005A24ED"/>
    <w:rsid w:val="005A6D0E"/>
    <w:rsid w:val="005B52B0"/>
    <w:rsid w:val="005B5A6A"/>
    <w:rsid w:val="005B6806"/>
    <w:rsid w:val="005C4225"/>
    <w:rsid w:val="005D491F"/>
    <w:rsid w:val="005E19BB"/>
    <w:rsid w:val="005F0DAD"/>
    <w:rsid w:val="005F0F33"/>
    <w:rsid w:val="00600DEB"/>
    <w:rsid w:val="006033BF"/>
    <w:rsid w:val="00612AC6"/>
    <w:rsid w:val="00621C6C"/>
    <w:rsid w:val="0062234C"/>
    <w:rsid w:val="00627C9F"/>
    <w:rsid w:val="006311E9"/>
    <w:rsid w:val="00632354"/>
    <w:rsid w:val="00635421"/>
    <w:rsid w:val="0063728C"/>
    <w:rsid w:val="00642810"/>
    <w:rsid w:val="006441BE"/>
    <w:rsid w:val="00652333"/>
    <w:rsid w:val="00653CA3"/>
    <w:rsid w:val="00661C3F"/>
    <w:rsid w:val="00673C88"/>
    <w:rsid w:val="0068009E"/>
    <w:rsid w:val="006845D1"/>
    <w:rsid w:val="006846BC"/>
    <w:rsid w:val="00692219"/>
    <w:rsid w:val="00697949"/>
    <w:rsid w:val="006A17D2"/>
    <w:rsid w:val="006A393C"/>
    <w:rsid w:val="006A73E6"/>
    <w:rsid w:val="006B2D5C"/>
    <w:rsid w:val="006C0ECF"/>
    <w:rsid w:val="006C4EB1"/>
    <w:rsid w:val="006C690D"/>
    <w:rsid w:val="006E0166"/>
    <w:rsid w:val="006E0881"/>
    <w:rsid w:val="006E2FFB"/>
    <w:rsid w:val="006E621A"/>
    <w:rsid w:val="006E6468"/>
    <w:rsid w:val="006E7B34"/>
    <w:rsid w:val="007006E1"/>
    <w:rsid w:val="0070697F"/>
    <w:rsid w:val="007103C4"/>
    <w:rsid w:val="007162B7"/>
    <w:rsid w:val="00716483"/>
    <w:rsid w:val="00716B16"/>
    <w:rsid w:val="0072199C"/>
    <w:rsid w:val="00722C9F"/>
    <w:rsid w:val="007253B8"/>
    <w:rsid w:val="007315EE"/>
    <w:rsid w:val="00734C8F"/>
    <w:rsid w:val="0073741F"/>
    <w:rsid w:val="00743195"/>
    <w:rsid w:val="00745C98"/>
    <w:rsid w:val="00746211"/>
    <w:rsid w:val="00757E7A"/>
    <w:rsid w:val="00760FE1"/>
    <w:rsid w:val="0076643F"/>
    <w:rsid w:val="00772AFD"/>
    <w:rsid w:val="007764CA"/>
    <w:rsid w:val="00777E53"/>
    <w:rsid w:val="00777F63"/>
    <w:rsid w:val="0079188B"/>
    <w:rsid w:val="007A41D1"/>
    <w:rsid w:val="007A5817"/>
    <w:rsid w:val="007B05C4"/>
    <w:rsid w:val="007B17D4"/>
    <w:rsid w:val="007B60E9"/>
    <w:rsid w:val="007B6CC3"/>
    <w:rsid w:val="007B76D3"/>
    <w:rsid w:val="007C1D1C"/>
    <w:rsid w:val="007C3334"/>
    <w:rsid w:val="007C72C7"/>
    <w:rsid w:val="007D1A83"/>
    <w:rsid w:val="007D2B98"/>
    <w:rsid w:val="007D467F"/>
    <w:rsid w:val="007E21BC"/>
    <w:rsid w:val="007E7C82"/>
    <w:rsid w:val="007F2AA1"/>
    <w:rsid w:val="007F3141"/>
    <w:rsid w:val="007F588D"/>
    <w:rsid w:val="0080275E"/>
    <w:rsid w:val="00803F1C"/>
    <w:rsid w:val="0080600E"/>
    <w:rsid w:val="00814688"/>
    <w:rsid w:val="00814A8E"/>
    <w:rsid w:val="008173FB"/>
    <w:rsid w:val="00817612"/>
    <w:rsid w:val="0082122B"/>
    <w:rsid w:val="00824003"/>
    <w:rsid w:val="008338A4"/>
    <w:rsid w:val="00833EC5"/>
    <w:rsid w:val="00834B4B"/>
    <w:rsid w:val="00834D49"/>
    <w:rsid w:val="00837C45"/>
    <w:rsid w:val="00843FCD"/>
    <w:rsid w:val="00844730"/>
    <w:rsid w:val="008457C2"/>
    <w:rsid w:val="00851E2E"/>
    <w:rsid w:val="00854008"/>
    <w:rsid w:val="00857A82"/>
    <w:rsid w:val="0086799B"/>
    <w:rsid w:val="00873836"/>
    <w:rsid w:val="00880BA1"/>
    <w:rsid w:val="00881949"/>
    <w:rsid w:val="00885737"/>
    <w:rsid w:val="0088736D"/>
    <w:rsid w:val="00890650"/>
    <w:rsid w:val="00890DA0"/>
    <w:rsid w:val="008944DC"/>
    <w:rsid w:val="00897E12"/>
    <w:rsid w:val="008A0CF4"/>
    <w:rsid w:val="008A41EA"/>
    <w:rsid w:val="008A7E0F"/>
    <w:rsid w:val="008B12F5"/>
    <w:rsid w:val="008B34AD"/>
    <w:rsid w:val="008C5E2D"/>
    <w:rsid w:val="008D11BA"/>
    <w:rsid w:val="008D6F81"/>
    <w:rsid w:val="008D768D"/>
    <w:rsid w:val="008E3759"/>
    <w:rsid w:val="008E3BFE"/>
    <w:rsid w:val="008E692E"/>
    <w:rsid w:val="008E6D57"/>
    <w:rsid w:val="008F1912"/>
    <w:rsid w:val="008F3266"/>
    <w:rsid w:val="008F3429"/>
    <w:rsid w:val="0090053D"/>
    <w:rsid w:val="00901503"/>
    <w:rsid w:val="0090270B"/>
    <w:rsid w:val="00903A7D"/>
    <w:rsid w:val="009041DC"/>
    <w:rsid w:val="009126EA"/>
    <w:rsid w:val="00912B1C"/>
    <w:rsid w:val="00917B5A"/>
    <w:rsid w:val="00920A58"/>
    <w:rsid w:val="00920A8C"/>
    <w:rsid w:val="00924762"/>
    <w:rsid w:val="009304FA"/>
    <w:rsid w:val="00934A2C"/>
    <w:rsid w:val="00934C25"/>
    <w:rsid w:val="009362A5"/>
    <w:rsid w:val="00942383"/>
    <w:rsid w:val="00950C33"/>
    <w:rsid w:val="00952216"/>
    <w:rsid w:val="00962FF9"/>
    <w:rsid w:val="0096706E"/>
    <w:rsid w:val="00971F2E"/>
    <w:rsid w:val="00974276"/>
    <w:rsid w:val="00974491"/>
    <w:rsid w:val="00975AE3"/>
    <w:rsid w:val="00975C4E"/>
    <w:rsid w:val="00981FBA"/>
    <w:rsid w:val="00982824"/>
    <w:rsid w:val="00983979"/>
    <w:rsid w:val="009901FF"/>
    <w:rsid w:val="00993591"/>
    <w:rsid w:val="00993C66"/>
    <w:rsid w:val="00996CD6"/>
    <w:rsid w:val="00997BC5"/>
    <w:rsid w:val="009A4F41"/>
    <w:rsid w:val="009A56CE"/>
    <w:rsid w:val="009B096A"/>
    <w:rsid w:val="009B381B"/>
    <w:rsid w:val="009B69EE"/>
    <w:rsid w:val="009B6E2C"/>
    <w:rsid w:val="009D1753"/>
    <w:rsid w:val="009D7611"/>
    <w:rsid w:val="009E0B61"/>
    <w:rsid w:val="009E4EBF"/>
    <w:rsid w:val="009E536B"/>
    <w:rsid w:val="009E53DE"/>
    <w:rsid w:val="009E53F7"/>
    <w:rsid w:val="009F58E9"/>
    <w:rsid w:val="009F5F40"/>
    <w:rsid w:val="00A03F6A"/>
    <w:rsid w:val="00A042E1"/>
    <w:rsid w:val="00A10752"/>
    <w:rsid w:val="00A11212"/>
    <w:rsid w:val="00A11E44"/>
    <w:rsid w:val="00A12C6A"/>
    <w:rsid w:val="00A14D38"/>
    <w:rsid w:val="00A15562"/>
    <w:rsid w:val="00A17694"/>
    <w:rsid w:val="00A30100"/>
    <w:rsid w:val="00A328B3"/>
    <w:rsid w:val="00A36865"/>
    <w:rsid w:val="00A45F6A"/>
    <w:rsid w:val="00A47B3E"/>
    <w:rsid w:val="00A50FCF"/>
    <w:rsid w:val="00A528D1"/>
    <w:rsid w:val="00A610CD"/>
    <w:rsid w:val="00A724CE"/>
    <w:rsid w:val="00A758AA"/>
    <w:rsid w:val="00A81029"/>
    <w:rsid w:val="00A8268D"/>
    <w:rsid w:val="00AA09A2"/>
    <w:rsid w:val="00AA7996"/>
    <w:rsid w:val="00AB1E19"/>
    <w:rsid w:val="00AB20BA"/>
    <w:rsid w:val="00AC19CB"/>
    <w:rsid w:val="00AE5488"/>
    <w:rsid w:val="00AE628D"/>
    <w:rsid w:val="00AE6F91"/>
    <w:rsid w:val="00AF497C"/>
    <w:rsid w:val="00AF5571"/>
    <w:rsid w:val="00B04818"/>
    <w:rsid w:val="00B057CA"/>
    <w:rsid w:val="00B07341"/>
    <w:rsid w:val="00B11DE5"/>
    <w:rsid w:val="00B27F6B"/>
    <w:rsid w:val="00B3038B"/>
    <w:rsid w:val="00B30539"/>
    <w:rsid w:val="00B314DB"/>
    <w:rsid w:val="00B361F2"/>
    <w:rsid w:val="00B3718B"/>
    <w:rsid w:val="00B37416"/>
    <w:rsid w:val="00B3745F"/>
    <w:rsid w:val="00B4632A"/>
    <w:rsid w:val="00B530F1"/>
    <w:rsid w:val="00B673C3"/>
    <w:rsid w:val="00B6765D"/>
    <w:rsid w:val="00B70D7A"/>
    <w:rsid w:val="00B71F1E"/>
    <w:rsid w:val="00B732AD"/>
    <w:rsid w:val="00B754B3"/>
    <w:rsid w:val="00B802C5"/>
    <w:rsid w:val="00B80A2C"/>
    <w:rsid w:val="00B9360D"/>
    <w:rsid w:val="00B93D7F"/>
    <w:rsid w:val="00B947C1"/>
    <w:rsid w:val="00B95E98"/>
    <w:rsid w:val="00BA0A2E"/>
    <w:rsid w:val="00BA276C"/>
    <w:rsid w:val="00BA57A5"/>
    <w:rsid w:val="00BB019D"/>
    <w:rsid w:val="00BB306F"/>
    <w:rsid w:val="00BD0513"/>
    <w:rsid w:val="00BD0FF5"/>
    <w:rsid w:val="00BD4B89"/>
    <w:rsid w:val="00BD5922"/>
    <w:rsid w:val="00BE4377"/>
    <w:rsid w:val="00BF02CB"/>
    <w:rsid w:val="00BF134A"/>
    <w:rsid w:val="00BF4602"/>
    <w:rsid w:val="00BF6FD8"/>
    <w:rsid w:val="00C03680"/>
    <w:rsid w:val="00C03DA8"/>
    <w:rsid w:val="00C054DF"/>
    <w:rsid w:val="00C1580B"/>
    <w:rsid w:val="00C21762"/>
    <w:rsid w:val="00C21FEF"/>
    <w:rsid w:val="00C23BA4"/>
    <w:rsid w:val="00C24543"/>
    <w:rsid w:val="00C24984"/>
    <w:rsid w:val="00C256A2"/>
    <w:rsid w:val="00C25ADB"/>
    <w:rsid w:val="00C32438"/>
    <w:rsid w:val="00C4062C"/>
    <w:rsid w:val="00C51515"/>
    <w:rsid w:val="00C5660B"/>
    <w:rsid w:val="00C64D9B"/>
    <w:rsid w:val="00C66B72"/>
    <w:rsid w:val="00C7308D"/>
    <w:rsid w:val="00C753C0"/>
    <w:rsid w:val="00C811FE"/>
    <w:rsid w:val="00C87AC4"/>
    <w:rsid w:val="00C87BDD"/>
    <w:rsid w:val="00C91E32"/>
    <w:rsid w:val="00C9567A"/>
    <w:rsid w:val="00CB029B"/>
    <w:rsid w:val="00CB183E"/>
    <w:rsid w:val="00CB212D"/>
    <w:rsid w:val="00CB2660"/>
    <w:rsid w:val="00CB486A"/>
    <w:rsid w:val="00CB5C80"/>
    <w:rsid w:val="00CC41D3"/>
    <w:rsid w:val="00CC5E90"/>
    <w:rsid w:val="00CD046C"/>
    <w:rsid w:val="00CD607F"/>
    <w:rsid w:val="00CE076C"/>
    <w:rsid w:val="00CE5199"/>
    <w:rsid w:val="00CE66D5"/>
    <w:rsid w:val="00CF13D3"/>
    <w:rsid w:val="00CF150C"/>
    <w:rsid w:val="00CF637A"/>
    <w:rsid w:val="00D0058F"/>
    <w:rsid w:val="00D01DB1"/>
    <w:rsid w:val="00D049A2"/>
    <w:rsid w:val="00D059DE"/>
    <w:rsid w:val="00D05ABD"/>
    <w:rsid w:val="00D11C10"/>
    <w:rsid w:val="00D13FCE"/>
    <w:rsid w:val="00D306D1"/>
    <w:rsid w:val="00D30800"/>
    <w:rsid w:val="00D31050"/>
    <w:rsid w:val="00D34786"/>
    <w:rsid w:val="00D34BF8"/>
    <w:rsid w:val="00D35941"/>
    <w:rsid w:val="00D37BFC"/>
    <w:rsid w:val="00D4293B"/>
    <w:rsid w:val="00D469B9"/>
    <w:rsid w:val="00D46B52"/>
    <w:rsid w:val="00D47A8E"/>
    <w:rsid w:val="00D50320"/>
    <w:rsid w:val="00D52D14"/>
    <w:rsid w:val="00D553EA"/>
    <w:rsid w:val="00D702BD"/>
    <w:rsid w:val="00D712D3"/>
    <w:rsid w:val="00D71422"/>
    <w:rsid w:val="00D71555"/>
    <w:rsid w:val="00D72DC6"/>
    <w:rsid w:val="00D7558D"/>
    <w:rsid w:val="00D766B0"/>
    <w:rsid w:val="00D8078F"/>
    <w:rsid w:val="00D81D92"/>
    <w:rsid w:val="00D876F9"/>
    <w:rsid w:val="00D929F2"/>
    <w:rsid w:val="00DA5439"/>
    <w:rsid w:val="00DA5ABC"/>
    <w:rsid w:val="00DA7B5F"/>
    <w:rsid w:val="00DB06AE"/>
    <w:rsid w:val="00DB6B87"/>
    <w:rsid w:val="00DB772F"/>
    <w:rsid w:val="00DC0D1A"/>
    <w:rsid w:val="00DC11E7"/>
    <w:rsid w:val="00DC1385"/>
    <w:rsid w:val="00DC21D4"/>
    <w:rsid w:val="00DC24E3"/>
    <w:rsid w:val="00DC60B4"/>
    <w:rsid w:val="00DC6E57"/>
    <w:rsid w:val="00DC7023"/>
    <w:rsid w:val="00DC769A"/>
    <w:rsid w:val="00DD1117"/>
    <w:rsid w:val="00DD250A"/>
    <w:rsid w:val="00DD3AFB"/>
    <w:rsid w:val="00DD3D86"/>
    <w:rsid w:val="00DD4AD2"/>
    <w:rsid w:val="00DD629A"/>
    <w:rsid w:val="00DE2862"/>
    <w:rsid w:val="00DE2F53"/>
    <w:rsid w:val="00DE3F29"/>
    <w:rsid w:val="00DF1EC4"/>
    <w:rsid w:val="00E0340B"/>
    <w:rsid w:val="00E03973"/>
    <w:rsid w:val="00E04A90"/>
    <w:rsid w:val="00E0551F"/>
    <w:rsid w:val="00E11B13"/>
    <w:rsid w:val="00E20CEB"/>
    <w:rsid w:val="00E219C7"/>
    <w:rsid w:val="00E21B80"/>
    <w:rsid w:val="00E23A3B"/>
    <w:rsid w:val="00E25C10"/>
    <w:rsid w:val="00E305EB"/>
    <w:rsid w:val="00E30D77"/>
    <w:rsid w:val="00E31551"/>
    <w:rsid w:val="00E31749"/>
    <w:rsid w:val="00E32B57"/>
    <w:rsid w:val="00E3698F"/>
    <w:rsid w:val="00E401DE"/>
    <w:rsid w:val="00E4118C"/>
    <w:rsid w:val="00E43157"/>
    <w:rsid w:val="00E461CE"/>
    <w:rsid w:val="00E4729B"/>
    <w:rsid w:val="00E541DA"/>
    <w:rsid w:val="00E544B4"/>
    <w:rsid w:val="00E573E4"/>
    <w:rsid w:val="00E60747"/>
    <w:rsid w:val="00E64C3D"/>
    <w:rsid w:val="00E66075"/>
    <w:rsid w:val="00E720CA"/>
    <w:rsid w:val="00E733C5"/>
    <w:rsid w:val="00E73808"/>
    <w:rsid w:val="00E7642D"/>
    <w:rsid w:val="00E84EB5"/>
    <w:rsid w:val="00E85662"/>
    <w:rsid w:val="00E8789F"/>
    <w:rsid w:val="00E90A67"/>
    <w:rsid w:val="00E95053"/>
    <w:rsid w:val="00E97B71"/>
    <w:rsid w:val="00EA3D34"/>
    <w:rsid w:val="00EA4F24"/>
    <w:rsid w:val="00EA5AAD"/>
    <w:rsid w:val="00EB454D"/>
    <w:rsid w:val="00EC1D56"/>
    <w:rsid w:val="00EC3163"/>
    <w:rsid w:val="00ED113C"/>
    <w:rsid w:val="00ED26EB"/>
    <w:rsid w:val="00ED2B45"/>
    <w:rsid w:val="00ED549D"/>
    <w:rsid w:val="00ED5E10"/>
    <w:rsid w:val="00ED6F6A"/>
    <w:rsid w:val="00ED76BE"/>
    <w:rsid w:val="00EE00E9"/>
    <w:rsid w:val="00EF04B2"/>
    <w:rsid w:val="00EF1AAA"/>
    <w:rsid w:val="00EF619B"/>
    <w:rsid w:val="00F00B55"/>
    <w:rsid w:val="00F02AD1"/>
    <w:rsid w:val="00F04774"/>
    <w:rsid w:val="00F07597"/>
    <w:rsid w:val="00F1330B"/>
    <w:rsid w:val="00F253CC"/>
    <w:rsid w:val="00F25AA0"/>
    <w:rsid w:val="00F3439C"/>
    <w:rsid w:val="00F37106"/>
    <w:rsid w:val="00F44E25"/>
    <w:rsid w:val="00F45424"/>
    <w:rsid w:val="00F519CF"/>
    <w:rsid w:val="00F5343D"/>
    <w:rsid w:val="00F5506D"/>
    <w:rsid w:val="00F56839"/>
    <w:rsid w:val="00F56BA5"/>
    <w:rsid w:val="00F56ECB"/>
    <w:rsid w:val="00F60E22"/>
    <w:rsid w:val="00F6142B"/>
    <w:rsid w:val="00F81395"/>
    <w:rsid w:val="00F81BB8"/>
    <w:rsid w:val="00F84B2A"/>
    <w:rsid w:val="00F90C64"/>
    <w:rsid w:val="00F917D1"/>
    <w:rsid w:val="00F945DB"/>
    <w:rsid w:val="00F9653B"/>
    <w:rsid w:val="00FA0E02"/>
    <w:rsid w:val="00FB4C07"/>
    <w:rsid w:val="00FB62CF"/>
    <w:rsid w:val="00FC0860"/>
    <w:rsid w:val="00FC7979"/>
    <w:rsid w:val="00FD2DA9"/>
    <w:rsid w:val="00FD3C3B"/>
    <w:rsid w:val="00FD4281"/>
    <w:rsid w:val="00FE07DD"/>
    <w:rsid w:val="00FE1B65"/>
    <w:rsid w:val="00FE54AB"/>
    <w:rsid w:val="00FE6B45"/>
    <w:rsid w:val="00FF55F3"/>
    <w:rsid w:val="00FF5851"/>
    <w:rsid w:val="00FF6B5B"/>
    <w:rsid w:val="00FF7B7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D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uiPriority w:val="34"/>
    <w:qFormat/>
    <w:rsid w:val="002E5A4F"/>
    <w:pPr>
      <w:numPr>
        <w:numId w:val="63"/>
      </w:numPr>
      <w:spacing w:before="240" w:after="240"/>
      <w:ind w:left="0" w:firstLine="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0">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0">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
    <w:name w:val="List 21"/>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ft"/>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
    <w:name w:val="List 51"/>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4GChar"/>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3566"/>
    <w:rPr>
      <w:sz w:val="16"/>
      <w:szCs w:val="16"/>
    </w:rPr>
  </w:style>
  <w:style w:type="paragraph" w:customStyle="1" w:styleId="Notasalpie">
    <w:name w:val="Notas al pie"/>
    <w:basedOn w:val="FootnoteText"/>
    <w:link w:val="NotasalpieChar"/>
    <w:qFormat/>
    <w:rsid w:val="009901FF"/>
    <w:pPr>
      <w:ind w:firstLine="720"/>
      <w:jc w:val="both"/>
    </w:pPr>
    <w:rPr>
      <w:rFonts w:asciiTheme="majorHAnsi" w:hAnsiTheme="majorHAnsi"/>
      <w:sz w:val="16"/>
      <w:szCs w:val="16"/>
      <w:lang w:val="es-ES"/>
    </w:rPr>
  </w:style>
  <w:style w:type="character" w:customStyle="1" w:styleId="NotasalpieChar">
    <w:name w:val="Notas al pie Char"/>
    <w:basedOn w:val="FootnoteTextChar"/>
    <w:link w:val="Notasalpie"/>
    <w:rsid w:val="009901FF"/>
    <w:rPr>
      <w:rFonts w:asciiTheme="majorHAnsi" w:eastAsia="Calibri" w:hAnsiTheme="majorHAnsi" w:cs="Calibri"/>
      <w:color w:val="000000"/>
      <w:sz w:val="16"/>
      <w:szCs w:val="16"/>
      <w:u w:color="000000"/>
      <w:lang w:val="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qFormat/>
    <w:rsid w:val="000A1013"/>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paragraph" w:customStyle="1" w:styleId="Ttulos">
    <w:name w:val="Títulos"/>
    <w:basedOn w:val="Normal"/>
    <w:link w:val="TtulosChar"/>
    <w:qFormat/>
    <w:rsid w:val="00315058"/>
    <w:pPr>
      <w:spacing w:after="240"/>
      <w:ind w:firstLine="720"/>
      <w:jc w:val="both"/>
    </w:pPr>
    <w:rPr>
      <w:rFonts w:asciiTheme="majorHAnsi" w:hAnsiTheme="majorHAnsi"/>
      <w:b/>
      <w:bCs/>
      <w:sz w:val="20"/>
      <w:szCs w:val="20"/>
      <w:lang w:val="es-ES"/>
    </w:rPr>
  </w:style>
  <w:style w:type="character" w:customStyle="1" w:styleId="TtulosChar">
    <w:name w:val="Títulos Char"/>
    <w:basedOn w:val="DefaultParagraphFont"/>
    <w:link w:val="Ttulos"/>
    <w:rsid w:val="00315058"/>
    <w:rPr>
      <w:rFonts w:asciiTheme="majorHAnsi" w:hAnsiTheme="majorHAnsi"/>
      <w:b/>
      <w:bCs/>
      <w:lang w:eastAsia="en-US"/>
    </w:rPr>
  </w:style>
  <w:style w:type="paragraph" w:styleId="CommentText">
    <w:name w:val="annotation text"/>
    <w:basedOn w:val="Normal"/>
    <w:link w:val="CommentTextChar"/>
    <w:uiPriority w:val="99"/>
    <w:unhideWhenUsed/>
    <w:rsid w:val="00222F0D"/>
    <w:rPr>
      <w:sz w:val="20"/>
      <w:szCs w:val="20"/>
    </w:rPr>
  </w:style>
  <w:style w:type="character" w:customStyle="1" w:styleId="CommentTextChar">
    <w:name w:val="Comment Text Char"/>
    <w:basedOn w:val="DefaultParagraphFont"/>
    <w:link w:val="CommentText"/>
    <w:uiPriority w:val="99"/>
    <w:rsid w:val="00222F0D"/>
    <w:rPr>
      <w:lang w:val="en-US" w:eastAsia="en-US"/>
    </w:rPr>
  </w:style>
  <w:style w:type="paragraph" w:styleId="CommentSubject">
    <w:name w:val="annotation subject"/>
    <w:basedOn w:val="CommentText"/>
    <w:next w:val="CommentText"/>
    <w:link w:val="CommentSubjectChar"/>
    <w:uiPriority w:val="99"/>
    <w:semiHidden/>
    <w:unhideWhenUsed/>
    <w:rsid w:val="00222F0D"/>
    <w:rPr>
      <w:b/>
      <w:bCs/>
    </w:rPr>
  </w:style>
  <w:style w:type="character" w:customStyle="1" w:styleId="CommentSubjectChar">
    <w:name w:val="Comment Subject Char"/>
    <w:basedOn w:val="CommentTextChar"/>
    <w:link w:val="CommentSubject"/>
    <w:uiPriority w:val="99"/>
    <w:semiHidden/>
    <w:rsid w:val="00222F0D"/>
    <w:rPr>
      <w:b/>
      <w:bCs/>
      <w:lang w:val="en-US" w:eastAsia="en-US"/>
    </w:rPr>
  </w:style>
  <w:style w:type="paragraph" w:customStyle="1" w:styleId="paragraph">
    <w:name w:val="paragraph"/>
    <w:basedOn w:val="Normal"/>
    <w:rsid w:val="003D7D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3D7DC4"/>
  </w:style>
  <w:style w:type="character" w:customStyle="1" w:styleId="eop">
    <w:name w:val="eop"/>
    <w:basedOn w:val="DefaultParagraphFont"/>
    <w:rsid w:val="003D7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16622"/>
    <w:rsid w:val="0002349D"/>
    <w:rsid w:val="00200821"/>
    <w:rsid w:val="0025245B"/>
    <w:rsid w:val="002A3923"/>
    <w:rsid w:val="00323DD5"/>
    <w:rsid w:val="00335D68"/>
    <w:rsid w:val="003707A4"/>
    <w:rsid w:val="00394049"/>
    <w:rsid w:val="003B0C71"/>
    <w:rsid w:val="003B795E"/>
    <w:rsid w:val="003E2DD8"/>
    <w:rsid w:val="00420C49"/>
    <w:rsid w:val="004B5BBB"/>
    <w:rsid w:val="004F2DF8"/>
    <w:rsid w:val="00517E2A"/>
    <w:rsid w:val="006D3128"/>
    <w:rsid w:val="006F24A1"/>
    <w:rsid w:val="007C72C7"/>
    <w:rsid w:val="00875B8A"/>
    <w:rsid w:val="008937F7"/>
    <w:rsid w:val="008953BC"/>
    <w:rsid w:val="00901503"/>
    <w:rsid w:val="00996CD6"/>
    <w:rsid w:val="009A261B"/>
    <w:rsid w:val="009E4EBF"/>
    <w:rsid w:val="00AA2E17"/>
    <w:rsid w:val="00AC15A4"/>
    <w:rsid w:val="00AC4329"/>
    <w:rsid w:val="00AE628D"/>
    <w:rsid w:val="00B0336C"/>
    <w:rsid w:val="00D241E9"/>
    <w:rsid w:val="00D3126A"/>
    <w:rsid w:val="00D702BD"/>
    <w:rsid w:val="00D7750D"/>
    <w:rsid w:val="00DD629A"/>
    <w:rsid w:val="00DE3F29"/>
    <w:rsid w:val="00DF4944"/>
    <w:rsid w:val="00E66075"/>
    <w:rsid w:val="00E733C5"/>
    <w:rsid w:val="00EA4F24"/>
    <w:rsid w:val="00F00D2F"/>
    <w:rsid w:val="00F128DF"/>
    <w:rsid w:val="00F30500"/>
    <w:rsid w:val="00F6142B"/>
    <w:rsid w:val="00FE54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f081b1d92e6917b2e4487620216c9ad3">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50f43e568dcf4af92164191fd483976b"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95626-5AB0-4ADD-B919-3F5DD81424A7}">
  <ds:schemaRefs>
    <ds:schemaRef ds:uri="http://schemas.openxmlformats.org/officeDocument/2006/bibliography"/>
  </ds:schemaRefs>
</ds:datastoreItem>
</file>

<file path=customXml/itemProps2.xml><?xml version="1.0" encoding="utf-8"?>
<ds:datastoreItem xmlns:ds="http://schemas.openxmlformats.org/officeDocument/2006/customXml" ds:itemID="{2C83BF72-D897-46E3-B53C-CCF39588EFC1}">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4EED1CFC-FEF1-49D3-8569-7B919B25BC17}">
  <ds:schemaRefs>
    <ds:schemaRef ds:uri="http://schemas.microsoft.com/sharepoint/v3/contenttype/forms"/>
  </ds:schemaRefs>
</ds:datastoreItem>
</file>

<file path=customXml/itemProps4.xml><?xml version="1.0" encoding="utf-8"?>
<ds:datastoreItem xmlns:ds="http://schemas.openxmlformats.org/officeDocument/2006/customXml" ds:itemID="{41E4BA41-2140-49C6-86F8-24EA76DA5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2241</Words>
  <Characters>12779</Characters>
  <Application>Microsoft Office Word</Application>
  <DocSecurity>0</DocSecurity>
  <Lines>106</Lines>
  <Paragraphs>29</Paragraphs>
  <ScaleCrop>false</ScaleCrop>
  <Company/>
  <LinksUpToDate>false</LinksUpToDate>
  <CharactersWithSpaces>14991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2025-10-17T15:44:00Z</dcterms:created>
  <dcterms:modified xsi:type="dcterms:W3CDTF">2025-10-17T15:44:00Z</dcterms:modified>
</cp:coreProperties>
</file>