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E847D1">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357F5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0D47B02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31D7E">
                              <w:rPr>
                                <w:rFonts w:asciiTheme="majorHAnsi" w:hAnsiTheme="majorHAnsi" w:cs="Arial"/>
                                <w:b/>
                                <w:bCs/>
                                <w:color w:val="0D0D0D" w:themeColor="text1" w:themeTint="F2"/>
                                <w:sz w:val="36"/>
                                <w:szCs w:val="22"/>
                                <w:lang w:val="es-ES_tradnl"/>
                              </w:rPr>
                              <w:t>278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B4365F2" w:rsidR="007B05C4" w:rsidRDefault="005B52B0" w:rsidP="00997BC5">
                            <w:pPr>
                              <w:spacing w:line="276" w:lineRule="auto"/>
                              <w:rPr>
                                <w:rFonts w:asciiTheme="majorHAnsi" w:hAnsiTheme="majorHAnsi" w:cs="Arial"/>
                                <w:b/>
                                <w:color w:val="0D0D0D" w:themeColor="text1" w:themeTint="F2"/>
                                <w:sz w:val="36"/>
                                <w:szCs w:val="22"/>
                                <w:lang w:val="es-ES_tradnl"/>
                              </w:rPr>
                            </w:pPr>
                            <w:r w:rsidRPr="00077463">
                              <w:rPr>
                                <w:rFonts w:asciiTheme="majorHAnsi" w:hAnsiTheme="majorHAnsi" w:cs="Arial"/>
                                <w:b/>
                                <w:color w:val="0D0D0D" w:themeColor="text1" w:themeTint="F2"/>
                                <w:sz w:val="36"/>
                                <w:szCs w:val="22"/>
                                <w:lang w:val="es-ES_tradnl"/>
                              </w:rPr>
                              <w:t xml:space="preserve">PETICIÓN </w:t>
                            </w:r>
                            <w:r w:rsidR="00D04BB5" w:rsidRPr="00077463">
                              <w:rPr>
                                <w:rFonts w:asciiTheme="majorHAnsi" w:hAnsiTheme="majorHAnsi" w:cs="Arial"/>
                                <w:b/>
                                <w:color w:val="0D0D0D" w:themeColor="text1" w:themeTint="F2"/>
                                <w:sz w:val="36"/>
                                <w:szCs w:val="22"/>
                                <w:lang w:val="es-ES_tradnl"/>
                              </w:rPr>
                              <w:t>123</w:t>
                            </w:r>
                            <w:r w:rsidR="00B11747" w:rsidRPr="00077463">
                              <w:rPr>
                                <w:rFonts w:asciiTheme="majorHAnsi" w:hAnsiTheme="majorHAnsi" w:cs="Arial"/>
                                <w:b/>
                                <w:color w:val="0D0D0D" w:themeColor="text1" w:themeTint="F2"/>
                                <w:sz w:val="36"/>
                                <w:szCs w:val="22"/>
                                <w:lang w:val="es-ES_tradnl"/>
                              </w:rPr>
                              <w:t>-</w:t>
                            </w:r>
                            <w:r w:rsidR="00D04BB5" w:rsidRPr="00077463">
                              <w:rPr>
                                <w:rFonts w:asciiTheme="majorHAnsi" w:hAnsiTheme="majorHAnsi" w:cs="Arial"/>
                                <w:b/>
                                <w:color w:val="0D0D0D" w:themeColor="text1" w:themeTint="F2"/>
                                <w:sz w:val="36"/>
                                <w:szCs w:val="22"/>
                                <w:lang w:val="es-ES_tradnl"/>
                              </w:rPr>
                              <w:t>15</w:t>
                            </w:r>
                          </w:p>
                          <w:p w14:paraId="70CF6833" w14:textId="1271907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A00E30">
                              <w:rPr>
                                <w:rFonts w:asciiTheme="majorHAnsi" w:hAnsiTheme="majorHAnsi" w:cs="Arial"/>
                                <w:color w:val="0D0D0D" w:themeColor="text1" w:themeTint="F2"/>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5B479309" w14:textId="4AE7E7AC" w:rsidR="00077463" w:rsidRPr="00A21596" w:rsidRDefault="006632A4" w:rsidP="00077463">
                            <w:pPr>
                              <w:spacing w:line="276" w:lineRule="auto"/>
                              <w:rPr>
                                <w:rFonts w:asciiTheme="majorHAnsi" w:hAnsiTheme="majorHAnsi" w:cs="Arial"/>
                                <w:color w:val="0D0D0D" w:themeColor="text1" w:themeTint="F2"/>
                                <w:szCs w:val="22"/>
                                <w:lang w:val="es-ES_tradnl"/>
                              </w:rPr>
                            </w:pPr>
                            <w:r w:rsidRPr="006632A4">
                              <w:rPr>
                                <w:rFonts w:asciiTheme="majorHAnsi" w:hAnsiTheme="majorHAnsi" w:cs="Arial"/>
                                <w:color w:val="0D0D0D" w:themeColor="text1" w:themeTint="F2"/>
                                <w:szCs w:val="22"/>
                                <w:lang w:val="es-ES_tradnl"/>
                              </w:rPr>
                              <w:t xml:space="preserve">ROBINSON MARTÍNEZ ARANGO </w:t>
                            </w:r>
                            <w:r w:rsidR="00077463" w:rsidRPr="00A21596">
                              <w:rPr>
                                <w:rFonts w:asciiTheme="majorHAnsi" w:hAnsiTheme="majorHAnsi" w:cs="Arial"/>
                                <w:color w:val="0D0D0D" w:themeColor="text1" w:themeTint="F2"/>
                                <w:szCs w:val="22"/>
                                <w:lang w:val="es-ES_tradnl"/>
                              </w:rPr>
                              <w:t xml:space="preserve">Y </w:t>
                            </w:r>
                            <w:r w:rsidR="00AD60B6">
                              <w:rPr>
                                <w:rFonts w:asciiTheme="majorHAnsi" w:hAnsiTheme="majorHAnsi" w:cs="Arial"/>
                                <w:color w:val="0D0D0D" w:themeColor="text1" w:themeTint="F2"/>
                                <w:szCs w:val="22"/>
                                <w:lang w:val="es-ES_tradnl"/>
                              </w:rPr>
                              <w:t>FAMILIARES</w:t>
                            </w:r>
                          </w:p>
                          <w:p w14:paraId="575DFD52" w14:textId="0CA631B8" w:rsidR="005B52B0" w:rsidRPr="00EB197F" w:rsidRDefault="00077463" w:rsidP="00077463">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0D47B02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31D7E">
                        <w:rPr>
                          <w:rFonts w:asciiTheme="majorHAnsi" w:hAnsiTheme="majorHAnsi" w:cs="Arial"/>
                          <w:b/>
                          <w:bCs/>
                          <w:color w:val="0D0D0D" w:themeColor="text1" w:themeTint="F2"/>
                          <w:sz w:val="36"/>
                          <w:szCs w:val="22"/>
                          <w:lang w:val="es-ES_tradnl"/>
                        </w:rPr>
                        <w:t>278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B4365F2" w:rsidR="007B05C4" w:rsidRDefault="005B52B0" w:rsidP="00997BC5">
                      <w:pPr>
                        <w:spacing w:line="276" w:lineRule="auto"/>
                        <w:rPr>
                          <w:rFonts w:asciiTheme="majorHAnsi" w:hAnsiTheme="majorHAnsi" w:cs="Arial"/>
                          <w:b/>
                          <w:color w:val="0D0D0D" w:themeColor="text1" w:themeTint="F2"/>
                          <w:sz w:val="36"/>
                          <w:szCs w:val="22"/>
                          <w:lang w:val="es-ES_tradnl"/>
                        </w:rPr>
                      </w:pPr>
                      <w:r w:rsidRPr="00077463">
                        <w:rPr>
                          <w:rFonts w:asciiTheme="majorHAnsi" w:hAnsiTheme="majorHAnsi" w:cs="Arial"/>
                          <w:b/>
                          <w:color w:val="0D0D0D" w:themeColor="text1" w:themeTint="F2"/>
                          <w:sz w:val="36"/>
                          <w:szCs w:val="22"/>
                          <w:lang w:val="es-ES_tradnl"/>
                        </w:rPr>
                        <w:t xml:space="preserve">PETICIÓN </w:t>
                      </w:r>
                      <w:r w:rsidR="00D04BB5" w:rsidRPr="00077463">
                        <w:rPr>
                          <w:rFonts w:asciiTheme="majorHAnsi" w:hAnsiTheme="majorHAnsi" w:cs="Arial"/>
                          <w:b/>
                          <w:color w:val="0D0D0D" w:themeColor="text1" w:themeTint="F2"/>
                          <w:sz w:val="36"/>
                          <w:szCs w:val="22"/>
                          <w:lang w:val="es-ES_tradnl"/>
                        </w:rPr>
                        <w:t>123</w:t>
                      </w:r>
                      <w:r w:rsidR="00B11747" w:rsidRPr="00077463">
                        <w:rPr>
                          <w:rFonts w:asciiTheme="majorHAnsi" w:hAnsiTheme="majorHAnsi" w:cs="Arial"/>
                          <w:b/>
                          <w:color w:val="0D0D0D" w:themeColor="text1" w:themeTint="F2"/>
                          <w:sz w:val="36"/>
                          <w:szCs w:val="22"/>
                          <w:lang w:val="es-ES_tradnl"/>
                        </w:rPr>
                        <w:t>-</w:t>
                      </w:r>
                      <w:r w:rsidR="00D04BB5" w:rsidRPr="00077463">
                        <w:rPr>
                          <w:rFonts w:asciiTheme="majorHAnsi" w:hAnsiTheme="majorHAnsi" w:cs="Arial"/>
                          <w:b/>
                          <w:color w:val="0D0D0D" w:themeColor="text1" w:themeTint="F2"/>
                          <w:sz w:val="36"/>
                          <w:szCs w:val="22"/>
                          <w:lang w:val="es-ES_tradnl"/>
                        </w:rPr>
                        <w:t>15</w:t>
                      </w:r>
                    </w:p>
                    <w:p w14:paraId="70CF6833" w14:textId="1271907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A00E30">
                        <w:rPr>
                          <w:rFonts w:asciiTheme="majorHAnsi" w:hAnsiTheme="majorHAnsi" w:cs="Arial"/>
                          <w:color w:val="0D0D0D" w:themeColor="text1" w:themeTint="F2"/>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5B479309" w14:textId="4AE7E7AC" w:rsidR="00077463" w:rsidRPr="00A21596" w:rsidRDefault="006632A4" w:rsidP="00077463">
                      <w:pPr>
                        <w:spacing w:line="276" w:lineRule="auto"/>
                        <w:rPr>
                          <w:rFonts w:asciiTheme="majorHAnsi" w:hAnsiTheme="majorHAnsi" w:cs="Arial"/>
                          <w:color w:val="0D0D0D" w:themeColor="text1" w:themeTint="F2"/>
                          <w:szCs w:val="22"/>
                          <w:lang w:val="es-ES_tradnl"/>
                        </w:rPr>
                      </w:pPr>
                      <w:r w:rsidRPr="006632A4">
                        <w:rPr>
                          <w:rFonts w:asciiTheme="majorHAnsi" w:hAnsiTheme="majorHAnsi" w:cs="Arial"/>
                          <w:color w:val="0D0D0D" w:themeColor="text1" w:themeTint="F2"/>
                          <w:szCs w:val="22"/>
                          <w:lang w:val="es-ES_tradnl"/>
                        </w:rPr>
                        <w:t xml:space="preserve">ROBINSON MARTÍNEZ ARANGO </w:t>
                      </w:r>
                      <w:r w:rsidR="00077463" w:rsidRPr="00A21596">
                        <w:rPr>
                          <w:rFonts w:asciiTheme="majorHAnsi" w:hAnsiTheme="majorHAnsi" w:cs="Arial"/>
                          <w:color w:val="0D0D0D" w:themeColor="text1" w:themeTint="F2"/>
                          <w:szCs w:val="22"/>
                          <w:lang w:val="es-ES_tradnl"/>
                        </w:rPr>
                        <w:t xml:space="preserve">Y </w:t>
                      </w:r>
                      <w:r w:rsidR="00AD60B6">
                        <w:rPr>
                          <w:rFonts w:asciiTheme="majorHAnsi" w:hAnsiTheme="majorHAnsi" w:cs="Arial"/>
                          <w:color w:val="0D0D0D" w:themeColor="text1" w:themeTint="F2"/>
                          <w:szCs w:val="22"/>
                          <w:lang w:val="es-ES_tradnl"/>
                        </w:rPr>
                        <w:t>FAMILIARES</w:t>
                      </w:r>
                    </w:p>
                    <w:p w14:paraId="575DFD52" w14:textId="0CA631B8" w:rsidR="005B52B0" w:rsidRPr="00EB197F" w:rsidRDefault="00077463" w:rsidP="00077463">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123DC261" w:rsidR="00627C9F" w:rsidRPr="0072794F" w:rsidRDefault="00834D49" w:rsidP="007A5817">
                            <w:pPr>
                              <w:spacing w:line="276" w:lineRule="auto"/>
                              <w:jc w:val="right"/>
                              <w:rPr>
                                <w:rFonts w:asciiTheme="minorHAnsi" w:hAnsiTheme="minorHAnsi"/>
                                <w:color w:val="FFFFFF" w:themeColor="background1"/>
                                <w:sz w:val="22"/>
                                <w:lang w:val="es-ES"/>
                              </w:rPr>
                            </w:pPr>
                            <w:r w:rsidRPr="0072794F">
                              <w:rPr>
                                <w:rFonts w:asciiTheme="minorHAnsi" w:hAnsiTheme="minorHAnsi"/>
                                <w:color w:val="FFFFFF" w:themeColor="background1"/>
                                <w:sz w:val="22"/>
                                <w:lang w:val="es-ES"/>
                              </w:rPr>
                              <w:t>OEA/Ser.L/V/II</w:t>
                            </w:r>
                          </w:p>
                          <w:p w14:paraId="6A41611B" w14:textId="4F515070" w:rsidR="00627C9F" w:rsidRPr="0072794F" w:rsidRDefault="00627C9F" w:rsidP="007A5817">
                            <w:pPr>
                              <w:spacing w:line="276" w:lineRule="auto"/>
                              <w:jc w:val="right"/>
                              <w:rPr>
                                <w:rFonts w:asciiTheme="minorHAnsi" w:hAnsiTheme="minorHAnsi"/>
                                <w:color w:val="FFFFFF" w:themeColor="background1"/>
                                <w:sz w:val="22"/>
                                <w:lang w:val="es-ES"/>
                              </w:rPr>
                            </w:pPr>
                            <w:r w:rsidRPr="0072794F">
                              <w:rPr>
                                <w:rFonts w:asciiTheme="minorHAnsi" w:hAnsiTheme="minorHAnsi"/>
                                <w:color w:val="FFFFFF" w:themeColor="background1"/>
                                <w:sz w:val="22"/>
                                <w:lang w:val="es-ES"/>
                              </w:rPr>
                              <w:t xml:space="preserve">Doc. </w:t>
                            </w:r>
                            <w:r w:rsidR="00D31D7E" w:rsidRPr="0072794F">
                              <w:rPr>
                                <w:rFonts w:asciiTheme="minorHAnsi" w:hAnsiTheme="minorHAnsi"/>
                                <w:color w:val="FFFFFF" w:themeColor="background1"/>
                                <w:sz w:val="22"/>
                                <w:lang w:val="es-ES"/>
                              </w:rPr>
                              <w:t>293</w:t>
                            </w:r>
                          </w:p>
                          <w:p w14:paraId="69373ED2" w14:textId="0F88729B" w:rsidR="00627C9F" w:rsidRPr="00C25ADB" w:rsidRDefault="000B6B0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123DC261" w:rsidR="00627C9F" w:rsidRPr="0072794F" w:rsidRDefault="00834D49" w:rsidP="007A5817">
                      <w:pPr>
                        <w:spacing w:line="276" w:lineRule="auto"/>
                        <w:jc w:val="right"/>
                        <w:rPr>
                          <w:rFonts w:asciiTheme="minorHAnsi" w:hAnsiTheme="minorHAnsi"/>
                          <w:color w:val="FFFFFF" w:themeColor="background1"/>
                          <w:sz w:val="22"/>
                          <w:lang w:val="es-ES"/>
                        </w:rPr>
                      </w:pPr>
                      <w:r w:rsidRPr="0072794F">
                        <w:rPr>
                          <w:rFonts w:asciiTheme="minorHAnsi" w:hAnsiTheme="minorHAnsi"/>
                          <w:color w:val="FFFFFF" w:themeColor="background1"/>
                          <w:sz w:val="22"/>
                          <w:lang w:val="es-ES"/>
                        </w:rPr>
                        <w:t>OEA/Ser.L/V/II</w:t>
                      </w:r>
                    </w:p>
                    <w:p w14:paraId="6A41611B" w14:textId="4F515070" w:rsidR="00627C9F" w:rsidRPr="0072794F" w:rsidRDefault="00627C9F" w:rsidP="007A5817">
                      <w:pPr>
                        <w:spacing w:line="276" w:lineRule="auto"/>
                        <w:jc w:val="right"/>
                        <w:rPr>
                          <w:rFonts w:asciiTheme="minorHAnsi" w:hAnsiTheme="minorHAnsi"/>
                          <w:color w:val="FFFFFF" w:themeColor="background1"/>
                          <w:sz w:val="22"/>
                          <w:lang w:val="es-ES"/>
                        </w:rPr>
                      </w:pPr>
                      <w:r w:rsidRPr="0072794F">
                        <w:rPr>
                          <w:rFonts w:asciiTheme="minorHAnsi" w:hAnsiTheme="minorHAnsi"/>
                          <w:color w:val="FFFFFF" w:themeColor="background1"/>
                          <w:sz w:val="22"/>
                          <w:lang w:val="es-ES"/>
                        </w:rPr>
                        <w:t xml:space="preserve">Doc. </w:t>
                      </w:r>
                      <w:r w:rsidR="00D31D7E" w:rsidRPr="0072794F">
                        <w:rPr>
                          <w:rFonts w:asciiTheme="minorHAnsi" w:hAnsiTheme="minorHAnsi"/>
                          <w:color w:val="FFFFFF" w:themeColor="background1"/>
                          <w:sz w:val="22"/>
                          <w:lang w:val="es-ES"/>
                        </w:rPr>
                        <w:t>293</w:t>
                      </w:r>
                    </w:p>
                    <w:p w14:paraId="69373ED2" w14:textId="0F88729B" w:rsidR="00627C9F" w:rsidRPr="00C25ADB" w:rsidRDefault="000B6B0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ECA0DBE"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B6B0A">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0B6B0A">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B6B0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ECA0DBE"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B6B0A">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0B6B0A">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B6B0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A8D9414">
                <wp:simplePos x="0" y="0"/>
                <wp:positionH relativeFrom="column">
                  <wp:posOffset>1333500</wp:posOffset>
                </wp:positionH>
                <wp:positionV relativeFrom="paragraph">
                  <wp:posOffset>5715</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E4821" w14:textId="77777777" w:rsidR="000B6B0A" w:rsidRDefault="0007746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B6B0A" w:rsidRPr="000B6B0A">
                              <w:rPr>
                                <w:rFonts w:asciiTheme="majorHAnsi" w:hAnsiTheme="majorHAnsi"/>
                                <w:color w:val="595959" w:themeColor="text1" w:themeTint="A6"/>
                                <w:sz w:val="18"/>
                                <w:szCs w:val="18"/>
                                <w:lang w:val="pt-BR"/>
                              </w:rPr>
                              <w:t>278</w:t>
                            </w:r>
                            <w:r w:rsidRPr="000B6B0A">
                              <w:rPr>
                                <w:rFonts w:asciiTheme="majorHAnsi" w:hAnsiTheme="majorHAnsi"/>
                                <w:color w:val="595959" w:themeColor="text1" w:themeTint="A6"/>
                                <w:sz w:val="18"/>
                                <w:szCs w:val="18"/>
                                <w:lang w:val="pt-BR"/>
                              </w:rPr>
                              <w:t>/</w:t>
                            </w:r>
                            <w:r w:rsidR="000B6B0A" w:rsidRPr="000B6B0A">
                              <w:rPr>
                                <w:rFonts w:asciiTheme="majorHAnsi" w:hAnsiTheme="majorHAnsi"/>
                                <w:color w:val="595959" w:themeColor="text1" w:themeTint="A6"/>
                                <w:sz w:val="18"/>
                                <w:szCs w:val="18"/>
                                <w:lang w:val="pt-BR"/>
                              </w:rPr>
                              <w:t>25</w:t>
                            </w:r>
                            <w:r w:rsidRPr="000B6B0A">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123-15. </w:t>
                            </w:r>
                            <w:r>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06B7018" w:rsidR="00113F73" w:rsidRPr="007B05C4" w:rsidRDefault="001354F1" w:rsidP="00113F73">
                            <w:pPr>
                              <w:spacing w:line="276" w:lineRule="auto"/>
                              <w:rPr>
                                <w:rFonts w:asciiTheme="majorHAnsi" w:hAnsiTheme="majorHAnsi"/>
                                <w:color w:val="595959" w:themeColor="text1" w:themeTint="A6"/>
                                <w:sz w:val="18"/>
                                <w:szCs w:val="18"/>
                                <w:lang w:val="es-ES"/>
                              </w:rPr>
                            </w:pPr>
                            <w:r w:rsidRPr="001354F1">
                              <w:rPr>
                                <w:rFonts w:asciiTheme="majorHAnsi" w:hAnsiTheme="majorHAnsi"/>
                                <w:color w:val="595959" w:themeColor="text1" w:themeTint="A6"/>
                                <w:sz w:val="18"/>
                                <w:szCs w:val="18"/>
                                <w:lang w:val="es-ES_tradnl"/>
                              </w:rPr>
                              <w:t xml:space="preserve">Robinson Martínez Arango y </w:t>
                            </w:r>
                            <w:r w:rsidR="00D17B8F">
                              <w:rPr>
                                <w:rFonts w:asciiTheme="majorHAnsi" w:hAnsiTheme="majorHAnsi"/>
                                <w:color w:val="595959" w:themeColor="text1" w:themeTint="A6"/>
                                <w:sz w:val="18"/>
                                <w:szCs w:val="18"/>
                                <w:lang w:val="es-ES_tradnl"/>
                              </w:rPr>
                              <w:t>familiares</w:t>
                            </w:r>
                            <w:r w:rsidR="00077463" w:rsidRPr="00890650">
                              <w:rPr>
                                <w:rFonts w:asciiTheme="majorHAnsi" w:hAnsiTheme="majorHAnsi"/>
                                <w:color w:val="595959" w:themeColor="text1" w:themeTint="A6"/>
                                <w:sz w:val="18"/>
                                <w:szCs w:val="18"/>
                                <w:lang w:val="es-ES_tradnl"/>
                              </w:rPr>
                              <w:t xml:space="preserve">. </w:t>
                            </w:r>
                            <w:r w:rsidR="00077463">
                              <w:rPr>
                                <w:rFonts w:asciiTheme="majorHAnsi" w:hAnsiTheme="majorHAnsi"/>
                                <w:color w:val="595959" w:themeColor="text1" w:themeTint="A6"/>
                                <w:sz w:val="18"/>
                                <w:szCs w:val="18"/>
                                <w:lang w:val="es-ES_tradnl"/>
                              </w:rPr>
                              <w:t>Colombia</w:t>
                            </w:r>
                            <w:r w:rsidR="0007746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26 de noviembre de 2025</w:t>
                            </w:r>
                            <w:r w:rsidR="0007746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" filled="f" stroked="f" strokeweight=".5pt">
                <v:textbox>
                  <w:txbxContent>
                    <w:p w14:paraId="504E4821" w14:textId="77777777" w:rsidR="000B6B0A" w:rsidRDefault="0007746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B6B0A" w:rsidRPr="000B6B0A">
                        <w:rPr>
                          <w:rFonts w:asciiTheme="majorHAnsi" w:hAnsiTheme="majorHAnsi"/>
                          <w:color w:val="595959" w:themeColor="text1" w:themeTint="A6"/>
                          <w:sz w:val="18"/>
                          <w:szCs w:val="18"/>
                          <w:lang w:val="pt-BR"/>
                        </w:rPr>
                        <w:t>278</w:t>
                      </w:r>
                      <w:r w:rsidRPr="000B6B0A">
                        <w:rPr>
                          <w:rFonts w:asciiTheme="majorHAnsi" w:hAnsiTheme="majorHAnsi"/>
                          <w:color w:val="595959" w:themeColor="text1" w:themeTint="A6"/>
                          <w:sz w:val="18"/>
                          <w:szCs w:val="18"/>
                          <w:lang w:val="pt-BR"/>
                        </w:rPr>
                        <w:t>/</w:t>
                      </w:r>
                      <w:r w:rsidR="000B6B0A" w:rsidRPr="000B6B0A">
                        <w:rPr>
                          <w:rFonts w:asciiTheme="majorHAnsi" w:hAnsiTheme="majorHAnsi"/>
                          <w:color w:val="595959" w:themeColor="text1" w:themeTint="A6"/>
                          <w:sz w:val="18"/>
                          <w:szCs w:val="18"/>
                          <w:lang w:val="pt-BR"/>
                        </w:rPr>
                        <w:t>25</w:t>
                      </w:r>
                      <w:r w:rsidRPr="000B6B0A">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123-15. </w:t>
                      </w:r>
                      <w:r>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06B7018" w:rsidR="00113F73" w:rsidRPr="007B05C4" w:rsidRDefault="001354F1" w:rsidP="00113F73">
                      <w:pPr>
                        <w:spacing w:line="276" w:lineRule="auto"/>
                        <w:rPr>
                          <w:rFonts w:asciiTheme="majorHAnsi" w:hAnsiTheme="majorHAnsi"/>
                          <w:color w:val="595959" w:themeColor="text1" w:themeTint="A6"/>
                          <w:sz w:val="18"/>
                          <w:szCs w:val="18"/>
                          <w:lang w:val="es-ES"/>
                        </w:rPr>
                      </w:pPr>
                      <w:r w:rsidRPr="001354F1">
                        <w:rPr>
                          <w:rFonts w:asciiTheme="majorHAnsi" w:hAnsiTheme="majorHAnsi"/>
                          <w:color w:val="595959" w:themeColor="text1" w:themeTint="A6"/>
                          <w:sz w:val="18"/>
                          <w:szCs w:val="18"/>
                          <w:lang w:val="es-ES_tradnl"/>
                        </w:rPr>
                        <w:t xml:space="preserve">Robinson Martínez Arango y </w:t>
                      </w:r>
                      <w:r w:rsidR="00D17B8F">
                        <w:rPr>
                          <w:rFonts w:asciiTheme="majorHAnsi" w:hAnsiTheme="majorHAnsi"/>
                          <w:color w:val="595959" w:themeColor="text1" w:themeTint="A6"/>
                          <w:sz w:val="18"/>
                          <w:szCs w:val="18"/>
                          <w:lang w:val="es-ES_tradnl"/>
                        </w:rPr>
                        <w:t>familiares</w:t>
                      </w:r>
                      <w:r w:rsidR="00077463" w:rsidRPr="00890650">
                        <w:rPr>
                          <w:rFonts w:asciiTheme="majorHAnsi" w:hAnsiTheme="majorHAnsi"/>
                          <w:color w:val="595959" w:themeColor="text1" w:themeTint="A6"/>
                          <w:sz w:val="18"/>
                          <w:szCs w:val="18"/>
                          <w:lang w:val="es-ES_tradnl"/>
                        </w:rPr>
                        <w:t xml:space="preserve">. </w:t>
                      </w:r>
                      <w:r w:rsidR="00077463">
                        <w:rPr>
                          <w:rFonts w:asciiTheme="majorHAnsi" w:hAnsiTheme="majorHAnsi"/>
                          <w:color w:val="595959" w:themeColor="text1" w:themeTint="A6"/>
                          <w:sz w:val="18"/>
                          <w:szCs w:val="18"/>
                          <w:lang w:val="es-ES_tradnl"/>
                        </w:rPr>
                        <w:t>Colombia</w:t>
                      </w:r>
                      <w:r w:rsidR="0007746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26 de noviembre de 2025</w:t>
                      </w:r>
                      <w:r w:rsidR="0007746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31581191"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0834DAD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AA6B933" w:rsidR="0070697F" w:rsidRDefault="000B2E9A"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38480F1D">
                <wp:simplePos x="0" y="0"/>
                <wp:positionH relativeFrom="column">
                  <wp:posOffset>1327868</wp:posOffset>
                </wp:positionH>
                <wp:positionV relativeFrom="paragraph">
                  <wp:posOffset>489889</wp:posOffset>
                </wp:positionV>
                <wp:extent cx="4096385" cy="620284"/>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4096385" cy="6202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C210E64" w:rsidR="00D72DC6" w:rsidRPr="00D72DC6" w:rsidRDefault="000B2E9A" w:rsidP="00F02AD1">
                            <w:pPr>
                              <w:rPr>
                                <w:color w:val="FFFFFF" w:themeColor="background1"/>
                                <w14:textFill>
                                  <w14:noFill/>
                                </w14:textFill>
                              </w:rPr>
                            </w:pPr>
                            <w:r>
                              <w:rPr>
                                <w:noProof/>
                                <w:color w:val="FFFFFF" w:themeColor="background1"/>
                              </w:rPr>
                              <w:drawing>
                                <wp:inline distT="0" distB="0" distL="0" distR="0" wp14:anchorId="4B31F801" wp14:editId="57042AEF">
                                  <wp:extent cx="1824355" cy="469265"/>
                                  <wp:effectExtent l="0" t="0" r="4445" b="6985"/>
                                  <wp:docPr id="644867071" name="Picture 6448670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5pt;margin-top:38.55pt;width:322.55pt;height:4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" fillcolor="white [3201]" stroked="f" strokeweight=".5pt">
                <v:textbox>
                  <w:txbxContent>
                    <w:p w14:paraId="2A1ECD3C" w14:textId="6C210E64" w:rsidR="00D72DC6" w:rsidRPr="00D72DC6" w:rsidRDefault="000B2E9A" w:rsidP="00F02AD1">
                      <w:pPr>
                        <w:rPr>
                          <w:color w:val="FFFFFF" w:themeColor="background1"/>
                          <w14:textFill>
                            <w14:noFill/>
                          </w14:textFill>
                        </w:rPr>
                      </w:pPr>
                      <w:r>
                        <w:rPr>
                          <w:noProof/>
                          <w:color w:val="FFFFFF" w:themeColor="background1"/>
                        </w:rPr>
                        <w:drawing>
                          <wp:inline distT="0" distB="0" distL="0" distR="0" wp14:anchorId="4B31F801" wp14:editId="57042AEF">
                            <wp:extent cx="1824355" cy="469265"/>
                            <wp:effectExtent l="0" t="0" r="4445" b="6985"/>
                            <wp:docPr id="644867071" name="Picture 6448670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r>
        <w:rPr>
          <w:rFonts w:asciiTheme="majorHAnsi" w:hAnsiTheme="majorHAnsi"/>
          <w:b/>
          <w:sz w:val="20"/>
          <w:lang w:val="es-ES_tradnl"/>
        </w:rPr>
        <w:t xml:space="preserve"> </w:t>
      </w:r>
    </w:p>
    <w:p w14:paraId="253A13E6" w14:textId="227D1C71" w:rsidR="00077463" w:rsidRPr="0046282E" w:rsidRDefault="00077463" w:rsidP="00323945">
      <w:pPr>
        <w:pStyle w:val="ListParagraph"/>
        <w:numPr>
          <w:ilvl w:val="0"/>
          <w:numId w:val="57"/>
        </w:numPr>
        <w:spacing w:after="240"/>
        <w:jc w:val="both"/>
        <w:rPr>
          <w:b/>
          <w:bCs/>
          <w:sz w:val="20"/>
          <w:szCs w:val="20"/>
          <w:lang w:val="es-ES"/>
        </w:rPr>
      </w:pPr>
      <w:r w:rsidRPr="0046282E">
        <w:rPr>
          <w:b/>
          <w:bCs/>
          <w:sz w:val="20"/>
          <w:szCs w:val="20"/>
          <w:lang w:val="es-ES"/>
        </w:rPr>
        <w:lastRenderedPageBreak/>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077463" w:rsidRPr="0046282E" w14:paraId="699DE415" w14:textId="77777777">
        <w:tc>
          <w:tcPr>
            <w:tcW w:w="3600" w:type="dxa"/>
            <w:tcBorders>
              <w:top w:val="single" w:sz="4" w:space="0" w:color="auto"/>
              <w:bottom w:val="single" w:sz="6" w:space="0" w:color="auto"/>
            </w:tcBorders>
            <w:shd w:val="clear" w:color="auto" w:fill="386294"/>
            <w:vAlign w:val="center"/>
          </w:tcPr>
          <w:p w14:paraId="401A21D7"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Parte peticionaria:</w:t>
            </w:r>
          </w:p>
        </w:tc>
        <w:tc>
          <w:tcPr>
            <w:tcW w:w="5760" w:type="dxa"/>
            <w:vAlign w:val="center"/>
          </w:tcPr>
          <w:p w14:paraId="4591134A" w14:textId="192DE264" w:rsidR="00077463" w:rsidRPr="0046282E" w:rsidRDefault="00077463">
            <w:pPr>
              <w:jc w:val="both"/>
              <w:rPr>
                <w:rFonts w:ascii="Cambria" w:hAnsi="Cambria"/>
                <w:bCs/>
                <w:sz w:val="20"/>
                <w:szCs w:val="20"/>
                <w:highlight w:val="yellow"/>
                <w:lang w:val="es-PE"/>
              </w:rPr>
            </w:pPr>
            <w:r w:rsidRPr="00323945">
              <w:rPr>
                <w:rFonts w:ascii="Cambria" w:hAnsi="Cambria"/>
                <w:bCs/>
                <w:sz w:val="20"/>
                <w:szCs w:val="20"/>
                <w:lang w:val="es-PE"/>
              </w:rPr>
              <w:t>Henry Bryon Ibáñez</w:t>
            </w:r>
          </w:p>
        </w:tc>
      </w:tr>
      <w:tr w:rsidR="00077463" w:rsidRPr="0072794F" w14:paraId="5075ABAB" w14:textId="77777777">
        <w:tc>
          <w:tcPr>
            <w:tcW w:w="3600" w:type="dxa"/>
            <w:tcBorders>
              <w:top w:val="single" w:sz="6" w:space="0" w:color="auto"/>
              <w:bottom w:val="single" w:sz="6" w:space="0" w:color="auto"/>
            </w:tcBorders>
            <w:shd w:val="clear" w:color="auto" w:fill="386294"/>
            <w:vAlign w:val="center"/>
          </w:tcPr>
          <w:p w14:paraId="6943F08A" w14:textId="77777777" w:rsidR="00077463" w:rsidRPr="0046282E" w:rsidRDefault="00F970F9">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CDADCADECBAAF488DDCB9D3072E1412"/>
                </w:placeholder>
                <w:dropDownList>
                  <w:listItem w:value="Choose an item."/>
                  <w:listItem w:displayText="Presunta víctima" w:value="Presunta víctima"/>
                  <w:listItem w:displayText="Presuntas víctimas" w:value="Presuntas víctimas"/>
                </w:dropDownList>
              </w:sdtPr>
              <w:sdtEndPr/>
              <w:sdtContent>
                <w:r w:rsidR="00077463" w:rsidRPr="0046282E">
                  <w:rPr>
                    <w:rFonts w:ascii="Cambria" w:hAnsi="Cambria"/>
                    <w:b/>
                    <w:bCs/>
                    <w:color w:val="FFFFFF" w:themeColor="background1"/>
                    <w:sz w:val="20"/>
                    <w:szCs w:val="20"/>
                  </w:rPr>
                  <w:t>Presunta víctima</w:t>
                </w:r>
              </w:sdtContent>
            </w:sdt>
            <w:r w:rsidR="00077463" w:rsidRPr="0046282E">
              <w:rPr>
                <w:rFonts w:ascii="Cambria" w:hAnsi="Cambria"/>
                <w:b/>
                <w:bCs/>
                <w:color w:val="FFFFFF" w:themeColor="background1"/>
                <w:sz w:val="20"/>
                <w:szCs w:val="20"/>
              </w:rPr>
              <w:t>:</w:t>
            </w:r>
          </w:p>
        </w:tc>
        <w:tc>
          <w:tcPr>
            <w:tcW w:w="5760" w:type="dxa"/>
            <w:vAlign w:val="center"/>
          </w:tcPr>
          <w:p w14:paraId="6E6FC216" w14:textId="5C850B82" w:rsidR="00077463" w:rsidRPr="006632A4" w:rsidRDefault="003C53E0">
            <w:pPr>
              <w:jc w:val="both"/>
              <w:rPr>
                <w:rFonts w:ascii="Cambria" w:hAnsi="Cambria"/>
                <w:bCs/>
                <w:sz w:val="20"/>
                <w:szCs w:val="20"/>
                <w:lang w:val="es-PE"/>
              </w:rPr>
            </w:pPr>
            <w:r w:rsidRPr="00BC6038">
              <w:rPr>
                <w:rFonts w:ascii="Cambria" w:hAnsi="Cambria"/>
                <w:sz w:val="20"/>
                <w:szCs w:val="20"/>
                <w:lang w:val="es-AR"/>
              </w:rPr>
              <w:t>Robinson Martínez Arango</w:t>
            </w:r>
            <w:r w:rsidR="00BC6038">
              <w:rPr>
                <w:rFonts w:ascii="Cambria" w:hAnsi="Cambria"/>
                <w:sz w:val="20"/>
                <w:szCs w:val="20"/>
                <w:lang w:val="es-AR"/>
              </w:rPr>
              <w:t xml:space="preserve"> y familiares</w:t>
            </w:r>
            <w:r w:rsidRPr="00BC6038">
              <w:rPr>
                <w:rStyle w:val="FootnoteReference"/>
                <w:rFonts w:ascii="Cambria" w:hAnsi="Cambria"/>
                <w:bCs/>
                <w:sz w:val="20"/>
                <w:szCs w:val="20"/>
                <w:lang w:val="es-PE"/>
              </w:rPr>
              <w:footnoteReference w:id="2"/>
            </w:r>
          </w:p>
        </w:tc>
      </w:tr>
      <w:tr w:rsidR="00077463" w:rsidRPr="0046282E" w14:paraId="7D46ACAF" w14:textId="77777777">
        <w:tc>
          <w:tcPr>
            <w:tcW w:w="3600" w:type="dxa"/>
            <w:tcBorders>
              <w:top w:val="single" w:sz="6" w:space="0" w:color="auto"/>
              <w:bottom w:val="single" w:sz="6" w:space="0" w:color="auto"/>
            </w:tcBorders>
            <w:shd w:val="clear" w:color="auto" w:fill="386294"/>
            <w:vAlign w:val="center"/>
          </w:tcPr>
          <w:p w14:paraId="4D47ABB1"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Estado denunciado:</w:t>
            </w:r>
          </w:p>
        </w:tc>
        <w:tc>
          <w:tcPr>
            <w:tcW w:w="5760" w:type="dxa"/>
            <w:vAlign w:val="center"/>
          </w:tcPr>
          <w:p w14:paraId="519286B5" w14:textId="77777777" w:rsidR="00077463" w:rsidRPr="0046282E" w:rsidRDefault="00077463">
            <w:pPr>
              <w:jc w:val="both"/>
              <w:rPr>
                <w:rFonts w:ascii="Cambria" w:hAnsi="Cambria"/>
                <w:bCs/>
                <w:sz w:val="20"/>
                <w:szCs w:val="20"/>
              </w:rPr>
            </w:pPr>
            <w:r w:rsidRPr="0046282E">
              <w:rPr>
                <w:rFonts w:ascii="Cambria" w:hAnsi="Cambria"/>
                <w:bCs/>
                <w:sz w:val="20"/>
                <w:szCs w:val="20"/>
              </w:rPr>
              <w:t>Colombia</w:t>
            </w:r>
            <w:r w:rsidRPr="0046282E">
              <w:rPr>
                <w:rStyle w:val="FootnoteReference"/>
                <w:rFonts w:ascii="Cambria" w:hAnsi="Cambria"/>
                <w:bCs/>
                <w:sz w:val="20"/>
                <w:szCs w:val="20"/>
              </w:rPr>
              <w:footnoteReference w:id="3"/>
            </w:r>
          </w:p>
        </w:tc>
      </w:tr>
      <w:tr w:rsidR="00077463" w:rsidRPr="0072794F" w14:paraId="1E0A8F5C" w14:textId="77777777">
        <w:tc>
          <w:tcPr>
            <w:tcW w:w="3600" w:type="dxa"/>
            <w:tcBorders>
              <w:top w:val="single" w:sz="6" w:space="0" w:color="auto"/>
              <w:bottom w:val="single" w:sz="6" w:space="0" w:color="auto"/>
            </w:tcBorders>
            <w:shd w:val="clear" w:color="auto" w:fill="386294"/>
            <w:vAlign w:val="center"/>
          </w:tcPr>
          <w:p w14:paraId="1B5BBB19"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Derechos invocados:</w:t>
            </w:r>
          </w:p>
        </w:tc>
        <w:tc>
          <w:tcPr>
            <w:tcW w:w="5760" w:type="dxa"/>
            <w:vAlign w:val="center"/>
          </w:tcPr>
          <w:p w14:paraId="29257BC9" w14:textId="40852B88" w:rsidR="00077463" w:rsidRPr="0046282E" w:rsidRDefault="0046282E">
            <w:pPr>
              <w:jc w:val="both"/>
              <w:rPr>
                <w:rFonts w:ascii="Cambria" w:hAnsi="Cambria"/>
                <w:bCs/>
                <w:sz w:val="20"/>
                <w:szCs w:val="20"/>
                <w:lang w:val="es-PE"/>
              </w:rPr>
            </w:pPr>
            <w:r w:rsidRPr="00491CB5">
              <w:rPr>
                <w:rFonts w:ascii="Cambria" w:hAnsi="Cambria"/>
                <w:bCs/>
                <w:sz w:val="20"/>
                <w:szCs w:val="20"/>
                <w:lang w:val="es-ES"/>
              </w:rPr>
              <w:t>Artículos 4 (vida), 5 (integridad), 11 (</w:t>
            </w:r>
            <w:r>
              <w:rPr>
                <w:rFonts w:ascii="Cambria" w:hAnsi="Cambria"/>
                <w:bCs/>
                <w:sz w:val="20"/>
                <w:szCs w:val="20"/>
                <w:lang w:val="es-ES"/>
              </w:rPr>
              <w:t xml:space="preserve">protección a la </w:t>
            </w:r>
            <w:r w:rsidRPr="00E72C24">
              <w:rPr>
                <w:rFonts w:ascii="Cambria" w:hAnsi="Cambria"/>
                <w:bCs/>
                <w:sz w:val="20"/>
                <w:szCs w:val="20"/>
                <w:lang w:val="es-ES"/>
              </w:rPr>
              <w:t>honra y dignidad</w:t>
            </w:r>
            <w:r w:rsidRPr="00491CB5">
              <w:rPr>
                <w:rFonts w:ascii="Cambria" w:hAnsi="Cambria"/>
                <w:bCs/>
                <w:sz w:val="20"/>
                <w:szCs w:val="20"/>
                <w:lang w:val="es-ES"/>
              </w:rPr>
              <w:t>)</w:t>
            </w:r>
            <w:r>
              <w:rPr>
                <w:rFonts w:ascii="Cambria" w:hAnsi="Cambria"/>
                <w:bCs/>
                <w:sz w:val="20"/>
                <w:szCs w:val="20"/>
                <w:lang w:val="es-ES"/>
              </w:rPr>
              <w:t xml:space="preserve"> </w:t>
            </w:r>
            <w:r w:rsidRPr="00491CB5">
              <w:rPr>
                <w:rFonts w:ascii="Cambria" w:hAnsi="Cambria"/>
                <w:bCs/>
                <w:sz w:val="20"/>
                <w:szCs w:val="20"/>
                <w:lang w:val="es-ES"/>
              </w:rPr>
              <w:t xml:space="preserve">y 25 (protección judicial) de la </w:t>
            </w:r>
            <w:r w:rsidR="00077463" w:rsidRPr="0046282E">
              <w:rPr>
                <w:rFonts w:ascii="Cambria" w:hAnsi="Cambria"/>
                <w:bCs/>
                <w:sz w:val="20"/>
                <w:szCs w:val="20"/>
                <w:lang w:val="es-MX"/>
              </w:rPr>
              <w:t>Convención Americana sobre Derechos Humanos</w:t>
            </w:r>
            <w:r w:rsidR="00077463" w:rsidRPr="0046282E">
              <w:rPr>
                <w:rStyle w:val="FootnoteReference"/>
                <w:rFonts w:ascii="Cambria" w:hAnsi="Cambria"/>
                <w:bCs/>
                <w:sz w:val="20"/>
                <w:szCs w:val="20"/>
                <w:lang w:val="es-MX"/>
              </w:rPr>
              <w:footnoteReference w:id="4"/>
            </w:r>
          </w:p>
        </w:tc>
      </w:tr>
    </w:tbl>
    <w:p w14:paraId="162A7EE3" w14:textId="77777777" w:rsidR="00077463" w:rsidRPr="0046282E" w:rsidRDefault="00077463" w:rsidP="00077463">
      <w:pPr>
        <w:spacing w:before="240" w:after="240"/>
        <w:ind w:firstLine="720"/>
        <w:jc w:val="both"/>
        <w:rPr>
          <w:rFonts w:ascii="Cambria" w:hAnsi="Cambria"/>
          <w:b/>
          <w:bCs/>
          <w:sz w:val="20"/>
          <w:szCs w:val="20"/>
          <w:lang w:val="es-ES"/>
        </w:rPr>
      </w:pPr>
      <w:r w:rsidRPr="0046282E">
        <w:rPr>
          <w:rFonts w:ascii="Cambria" w:hAnsi="Cambria"/>
          <w:b/>
          <w:bCs/>
          <w:sz w:val="20"/>
          <w:szCs w:val="20"/>
          <w:lang w:val="es-ES"/>
        </w:rPr>
        <w:t>II.</w:t>
      </w:r>
      <w:r w:rsidRPr="0046282E">
        <w:rPr>
          <w:rFonts w:ascii="Cambria" w:hAnsi="Cambria"/>
          <w:b/>
          <w:bCs/>
          <w:sz w:val="20"/>
          <w:szCs w:val="20"/>
          <w:lang w:val="es-ES"/>
        </w:rPr>
        <w:tab/>
        <w:t>TRÁMITE ANTE LA CIDH</w:t>
      </w:r>
      <w:r w:rsidRPr="0046282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077463" w:rsidRPr="0046282E" w14:paraId="029DC3BA" w14:textId="77777777">
        <w:tc>
          <w:tcPr>
            <w:tcW w:w="3600" w:type="dxa"/>
            <w:tcBorders>
              <w:top w:val="single" w:sz="6" w:space="0" w:color="auto"/>
              <w:bottom w:val="single" w:sz="6" w:space="0" w:color="auto"/>
            </w:tcBorders>
            <w:shd w:val="clear" w:color="auto" w:fill="386294"/>
            <w:vAlign w:val="center"/>
          </w:tcPr>
          <w:p w14:paraId="7752825C" w14:textId="77777777" w:rsidR="00077463" w:rsidRPr="0046282E" w:rsidRDefault="00077463">
            <w:pPr>
              <w:jc w:val="center"/>
              <w:rPr>
                <w:rFonts w:ascii="Cambria" w:hAnsi="Cambria"/>
                <w:b/>
                <w:bCs/>
                <w:color w:val="FFFFFF" w:themeColor="background1"/>
                <w:sz w:val="20"/>
                <w:szCs w:val="20"/>
                <w:lang w:val="es-ES"/>
              </w:rPr>
            </w:pPr>
            <w:r w:rsidRPr="0046282E">
              <w:rPr>
                <w:rFonts w:ascii="Cambria" w:hAnsi="Cambria"/>
                <w:b/>
                <w:bCs/>
                <w:color w:val="FFFFFF" w:themeColor="background1"/>
                <w:sz w:val="20"/>
                <w:szCs w:val="20"/>
                <w:lang w:val="es-ES"/>
              </w:rPr>
              <w:t>Presentación de la petición:</w:t>
            </w:r>
          </w:p>
        </w:tc>
        <w:tc>
          <w:tcPr>
            <w:tcW w:w="5760" w:type="dxa"/>
            <w:vAlign w:val="center"/>
          </w:tcPr>
          <w:p w14:paraId="335FF098"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26 de febrero de 2015</w:t>
            </w:r>
          </w:p>
        </w:tc>
      </w:tr>
      <w:tr w:rsidR="00077463" w:rsidRPr="0046282E" w14:paraId="66E35BCD" w14:textId="77777777">
        <w:tc>
          <w:tcPr>
            <w:tcW w:w="3600" w:type="dxa"/>
            <w:tcBorders>
              <w:top w:val="single" w:sz="6" w:space="0" w:color="auto"/>
              <w:bottom w:val="single" w:sz="6" w:space="0" w:color="auto"/>
            </w:tcBorders>
            <w:shd w:val="clear" w:color="auto" w:fill="386294"/>
            <w:vAlign w:val="center"/>
          </w:tcPr>
          <w:p w14:paraId="796A5523" w14:textId="77777777" w:rsidR="00077463" w:rsidRPr="0046282E" w:rsidRDefault="00077463">
            <w:pPr>
              <w:jc w:val="center"/>
              <w:rPr>
                <w:rFonts w:ascii="Cambria" w:hAnsi="Cambria"/>
                <w:b/>
                <w:bCs/>
                <w:color w:val="FFFFFF" w:themeColor="background1"/>
                <w:sz w:val="20"/>
                <w:szCs w:val="20"/>
                <w:lang w:val="es-ES"/>
              </w:rPr>
            </w:pPr>
            <w:r w:rsidRPr="0046282E">
              <w:rPr>
                <w:rFonts w:ascii="Cambria" w:hAnsi="Cambria"/>
                <w:b/>
                <w:color w:val="FFFFFF" w:themeColor="background1"/>
                <w:sz w:val="20"/>
                <w:szCs w:val="20"/>
                <w:lang w:val="es-ES"/>
              </w:rPr>
              <w:t>Notificación de la petición al Estado:</w:t>
            </w:r>
          </w:p>
        </w:tc>
        <w:tc>
          <w:tcPr>
            <w:tcW w:w="5760" w:type="dxa"/>
            <w:vAlign w:val="center"/>
          </w:tcPr>
          <w:p w14:paraId="7F51241D" w14:textId="313D1048"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2 de febrero de 2022</w:t>
            </w:r>
          </w:p>
        </w:tc>
      </w:tr>
      <w:tr w:rsidR="00077463" w:rsidRPr="0046282E" w14:paraId="06409F5C" w14:textId="77777777">
        <w:tc>
          <w:tcPr>
            <w:tcW w:w="3600" w:type="dxa"/>
            <w:tcBorders>
              <w:top w:val="single" w:sz="6" w:space="0" w:color="auto"/>
              <w:bottom w:val="single" w:sz="6" w:space="0" w:color="auto"/>
            </w:tcBorders>
            <w:shd w:val="clear" w:color="auto" w:fill="386294"/>
            <w:vAlign w:val="center"/>
          </w:tcPr>
          <w:p w14:paraId="3B45BDA3" w14:textId="77777777" w:rsidR="00077463" w:rsidRPr="0046282E" w:rsidRDefault="00077463">
            <w:pPr>
              <w:jc w:val="center"/>
              <w:rPr>
                <w:rFonts w:ascii="Cambria" w:hAnsi="Cambria"/>
                <w:b/>
                <w:bCs/>
                <w:color w:val="FFFFFF" w:themeColor="background1"/>
                <w:sz w:val="20"/>
                <w:szCs w:val="20"/>
                <w:lang w:val="es-ES"/>
              </w:rPr>
            </w:pPr>
            <w:r w:rsidRPr="0046282E">
              <w:rPr>
                <w:rFonts w:ascii="Cambria" w:hAnsi="Cambria"/>
                <w:b/>
                <w:color w:val="FFFFFF" w:themeColor="background1"/>
                <w:sz w:val="20"/>
                <w:szCs w:val="20"/>
                <w:lang w:val="es-ES"/>
              </w:rPr>
              <w:t>Primera respuesta del Estado:</w:t>
            </w:r>
          </w:p>
        </w:tc>
        <w:tc>
          <w:tcPr>
            <w:tcW w:w="5760" w:type="dxa"/>
            <w:vAlign w:val="center"/>
          </w:tcPr>
          <w:p w14:paraId="7D88DAD9"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9 de junio de 2022</w:t>
            </w:r>
          </w:p>
        </w:tc>
      </w:tr>
      <w:tr w:rsidR="00077463" w:rsidRPr="0072794F" w14:paraId="28EE4098" w14:textId="77777777">
        <w:tc>
          <w:tcPr>
            <w:tcW w:w="3600" w:type="dxa"/>
            <w:tcBorders>
              <w:top w:val="single" w:sz="6" w:space="0" w:color="auto"/>
              <w:bottom w:val="single" w:sz="6" w:space="0" w:color="auto"/>
            </w:tcBorders>
            <w:shd w:val="clear" w:color="auto" w:fill="386294"/>
            <w:vAlign w:val="center"/>
          </w:tcPr>
          <w:p w14:paraId="782E4EE1" w14:textId="77777777" w:rsidR="00077463" w:rsidRPr="0046282E" w:rsidRDefault="00077463">
            <w:pPr>
              <w:jc w:val="center"/>
              <w:rPr>
                <w:rFonts w:ascii="Cambria" w:hAnsi="Cambria"/>
                <w:b/>
                <w:bCs/>
                <w:color w:val="FFFFFF" w:themeColor="background1"/>
                <w:sz w:val="20"/>
                <w:szCs w:val="20"/>
                <w:lang w:val="es-ES"/>
              </w:rPr>
            </w:pPr>
            <w:r w:rsidRPr="0046282E">
              <w:rPr>
                <w:rFonts w:ascii="Cambria" w:hAnsi="Cambria"/>
                <w:b/>
                <w:bCs/>
                <w:color w:val="FFFFFF" w:themeColor="background1"/>
                <w:sz w:val="20"/>
                <w:szCs w:val="20"/>
                <w:lang w:val="es-ES"/>
              </w:rPr>
              <w:t>Advertencia sobre posible archivo:</w:t>
            </w:r>
          </w:p>
        </w:tc>
        <w:tc>
          <w:tcPr>
            <w:tcW w:w="5760" w:type="dxa"/>
            <w:vAlign w:val="center"/>
          </w:tcPr>
          <w:p w14:paraId="2395125D"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7 de diciembre de 2020 y 28 de enero de 2025</w:t>
            </w:r>
          </w:p>
        </w:tc>
      </w:tr>
      <w:tr w:rsidR="00077463" w:rsidRPr="0072794F" w14:paraId="7B524A38" w14:textId="77777777">
        <w:tc>
          <w:tcPr>
            <w:tcW w:w="3600" w:type="dxa"/>
            <w:tcBorders>
              <w:top w:val="single" w:sz="6" w:space="0" w:color="auto"/>
              <w:bottom w:val="single" w:sz="6" w:space="0" w:color="auto"/>
            </w:tcBorders>
            <w:shd w:val="clear" w:color="auto" w:fill="386294"/>
            <w:vAlign w:val="center"/>
          </w:tcPr>
          <w:p w14:paraId="5730D3A5" w14:textId="77777777" w:rsidR="00077463" w:rsidRPr="0046282E" w:rsidRDefault="00077463">
            <w:pPr>
              <w:jc w:val="center"/>
              <w:rPr>
                <w:rFonts w:ascii="Cambria" w:hAnsi="Cambria"/>
                <w:b/>
                <w:bCs/>
                <w:color w:val="FFFFFF" w:themeColor="background1"/>
                <w:sz w:val="20"/>
                <w:szCs w:val="20"/>
                <w:lang w:val="es-ES"/>
              </w:rPr>
            </w:pPr>
            <w:r w:rsidRPr="0046282E">
              <w:rPr>
                <w:rFonts w:ascii="Cambria" w:hAnsi="Cambria"/>
                <w:b/>
                <w:bCs/>
                <w:color w:val="FFFFFF" w:themeColor="background1"/>
                <w:sz w:val="20"/>
                <w:szCs w:val="20"/>
                <w:lang w:val="es-ES"/>
              </w:rPr>
              <w:t>Respuesta de la parte peticionaria ante advertencia de posible archivo:</w:t>
            </w:r>
          </w:p>
        </w:tc>
        <w:tc>
          <w:tcPr>
            <w:tcW w:w="5760" w:type="dxa"/>
            <w:vAlign w:val="center"/>
          </w:tcPr>
          <w:p w14:paraId="07344546"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5 de noviembre de 2020, 5 de febrero de 2021 y 3 de febrero de 2025</w:t>
            </w:r>
          </w:p>
        </w:tc>
      </w:tr>
    </w:tbl>
    <w:p w14:paraId="1EF6449A" w14:textId="77777777" w:rsidR="00077463" w:rsidRPr="0046282E" w:rsidRDefault="00077463" w:rsidP="00077463">
      <w:pPr>
        <w:spacing w:before="240" w:after="240"/>
        <w:ind w:firstLine="720"/>
        <w:jc w:val="both"/>
        <w:rPr>
          <w:rFonts w:ascii="Cambria" w:hAnsi="Cambria"/>
          <w:b/>
          <w:bCs/>
          <w:sz w:val="20"/>
          <w:szCs w:val="20"/>
          <w:lang w:val="es-ES"/>
        </w:rPr>
      </w:pPr>
      <w:r w:rsidRPr="0046282E">
        <w:rPr>
          <w:rFonts w:ascii="Cambria" w:hAnsi="Cambria"/>
          <w:b/>
          <w:bCs/>
          <w:sz w:val="20"/>
          <w:szCs w:val="20"/>
          <w:lang w:val="es-ES"/>
        </w:rPr>
        <w:t xml:space="preserve">III. </w:t>
      </w:r>
      <w:r w:rsidRPr="0046282E">
        <w:rPr>
          <w:rFonts w:ascii="Cambria" w:hAnsi="Cambria"/>
          <w:b/>
          <w:bCs/>
          <w:sz w:val="20"/>
          <w:szCs w:val="20"/>
          <w:lang w:val="es-ES"/>
        </w:rPr>
        <w:tab/>
        <w:t xml:space="preserve">COMPETENCIA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077463" w:rsidRPr="0046282E" w14:paraId="260440F5" w14:textId="77777777" w:rsidTr="00BC6038">
        <w:trPr>
          <w:cantSplit/>
        </w:trPr>
        <w:tc>
          <w:tcPr>
            <w:tcW w:w="3561" w:type="dxa"/>
            <w:tcBorders>
              <w:top w:val="single" w:sz="4" w:space="0" w:color="auto"/>
              <w:bottom w:val="single" w:sz="6" w:space="0" w:color="auto"/>
            </w:tcBorders>
            <w:shd w:val="clear" w:color="auto" w:fill="386294"/>
            <w:vAlign w:val="center"/>
          </w:tcPr>
          <w:p w14:paraId="68B27DF7" w14:textId="77777777" w:rsidR="00077463" w:rsidRPr="0046282E" w:rsidRDefault="00077463">
            <w:pPr>
              <w:jc w:val="center"/>
              <w:rPr>
                <w:rFonts w:ascii="Cambria" w:hAnsi="Cambria"/>
                <w:b/>
                <w:bCs/>
                <w:i/>
                <w:color w:val="FFFFFF" w:themeColor="background1"/>
                <w:sz w:val="20"/>
                <w:szCs w:val="20"/>
              </w:rPr>
            </w:pPr>
            <w:r w:rsidRPr="0046282E">
              <w:rPr>
                <w:rFonts w:ascii="Cambria" w:hAnsi="Cambria"/>
                <w:b/>
                <w:bCs/>
                <w:color w:val="FFFFFF" w:themeColor="background1"/>
                <w:sz w:val="20"/>
                <w:szCs w:val="20"/>
              </w:rPr>
              <w:t>Competencia</w:t>
            </w:r>
            <w:r w:rsidRPr="0046282E">
              <w:rPr>
                <w:rFonts w:ascii="Cambria" w:hAnsi="Cambria"/>
                <w:b/>
                <w:bCs/>
                <w:i/>
                <w:color w:val="FFFFFF" w:themeColor="background1"/>
                <w:sz w:val="20"/>
                <w:szCs w:val="20"/>
              </w:rPr>
              <w:t xml:space="preserve"> Ratione personae:</w:t>
            </w:r>
          </w:p>
        </w:tc>
        <w:tc>
          <w:tcPr>
            <w:tcW w:w="5776" w:type="dxa"/>
            <w:vAlign w:val="center"/>
          </w:tcPr>
          <w:p w14:paraId="22976B83" w14:textId="77777777" w:rsidR="00077463" w:rsidRPr="0046282E" w:rsidRDefault="00077463">
            <w:pPr>
              <w:rPr>
                <w:rFonts w:ascii="Cambria" w:hAnsi="Cambria"/>
                <w:bCs/>
                <w:sz w:val="20"/>
                <w:szCs w:val="20"/>
              </w:rPr>
            </w:pPr>
            <w:r w:rsidRPr="0046282E">
              <w:rPr>
                <w:rFonts w:ascii="Cambria" w:hAnsi="Cambria"/>
                <w:bCs/>
                <w:sz w:val="20"/>
                <w:szCs w:val="20"/>
              </w:rPr>
              <w:t>Sí</w:t>
            </w:r>
          </w:p>
        </w:tc>
      </w:tr>
      <w:tr w:rsidR="00077463" w:rsidRPr="0046282E" w14:paraId="4A386ACF" w14:textId="77777777" w:rsidTr="00BC6038">
        <w:trPr>
          <w:cantSplit/>
        </w:trPr>
        <w:tc>
          <w:tcPr>
            <w:tcW w:w="3561" w:type="dxa"/>
            <w:tcBorders>
              <w:top w:val="single" w:sz="6" w:space="0" w:color="auto"/>
              <w:bottom w:val="single" w:sz="6" w:space="0" w:color="auto"/>
            </w:tcBorders>
            <w:shd w:val="clear" w:color="auto" w:fill="386294"/>
            <w:vAlign w:val="center"/>
          </w:tcPr>
          <w:p w14:paraId="0C3CAB9B"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Competencia</w:t>
            </w:r>
            <w:r w:rsidRPr="0046282E">
              <w:rPr>
                <w:rFonts w:ascii="Cambria" w:hAnsi="Cambria"/>
                <w:b/>
                <w:bCs/>
                <w:i/>
                <w:color w:val="FFFFFF" w:themeColor="background1"/>
                <w:sz w:val="20"/>
                <w:szCs w:val="20"/>
              </w:rPr>
              <w:t xml:space="preserve"> Ratione loci</w:t>
            </w:r>
            <w:r w:rsidRPr="0046282E">
              <w:rPr>
                <w:rFonts w:ascii="Cambria" w:hAnsi="Cambria"/>
                <w:b/>
                <w:bCs/>
                <w:color w:val="FFFFFF" w:themeColor="background1"/>
                <w:sz w:val="20"/>
                <w:szCs w:val="20"/>
              </w:rPr>
              <w:t>:</w:t>
            </w:r>
          </w:p>
        </w:tc>
        <w:tc>
          <w:tcPr>
            <w:tcW w:w="5776" w:type="dxa"/>
            <w:vAlign w:val="center"/>
          </w:tcPr>
          <w:p w14:paraId="0E90206B" w14:textId="77777777" w:rsidR="00077463" w:rsidRPr="0046282E" w:rsidRDefault="00077463">
            <w:pPr>
              <w:rPr>
                <w:rFonts w:ascii="Cambria" w:hAnsi="Cambria"/>
                <w:bCs/>
                <w:sz w:val="20"/>
                <w:szCs w:val="20"/>
              </w:rPr>
            </w:pPr>
            <w:r w:rsidRPr="0046282E">
              <w:rPr>
                <w:rFonts w:ascii="Cambria" w:hAnsi="Cambria"/>
                <w:bCs/>
                <w:sz w:val="20"/>
                <w:szCs w:val="20"/>
              </w:rPr>
              <w:t>Sí</w:t>
            </w:r>
          </w:p>
        </w:tc>
      </w:tr>
      <w:tr w:rsidR="00077463" w:rsidRPr="0046282E" w14:paraId="1750087A" w14:textId="77777777" w:rsidTr="00BC6038">
        <w:trPr>
          <w:cantSplit/>
        </w:trPr>
        <w:tc>
          <w:tcPr>
            <w:tcW w:w="3561" w:type="dxa"/>
            <w:tcBorders>
              <w:top w:val="single" w:sz="6" w:space="0" w:color="auto"/>
              <w:bottom w:val="single" w:sz="6" w:space="0" w:color="auto"/>
            </w:tcBorders>
            <w:shd w:val="clear" w:color="auto" w:fill="386294"/>
            <w:vAlign w:val="center"/>
          </w:tcPr>
          <w:p w14:paraId="71665B0B"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Competencia</w:t>
            </w:r>
            <w:r w:rsidRPr="0046282E">
              <w:rPr>
                <w:rFonts w:ascii="Cambria" w:hAnsi="Cambria"/>
                <w:b/>
                <w:bCs/>
                <w:i/>
                <w:color w:val="FFFFFF" w:themeColor="background1"/>
                <w:sz w:val="20"/>
                <w:szCs w:val="20"/>
              </w:rPr>
              <w:t xml:space="preserve"> Ratione temporis</w:t>
            </w:r>
            <w:r w:rsidRPr="0046282E">
              <w:rPr>
                <w:rFonts w:ascii="Cambria" w:hAnsi="Cambria"/>
                <w:b/>
                <w:bCs/>
                <w:color w:val="FFFFFF" w:themeColor="background1"/>
                <w:sz w:val="20"/>
                <w:szCs w:val="20"/>
              </w:rPr>
              <w:t>:</w:t>
            </w:r>
          </w:p>
        </w:tc>
        <w:tc>
          <w:tcPr>
            <w:tcW w:w="5776" w:type="dxa"/>
            <w:vAlign w:val="center"/>
          </w:tcPr>
          <w:p w14:paraId="7EBF98A6" w14:textId="77777777" w:rsidR="00077463" w:rsidRPr="0046282E" w:rsidRDefault="00077463">
            <w:pPr>
              <w:rPr>
                <w:rFonts w:ascii="Cambria" w:hAnsi="Cambria"/>
                <w:bCs/>
                <w:sz w:val="20"/>
                <w:szCs w:val="20"/>
              </w:rPr>
            </w:pPr>
            <w:r w:rsidRPr="0046282E">
              <w:rPr>
                <w:rFonts w:ascii="Cambria" w:hAnsi="Cambria"/>
                <w:bCs/>
                <w:sz w:val="20"/>
                <w:szCs w:val="20"/>
              </w:rPr>
              <w:t>Sí</w:t>
            </w:r>
          </w:p>
        </w:tc>
      </w:tr>
      <w:tr w:rsidR="00077463" w:rsidRPr="0046282E" w14:paraId="5CACE611" w14:textId="77777777" w:rsidTr="00BC6038">
        <w:trPr>
          <w:cantSplit/>
        </w:trPr>
        <w:tc>
          <w:tcPr>
            <w:tcW w:w="3561" w:type="dxa"/>
            <w:tcBorders>
              <w:top w:val="single" w:sz="6" w:space="0" w:color="auto"/>
              <w:bottom w:val="single" w:sz="6" w:space="0" w:color="auto"/>
            </w:tcBorders>
            <w:shd w:val="clear" w:color="auto" w:fill="386294"/>
            <w:vAlign w:val="center"/>
          </w:tcPr>
          <w:p w14:paraId="7461E0A5" w14:textId="77777777" w:rsidR="00077463" w:rsidRPr="0046282E" w:rsidRDefault="00077463">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Competencia</w:t>
            </w:r>
            <w:r w:rsidRPr="0046282E">
              <w:rPr>
                <w:rFonts w:ascii="Cambria" w:hAnsi="Cambria"/>
                <w:b/>
                <w:bCs/>
                <w:i/>
                <w:color w:val="FFFFFF" w:themeColor="background1"/>
                <w:sz w:val="20"/>
                <w:szCs w:val="20"/>
              </w:rPr>
              <w:t xml:space="preserve"> Ratione materiae</w:t>
            </w:r>
            <w:r w:rsidRPr="0046282E">
              <w:rPr>
                <w:rFonts w:ascii="Cambria" w:hAnsi="Cambria"/>
                <w:b/>
                <w:bCs/>
                <w:color w:val="FFFFFF" w:themeColor="background1"/>
                <w:sz w:val="20"/>
                <w:szCs w:val="20"/>
              </w:rPr>
              <w:t>:</w:t>
            </w:r>
          </w:p>
        </w:tc>
        <w:tc>
          <w:tcPr>
            <w:tcW w:w="5776" w:type="dxa"/>
            <w:vAlign w:val="center"/>
          </w:tcPr>
          <w:p w14:paraId="69F42036"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Sí, la Convención Americana (depósito de instrumento realizado</w:t>
            </w:r>
          </w:p>
          <w:p w14:paraId="5584A4A3" w14:textId="77777777" w:rsidR="00077463" w:rsidRPr="0046282E" w:rsidRDefault="00077463">
            <w:pPr>
              <w:jc w:val="both"/>
              <w:rPr>
                <w:rFonts w:ascii="Cambria" w:hAnsi="Cambria"/>
                <w:bCs/>
                <w:sz w:val="20"/>
                <w:szCs w:val="20"/>
                <w:lang w:val="es-ES"/>
              </w:rPr>
            </w:pPr>
            <w:r w:rsidRPr="0046282E">
              <w:rPr>
                <w:rFonts w:ascii="Cambria" w:hAnsi="Cambria"/>
                <w:bCs/>
                <w:sz w:val="20"/>
                <w:szCs w:val="20"/>
                <w:lang w:val="es-ES"/>
              </w:rPr>
              <w:t>el 31 de julio de 1973)</w:t>
            </w:r>
          </w:p>
        </w:tc>
      </w:tr>
    </w:tbl>
    <w:p w14:paraId="700306BF" w14:textId="77777777" w:rsidR="00077463" w:rsidRPr="0046282E" w:rsidRDefault="00077463" w:rsidP="00077463">
      <w:pPr>
        <w:spacing w:before="240" w:after="240"/>
        <w:ind w:firstLine="720"/>
        <w:jc w:val="both"/>
        <w:rPr>
          <w:rFonts w:ascii="Cambria" w:hAnsi="Cambria"/>
          <w:b/>
          <w:bCs/>
          <w:sz w:val="20"/>
          <w:szCs w:val="20"/>
          <w:lang w:val="es-ES"/>
        </w:rPr>
      </w:pPr>
      <w:r w:rsidRPr="0046282E">
        <w:rPr>
          <w:rFonts w:ascii="Cambria" w:hAnsi="Cambria"/>
          <w:b/>
          <w:bCs/>
          <w:sz w:val="20"/>
          <w:szCs w:val="20"/>
          <w:lang w:val="es-ES"/>
        </w:rPr>
        <w:t xml:space="preserve">IV. </w:t>
      </w:r>
      <w:r w:rsidRPr="0046282E">
        <w:rPr>
          <w:rFonts w:ascii="Cambria" w:hAnsi="Cambria"/>
          <w:b/>
          <w:bCs/>
          <w:sz w:val="20"/>
          <w:szCs w:val="20"/>
          <w:lang w:val="es-ES"/>
        </w:rPr>
        <w:tab/>
        <w:t>DUPLICACIÓN</w:t>
      </w:r>
      <w:r w:rsidRPr="0046282E">
        <w:rPr>
          <w:rFonts w:ascii="Cambria" w:hAnsi="Cambria"/>
          <w:b/>
          <w:bCs/>
          <w:color w:val="FFFFFF" w:themeColor="background1"/>
          <w:sz w:val="20"/>
          <w:szCs w:val="20"/>
          <w:lang w:val="es-ES"/>
        </w:rPr>
        <w:t xml:space="preserve"> </w:t>
      </w:r>
      <w:r w:rsidRPr="0046282E">
        <w:rPr>
          <w:rFonts w:ascii="Cambria" w:hAnsi="Cambria"/>
          <w:b/>
          <w:bCs/>
          <w:sz w:val="20"/>
          <w:szCs w:val="20"/>
          <w:lang w:val="es-ES"/>
        </w:rPr>
        <w:t>DE PROCEDIMIENTOS Y COSA JUZGADA</w:t>
      </w:r>
      <w:r w:rsidRPr="0046282E">
        <w:rPr>
          <w:rFonts w:ascii="Cambria" w:hAnsi="Cambria"/>
          <w:b/>
          <w:bCs/>
          <w:i/>
          <w:sz w:val="20"/>
          <w:szCs w:val="20"/>
          <w:lang w:val="es-ES"/>
        </w:rPr>
        <w:t xml:space="preserve"> </w:t>
      </w:r>
      <w:r w:rsidRPr="0046282E">
        <w:rPr>
          <w:rFonts w:ascii="Cambria" w:hAnsi="Cambria"/>
          <w:b/>
          <w:bCs/>
          <w:sz w:val="20"/>
          <w:szCs w:val="20"/>
          <w:lang w:val="es-ES"/>
        </w:rPr>
        <w:t xml:space="preserve">INTERNACIONAL, CARACTERIZACIÓN, </w:t>
      </w:r>
      <w:r w:rsidRPr="0046282E">
        <w:rPr>
          <w:rFonts w:ascii="Cambria" w:hAnsi="Cambria"/>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70"/>
        <w:gridCol w:w="5767"/>
      </w:tblGrid>
      <w:tr w:rsidR="0046282E" w:rsidRPr="0046282E" w14:paraId="5CB1725E" w14:textId="77777777" w:rsidTr="00BC6038">
        <w:trPr>
          <w:cantSplit/>
        </w:trPr>
        <w:tc>
          <w:tcPr>
            <w:tcW w:w="3570" w:type="dxa"/>
            <w:tcBorders>
              <w:top w:val="single" w:sz="4" w:space="0" w:color="auto"/>
              <w:bottom w:val="single" w:sz="6" w:space="0" w:color="auto"/>
            </w:tcBorders>
            <w:shd w:val="clear" w:color="auto" w:fill="386294"/>
            <w:vAlign w:val="center"/>
          </w:tcPr>
          <w:p w14:paraId="3F26AECB" w14:textId="77777777" w:rsidR="0046282E" w:rsidRPr="0046282E" w:rsidRDefault="0046282E" w:rsidP="0046282E">
            <w:pPr>
              <w:jc w:val="center"/>
              <w:rPr>
                <w:rFonts w:ascii="Cambria" w:hAnsi="Cambria"/>
                <w:b/>
                <w:bCs/>
                <w:color w:val="FFFFFF" w:themeColor="background1"/>
                <w:sz w:val="20"/>
                <w:szCs w:val="20"/>
                <w:lang w:val="es-ES"/>
              </w:rPr>
            </w:pPr>
            <w:r w:rsidRPr="0046282E">
              <w:rPr>
                <w:rFonts w:ascii="Cambria" w:hAnsi="Cambria"/>
                <w:b/>
                <w:bCs/>
                <w:color w:val="FFFFFF" w:themeColor="background1"/>
                <w:sz w:val="20"/>
                <w:szCs w:val="20"/>
                <w:lang w:val="es-ES"/>
              </w:rPr>
              <w:t>Duplicación de procedimientos y cosa juzgada internacional:</w:t>
            </w:r>
          </w:p>
        </w:tc>
        <w:tc>
          <w:tcPr>
            <w:tcW w:w="5767" w:type="dxa"/>
            <w:vAlign w:val="center"/>
          </w:tcPr>
          <w:p w14:paraId="76B8618E" w14:textId="3A4E4B25" w:rsidR="0046282E" w:rsidRPr="008B42E2" w:rsidRDefault="0046282E" w:rsidP="0046282E">
            <w:pPr>
              <w:jc w:val="both"/>
              <w:rPr>
                <w:rFonts w:ascii="Cambria" w:hAnsi="Cambria"/>
                <w:bCs/>
                <w:sz w:val="20"/>
                <w:szCs w:val="20"/>
                <w:lang w:val="es-ES"/>
              </w:rPr>
            </w:pPr>
            <w:r w:rsidRPr="008B42E2">
              <w:rPr>
                <w:rFonts w:ascii="Cambria" w:hAnsi="Cambria"/>
                <w:bCs/>
                <w:sz w:val="20"/>
                <w:szCs w:val="20"/>
                <w:lang w:val="es-ES"/>
              </w:rPr>
              <w:t>No</w:t>
            </w:r>
          </w:p>
        </w:tc>
      </w:tr>
      <w:tr w:rsidR="0046282E" w:rsidRPr="00415390" w14:paraId="2AB7C341" w14:textId="77777777" w:rsidTr="00BC6038">
        <w:trPr>
          <w:cantSplit/>
        </w:trPr>
        <w:tc>
          <w:tcPr>
            <w:tcW w:w="3570" w:type="dxa"/>
            <w:tcBorders>
              <w:top w:val="single" w:sz="4" w:space="0" w:color="auto"/>
              <w:bottom w:val="single" w:sz="6" w:space="0" w:color="auto"/>
            </w:tcBorders>
            <w:shd w:val="clear" w:color="auto" w:fill="386294"/>
            <w:vAlign w:val="center"/>
          </w:tcPr>
          <w:p w14:paraId="1E7D7437" w14:textId="77777777" w:rsidR="0046282E" w:rsidRPr="0046282E" w:rsidRDefault="0046282E" w:rsidP="0046282E">
            <w:pPr>
              <w:jc w:val="center"/>
              <w:rPr>
                <w:rFonts w:ascii="Cambria" w:hAnsi="Cambria"/>
                <w:b/>
                <w:bCs/>
                <w:i/>
                <w:color w:val="FFFFFF" w:themeColor="background1"/>
                <w:sz w:val="20"/>
                <w:szCs w:val="20"/>
              </w:rPr>
            </w:pPr>
            <w:r w:rsidRPr="0046282E">
              <w:rPr>
                <w:rFonts w:ascii="Cambria" w:hAnsi="Cambria"/>
                <w:b/>
                <w:bCs/>
                <w:color w:val="FFFFFF" w:themeColor="background1"/>
                <w:sz w:val="20"/>
                <w:szCs w:val="20"/>
              </w:rPr>
              <w:t>Derechos declarados admisibles</w:t>
            </w:r>
            <w:r w:rsidRPr="0046282E">
              <w:rPr>
                <w:rFonts w:ascii="Cambria" w:hAnsi="Cambria"/>
                <w:b/>
                <w:bCs/>
                <w:i/>
                <w:color w:val="FFFFFF" w:themeColor="background1"/>
                <w:sz w:val="20"/>
                <w:szCs w:val="20"/>
              </w:rPr>
              <w:t>:</w:t>
            </w:r>
          </w:p>
        </w:tc>
        <w:tc>
          <w:tcPr>
            <w:tcW w:w="5767" w:type="dxa"/>
            <w:vAlign w:val="center"/>
          </w:tcPr>
          <w:p w14:paraId="409021E4" w14:textId="603FDF39" w:rsidR="0046282E" w:rsidRPr="00323945" w:rsidRDefault="00380784" w:rsidP="0046282E">
            <w:pPr>
              <w:jc w:val="both"/>
              <w:rPr>
                <w:rFonts w:ascii="Cambria" w:hAnsi="Cambria"/>
                <w:bCs/>
                <w:sz w:val="20"/>
                <w:szCs w:val="20"/>
                <w:lang w:val="es-ES"/>
              </w:rPr>
            </w:pPr>
            <w:r>
              <w:rPr>
                <w:rFonts w:ascii="Cambria" w:hAnsi="Cambria"/>
                <w:bCs/>
                <w:sz w:val="20"/>
                <w:szCs w:val="20"/>
                <w:lang w:val="es-ES"/>
              </w:rPr>
              <w:t>No aplica</w:t>
            </w:r>
          </w:p>
        </w:tc>
      </w:tr>
      <w:tr w:rsidR="0046282E" w:rsidRPr="0072794F" w14:paraId="0843897C" w14:textId="77777777" w:rsidTr="00BC6038">
        <w:trPr>
          <w:cantSplit/>
        </w:trPr>
        <w:tc>
          <w:tcPr>
            <w:tcW w:w="3570" w:type="dxa"/>
            <w:tcBorders>
              <w:top w:val="single" w:sz="6" w:space="0" w:color="auto"/>
              <w:bottom w:val="single" w:sz="6" w:space="0" w:color="auto"/>
            </w:tcBorders>
            <w:shd w:val="clear" w:color="auto" w:fill="386294"/>
            <w:vAlign w:val="center"/>
          </w:tcPr>
          <w:p w14:paraId="66CA4C82" w14:textId="77777777" w:rsidR="0046282E" w:rsidRPr="0046282E" w:rsidRDefault="0046282E" w:rsidP="0046282E">
            <w:pPr>
              <w:jc w:val="center"/>
              <w:rPr>
                <w:rFonts w:ascii="Cambria" w:hAnsi="Cambria"/>
                <w:b/>
                <w:bCs/>
                <w:color w:val="FFFFFF" w:themeColor="background1"/>
                <w:sz w:val="20"/>
                <w:szCs w:val="20"/>
                <w:lang w:val="es-ES"/>
              </w:rPr>
            </w:pPr>
            <w:r w:rsidRPr="0046282E">
              <w:rPr>
                <w:rFonts w:ascii="Cambria" w:hAnsi="Cambria"/>
                <w:b/>
                <w:bCs/>
                <w:color w:val="FFFFFF" w:themeColor="background1"/>
                <w:sz w:val="20"/>
                <w:szCs w:val="20"/>
                <w:lang w:val="es-ES"/>
              </w:rPr>
              <w:t>Agotamiento de recursos internos o procedencia de una excepción:</w:t>
            </w:r>
          </w:p>
        </w:tc>
        <w:tc>
          <w:tcPr>
            <w:tcW w:w="5767" w:type="dxa"/>
            <w:vAlign w:val="center"/>
          </w:tcPr>
          <w:p w14:paraId="2EC9E9C0" w14:textId="27C30E51" w:rsidR="0046282E" w:rsidRPr="0046282E" w:rsidRDefault="002E79AC" w:rsidP="0046282E">
            <w:pPr>
              <w:rPr>
                <w:rFonts w:ascii="Cambria" w:hAnsi="Cambria"/>
                <w:bCs/>
                <w:sz w:val="20"/>
                <w:szCs w:val="20"/>
                <w:lang w:val="es-ES"/>
              </w:rPr>
            </w:pPr>
            <w:r>
              <w:rPr>
                <w:rFonts w:ascii="Cambria" w:hAnsi="Cambria"/>
                <w:bCs/>
                <w:sz w:val="20"/>
                <w:szCs w:val="20"/>
                <w:lang w:val="es-ES"/>
              </w:rPr>
              <w:t>Parcialmente</w:t>
            </w:r>
            <w:r w:rsidR="0046282E" w:rsidRPr="00491CB5">
              <w:rPr>
                <w:rFonts w:ascii="Cambria" w:hAnsi="Cambria"/>
                <w:bCs/>
                <w:sz w:val="20"/>
                <w:szCs w:val="20"/>
                <w:lang w:val="es-ES"/>
              </w:rPr>
              <w:t>, en los términos de la sección VI</w:t>
            </w:r>
            <w:r w:rsidR="00380784">
              <w:rPr>
                <w:rFonts w:ascii="Cambria" w:hAnsi="Cambria"/>
                <w:bCs/>
                <w:sz w:val="20"/>
                <w:szCs w:val="20"/>
                <w:lang w:val="es-ES"/>
              </w:rPr>
              <w:t xml:space="preserve"> </w:t>
            </w:r>
          </w:p>
        </w:tc>
      </w:tr>
      <w:tr w:rsidR="0046282E" w:rsidRPr="0072794F" w14:paraId="19C501C8" w14:textId="77777777" w:rsidTr="00BC6038">
        <w:trPr>
          <w:cantSplit/>
        </w:trPr>
        <w:tc>
          <w:tcPr>
            <w:tcW w:w="3570" w:type="dxa"/>
            <w:tcBorders>
              <w:top w:val="single" w:sz="6" w:space="0" w:color="auto"/>
              <w:bottom w:val="single" w:sz="6" w:space="0" w:color="auto"/>
            </w:tcBorders>
            <w:shd w:val="clear" w:color="auto" w:fill="386294"/>
            <w:vAlign w:val="center"/>
          </w:tcPr>
          <w:p w14:paraId="21FE1804" w14:textId="77777777" w:rsidR="0046282E" w:rsidRPr="0046282E" w:rsidRDefault="0046282E" w:rsidP="0046282E">
            <w:pPr>
              <w:jc w:val="center"/>
              <w:rPr>
                <w:rFonts w:ascii="Cambria" w:hAnsi="Cambria"/>
                <w:b/>
                <w:bCs/>
                <w:color w:val="FFFFFF" w:themeColor="background1"/>
                <w:sz w:val="20"/>
                <w:szCs w:val="20"/>
              </w:rPr>
            </w:pPr>
            <w:r w:rsidRPr="0046282E">
              <w:rPr>
                <w:rFonts w:ascii="Cambria" w:hAnsi="Cambria"/>
                <w:b/>
                <w:bCs/>
                <w:color w:val="FFFFFF" w:themeColor="background1"/>
                <w:sz w:val="20"/>
                <w:szCs w:val="20"/>
              </w:rPr>
              <w:t>Presentación dentro de plazo:</w:t>
            </w:r>
          </w:p>
        </w:tc>
        <w:tc>
          <w:tcPr>
            <w:tcW w:w="5767" w:type="dxa"/>
            <w:vAlign w:val="center"/>
          </w:tcPr>
          <w:p w14:paraId="4A43F3B8" w14:textId="539110BF" w:rsidR="0046282E" w:rsidRPr="00323945" w:rsidRDefault="002E79AC" w:rsidP="0046282E">
            <w:pPr>
              <w:rPr>
                <w:rFonts w:ascii="Cambria" w:hAnsi="Cambria"/>
                <w:bCs/>
                <w:sz w:val="20"/>
                <w:szCs w:val="20"/>
                <w:lang w:val="es-ES"/>
              </w:rPr>
            </w:pPr>
            <w:r>
              <w:rPr>
                <w:rFonts w:ascii="Cambria" w:hAnsi="Cambria"/>
                <w:bCs/>
                <w:sz w:val="20"/>
                <w:szCs w:val="20"/>
                <w:lang w:val="es-ES"/>
              </w:rPr>
              <w:t>Parcialmente</w:t>
            </w:r>
            <w:r w:rsidR="0046282E" w:rsidRPr="00491CB5">
              <w:rPr>
                <w:rFonts w:ascii="Cambria" w:hAnsi="Cambria"/>
                <w:bCs/>
                <w:sz w:val="20"/>
                <w:szCs w:val="20"/>
                <w:lang w:val="es-ES"/>
              </w:rPr>
              <w:t>, en los términos de la sección VI</w:t>
            </w:r>
          </w:p>
        </w:tc>
      </w:tr>
    </w:tbl>
    <w:p w14:paraId="35E20B9B" w14:textId="226A7FB3" w:rsidR="00077463" w:rsidRPr="00C60360" w:rsidRDefault="00077463" w:rsidP="00077463">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Pr="00C60360">
        <w:rPr>
          <w:rFonts w:asciiTheme="majorHAnsi" w:hAnsiTheme="majorHAnsi"/>
          <w:b/>
          <w:sz w:val="20"/>
          <w:szCs w:val="20"/>
          <w:lang w:val="es-UY"/>
        </w:rPr>
        <w:t>POSICIÓN DE LAS PARTES</w:t>
      </w:r>
    </w:p>
    <w:p w14:paraId="16FB6418" w14:textId="50A06768" w:rsidR="0083100C" w:rsidRPr="00C60360" w:rsidRDefault="0070722A" w:rsidP="00077463">
      <w:pPr>
        <w:spacing w:after="240"/>
        <w:ind w:firstLine="720"/>
        <w:jc w:val="both"/>
        <w:rPr>
          <w:rFonts w:asciiTheme="majorHAnsi" w:hAnsiTheme="majorHAnsi"/>
          <w:b/>
          <w:sz w:val="20"/>
          <w:szCs w:val="20"/>
          <w:lang w:val="es-UY"/>
        </w:rPr>
      </w:pPr>
      <w:r w:rsidRPr="00C60360">
        <w:rPr>
          <w:rFonts w:asciiTheme="majorHAnsi" w:hAnsiTheme="majorHAnsi"/>
          <w:b/>
          <w:sz w:val="20"/>
          <w:szCs w:val="20"/>
          <w:lang w:val="es-UY"/>
        </w:rPr>
        <w:t>La</w:t>
      </w:r>
      <w:r w:rsidR="0083100C" w:rsidRPr="00C60360">
        <w:rPr>
          <w:rFonts w:asciiTheme="majorHAnsi" w:hAnsiTheme="majorHAnsi"/>
          <w:b/>
          <w:sz w:val="20"/>
          <w:szCs w:val="20"/>
          <w:lang w:val="es-UY"/>
        </w:rPr>
        <w:t xml:space="preserve"> parte peticionaria</w:t>
      </w:r>
    </w:p>
    <w:p w14:paraId="74229650" w14:textId="5540EDED" w:rsidR="00D206AA" w:rsidRPr="00C60360" w:rsidRDefault="00767572" w:rsidP="0076757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 xml:space="preserve">La parte peticionaria alega que el Estado colombiano vulneró los derechos de los familiares del señor Robinson Martínez Arango, al haberse rechazado la acción de reparación directa interpuesta por su </w:t>
      </w:r>
      <w:r w:rsidRPr="00C60360">
        <w:rPr>
          <w:rFonts w:ascii="Cambria" w:hAnsi="Cambria"/>
          <w:sz w:val="20"/>
          <w:szCs w:val="20"/>
          <w:lang w:val="es-AR"/>
        </w:rPr>
        <w:lastRenderedPageBreak/>
        <w:t>muerte. Sostiene que esta situación generó a su familia un perjuicio económico y un profundo daño moral, derivados de la incertidumbre y del temor a nuevas afectaciones.</w:t>
      </w:r>
    </w:p>
    <w:p w14:paraId="0A919866" w14:textId="76D23955" w:rsidR="00D206AA" w:rsidRPr="00C60360" w:rsidRDefault="00D206AA" w:rsidP="00D206A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r w:rsidRPr="00C60360">
        <w:rPr>
          <w:rFonts w:ascii="Cambria" w:hAnsi="Cambria"/>
          <w:i/>
          <w:iCs/>
          <w:sz w:val="20"/>
          <w:szCs w:val="20"/>
          <w:lang w:val="es-AR"/>
        </w:rPr>
        <w:t xml:space="preserve">Sobre </w:t>
      </w:r>
      <w:r w:rsidR="00B84AEF" w:rsidRPr="00C60360">
        <w:rPr>
          <w:rFonts w:ascii="Cambria" w:hAnsi="Cambria"/>
          <w:i/>
          <w:iCs/>
          <w:sz w:val="20"/>
          <w:szCs w:val="20"/>
          <w:lang w:val="es-AR"/>
        </w:rPr>
        <w:t>la</w:t>
      </w:r>
      <w:r w:rsidRPr="00C60360">
        <w:rPr>
          <w:rFonts w:ascii="Cambria" w:hAnsi="Cambria"/>
          <w:i/>
          <w:iCs/>
          <w:sz w:val="20"/>
          <w:szCs w:val="20"/>
          <w:lang w:val="es-AR"/>
        </w:rPr>
        <w:t xml:space="preserve"> persecución</w:t>
      </w:r>
      <w:r w:rsidR="00B84AEF" w:rsidRPr="00C60360">
        <w:rPr>
          <w:rFonts w:ascii="Cambria" w:hAnsi="Cambria"/>
          <w:i/>
          <w:iCs/>
          <w:sz w:val="20"/>
          <w:szCs w:val="20"/>
          <w:lang w:val="es-AR"/>
        </w:rPr>
        <w:t xml:space="preserve"> policial</w:t>
      </w:r>
    </w:p>
    <w:p w14:paraId="31CDF854" w14:textId="28D2BEBF" w:rsidR="00635850" w:rsidRPr="00C60360" w:rsidRDefault="00323945"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El peticionario narra</w:t>
      </w:r>
      <w:r w:rsidR="00635850" w:rsidRPr="00C60360">
        <w:rPr>
          <w:rFonts w:ascii="Cambria" w:hAnsi="Cambria"/>
          <w:sz w:val="20"/>
          <w:szCs w:val="20"/>
          <w:lang w:val="es-AR"/>
        </w:rPr>
        <w:t xml:space="preserve"> que el 19 de febrero de 2011 el señor </w:t>
      </w:r>
      <w:r w:rsidR="00767572" w:rsidRPr="00C60360">
        <w:rPr>
          <w:rFonts w:ascii="Cambria" w:hAnsi="Cambria"/>
          <w:sz w:val="20"/>
          <w:szCs w:val="20"/>
          <w:lang w:val="es-AR"/>
        </w:rPr>
        <w:t xml:space="preserve">Robinson Martínez Arango </w:t>
      </w:r>
      <w:r w:rsidR="00635850" w:rsidRPr="00C60360">
        <w:rPr>
          <w:rFonts w:ascii="Cambria" w:hAnsi="Cambria"/>
          <w:sz w:val="20"/>
          <w:szCs w:val="20"/>
          <w:lang w:val="es-AR"/>
        </w:rPr>
        <w:t>se desplazaba en motocicleta cuando varios policías intentaron realizarle una inspección</w:t>
      </w:r>
      <w:r w:rsidR="0006188D" w:rsidRPr="00C60360">
        <w:rPr>
          <w:rFonts w:ascii="Cambria" w:hAnsi="Cambria"/>
          <w:sz w:val="20"/>
          <w:szCs w:val="20"/>
          <w:lang w:val="es-AR"/>
        </w:rPr>
        <w:t>,</w:t>
      </w:r>
      <w:r w:rsidR="00635850" w:rsidRPr="00C60360">
        <w:rPr>
          <w:rFonts w:ascii="Cambria" w:hAnsi="Cambria"/>
          <w:sz w:val="20"/>
          <w:szCs w:val="20"/>
          <w:lang w:val="es-AR"/>
        </w:rPr>
        <w:t xml:space="preserve"> para evadir el procedimiento huyó a gran velocidad siendo perseguido por la patrulla por una vía en la que transitaban únicamente ellos. Afirma que estos hechos fueron corroborados por </w:t>
      </w:r>
      <w:r w:rsidR="00A22616" w:rsidRPr="00C60360">
        <w:rPr>
          <w:rFonts w:ascii="Cambria" w:hAnsi="Cambria"/>
          <w:sz w:val="20"/>
          <w:szCs w:val="20"/>
          <w:lang w:val="es-AR"/>
        </w:rPr>
        <w:t>testigos</w:t>
      </w:r>
      <w:r w:rsidR="00635850" w:rsidRPr="00C60360">
        <w:rPr>
          <w:rFonts w:ascii="Cambria" w:hAnsi="Cambria"/>
          <w:sz w:val="20"/>
          <w:szCs w:val="20"/>
          <w:lang w:val="es-AR"/>
        </w:rPr>
        <w:t xml:space="preserve">. </w:t>
      </w:r>
      <w:r w:rsidR="004D02E9" w:rsidRPr="00C60360">
        <w:rPr>
          <w:rFonts w:ascii="Cambria" w:hAnsi="Cambria"/>
          <w:sz w:val="20"/>
          <w:szCs w:val="20"/>
          <w:lang w:val="es-AR"/>
        </w:rPr>
        <w:t>Al día siguiente en</w:t>
      </w:r>
      <w:r w:rsidR="00767572" w:rsidRPr="00C60360">
        <w:rPr>
          <w:rFonts w:ascii="Cambria" w:hAnsi="Cambria"/>
          <w:sz w:val="20"/>
          <w:szCs w:val="20"/>
          <w:lang w:val="es-AR"/>
        </w:rPr>
        <w:t xml:space="preserve"> la</w:t>
      </w:r>
      <w:r w:rsidR="004D02E9" w:rsidRPr="00C60360">
        <w:rPr>
          <w:rFonts w:ascii="Cambria" w:hAnsi="Cambria"/>
          <w:sz w:val="20"/>
          <w:szCs w:val="20"/>
          <w:lang w:val="es-AR"/>
        </w:rPr>
        <w:t xml:space="preserve"> madrugada</w:t>
      </w:r>
      <w:r w:rsidR="00635850" w:rsidRPr="00C60360">
        <w:rPr>
          <w:rFonts w:ascii="Cambria" w:hAnsi="Cambria"/>
          <w:sz w:val="20"/>
          <w:szCs w:val="20"/>
          <w:lang w:val="es-AR"/>
        </w:rPr>
        <w:t xml:space="preserve"> un familiar encontró </w:t>
      </w:r>
      <w:r w:rsidR="00512C71" w:rsidRPr="00C60360">
        <w:rPr>
          <w:rFonts w:ascii="Cambria" w:hAnsi="Cambria"/>
          <w:sz w:val="20"/>
          <w:szCs w:val="20"/>
          <w:lang w:val="es-AR"/>
        </w:rPr>
        <w:t>su</w:t>
      </w:r>
      <w:r w:rsidR="00635850" w:rsidRPr="00C60360">
        <w:rPr>
          <w:rFonts w:ascii="Cambria" w:hAnsi="Cambria"/>
          <w:sz w:val="20"/>
          <w:szCs w:val="20"/>
          <w:lang w:val="es-AR"/>
        </w:rPr>
        <w:t xml:space="preserve"> cuerpo tendido sobre la vía con signos de haber recibido varios traumatismos, pero sin indicios de una caída fuerte ni de colisión con otro objeto o vehículo, por lo que </w:t>
      </w:r>
      <w:r w:rsidR="0087300C" w:rsidRPr="00C60360">
        <w:rPr>
          <w:rFonts w:ascii="Cambria" w:hAnsi="Cambria"/>
          <w:sz w:val="20"/>
          <w:szCs w:val="20"/>
          <w:lang w:val="es-AR"/>
        </w:rPr>
        <w:t>el peticionario alega</w:t>
      </w:r>
      <w:r w:rsidR="00635850" w:rsidRPr="00C60360">
        <w:rPr>
          <w:rFonts w:ascii="Cambria" w:hAnsi="Cambria"/>
          <w:sz w:val="20"/>
          <w:szCs w:val="20"/>
          <w:lang w:val="es-AR"/>
        </w:rPr>
        <w:t xml:space="preserve"> que </w:t>
      </w:r>
      <w:r w:rsidR="002560DF" w:rsidRPr="00C60360">
        <w:rPr>
          <w:rFonts w:ascii="Cambria" w:hAnsi="Cambria"/>
          <w:sz w:val="20"/>
          <w:szCs w:val="20"/>
          <w:lang w:val="es-AR"/>
        </w:rPr>
        <w:t xml:space="preserve">no </w:t>
      </w:r>
      <w:r w:rsidR="00635850" w:rsidRPr="00C60360">
        <w:rPr>
          <w:rFonts w:ascii="Cambria" w:hAnsi="Cambria"/>
          <w:sz w:val="20"/>
          <w:szCs w:val="20"/>
          <w:lang w:val="es-AR"/>
        </w:rPr>
        <w:t xml:space="preserve">se </w:t>
      </w:r>
      <w:r w:rsidR="002560DF" w:rsidRPr="00C60360">
        <w:rPr>
          <w:rFonts w:ascii="Cambria" w:hAnsi="Cambria"/>
          <w:sz w:val="20"/>
          <w:szCs w:val="20"/>
          <w:lang w:val="es-AR"/>
        </w:rPr>
        <w:t>trató</w:t>
      </w:r>
      <w:r w:rsidR="00635850" w:rsidRPr="00C60360">
        <w:rPr>
          <w:rFonts w:ascii="Cambria" w:hAnsi="Cambria"/>
          <w:sz w:val="20"/>
          <w:szCs w:val="20"/>
          <w:lang w:val="es-AR"/>
        </w:rPr>
        <w:t xml:space="preserve"> de un accidente de tránsito. A su juicio la presencia policial en </w:t>
      </w:r>
      <w:r w:rsidR="00C66CE3" w:rsidRPr="00C60360">
        <w:rPr>
          <w:rFonts w:ascii="Cambria" w:hAnsi="Cambria"/>
          <w:sz w:val="20"/>
          <w:szCs w:val="20"/>
          <w:lang w:val="es-AR"/>
        </w:rPr>
        <w:t>el</w:t>
      </w:r>
      <w:r w:rsidR="00635850" w:rsidRPr="00C60360">
        <w:rPr>
          <w:rFonts w:ascii="Cambria" w:hAnsi="Cambria"/>
          <w:sz w:val="20"/>
          <w:szCs w:val="20"/>
          <w:lang w:val="es-AR"/>
        </w:rPr>
        <w:t xml:space="preserve"> lugar permite inferir que el señor </w:t>
      </w:r>
      <w:r w:rsidR="00767572" w:rsidRPr="00C60360">
        <w:rPr>
          <w:rFonts w:ascii="Cambria" w:hAnsi="Cambria"/>
          <w:sz w:val="20"/>
          <w:szCs w:val="20"/>
          <w:lang w:val="es-AR"/>
        </w:rPr>
        <w:t xml:space="preserve">Robinson Martínez Arango </w:t>
      </w:r>
      <w:r w:rsidR="00635850" w:rsidRPr="00C60360">
        <w:rPr>
          <w:rFonts w:ascii="Cambria" w:hAnsi="Cambria"/>
          <w:sz w:val="20"/>
          <w:szCs w:val="20"/>
          <w:lang w:val="es-AR"/>
        </w:rPr>
        <w:t>fue agredido por los agentes o encontrado herido sin recibir auxilio, pese a la gravedad de sus lesiones.</w:t>
      </w:r>
    </w:p>
    <w:p w14:paraId="7F49E4D0" w14:textId="758654A3" w:rsidR="008753DC" w:rsidRPr="00C60360" w:rsidRDefault="00767572"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 xml:space="preserve">El señor Robinson Martínez Arango </w:t>
      </w:r>
      <w:r w:rsidR="008753DC" w:rsidRPr="00C60360">
        <w:rPr>
          <w:rFonts w:ascii="Cambria" w:hAnsi="Cambria"/>
          <w:sz w:val="20"/>
          <w:szCs w:val="20"/>
          <w:lang w:val="es-AR"/>
        </w:rPr>
        <w:t>fue trasladad</w:t>
      </w:r>
      <w:r w:rsidRPr="00C60360">
        <w:rPr>
          <w:rFonts w:ascii="Cambria" w:hAnsi="Cambria"/>
          <w:sz w:val="20"/>
          <w:szCs w:val="20"/>
          <w:lang w:val="es-AR"/>
        </w:rPr>
        <w:t>o</w:t>
      </w:r>
      <w:r w:rsidR="008753DC" w:rsidRPr="00C60360">
        <w:rPr>
          <w:rFonts w:ascii="Cambria" w:hAnsi="Cambria"/>
          <w:sz w:val="20"/>
          <w:szCs w:val="20"/>
          <w:lang w:val="es-AR"/>
        </w:rPr>
        <w:t xml:space="preserve"> inicialmente a un hospital donde recibió atención de primeros auxilios</w:t>
      </w:r>
      <w:r w:rsidR="00D5173B" w:rsidRPr="00C60360">
        <w:rPr>
          <w:rFonts w:ascii="Cambria" w:hAnsi="Cambria"/>
          <w:sz w:val="20"/>
          <w:szCs w:val="20"/>
          <w:lang w:val="es-AR"/>
        </w:rPr>
        <w:t>,</w:t>
      </w:r>
      <w:r w:rsidR="008753DC" w:rsidRPr="00C60360">
        <w:rPr>
          <w:rFonts w:ascii="Cambria" w:hAnsi="Cambria"/>
          <w:sz w:val="20"/>
          <w:szCs w:val="20"/>
          <w:lang w:val="es-AR"/>
        </w:rPr>
        <w:t xml:space="preserve"> y debido a la gravedad de las lesiones fue remitido a otro centro asistencial en el cual falleció el 21 de febrero de 2011. Alega que el informe de enfermería consignó que</w:t>
      </w:r>
      <w:r w:rsidR="00681939" w:rsidRPr="00C60360">
        <w:rPr>
          <w:rFonts w:ascii="Cambria" w:hAnsi="Cambria"/>
          <w:sz w:val="20"/>
          <w:szCs w:val="20"/>
          <w:lang w:val="es-AR"/>
        </w:rPr>
        <w:t xml:space="preserve"> </w:t>
      </w:r>
      <w:r w:rsidR="00681939" w:rsidRPr="00C60360">
        <w:rPr>
          <w:rFonts w:ascii="Cambria" w:hAnsi="Cambria"/>
          <w:sz w:val="20"/>
          <w:szCs w:val="20"/>
          <w:lang w:val="es-ES"/>
        </w:rPr>
        <w:t xml:space="preserve">el señor </w:t>
      </w:r>
      <w:r w:rsidR="00681939" w:rsidRPr="00C60360">
        <w:rPr>
          <w:rFonts w:ascii="Cambria" w:hAnsi="Cambria"/>
          <w:sz w:val="20"/>
          <w:szCs w:val="20"/>
          <w:lang w:val="es-AR"/>
        </w:rPr>
        <w:t xml:space="preserve">Martínez </w:t>
      </w:r>
      <w:r w:rsidR="008753DC" w:rsidRPr="00C60360">
        <w:rPr>
          <w:rFonts w:ascii="Cambria" w:hAnsi="Cambria"/>
          <w:sz w:val="20"/>
          <w:szCs w:val="20"/>
          <w:lang w:val="es-AR"/>
        </w:rPr>
        <w:t>no presentaba ningún trauma distinto a una hemorragia, pese a que el diagnóstico previo indicaba un trauma craneoencefálico severo, lo que habría motivado su remisión al segundo hospital.</w:t>
      </w:r>
    </w:p>
    <w:p w14:paraId="5AF92EB2" w14:textId="0CE90C83" w:rsidR="00933D61" w:rsidRPr="00C60360" w:rsidRDefault="00933D61" w:rsidP="00933D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r w:rsidRPr="00C60360">
        <w:rPr>
          <w:rFonts w:ascii="Cambria" w:hAnsi="Cambria"/>
          <w:i/>
          <w:iCs/>
          <w:sz w:val="20"/>
          <w:szCs w:val="20"/>
          <w:lang w:val="es-AR"/>
        </w:rPr>
        <w:t>Sobre la investigación penal</w:t>
      </w:r>
    </w:p>
    <w:p w14:paraId="677CAB62" w14:textId="23D067A0" w:rsidR="00D80508" w:rsidRPr="00C60360" w:rsidRDefault="00355372"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 xml:space="preserve">En relación con la investigación penal el peticionario informa </w:t>
      </w:r>
      <w:r w:rsidR="00E3277D" w:rsidRPr="00C60360">
        <w:rPr>
          <w:rFonts w:ascii="Cambria" w:hAnsi="Cambria"/>
          <w:sz w:val="20"/>
          <w:szCs w:val="20"/>
          <w:lang w:val="es-AR"/>
        </w:rPr>
        <w:t>–</w:t>
      </w:r>
      <w:r w:rsidRPr="00C60360">
        <w:rPr>
          <w:rFonts w:ascii="Cambria" w:hAnsi="Cambria"/>
          <w:sz w:val="20"/>
          <w:szCs w:val="20"/>
          <w:lang w:val="es-AR"/>
        </w:rPr>
        <w:t xml:space="preserve">de manera sucinta </w:t>
      </w:r>
      <w:r w:rsidR="00D80508" w:rsidRPr="00C60360">
        <w:rPr>
          <w:rFonts w:ascii="Cambria" w:hAnsi="Cambria"/>
          <w:sz w:val="20"/>
          <w:szCs w:val="20"/>
          <w:lang w:val="es-AR"/>
        </w:rPr>
        <w:t xml:space="preserve">y </w:t>
      </w:r>
      <w:r w:rsidRPr="00C60360">
        <w:rPr>
          <w:rFonts w:ascii="Cambria" w:hAnsi="Cambria"/>
          <w:sz w:val="20"/>
          <w:szCs w:val="20"/>
          <w:lang w:val="es-AR"/>
        </w:rPr>
        <w:t xml:space="preserve">sin aportar </w:t>
      </w:r>
      <w:r w:rsidR="00D80508" w:rsidRPr="00C60360">
        <w:rPr>
          <w:rFonts w:ascii="Cambria" w:hAnsi="Cambria"/>
          <w:sz w:val="20"/>
          <w:szCs w:val="20"/>
          <w:lang w:val="es-AR"/>
        </w:rPr>
        <w:t>documentos al respecto</w:t>
      </w:r>
      <w:r w:rsidR="00E3277D" w:rsidRPr="00C60360">
        <w:rPr>
          <w:rFonts w:ascii="Cambria" w:hAnsi="Cambria"/>
          <w:sz w:val="20"/>
          <w:szCs w:val="20"/>
          <w:lang w:val="es-AR"/>
        </w:rPr>
        <w:t>–</w:t>
      </w:r>
      <w:r w:rsidRPr="00C60360">
        <w:rPr>
          <w:rFonts w:ascii="Cambria" w:hAnsi="Cambria"/>
          <w:sz w:val="20"/>
          <w:szCs w:val="20"/>
          <w:lang w:val="es-AR"/>
        </w:rPr>
        <w:t xml:space="preserve"> que la Fiscalía General de la Nación inició una investigación de oficio para esclarecer las circunstancias de la muerte del señor Robinson Martínez Arango</w:t>
      </w:r>
      <w:r w:rsidR="00DA0B60" w:rsidRPr="00C60360">
        <w:rPr>
          <w:rFonts w:ascii="Cambria" w:hAnsi="Cambria"/>
          <w:sz w:val="20"/>
          <w:szCs w:val="20"/>
          <w:lang w:val="es-AR"/>
        </w:rPr>
        <w:t xml:space="preserve"> </w:t>
      </w:r>
      <w:r w:rsidRPr="00C60360">
        <w:rPr>
          <w:rFonts w:ascii="Cambria" w:hAnsi="Cambria"/>
          <w:sz w:val="20"/>
          <w:szCs w:val="20"/>
          <w:lang w:val="es-AR"/>
        </w:rPr>
        <w:t xml:space="preserve">(No. </w:t>
      </w:r>
      <w:r w:rsidR="00D80508" w:rsidRPr="00C60360">
        <w:rPr>
          <w:rFonts w:ascii="Cambria" w:hAnsi="Cambria"/>
          <w:sz w:val="20"/>
          <w:szCs w:val="20"/>
          <w:lang w:val="es-AR"/>
        </w:rPr>
        <w:t>760016000193201180191</w:t>
      </w:r>
      <w:r w:rsidRPr="00C60360">
        <w:rPr>
          <w:rFonts w:ascii="Cambria" w:hAnsi="Cambria"/>
          <w:sz w:val="20"/>
          <w:szCs w:val="20"/>
          <w:lang w:val="es-AR"/>
        </w:rPr>
        <w:t xml:space="preserve">). </w:t>
      </w:r>
    </w:p>
    <w:p w14:paraId="106CF549" w14:textId="6AEFDAA2" w:rsidR="00B14958" w:rsidRPr="00C60360" w:rsidRDefault="00CF1895" w:rsidP="003D7F52">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C60360">
        <w:rPr>
          <w:i/>
          <w:iCs/>
          <w:sz w:val="20"/>
          <w:szCs w:val="20"/>
          <w:lang w:val="es-AR"/>
        </w:rPr>
        <w:t xml:space="preserve">Sobre la </w:t>
      </w:r>
      <w:r w:rsidR="006C5D85" w:rsidRPr="00C60360">
        <w:rPr>
          <w:i/>
          <w:iCs/>
          <w:sz w:val="20"/>
          <w:szCs w:val="20"/>
          <w:lang w:val="es-AR"/>
        </w:rPr>
        <w:t>demanda de reparación directa</w:t>
      </w:r>
    </w:p>
    <w:p w14:paraId="332301D5" w14:textId="711C7564" w:rsidR="00CF1895" w:rsidRPr="00C60360" w:rsidRDefault="003D7F52"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ES"/>
        </w:rPr>
        <w:t xml:space="preserve">En cuanto a la jurisdicción contencioso-administrativa la parte peticionaria señala que el 9 de noviembre de 2011 </w:t>
      </w:r>
      <w:r w:rsidR="002903B0" w:rsidRPr="00C60360">
        <w:rPr>
          <w:rFonts w:ascii="Cambria" w:hAnsi="Cambria"/>
          <w:sz w:val="20"/>
          <w:szCs w:val="20"/>
          <w:lang w:val="es-ES"/>
        </w:rPr>
        <w:t xml:space="preserve">los familiares interpusieron </w:t>
      </w:r>
      <w:r w:rsidRPr="00C60360">
        <w:rPr>
          <w:rFonts w:ascii="Cambria" w:hAnsi="Cambria"/>
          <w:sz w:val="20"/>
          <w:szCs w:val="20"/>
          <w:lang w:val="es-ES"/>
        </w:rPr>
        <w:t xml:space="preserve">una demanda de reparación directa contra la Nación–Ministerio de Defensa–Policía Nacional (No. 7600133310012201100359). </w:t>
      </w:r>
      <w:r w:rsidR="00D27D93" w:rsidRPr="00C60360">
        <w:rPr>
          <w:rFonts w:ascii="Cambria" w:hAnsi="Cambria"/>
          <w:sz w:val="20"/>
          <w:szCs w:val="20"/>
          <w:lang w:val="es-AR"/>
        </w:rPr>
        <w:t>El 26 de noviembre de 2013 el Juzgado Sexto Administrativo de Santiago de Cali rechazó las pretensiones al considerar que no se acreditó responsabilidad de la Policía.</w:t>
      </w:r>
      <w:r w:rsidR="00CF1895" w:rsidRPr="00C60360">
        <w:rPr>
          <w:rFonts w:ascii="Cambria" w:hAnsi="Cambria"/>
          <w:sz w:val="20"/>
          <w:szCs w:val="20"/>
          <w:lang w:val="es-AR"/>
        </w:rPr>
        <w:t xml:space="preserve"> Según la sentencia </w:t>
      </w:r>
      <w:r w:rsidR="004313EE" w:rsidRPr="00C60360">
        <w:rPr>
          <w:rFonts w:ascii="Cambria" w:hAnsi="Cambria"/>
          <w:sz w:val="20"/>
          <w:szCs w:val="20"/>
          <w:lang w:val="es-AR"/>
        </w:rPr>
        <w:t>aportada</w:t>
      </w:r>
      <w:r w:rsidR="00CF1895" w:rsidRPr="00C60360">
        <w:rPr>
          <w:rFonts w:ascii="Cambria" w:hAnsi="Cambria"/>
          <w:sz w:val="20"/>
          <w:szCs w:val="20"/>
          <w:lang w:val="es-AR"/>
        </w:rPr>
        <w:t xml:space="preserve"> por </w:t>
      </w:r>
      <w:r w:rsidR="001540AF" w:rsidRPr="00C60360">
        <w:rPr>
          <w:rFonts w:ascii="Cambria" w:hAnsi="Cambria"/>
          <w:sz w:val="20"/>
          <w:szCs w:val="20"/>
          <w:lang w:val="es-AR"/>
        </w:rPr>
        <w:t>el peticionario</w:t>
      </w:r>
      <w:r w:rsidR="00CF1895" w:rsidRPr="00C60360">
        <w:rPr>
          <w:rFonts w:ascii="Cambria" w:hAnsi="Cambria"/>
          <w:sz w:val="20"/>
          <w:szCs w:val="20"/>
          <w:lang w:val="es-AR"/>
        </w:rPr>
        <w:t xml:space="preserve">, en resumen, la muerte </w:t>
      </w:r>
      <w:r w:rsidR="001540AF" w:rsidRPr="00C60360">
        <w:rPr>
          <w:rFonts w:ascii="Cambria" w:hAnsi="Cambria"/>
          <w:sz w:val="20"/>
          <w:szCs w:val="20"/>
          <w:lang w:val="es-AR"/>
        </w:rPr>
        <w:t xml:space="preserve">del señor Robinson Martínez Arango </w:t>
      </w:r>
      <w:r w:rsidR="00042EFE" w:rsidRPr="00C60360">
        <w:rPr>
          <w:rFonts w:ascii="Cambria" w:hAnsi="Cambria"/>
          <w:sz w:val="20"/>
          <w:szCs w:val="20"/>
          <w:lang w:val="es-AR"/>
        </w:rPr>
        <w:t xml:space="preserve">ocurrió luego de que los agentes policiales lo perdieron de vista durante la persecución, al no haberse probado lo contrario, </w:t>
      </w:r>
      <w:r w:rsidRPr="00C60360">
        <w:rPr>
          <w:rFonts w:ascii="Cambria" w:hAnsi="Cambria"/>
          <w:sz w:val="20"/>
          <w:szCs w:val="20"/>
          <w:lang w:val="es-ES"/>
        </w:rPr>
        <w:t xml:space="preserve">el juzgado estimó que lo más probable </w:t>
      </w:r>
      <w:r w:rsidR="00D45C2E" w:rsidRPr="00C60360">
        <w:rPr>
          <w:rFonts w:ascii="Cambria" w:hAnsi="Cambria"/>
          <w:sz w:val="20"/>
          <w:szCs w:val="20"/>
          <w:lang w:val="es-ES"/>
        </w:rPr>
        <w:t>era</w:t>
      </w:r>
      <w:r w:rsidRPr="00C60360">
        <w:rPr>
          <w:rFonts w:ascii="Cambria" w:hAnsi="Cambria"/>
          <w:sz w:val="20"/>
          <w:szCs w:val="20"/>
          <w:lang w:val="es-ES"/>
        </w:rPr>
        <w:t xml:space="preserve"> que el deceso </w:t>
      </w:r>
      <w:r w:rsidR="00D45C2E" w:rsidRPr="00C60360">
        <w:rPr>
          <w:rFonts w:ascii="Cambria" w:hAnsi="Cambria"/>
          <w:sz w:val="20"/>
          <w:szCs w:val="20"/>
          <w:lang w:val="es-ES"/>
        </w:rPr>
        <w:t>se hubiera producido</w:t>
      </w:r>
      <w:r w:rsidRPr="00C60360">
        <w:rPr>
          <w:rFonts w:ascii="Cambria" w:hAnsi="Cambria"/>
          <w:sz w:val="20"/>
          <w:szCs w:val="20"/>
          <w:lang w:val="es-ES"/>
        </w:rPr>
        <w:t xml:space="preserve"> por un accidente de tránsito derivado de la alta velocidad a la que conducía bajo los efectos del alcohol, sin que se demostrara participación directa de los agentes. Ante esta decisión, el 16 de enero de 2014 la parte peticionaria presentó recurso de apelación</w:t>
      </w:r>
      <w:r w:rsidR="00560960" w:rsidRPr="00C60360">
        <w:rPr>
          <w:rFonts w:ascii="Cambria" w:hAnsi="Cambria"/>
          <w:sz w:val="20"/>
          <w:szCs w:val="20"/>
          <w:lang w:val="es-ES"/>
        </w:rPr>
        <w:t>,</w:t>
      </w:r>
      <w:r w:rsidRPr="00C60360">
        <w:rPr>
          <w:rFonts w:ascii="Cambria" w:hAnsi="Cambria"/>
          <w:sz w:val="20"/>
          <w:szCs w:val="20"/>
          <w:lang w:val="es-ES"/>
        </w:rPr>
        <w:t xml:space="preserve"> </w:t>
      </w:r>
      <w:r w:rsidR="00560960" w:rsidRPr="00C60360">
        <w:rPr>
          <w:rFonts w:ascii="Cambria" w:hAnsi="Cambria"/>
          <w:sz w:val="20"/>
          <w:szCs w:val="20"/>
          <w:lang w:val="es-ES"/>
        </w:rPr>
        <w:t>pero</w:t>
      </w:r>
      <w:r w:rsidRPr="00C60360">
        <w:rPr>
          <w:rFonts w:ascii="Cambria" w:hAnsi="Cambria"/>
          <w:sz w:val="20"/>
          <w:szCs w:val="20"/>
          <w:lang w:val="es-ES"/>
        </w:rPr>
        <w:t xml:space="preserve"> el 30 de octubre de 2014 el Tribunal Administrativo del Valle del Cauca</w:t>
      </w:r>
      <w:r w:rsidR="00D25D07" w:rsidRPr="00C60360">
        <w:rPr>
          <w:rFonts w:ascii="Cambria" w:hAnsi="Cambria"/>
          <w:sz w:val="20"/>
          <w:szCs w:val="20"/>
          <w:lang w:val="es-ES"/>
        </w:rPr>
        <w:t>, tras valorar el material probatorio recaudado en primera instancia, concluyó que no se acreditaba la responsabilidad estatal y confirmó la sentencia apelada.</w:t>
      </w:r>
    </w:p>
    <w:p w14:paraId="36F77464" w14:textId="39C36DB4" w:rsidR="003271A8" w:rsidRPr="00C60360" w:rsidRDefault="003271A8" w:rsidP="00933D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r w:rsidRPr="00C60360">
        <w:rPr>
          <w:rFonts w:ascii="Cambria" w:hAnsi="Cambria"/>
          <w:i/>
          <w:iCs/>
          <w:sz w:val="20"/>
          <w:szCs w:val="20"/>
          <w:lang w:val="es-AR"/>
        </w:rPr>
        <w:t>Consideraciones finales</w:t>
      </w:r>
    </w:p>
    <w:p w14:paraId="3560D9AE" w14:textId="38A965EE" w:rsidR="007C49CA" w:rsidRPr="00C60360" w:rsidRDefault="00D345F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0360">
        <w:rPr>
          <w:rFonts w:ascii="Cambria" w:hAnsi="Cambria"/>
          <w:sz w:val="20"/>
          <w:szCs w:val="20"/>
          <w:lang w:val="es-ES"/>
        </w:rPr>
        <w:t xml:space="preserve">Con base en los hechos expuestos, la parte peticionaria alega que el Estado vulneró los derechos de los familiares del señor Martínez, </w:t>
      </w:r>
      <w:r w:rsidR="007C49CA" w:rsidRPr="00C60360">
        <w:rPr>
          <w:rFonts w:ascii="Cambria" w:hAnsi="Cambria"/>
          <w:sz w:val="20"/>
          <w:szCs w:val="20"/>
          <w:lang w:val="es-ES"/>
        </w:rPr>
        <w:t>pues sostiene que su muerte estuvo relacionada con la actuación de agentes policiales, ya sea de forma directa o por la omisión de auxilio tras un posible accidente durante la persecución. Aduce que las instancias internas no valoraron de manera adecuada la prueba testimonial que sugería la presencia de la Policía Nacional en el lugar de los hechos, lo que impidió determinar responsabilidades y acceder a una reparación adecuada y proporcional al daño sufrido por sus familiares.</w:t>
      </w:r>
    </w:p>
    <w:p w14:paraId="2858DD4C" w14:textId="2176A76E" w:rsidR="00852310" w:rsidRPr="00C60360" w:rsidRDefault="00AF28E9" w:rsidP="00D25D0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0360">
        <w:rPr>
          <w:rFonts w:ascii="Cambria" w:hAnsi="Cambria"/>
          <w:sz w:val="20"/>
          <w:szCs w:val="20"/>
          <w:lang w:val="es-ES"/>
        </w:rPr>
        <w:t xml:space="preserve">La parte peticionaria </w:t>
      </w:r>
      <w:r w:rsidR="007C49CA" w:rsidRPr="00C60360">
        <w:rPr>
          <w:rFonts w:ascii="Cambria" w:hAnsi="Cambria"/>
          <w:sz w:val="20"/>
          <w:szCs w:val="20"/>
          <w:lang w:val="es-ES"/>
        </w:rPr>
        <w:t>señala</w:t>
      </w:r>
      <w:r w:rsidRPr="00C60360">
        <w:rPr>
          <w:rFonts w:ascii="Cambria" w:hAnsi="Cambria"/>
          <w:sz w:val="20"/>
          <w:szCs w:val="20"/>
          <w:lang w:val="es-ES"/>
        </w:rPr>
        <w:t xml:space="preserve"> que la muerte del señor Martínez causó un profundo impacto emocional y una grave afectación económica a su familia, especialmente a su madre, quien dependía de sus ingresos. </w:t>
      </w:r>
      <w:r w:rsidR="005C4071" w:rsidRPr="00C60360">
        <w:rPr>
          <w:rFonts w:ascii="Cambria" w:hAnsi="Cambria"/>
          <w:sz w:val="20"/>
          <w:szCs w:val="20"/>
          <w:lang w:val="es-ES"/>
        </w:rPr>
        <w:t>Por lo que s</w:t>
      </w:r>
      <w:r w:rsidRPr="00C60360">
        <w:rPr>
          <w:rFonts w:ascii="Cambria" w:hAnsi="Cambria"/>
          <w:sz w:val="20"/>
          <w:szCs w:val="20"/>
          <w:lang w:val="es-ES"/>
        </w:rPr>
        <w:t>olicita q</w:t>
      </w:r>
      <w:r w:rsidR="00A3230E" w:rsidRPr="00C60360">
        <w:rPr>
          <w:rFonts w:ascii="Cambria" w:hAnsi="Cambria"/>
          <w:sz w:val="20"/>
          <w:szCs w:val="20"/>
          <w:lang w:val="es-ES"/>
        </w:rPr>
        <w:t xml:space="preserve">ue la CIDH fije una compensación económica </w:t>
      </w:r>
      <w:r w:rsidRPr="00C60360">
        <w:rPr>
          <w:rFonts w:ascii="Cambria" w:hAnsi="Cambria"/>
          <w:sz w:val="20"/>
          <w:szCs w:val="20"/>
          <w:lang w:val="es-ES"/>
        </w:rPr>
        <w:t>por daños inmateriales</w:t>
      </w:r>
      <w:r w:rsidR="00A3230E" w:rsidRPr="00C60360">
        <w:rPr>
          <w:rFonts w:ascii="Cambria" w:hAnsi="Cambria"/>
          <w:sz w:val="20"/>
          <w:szCs w:val="20"/>
          <w:lang w:val="es-ES"/>
        </w:rPr>
        <w:t xml:space="preserve"> de:</w:t>
      </w:r>
      <w:r w:rsidRPr="00C60360">
        <w:rPr>
          <w:rFonts w:ascii="Cambria" w:hAnsi="Cambria"/>
          <w:sz w:val="20"/>
          <w:szCs w:val="20"/>
          <w:lang w:val="es-ES"/>
        </w:rPr>
        <w:t xml:space="preserve"> USD </w:t>
      </w:r>
      <w:r w:rsidRPr="00C60360">
        <w:rPr>
          <w:rFonts w:ascii="Cambria" w:hAnsi="Cambria"/>
          <w:sz w:val="20"/>
          <w:szCs w:val="20"/>
          <w:lang w:val="es-ES"/>
        </w:rPr>
        <w:lastRenderedPageBreak/>
        <w:t>50</w:t>
      </w:r>
      <w:r w:rsidR="00BC6038" w:rsidRPr="00C60360">
        <w:rPr>
          <w:rFonts w:ascii="Cambria" w:hAnsi="Cambria"/>
          <w:sz w:val="20"/>
          <w:szCs w:val="20"/>
          <w:lang w:val="es-ES"/>
        </w:rPr>
        <w:t>,</w:t>
      </w:r>
      <w:r w:rsidRPr="00C60360">
        <w:rPr>
          <w:rFonts w:ascii="Cambria" w:hAnsi="Cambria"/>
          <w:sz w:val="20"/>
          <w:szCs w:val="20"/>
          <w:lang w:val="es-ES"/>
        </w:rPr>
        <w:t>000 a la madre y hermanas/os</w:t>
      </w:r>
      <w:r w:rsidR="00BC6038" w:rsidRPr="00C60360">
        <w:rPr>
          <w:rFonts w:ascii="Cambria" w:hAnsi="Cambria"/>
          <w:sz w:val="20"/>
          <w:szCs w:val="20"/>
          <w:lang w:val="es-ES"/>
        </w:rPr>
        <w:t>;</w:t>
      </w:r>
      <w:r w:rsidRPr="00C60360">
        <w:rPr>
          <w:rFonts w:ascii="Cambria" w:hAnsi="Cambria"/>
          <w:sz w:val="20"/>
          <w:szCs w:val="20"/>
          <w:lang w:val="es-ES"/>
        </w:rPr>
        <w:t xml:space="preserve"> USD 40</w:t>
      </w:r>
      <w:r w:rsidR="00BC6038" w:rsidRPr="00C60360">
        <w:rPr>
          <w:rFonts w:ascii="Cambria" w:hAnsi="Cambria"/>
          <w:sz w:val="20"/>
          <w:szCs w:val="20"/>
          <w:lang w:val="es-ES"/>
        </w:rPr>
        <w:t>,</w:t>
      </w:r>
      <w:r w:rsidRPr="00C60360">
        <w:rPr>
          <w:rFonts w:ascii="Cambria" w:hAnsi="Cambria"/>
          <w:sz w:val="20"/>
          <w:szCs w:val="20"/>
          <w:lang w:val="es-ES"/>
        </w:rPr>
        <w:t>000 a los sobrinos</w:t>
      </w:r>
      <w:r w:rsidR="00BC6038" w:rsidRPr="00C60360">
        <w:rPr>
          <w:rFonts w:ascii="Cambria" w:hAnsi="Cambria"/>
          <w:sz w:val="20"/>
          <w:szCs w:val="20"/>
          <w:lang w:val="es-ES"/>
        </w:rPr>
        <w:t>;</w:t>
      </w:r>
      <w:r w:rsidRPr="00C60360">
        <w:rPr>
          <w:rFonts w:ascii="Cambria" w:hAnsi="Cambria"/>
          <w:sz w:val="20"/>
          <w:szCs w:val="20"/>
          <w:lang w:val="es-ES"/>
        </w:rPr>
        <w:t xml:space="preserve"> y USD 30</w:t>
      </w:r>
      <w:r w:rsidR="00BC6038" w:rsidRPr="00C60360">
        <w:rPr>
          <w:rFonts w:ascii="Cambria" w:hAnsi="Cambria"/>
          <w:sz w:val="20"/>
          <w:szCs w:val="20"/>
          <w:lang w:val="es-ES"/>
        </w:rPr>
        <w:t>,</w:t>
      </w:r>
      <w:r w:rsidRPr="00C60360">
        <w:rPr>
          <w:rFonts w:ascii="Cambria" w:hAnsi="Cambria"/>
          <w:sz w:val="20"/>
          <w:szCs w:val="20"/>
          <w:lang w:val="es-ES"/>
        </w:rPr>
        <w:t>000 a los cuñados del señor Robinson Martínez Arango.</w:t>
      </w:r>
    </w:p>
    <w:p w14:paraId="129AF6A6" w14:textId="297D38F3" w:rsidR="00EF76F5" w:rsidRPr="00C60360" w:rsidRDefault="004B09FE" w:rsidP="004B09F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firstLine="720"/>
        <w:jc w:val="both"/>
        <w:rPr>
          <w:rFonts w:ascii="Cambria" w:hAnsi="Cambria"/>
          <w:b/>
          <w:bCs/>
          <w:sz w:val="20"/>
          <w:szCs w:val="20"/>
          <w:lang w:val="es-AR"/>
        </w:rPr>
      </w:pPr>
      <w:r w:rsidRPr="00C60360">
        <w:rPr>
          <w:rFonts w:ascii="Cambria" w:hAnsi="Cambria"/>
          <w:b/>
          <w:bCs/>
          <w:sz w:val="20"/>
          <w:szCs w:val="20"/>
          <w:lang w:val="es-AR"/>
        </w:rPr>
        <w:t xml:space="preserve">El </w:t>
      </w:r>
      <w:r w:rsidR="0070722A" w:rsidRPr="00C60360">
        <w:rPr>
          <w:rFonts w:ascii="Cambria" w:hAnsi="Cambria"/>
          <w:b/>
          <w:bCs/>
          <w:sz w:val="20"/>
          <w:szCs w:val="20"/>
          <w:lang w:val="es-AR"/>
        </w:rPr>
        <w:t>Estado colombiano</w:t>
      </w:r>
    </w:p>
    <w:p w14:paraId="439FF4C6" w14:textId="33108CAA" w:rsidR="000F142F" w:rsidRPr="00C60360" w:rsidRDefault="000F142F"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 xml:space="preserve">Por su parte, el Estado alega que la petición es inadmisible, ya que los hechos alegados no </w:t>
      </w:r>
      <w:r w:rsidR="0078274F" w:rsidRPr="00C60360">
        <w:rPr>
          <w:rFonts w:ascii="Cambria" w:hAnsi="Cambria"/>
          <w:sz w:val="20"/>
          <w:szCs w:val="20"/>
          <w:lang w:val="es-AR"/>
        </w:rPr>
        <w:t>constituyen violaciones a</w:t>
      </w:r>
      <w:r w:rsidRPr="00C60360">
        <w:rPr>
          <w:rFonts w:ascii="Cambria" w:hAnsi="Cambria"/>
          <w:sz w:val="20"/>
          <w:szCs w:val="20"/>
          <w:lang w:val="es-AR"/>
        </w:rPr>
        <w:t xml:space="preserve"> derechos</w:t>
      </w:r>
      <w:r w:rsidR="0078274F" w:rsidRPr="00C60360">
        <w:rPr>
          <w:rFonts w:ascii="Cambria" w:hAnsi="Cambria"/>
          <w:sz w:val="20"/>
          <w:szCs w:val="20"/>
          <w:lang w:val="es-AR"/>
        </w:rPr>
        <w:t xml:space="preserve"> humanos</w:t>
      </w:r>
      <w:r w:rsidRPr="00C60360">
        <w:rPr>
          <w:rFonts w:ascii="Cambria" w:hAnsi="Cambria"/>
          <w:sz w:val="20"/>
          <w:szCs w:val="20"/>
          <w:lang w:val="es-AR"/>
        </w:rPr>
        <w:t xml:space="preserve"> conforme el artículo 47.b) de la Convención Americana, pues </w:t>
      </w:r>
      <w:r w:rsidR="008750B4" w:rsidRPr="00C60360">
        <w:rPr>
          <w:rFonts w:ascii="Cambria" w:hAnsi="Cambria"/>
          <w:sz w:val="20"/>
          <w:szCs w:val="20"/>
          <w:lang w:val="es-AR"/>
        </w:rPr>
        <w:t xml:space="preserve">los familiares </w:t>
      </w:r>
      <w:r w:rsidRPr="00C60360">
        <w:rPr>
          <w:rFonts w:ascii="Cambria" w:hAnsi="Cambria"/>
          <w:sz w:val="20"/>
          <w:szCs w:val="20"/>
          <w:lang w:val="es-AR"/>
        </w:rPr>
        <w:t>contaron con acceso a los procesos penal y de reparación directa</w:t>
      </w:r>
      <w:r w:rsidR="001B1287" w:rsidRPr="00C60360">
        <w:rPr>
          <w:rFonts w:ascii="Cambria" w:hAnsi="Cambria"/>
          <w:sz w:val="20"/>
          <w:szCs w:val="20"/>
          <w:lang w:val="es-AR"/>
        </w:rPr>
        <w:t>.</w:t>
      </w:r>
      <w:r w:rsidRPr="00C60360">
        <w:rPr>
          <w:rFonts w:ascii="Cambria" w:hAnsi="Cambria"/>
          <w:sz w:val="20"/>
          <w:szCs w:val="20"/>
          <w:lang w:val="es-AR"/>
        </w:rPr>
        <w:t xml:space="preserve"> </w:t>
      </w:r>
      <w:r w:rsidR="00246D2D" w:rsidRPr="00C60360">
        <w:rPr>
          <w:rFonts w:ascii="Cambria" w:hAnsi="Cambria"/>
          <w:sz w:val="20"/>
          <w:szCs w:val="20"/>
          <w:lang w:val="es-AR"/>
        </w:rPr>
        <w:t xml:space="preserve">Recursos adecuados y efectivos, en los que se respetaron las garantías </w:t>
      </w:r>
      <w:r w:rsidR="00246D2D" w:rsidRPr="00C60360">
        <w:rPr>
          <w:rFonts w:ascii="Cambria" w:hAnsi="Cambria"/>
          <w:sz w:val="20"/>
          <w:szCs w:val="20"/>
          <w:lang w:val="es-ES"/>
        </w:rPr>
        <w:t xml:space="preserve">procesales, se valoró la prueba y se dictaron decisiones que concluyeron que no existían elementos para atribuir a miembros de la Policía Nacional responsabilidad en las lesiones que ocasionaron la muerte del señor Robinson Martínez Arango. </w:t>
      </w:r>
      <w:r w:rsidRPr="00C60360">
        <w:rPr>
          <w:rFonts w:ascii="Cambria" w:hAnsi="Cambria"/>
          <w:sz w:val="20"/>
          <w:szCs w:val="20"/>
          <w:lang w:val="es-ES"/>
        </w:rPr>
        <w:t xml:space="preserve">Considera que la parte peticionaria busca que la Comisión actúe como un tribunal de alzada, solicitando un pronunciamiento sobre aspectos ya analizados y resueltos por las autoridades jurisdiccionales internas en el marco de sus competencias y la petición se basa únicamente en la inconformidad </w:t>
      </w:r>
      <w:r w:rsidR="00246D2D" w:rsidRPr="00C60360">
        <w:rPr>
          <w:rFonts w:ascii="Cambria" w:hAnsi="Cambria"/>
          <w:sz w:val="20"/>
          <w:szCs w:val="20"/>
          <w:lang w:val="es-ES"/>
        </w:rPr>
        <w:t xml:space="preserve">de los familiares </w:t>
      </w:r>
      <w:r w:rsidRPr="00C60360">
        <w:rPr>
          <w:rFonts w:ascii="Cambria" w:hAnsi="Cambria"/>
          <w:sz w:val="20"/>
          <w:szCs w:val="20"/>
          <w:lang w:val="es-ES"/>
        </w:rPr>
        <w:t>con la valoración de la prueba y las decisiones adoptadas por los órganos judiciales nacionales.</w:t>
      </w:r>
    </w:p>
    <w:p w14:paraId="0FA3A4C3" w14:textId="7F23F2B3" w:rsidR="000F142F" w:rsidRPr="00C60360" w:rsidRDefault="00215898"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0360">
        <w:rPr>
          <w:rFonts w:ascii="Cambria" w:hAnsi="Cambria"/>
          <w:sz w:val="20"/>
          <w:szCs w:val="20"/>
          <w:lang w:val="es-ES"/>
        </w:rPr>
        <w:t>Con</w:t>
      </w:r>
      <w:r w:rsidR="00395077" w:rsidRPr="00C60360">
        <w:rPr>
          <w:rFonts w:ascii="Cambria" w:hAnsi="Cambria"/>
          <w:sz w:val="20"/>
          <w:szCs w:val="20"/>
          <w:lang w:val="es-ES"/>
        </w:rPr>
        <w:t xml:space="preserve"> relación </w:t>
      </w:r>
      <w:r w:rsidRPr="00C60360">
        <w:rPr>
          <w:rFonts w:ascii="Cambria" w:hAnsi="Cambria"/>
          <w:sz w:val="20"/>
          <w:szCs w:val="20"/>
          <w:lang w:val="es-ES"/>
        </w:rPr>
        <w:t>a</w:t>
      </w:r>
      <w:r w:rsidR="00395077" w:rsidRPr="00C60360">
        <w:rPr>
          <w:rFonts w:ascii="Cambria" w:hAnsi="Cambria"/>
          <w:sz w:val="20"/>
          <w:szCs w:val="20"/>
          <w:lang w:val="es-ES"/>
        </w:rPr>
        <w:t xml:space="preserve"> la investigación penal, el Estado amplía la información aportada por </w:t>
      </w:r>
      <w:r w:rsidR="00246D2D" w:rsidRPr="00C60360">
        <w:rPr>
          <w:rFonts w:ascii="Cambria" w:hAnsi="Cambria"/>
          <w:sz w:val="20"/>
          <w:szCs w:val="20"/>
          <w:lang w:val="es-ES"/>
        </w:rPr>
        <w:t xml:space="preserve">el peticionario </w:t>
      </w:r>
      <w:r w:rsidR="00395077" w:rsidRPr="00C60360">
        <w:rPr>
          <w:rFonts w:ascii="Cambria" w:hAnsi="Cambria"/>
          <w:sz w:val="20"/>
          <w:szCs w:val="20"/>
          <w:lang w:val="es-ES"/>
        </w:rPr>
        <w:t xml:space="preserve">y señala que la </w:t>
      </w:r>
      <w:r w:rsidR="00DE7F8E" w:rsidRPr="00C60360">
        <w:rPr>
          <w:rFonts w:ascii="Cambria" w:hAnsi="Cambria"/>
          <w:sz w:val="20"/>
          <w:szCs w:val="20"/>
          <w:lang w:val="es-ES"/>
        </w:rPr>
        <w:t>F</w:t>
      </w:r>
      <w:r w:rsidR="00395077" w:rsidRPr="00C60360">
        <w:rPr>
          <w:rFonts w:ascii="Cambria" w:hAnsi="Cambria"/>
          <w:sz w:val="20"/>
          <w:szCs w:val="20"/>
          <w:lang w:val="es-ES"/>
        </w:rPr>
        <w:t xml:space="preserve">iscalía </w:t>
      </w:r>
      <w:r w:rsidR="00DE7F8E" w:rsidRPr="00C60360">
        <w:rPr>
          <w:rFonts w:ascii="Cambria" w:hAnsi="Cambria"/>
          <w:sz w:val="20"/>
          <w:szCs w:val="20"/>
          <w:lang w:val="es-ES"/>
        </w:rPr>
        <w:t xml:space="preserve">156 Seccional de Yumbo </w:t>
      </w:r>
      <w:r w:rsidR="00395077" w:rsidRPr="00C60360">
        <w:rPr>
          <w:rFonts w:ascii="Cambria" w:hAnsi="Cambria"/>
          <w:sz w:val="20"/>
          <w:szCs w:val="20"/>
          <w:lang w:val="es-ES"/>
        </w:rPr>
        <w:t xml:space="preserve">practicó diversas diligencias, entre ellas entrevistas a familiares, amigos, presuntos testigos y agentes policiales; además, analizó la autopsia y recibió un informe de la autoridad de tránsito que no registró hallazgos relevantes en los patrullajes. </w:t>
      </w:r>
      <w:r w:rsidR="00246D2D" w:rsidRPr="00C60360">
        <w:rPr>
          <w:rFonts w:ascii="Cambria" w:hAnsi="Cambria"/>
          <w:sz w:val="20"/>
          <w:szCs w:val="20"/>
          <w:lang w:val="es-ES"/>
        </w:rPr>
        <w:t xml:space="preserve">Precisa que la Fiscalía entrevistó a los testigos referidos por la madre, quienes únicamente manifestaron haber escuchado el paso de una motocicleta y de un vehículo, sin lograr </w:t>
      </w:r>
      <w:r w:rsidR="00BC6038" w:rsidRPr="00C60360">
        <w:rPr>
          <w:rFonts w:ascii="Cambria" w:hAnsi="Cambria"/>
          <w:sz w:val="20"/>
          <w:szCs w:val="20"/>
          <w:lang w:val="es-ES"/>
        </w:rPr>
        <w:t>identificar</w:t>
      </w:r>
      <w:r w:rsidR="00246D2D" w:rsidRPr="00C60360">
        <w:rPr>
          <w:rFonts w:ascii="Cambria" w:hAnsi="Cambria"/>
          <w:sz w:val="20"/>
          <w:szCs w:val="20"/>
          <w:lang w:val="es-ES"/>
        </w:rPr>
        <w:t xml:space="preserve"> quién conducía la motocicleta ni aportar datos sobre las características del vehículo presuntamente involucrado. </w:t>
      </w:r>
      <w:r w:rsidR="00395077" w:rsidRPr="00C60360">
        <w:rPr>
          <w:rFonts w:ascii="Cambria" w:hAnsi="Cambria"/>
          <w:sz w:val="20"/>
          <w:szCs w:val="20"/>
          <w:lang w:val="es-ES"/>
        </w:rPr>
        <w:t>En consecuencia, al no haberse acreditado la participación de terceros, incluidos agentes estatales</w:t>
      </w:r>
      <w:r w:rsidR="0030417F" w:rsidRPr="00C60360">
        <w:rPr>
          <w:rFonts w:ascii="Cambria" w:hAnsi="Cambria"/>
          <w:sz w:val="20"/>
          <w:szCs w:val="20"/>
          <w:lang w:val="es-ES"/>
        </w:rPr>
        <w:t>,</w:t>
      </w:r>
      <w:r w:rsidR="00395077" w:rsidRPr="00C60360">
        <w:rPr>
          <w:rFonts w:ascii="Cambria" w:hAnsi="Cambria"/>
          <w:sz w:val="20"/>
          <w:szCs w:val="20"/>
          <w:lang w:val="es-ES"/>
        </w:rPr>
        <w:t xml:space="preserve"> el 6 de octubre de 2011 la Fiscalía 156 Seccional de Yumbo ordenó el archivo, conforme al artículo 79 del Código de Procedimiento Penal</w:t>
      </w:r>
      <w:r w:rsidR="00395077" w:rsidRPr="00C60360">
        <w:rPr>
          <w:rStyle w:val="FootnoteReference"/>
          <w:rFonts w:ascii="Cambria" w:hAnsi="Cambria"/>
          <w:sz w:val="20"/>
          <w:szCs w:val="20"/>
          <w:lang w:val="es-ES"/>
        </w:rPr>
        <w:footnoteReference w:id="6"/>
      </w:r>
      <w:r w:rsidR="00395077" w:rsidRPr="00C60360">
        <w:rPr>
          <w:rFonts w:ascii="Cambria" w:hAnsi="Cambria"/>
          <w:sz w:val="20"/>
          <w:szCs w:val="20"/>
          <w:lang w:val="es-ES"/>
        </w:rPr>
        <w:t>.</w:t>
      </w:r>
    </w:p>
    <w:p w14:paraId="599E6292" w14:textId="77777777" w:rsidR="000F142F" w:rsidRPr="00C60360" w:rsidRDefault="000F142F"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En cuanto al procedimiento contencioso-administrativo, el Estado sostiene que, conforme a la jurisprudencia colombiana, correspondía a la parte actora acreditar los elementos constitutivos de la responsabilidad extracontractual del Estado. Señala que tanto en primera como en segunda instancia se concluyó que no se demostró que la muerte del señor Robinson Martínez Arango fuera atribuible a agentes de la Policía Nacional.</w:t>
      </w:r>
    </w:p>
    <w:p w14:paraId="74DD5853" w14:textId="4AF6A88E" w:rsidR="006E7299" w:rsidRPr="00C60360" w:rsidRDefault="005B4EEC" w:rsidP="0032394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C60360">
        <w:rPr>
          <w:rFonts w:ascii="Cambria" w:hAnsi="Cambria"/>
          <w:sz w:val="20"/>
          <w:szCs w:val="20"/>
          <w:lang w:val="es-AR"/>
        </w:rPr>
        <w:t xml:space="preserve">Sobre la </w:t>
      </w:r>
      <w:r w:rsidR="009C0F33" w:rsidRPr="00C60360">
        <w:rPr>
          <w:rFonts w:ascii="Cambria" w:hAnsi="Cambria"/>
          <w:sz w:val="20"/>
          <w:szCs w:val="20"/>
          <w:lang w:val="es-AR"/>
        </w:rPr>
        <w:t>alegada</w:t>
      </w:r>
      <w:r w:rsidRPr="00C60360">
        <w:rPr>
          <w:rFonts w:ascii="Cambria" w:hAnsi="Cambria"/>
          <w:sz w:val="20"/>
          <w:szCs w:val="20"/>
          <w:lang w:val="es-AR"/>
        </w:rPr>
        <w:t xml:space="preserve"> omisión de cuidado, </w:t>
      </w:r>
      <w:r w:rsidR="006E7299" w:rsidRPr="00C60360">
        <w:rPr>
          <w:rFonts w:ascii="Cambria" w:hAnsi="Cambria"/>
          <w:sz w:val="20"/>
          <w:szCs w:val="20"/>
          <w:lang w:val="es-AR"/>
        </w:rPr>
        <w:t xml:space="preserve">alude que </w:t>
      </w:r>
      <w:r w:rsidR="00246D2D" w:rsidRPr="00C60360">
        <w:rPr>
          <w:rFonts w:ascii="Cambria" w:hAnsi="Cambria"/>
          <w:sz w:val="20"/>
          <w:szCs w:val="20"/>
          <w:lang w:val="es-AR"/>
        </w:rPr>
        <w:t xml:space="preserve">el </w:t>
      </w:r>
      <w:r w:rsidR="00246D2D" w:rsidRPr="00C60360">
        <w:rPr>
          <w:rFonts w:ascii="Cambria" w:hAnsi="Cambria"/>
          <w:sz w:val="20"/>
          <w:szCs w:val="20"/>
          <w:lang w:val="es-ES"/>
        </w:rPr>
        <w:t>señor Robinson Martínez Arango</w:t>
      </w:r>
      <w:r w:rsidR="006E7299" w:rsidRPr="00C60360">
        <w:rPr>
          <w:rFonts w:ascii="Cambria" w:hAnsi="Cambria"/>
          <w:sz w:val="20"/>
          <w:szCs w:val="20"/>
          <w:lang w:val="es-AR"/>
        </w:rPr>
        <w:t xml:space="preserve"> </w:t>
      </w:r>
      <w:r w:rsidR="00117E0D" w:rsidRPr="00C60360">
        <w:rPr>
          <w:rFonts w:ascii="Cambria" w:hAnsi="Cambria"/>
          <w:sz w:val="20"/>
          <w:szCs w:val="20"/>
          <w:lang w:val="es-AR"/>
        </w:rPr>
        <w:t>recibió los servicios médicos disponibles con el fin de preservar su vida después del accidente.</w:t>
      </w:r>
      <w:r w:rsidR="006E7299" w:rsidRPr="00C60360">
        <w:rPr>
          <w:rFonts w:ascii="Cambria" w:hAnsi="Cambria"/>
          <w:sz w:val="20"/>
          <w:szCs w:val="20"/>
          <w:lang w:val="es-AR"/>
        </w:rPr>
        <w:t xml:space="preserve"> </w:t>
      </w:r>
    </w:p>
    <w:p w14:paraId="6F4D4171" w14:textId="1F8E2C1A" w:rsidR="003239B8" w:rsidRPr="00C60360" w:rsidRDefault="003239B8" w:rsidP="00CF1895">
      <w:pPr>
        <w:spacing w:before="240" w:after="240"/>
        <w:ind w:firstLine="720"/>
        <w:jc w:val="both"/>
        <w:rPr>
          <w:rFonts w:ascii="Cambria" w:hAnsi="Cambria"/>
          <w:sz w:val="20"/>
          <w:szCs w:val="20"/>
          <w:lang w:val="es-UY"/>
        </w:rPr>
      </w:pPr>
      <w:r w:rsidRPr="00C60360">
        <w:rPr>
          <w:rFonts w:asciiTheme="majorHAnsi" w:eastAsia="Cambria" w:hAnsiTheme="majorHAnsi" w:cs="Cambria"/>
          <w:b/>
          <w:bCs/>
          <w:color w:val="000000"/>
          <w:sz w:val="20"/>
          <w:szCs w:val="20"/>
          <w:u w:color="000000"/>
          <w:lang w:val="es-ES" w:eastAsia="es-ES"/>
        </w:rPr>
        <w:t>VI.</w:t>
      </w:r>
      <w:r w:rsidRPr="00C60360">
        <w:rPr>
          <w:rFonts w:asciiTheme="majorHAnsi" w:eastAsia="Cambria" w:hAnsiTheme="majorHAnsi" w:cs="Cambria"/>
          <w:b/>
          <w:bCs/>
          <w:color w:val="000000"/>
          <w:sz w:val="20"/>
          <w:szCs w:val="20"/>
          <w:u w:color="000000"/>
          <w:lang w:val="es-ES" w:eastAsia="es-ES"/>
        </w:rPr>
        <w:tab/>
      </w:r>
      <w:r w:rsidR="004A6A54" w:rsidRPr="00C60360">
        <w:rPr>
          <w:rFonts w:asciiTheme="majorHAnsi" w:hAnsiTheme="majorHAnsi"/>
          <w:b/>
          <w:bCs/>
          <w:sz w:val="20"/>
          <w:szCs w:val="20"/>
          <w:lang w:val="es-ES_tradnl"/>
        </w:rPr>
        <w:t xml:space="preserve">ANÁLISIS DE </w:t>
      </w:r>
      <w:r w:rsidR="00C21FEF" w:rsidRPr="00C60360">
        <w:rPr>
          <w:rFonts w:asciiTheme="majorHAnsi" w:hAnsiTheme="majorHAnsi"/>
          <w:b/>
          <w:sz w:val="20"/>
          <w:szCs w:val="20"/>
          <w:lang w:val="es-ES"/>
        </w:rPr>
        <w:t>AGOTAMIENTO DE LOS RECURSOS INTERNOS Y PLAZO DE PRESENTACIÓN</w:t>
      </w:r>
      <w:r w:rsidR="00C21FEF" w:rsidRPr="00C60360">
        <w:rPr>
          <w:rFonts w:asciiTheme="majorHAnsi" w:eastAsia="Cambria" w:hAnsiTheme="majorHAnsi" w:cs="Cambria"/>
          <w:b/>
          <w:bCs/>
          <w:color w:val="000000"/>
          <w:sz w:val="20"/>
          <w:szCs w:val="20"/>
          <w:u w:color="000000"/>
          <w:lang w:val="es-ES" w:eastAsia="es-ES"/>
        </w:rPr>
        <w:t xml:space="preserve"> </w:t>
      </w:r>
    </w:p>
    <w:p w14:paraId="795F5FEE" w14:textId="26440427" w:rsidR="008750B4" w:rsidRPr="00C60360" w:rsidRDefault="00C80A8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C60360">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008750B4" w:rsidRPr="00C60360">
        <w:rPr>
          <w:sz w:val="20"/>
          <w:szCs w:val="20"/>
          <w:lang w:val="es-ES"/>
        </w:rPr>
        <w:t xml:space="preserve">En el presente asunto, la parte peticionaria alega que la muerte del señor Robinson Martínez Arango ocurrió en el contexto de una persecución policial. </w:t>
      </w:r>
      <w:r w:rsidR="00C8772C" w:rsidRPr="00C60360">
        <w:rPr>
          <w:sz w:val="20"/>
          <w:szCs w:val="20"/>
          <w:lang w:val="es-ES"/>
        </w:rPr>
        <w:t>En especial s</w:t>
      </w:r>
      <w:r w:rsidR="008750B4" w:rsidRPr="00C60360">
        <w:rPr>
          <w:sz w:val="20"/>
          <w:szCs w:val="20"/>
          <w:lang w:val="es-ES"/>
        </w:rPr>
        <w:t>ostiene</w:t>
      </w:r>
      <w:r w:rsidR="00C8772C" w:rsidRPr="00C60360">
        <w:rPr>
          <w:sz w:val="20"/>
          <w:szCs w:val="20"/>
          <w:lang w:val="es-ES"/>
        </w:rPr>
        <w:t xml:space="preserve"> </w:t>
      </w:r>
      <w:r w:rsidR="008750B4" w:rsidRPr="00C60360">
        <w:rPr>
          <w:sz w:val="20"/>
          <w:szCs w:val="20"/>
          <w:lang w:val="es-ES"/>
        </w:rPr>
        <w:t>que el Estado no ha brindado una reparación adecuada a sus familiares, aspecto en el que centra la mayor parte de sus argumentos y de la información aportada.</w:t>
      </w:r>
    </w:p>
    <w:p w14:paraId="5E0D3653" w14:textId="25741AE3" w:rsidR="00AA37F9" w:rsidRPr="00C60360" w:rsidRDefault="00AE0CB2" w:rsidP="00AA37F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C60360">
        <w:rPr>
          <w:sz w:val="20"/>
          <w:szCs w:val="20"/>
          <w:lang w:val="es-ES"/>
        </w:rPr>
        <w:t>En cuanto a la investigación penal relacionada con la muerte del señor Robinson Martínez Arango, la parte peticionaria se limita a señalar que la Fiscalía General de la Nación inició una investigación de oficio –sin aportar información adicional ni controvertir lo expuesto por el Estado</w:t>
      </w:r>
      <w:r w:rsidR="002B12E6" w:rsidRPr="00C60360">
        <w:rPr>
          <w:sz w:val="20"/>
          <w:szCs w:val="20"/>
          <w:lang w:val="es-ES"/>
        </w:rPr>
        <w:t>–</w:t>
      </w:r>
      <w:r w:rsidRPr="00C60360">
        <w:rPr>
          <w:sz w:val="20"/>
          <w:szCs w:val="20"/>
          <w:lang w:val="es-ES"/>
        </w:rPr>
        <w:t xml:space="preserve">. </w:t>
      </w:r>
      <w:r w:rsidR="001B35FA" w:rsidRPr="00C60360">
        <w:rPr>
          <w:sz w:val="20"/>
          <w:szCs w:val="20"/>
          <w:lang w:val="es-ES"/>
        </w:rPr>
        <w:t>Por su parte, C</w:t>
      </w:r>
      <w:r w:rsidRPr="00C60360">
        <w:rPr>
          <w:sz w:val="20"/>
          <w:szCs w:val="20"/>
          <w:lang w:val="es-ES"/>
        </w:rPr>
        <w:t>olombia</w:t>
      </w:r>
      <w:r w:rsidR="00BE5315" w:rsidRPr="00C60360">
        <w:rPr>
          <w:sz w:val="20"/>
          <w:szCs w:val="20"/>
          <w:lang w:val="es-ES"/>
        </w:rPr>
        <w:t xml:space="preserve"> </w:t>
      </w:r>
      <w:r w:rsidRPr="00C60360">
        <w:rPr>
          <w:sz w:val="20"/>
          <w:szCs w:val="20"/>
          <w:lang w:val="es-ES"/>
        </w:rPr>
        <w:t xml:space="preserve">indicó que el 6 de octubre de 2011 la Fiscalía 156 Seccional de Yumbo ordenó el archivo del caso. </w:t>
      </w:r>
      <w:r w:rsidR="00094FED" w:rsidRPr="00C60360">
        <w:rPr>
          <w:sz w:val="20"/>
          <w:szCs w:val="20"/>
          <w:lang w:val="es-ES"/>
        </w:rPr>
        <w:t>Asimismo,</w:t>
      </w:r>
      <w:r w:rsidRPr="00C60360">
        <w:rPr>
          <w:sz w:val="20"/>
          <w:szCs w:val="20"/>
          <w:lang w:val="es-ES"/>
        </w:rPr>
        <w:t xml:space="preserve"> </w:t>
      </w:r>
      <w:r w:rsidR="00094FED" w:rsidRPr="00C60360">
        <w:rPr>
          <w:sz w:val="20"/>
          <w:szCs w:val="20"/>
          <w:lang w:val="es-ES"/>
        </w:rPr>
        <w:t>tampoco</w:t>
      </w:r>
      <w:r w:rsidRPr="00C60360">
        <w:rPr>
          <w:sz w:val="20"/>
          <w:szCs w:val="20"/>
          <w:lang w:val="es-ES"/>
        </w:rPr>
        <w:t xml:space="preserve"> existen elementos que indiquen que el peticionario haya impugnado o cuestionado dicha decisión de archivo. </w:t>
      </w:r>
      <w:r w:rsidR="00094FED" w:rsidRPr="00C60360">
        <w:rPr>
          <w:sz w:val="20"/>
          <w:szCs w:val="20"/>
          <w:lang w:val="es-ES"/>
        </w:rPr>
        <w:t>Respecto a este extremo de la petició</w:t>
      </w:r>
      <w:r w:rsidR="00764044" w:rsidRPr="00C60360">
        <w:rPr>
          <w:sz w:val="20"/>
          <w:szCs w:val="20"/>
          <w:lang w:val="es-ES"/>
        </w:rPr>
        <w:t xml:space="preserve">n, </w:t>
      </w:r>
      <w:r w:rsidR="00094FED" w:rsidRPr="00C60360">
        <w:rPr>
          <w:sz w:val="20"/>
          <w:szCs w:val="20"/>
          <w:lang w:val="es-ES"/>
        </w:rPr>
        <w:t xml:space="preserve">la CIDH considera que </w:t>
      </w:r>
      <w:r w:rsidRPr="00C60360">
        <w:rPr>
          <w:sz w:val="20"/>
          <w:szCs w:val="20"/>
          <w:lang w:val="es-ES"/>
        </w:rPr>
        <w:t xml:space="preserve">aun si se considerara agotada la vía </w:t>
      </w:r>
      <w:r w:rsidRPr="00C60360">
        <w:rPr>
          <w:sz w:val="20"/>
          <w:szCs w:val="20"/>
          <w:lang w:val="es-ES"/>
        </w:rPr>
        <w:lastRenderedPageBreak/>
        <w:t>interna con dicha resolución, esta fue dictada más de tres años antes de la presentación de la petición</w:t>
      </w:r>
      <w:r w:rsidR="005C4071" w:rsidRPr="00C60360">
        <w:rPr>
          <w:sz w:val="20"/>
          <w:szCs w:val="20"/>
          <w:lang w:val="es-ES"/>
        </w:rPr>
        <w:t>.</w:t>
      </w:r>
      <w:r w:rsidRPr="00C60360">
        <w:rPr>
          <w:sz w:val="20"/>
          <w:szCs w:val="20"/>
          <w:lang w:val="es-ES"/>
        </w:rPr>
        <w:t xml:space="preserve"> Por tanto, la Comisión advierte que este aspecto fue presentado fuera del plazo de seis meses previsto en el artículo 46.1.b) de la Convención Americana, motivo por el cual no forma parte del objeto de examen del presente </w:t>
      </w:r>
      <w:r w:rsidR="00BC6038" w:rsidRPr="00C60360">
        <w:rPr>
          <w:sz w:val="20"/>
          <w:szCs w:val="20"/>
          <w:lang w:val="es-ES"/>
        </w:rPr>
        <w:t>asunto</w:t>
      </w:r>
      <w:r w:rsidRPr="00C60360">
        <w:rPr>
          <w:sz w:val="20"/>
          <w:szCs w:val="20"/>
          <w:lang w:val="es-ES"/>
        </w:rPr>
        <w:t>.</w:t>
      </w:r>
    </w:p>
    <w:p w14:paraId="104A1FF6" w14:textId="56CE4705" w:rsidR="00AA37F9" w:rsidRPr="00C60360" w:rsidRDefault="00AA37F9" w:rsidP="00AA37F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C60360">
        <w:rPr>
          <w:sz w:val="20"/>
          <w:szCs w:val="20"/>
          <w:lang w:val="es-ES"/>
        </w:rPr>
        <w:t>Por otra parte, en cuanto a la acción de reparación directa</w:t>
      </w:r>
      <w:r w:rsidR="00D2293F" w:rsidRPr="00C60360">
        <w:rPr>
          <w:sz w:val="20"/>
          <w:szCs w:val="20"/>
          <w:lang w:val="es-ES"/>
        </w:rPr>
        <w:t xml:space="preserve">, </w:t>
      </w:r>
      <w:r w:rsidRPr="00C60360">
        <w:rPr>
          <w:sz w:val="20"/>
          <w:szCs w:val="20"/>
          <w:lang w:val="es-ES"/>
        </w:rPr>
        <w:t xml:space="preserve">motivo principal de interés del peticionario, la </w:t>
      </w:r>
      <w:r w:rsidR="00451095" w:rsidRPr="00C60360">
        <w:rPr>
          <w:sz w:val="20"/>
          <w:szCs w:val="20"/>
          <w:lang w:val="es-ES"/>
        </w:rPr>
        <w:t>CIDH</w:t>
      </w:r>
      <w:r w:rsidRPr="00C60360">
        <w:rPr>
          <w:sz w:val="20"/>
          <w:szCs w:val="20"/>
          <w:lang w:val="es-ES"/>
        </w:rPr>
        <w:t xml:space="preserve"> observa que no existe controversia entre las partes respecto del agotamiento de las dos instancias ordinarias, y que el Tribunal Administrativo del Valle del Cauca emitió la decisión final el 13 de noviembre de 2014. En consecuencia, considerando que la petición fue recibida ante la CIDH el 26 de febrero de 2015, la Comisión estima que se cumple con los requisitos previstos en los artículos 46.1.a) y b) de la Convención Americana.</w:t>
      </w:r>
    </w:p>
    <w:p w14:paraId="4FFBE378" w14:textId="67DFD062" w:rsidR="003239B8" w:rsidRPr="00C60360" w:rsidRDefault="003239B8" w:rsidP="003239B8">
      <w:pPr>
        <w:pStyle w:val="ListParagraph"/>
        <w:spacing w:before="240" w:after="240"/>
        <w:jc w:val="both"/>
        <w:rPr>
          <w:rFonts w:asciiTheme="majorHAnsi" w:hAnsiTheme="majorHAnsi"/>
          <w:b/>
          <w:sz w:val="20"/>
          <w:szCs w:val="20"/>
          <w:lang w:val="es-ES"/>
        </w:rPr>
      </w:pPr>
      <w:r w:rsidRPr="00C60360">
        <w:rPr>
          <w:rFonts w:asciiTheme="majorHAnsi" w:hAnsiTheme="majorHAnsi"/>
          <w:b/>
          <w:bCs/>
          <w:sz w:val="20"/>
          <w:szCs w:val="20"/>
          <w:lang w:val="es-ES"/>
        </w:rPr>
        <w:t>VII.</w:t>
      </w:r>
      <w:r w:rsidRPr="00C60360">
        <w:rPr>
          <w:rFonts w:asciiTheme="majorHAnsi" w:hAnsiTheme="majorHAnsi"/>
          <w:b/>
          <w:bCs/>
          <w:sz w:val="20"/>
          <w:szCs w:val="20"/>
          <w:lang w:val="es-ES"/>
        </w:rPr>
        <w:tab/>
      </w:r>
      <w:r w:rsidR="004A6A54" w:rsidRPr="00C60360">
        <w:rPr>
          <w:rFonts w:asciiTheme="majorHAnsi" w:hAnsiTheme="majorHAnsi"/>
          <w:b/>
          <w:bCs/>
          <w:sz w:val="20"/>
          <w:szCs w:val="20"/>
          <w:lang w:val="es-ES_tradnl"/>
        </w:rPr>
        <w:t xml:space="preserve">ANÁLISIS DE </w:t>
      </w:r>
      <w:r w:rsidR="00C21FEF" w:rsidRPr="00C60360">
        <w:rPr>
          <w:rFonts w:asciiTheme="majorHAnsi" w:hAnsiTheme="majorHAnsi"/>
          <w:b/>
          <w:bCs/>
          <w:sz w:val="20"/>
          <w:szCs w:val="20"/>
          <w:lang w:val="es-ES"/>
        </w:rPr>
        <w:t xml:space="preserve">CARACTERIZACIÓN </w:t>
      </w:r>
      <w:r w:rsidR="00C21FEF" w:rsidRPr="00C60360">
        <w:rPr>
          <w:rFonts w:asciiTheme="majorHAnsi" w:hAnsiTheme="majorHAnsi"/>
          <w:b/>
          <w:bCs/>
          <w:sz w:val="20"/>
          <w:szCs w:val="20"/>
          <w:lang w:val="es-UY"/>
        </w:rPr>
        <w:t>DE LOS HECHOS ALEGADOS</w:t>
      </w:r>
    </w:p>
    <w:p w14:paraId="77BE3B00" w14:textId="3F2F1CBD" w:rsidR="00CF15D1" w:rsidRPr="00C60360" w:rsidRDefault="009D73F2" w:rsidP="00CF15D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0360">
        <w:rPr>
          <w:rFonts w:ascii="Cambria" w:hAnsi="Cambria"/>
          <w:sz w:val="20"/>
          <w:szCs w:val="20"/>
          <w:lang w:val="es-ES"/>
        </w:rPr>
        <w:t xml:space="preserve">La Comisión observa que la presente petición se refiere principalmente a la </w:t>
      </w:r>
      <w:r w:rsidR="007C49CA" w:rsidRPr="00C60360">
        <w:rPr>
          <w:rFonts w:ascii="Cambria" w:hAnsi="Cambria"/>
          <w:sz w:val="20"/>
          <w:szCs w:val="20"/>
          <w:lang w:val="es-ES"/>
        </w:rPr>
        <w:t>presunta</w:t>
      </w:r>
      <w:r w:rsidRPr="00C60360">
        <w:rPr>
          <w:rFonts w:ascii="Cambria" w:hAnsi="Cambria"/>
          <w:sz w:val="20"/>
          <w:szCs w:val="20"/>
          <w:lang w:val="es-ES"/>
        </w:rPr>
        <w:t xml:space="preserve"> </w:t>
      </w:r>
      <w:r w:rsidR="00D2293F" w:rsidRPr="00C60360">
        <w:rPr>
          <w:rFonts w:ascii="Cambria" w:hAnsi="Cambria"/>
          <w:sz w:val="20"/>
          <w:szCs w:val="20"/>
          <w:lang w:val="es-ES"/>
        </w:rPr>
        <w:t>ausencia</w:t>
      </w:r>
      <w:r w:rsidRPr="00C60360">
        <w:rPr>
          <w:rFonts w:ascii="Cambria" w:hAnsi="Cambria"/>
          <w:sz w:val="20"/>
          <w:szCs w:val="20"/>
          <w:lang w:val="es-ES"/>
        </w:rPr>
        <w:t xml:space="preserve"> de valoración de la prueba testimonial</w:t>
      </w:r>
      <w:r w:rsidR="00B452B0" w:rsidRPr="00C60360">
        <w:rPr>
          <w:rFonts w:ascii="Cambria" w:hAnsi="Cambria"/>
          <w:sz w:val="20"/>
          <w:szCs w:val="20"/>
          <w:lang w:val="es-ES"/>
        </w:rPr>
        <w:t xml:space="preserve"> en el proceso contencioso-administrativo.</w:t>
      </w:r>
      <w:r w:rsidRPr="00C60360">
        <w:rPr>
          <w:rFonts w:ascii="Cambria" w:hAnsi="Cambria"/>
          <w:sz w:val="20"/>
          <w:szCs w:val="20"/>
          <w:lang w:val="es-ES"/>
        </w:rPr>
        <w:t xml:space="preserve"> </w:t>
      </w:r>
      <w:r w:rsidR="00CF15D1" w:rsidRPr="00C60360">
        <w:rPr>
          <w:rFonts w:ascii="Cambria" w:hAnsi="Cambria"/>
          <w:sz w:val="20"/>
          <w:szCs w:val="20"/>
          <w:lang w:val="es-ES"/>
        </w:rPr>
        <w:t>Colombia plantea que el peticionario pretende hacer uso de la CIDH como tribunal de alzada internacional para que revise la decisión adoptada por los tribunales administrativos, pese a que estas se adoptaron con respeto de las garantías judiciales consagradas en la Convención Americana.</w:t>
      </w:r>
    </w:p>
    <w:p w14:paraId="05CE92E0" w14:textId="292C5B8C" w:rsidR="00AA37F9" w:rsidRPr="00C60360" w:rsidRDefault="00AA37F9" w:rsidP="00AA37F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0360">
        <w:rPr>
          <w:rFonts w:ascii="Cambria" w:hAnsi="Cambria"/>
          <w:sz w:val="20"/>
          <w:szCs w:val="20"/>
          <w:lang w:val="es-ES"/>
        </w:rPr>
        <w:t xml:space="preserve">La </w:t>
      </w:r>
      <w:r w:rsidR="00CF15D1" w:rsidRPr="00C60360">
        <w:rPr>
          <w:rFonts w:ascii="Cambria" w:hAnsi="Cambria"/>
          <w:sz w:val="20"/>
          <w:szCs w:val="20"/>
          <w:lang w:val="es-ES"/>
        </w:rPr>
        <w:t>CIDH</w:t>
      </w:r>
      <w:r w:rsidRPr="00C60360">
        <w:rPr>
          <w:rFonts w:ascii="Cambria" w:hAnsi="Cambria"/>
          <w:sz w:val="20"/>
          <w:szCs w:val="20"/>
          <w:lang w:val="es-ES"/>
        </w:rPr>
        <w:t xml:space="preserve"> reitera que a los efectos de la admisibilidad ésta debe decidir si los hechos alegados pueden caracterizar una violación de derechos, según lo estipulado en el artículo 47.b) de la Convención Americana, o si la petición es “manifiestamente infundada” o es “evidente su total improcedencia”, conforme al inciso c) de dicho artículo. El criterio de evaluación de esos requisitos difiere del que utiliza para pronunciarse sobre el fondo de una petición. A este respecto, la Comisión </w:t>
      </w:r>
      <w:r w:rsidR="005C4071" w:rsidRPr="00C60360">
        <w:rPr>
          <w:rFonts w:ascii="Cambria" w:hAnsi="Cambria"/>
          <w:sz w:val="20"/>
          <w:szCs w:val="20"/>
          <w:lang w:val="es-ES"/>
        </w:rPr>
        <w:t>recuerda</w:t>
      </w:r>
      <w:r w:rsidRPr="00C60360">
        <w:rPr>
          <w:rFonts w:ascii="Cambria" w:hAnsi="Cambria"/>
          <w:sz w:val="20"/>
          <w:szCs w:val="20"/>
          <w:lang w:val="es-ES"/>
        </w:rPr>
        <w:t xml:space="preserve"> que no es competente para revisar las sentencias dictadas por tribunales nacionales que actúen en la esfera de su competencia y apliquen el debido proceso y las garantías judiciales.</w:t>
      </w:r>
    </w:p>
    <w:p w14:paraId="3AD5C222" w14:textId="0C8C3D70" w:rsidR="00CF15D1" w:rsidRPr="0072794F" w:rsidRDefault="00CF15D1" w:rsidP="79B16520">
      <w:pPr>
        <w:pStyle w:val="ListParagraph"/>
        <w:numPr>
          <w:ilvl w:val="0"/>
          <w:numId w:val="55"/>
        </w:numPr>
        <w:suppressAutoHyphens/>
        <w:spacing w:before="240" w:after="240"/>
        <w:jc w:val="both"/>
        <w:rPr>
          <w:sz w:val="20"/>
          <w:szCs w:val="20"/>
          <w:lang w:val="es-ES"/>
        </w:rPr>
      </w:pPr>
      <w:r w:rsidRPr="0072794F">
        <w:rPr>
          <w:sz w:val="20"/>
          <w:szCs w:val="20"/>
          <w:lang w:val="es-ES"/>
        </w:rPr>
        <w:t xml:space="preserve">En este sentido, la Comisión reitera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entre otros, </w:t>
      </w:r>
      <w:r w:rsidR="00F25DB7" w:rsidRPr="0072794F">
        <w:rPr>
          <w:sz w:val="20"/>
          <w:szCs w:val="20"/>
          <w:lang w:val="es-ES"/>
        </w:rPr>
        <w:t>son parte d</w:t>
      </w:r>
      <w:r w:rsidRPr="0072794F">
        <w:rPr>
          <w:sz w:val="20"/>
          <w:szCs w:val="20"/>
          <w:lang w:val="es-ES"/>
        </w:rPr>
        <w:t>el ejercicio de la función de la jurisdicción interna, que no puede ser remplazado por la CIDH</w:t>
      </w:r>
      <w:r w:rsidRPr="79B16520">
        <w:rPr>
          <w:rStyle w:val="FootnoteReference"/>
          <w:sz w:val="20"/>
          <w:szCs w:val="20"/>
        </w:rPr>
        <w:footnoteReference w:id="7"/>
      </w:r>
      <w:r w:rsidRPr="0072794F">
        <w:rPr>
          <w:sz w:val="20"/>
          <w:szCs w:val="20"/>
          <w:lang w:val="es-ES"/>
        </w:rPr>
        <w:t xml:space="preserve">. En ese sentido, la función de la Comisión consiste en garantizar la observancia de las obligaciones asumidas por los </w:t>
      </w:r>
      <w:r w:rsidR="00D25D07" w:rsidRPr="0072794F">
        <w:rPr>
          <w:sz w:val="20"/>
          <w:szCs w:val="20"/>
          <w:lang w:val="es-ES"/>
        </w:rPr>
        <w:t>Estados parte</w:t>
      </w:r>
      <w:r w:rsidRPr="0072794F">
        <w:rPr>
          <w:sz w:val="20"/>
          <w:szCs w:val="20"/>
          <w:lang w:val="es-ES"/>
        </w:rPr>
        <w:t xml:space="preserve"> de la Convención Americana, pero no puede hacer las veces de un tribunal de alzada para examinar supuestos errores de derecho o de hecho que puedan haber cometido los tribunales nacionales que hayan actuado dentro de los límites de su competencia</w:t>
      </w:r>
      <w:r w:rsidRPr="79B16520">
        <w:rPr>
          <w:rStyle w:val="FootnoteReference"/>
          <w:sz w:val="20"/>
          <w:szCs w:val="20"/>
        </w:rPr>
        <w:footnoteReference w:id="8"/>
      </w:r>
      <w:r w:rsidRPr="0072794F">
        <w:rPr>
          <w:sz w:val="20"/>
          <w:szCs w:val="20"/>
          <w:lang w:val="es-ES"/>
        </w:rPr>
        <w:t xml:space="preserve">.  </w:t>
      </w:r>
    </w:p>
    <w:p w14:paraId="2BC2ED78" w14:textId="65D9A612" w:rsidR="0025019F" w:rsidRPr="00C60360" w:rsidRDefault="001E433D" w:rsidP="00CF15D1">
      <w:pPr>
        <w:pStyle w:val="ListParagraph"/>
        <w:numPr>
          <w:ilvl w:val="0"/>
          <w:numId w:val="55"/>
        </w:numPr>
        <w:suppressAutoHyphens/>
        <w:spacing w:before="240" w:after="240"/>
        <w:jc w:val="both"/>
        <w:rPr>
          <w:bCs/>
          <w:sz w:val="20"/>
          <w:szCs w:val="20"/>
          <w:lang w:val="es-ES"/>
        </w:rPr>
      </w:pPr>
      <w:r>
        <w:rPr>
          <w:bCs/>
          <w:sz w:val="20"/>
          <w:szCs w:val="20"/>
          <w:lang w:val="es-ES"/>
        </w:rPr>
        <w:t xml:space="preserve">En </w:t>
      </w:r>
      <w:r w:rsidR="0025019F" w:rsidRPr="00ED245D">
        <w:rPr>
          <w:bCs/>
          <w:sz w:val="20"/>
          <w:szCs w:val="20"/>
          <w:lang w:val="es-ES"/>
        </w:rPr>
        <w:t>consonancia con estos criterios, la Comisión observa que el planteamiento central se limita a cuestionar la v</w:t>
      </w:r>
      <w:r w:rsidR="0025019F" w:rsidRPr="00C60360">
        <w:rPr>
          <w:bCs/>
          <w:sz w:val="20"/>
          <w:szCs w:val="20"/>
          <w:lang w:val="es-ES"/>
        </w:rPr>
        <w:t>aloración probatoria efectuada en sede contencioso-administrativa, en particular de testimonios que, según los peticionarios, acreditaban la presencia de agentes policiales durante la persecución y permitirían inferir que su actuación, ya sea por acción directa o por omisión de auxilio, estuvo vinculada con la muerte del señor Robinson Martínez Arango. Sin embargo, de la información aportada por ambas partes se desprende que las autoridades judiciales valoraron de manera motivada los elementos probatorios disponibles y concluyeron que no existían evidencias suficientes para atribuir responsabilidad a los agentes estatales. En este sentido, la CIDH reitera que no le corresponde actuar como instancia de alzada para revisar la apreciación de la prueba realizada por los tribunales internos ni definir cómo debió valorarse.</w:t>
      </w:r>
    </w:p>
    <w:p w14:paraId="1F6229B4" w14:textId="69C4EC49" w:rsidR="00295B57" w:rsidRPr="00B53E19" w:rsidRDefault="00295B57" w:rsidP="001E433D">
      <w:pPr>
        <w:pStyle w:val="ListParagraph"/>
        <w:suppressAutoHyphens/>
        <w:spacing w:before="240" w:after="240"/>
        <w:jc w:val="both"/>
        <w:rPr>
          <w:bCs/>
          <w:sz w:val="20"/>
          <w:szCs w:val="20"/>
          <w:highlight w:val="yellow"/>
          <w:lang w:val="es-ES"/>
        </w:rPr>
      </w:pPr>
    </w:p>
    <w:p w14:paraId="5E120EFD" w14:textId="2BB035C4" w:rsidR="007C49CA" w:rsidRPr="00C60360" w:rsidRDefault="00D25D07" w:rsidP="00CB0625">
      <w:pPr>
        <w:pStyle w:val="ListParagraph"/>
        <w:numPr>
          <w:ilvl w:val="0"/>
          <w:numId w:val="55"/>
        </w:numPr>
        <w:suppressAutoHyphens/>
        <w:spacing w:before="240" w:after="240"/>
        <w:jc w:val="both"/>
        <w:rPr>
          <w:bCs/>
          <w:sz w:val="20"/>
          <w:szCs w:val="20"/>
          <w:lang w:val="es-ES"/>
        </w:rPr>
      </w:pPr>
      <w:r w:rsidRPr="00C60360">
        <w:rPr>
          <w:bCs/>
          <w:sz w:val="20"/>
          <w:szCs w:val="20"/>
          <w:lang w:val="es-ES"/>
        </w:rPr>
        <w:lastRenderedPageBreak/>
        <w:t xml:space="preserve">Por lo </w:t>
      </w:r>
      <w:r w:rsidR="00E34B40" w:rsidRPr="00C60360">
        <w:rPr>
          <w:bCs/>
          <w:sz w:val="20"/>
          <w:szCs w:val="20"/>
          <w:lang w:val="es-ES"/>
        </w:rPr>
        <w:t>tanto</w:t>
      </w:r>
      <w:r w:rsidRPr="00C60360">
        <w:rPr>
          <w:bCs/>
          <w:sz w:val="20"/>
          <w:szCs w:val="20"/>
          <w:lang w:val="es-ES"/>
        </w:rPr>
        <w:t>, la Comisión concluye, como lo ha hecho en otros precedentes similares</w:t>
      </w:r>
      <w:r w:rsidR="00CB0625" w:rsidRPr="00C60360">
        <w:rPr>
          <w:rStyle w:val="FootnoteReference"/>
          <w:bCs/>
          <w:sz w:val="20"/>
          <w:szCs w:val="20"/>
          <w:lang w:val="es-ES"/>
        </w:rPr>
        <w:footnoteReference w:id="9"/>
      </w:r>
      <w:r w:rsidRPr="00C60360">
        <w:rPr>
          <w:bCs/>
          <w:sz w:val="20"/>
          <w:szCs w:val="20"/>
          <w:lang w:val="es-ES"/>
        </w:rPr>
        <w:t xml:space="preserve"> al presente, que tal alegato resulta inadmisible con fundamento en el artículo 47</w:t>
      </w:r>
      <w:r w:rsidR="00B452B0" w:rsidRPr="00C60360">
        <w:rPr>
          <w:bCs/>
          <w:sz w:val="20"/>
          <w:szCs w:val="20"/>
          <w:lang w:val="es-ES"/>
        </w:rPr>
        <w:t>.</w:t>
      </w:r>
      <w:r w:rsidRPr="00C60360">
        <w:rPr>
          <w:bCs/>
          <w:sz w:val="20"/>
          <w:szCs w:val="20"/>
          <w:lang w:val="es-ES"/>
        </w:rPr>
        <w:t>b) de la Convención Americana, toda vez que de los hechos expuestos no se desprenden, ni siquiera prima facie, posibles violaciones a la Convención.</w:t>
      </w:r>
    </w:p>
    <w:p w14:paraId="29BB41F5" w14:textId="7EB9B15D" w:rsidR="003239B8" w:rsidRPr="00C60360" w:rsidRDefault="003239B8" w:rsidP="003239B8">
      <w:pPr>
        <w:pStyle w:val="ListParagraph"/>
        <w:spacing w:before="240" w:after="240"/>
        <w:jc w:val="both"/>
        <w:rPr>
          <w:rFonts w:asciiTheme="majorHAnsi" w:hAnsiTheme="majorHAnsi"/>
          <w:b/>
          <w:bCs/>
          <w:sz w:val="20"/>
          <w:szCs w:val="20"/>
          <w:lang w:val="es-ES"/>
        </w:rPr>
      </w:pPr>
      <w:r w:rsidRPr="00C60360">
        <w:rPr>
          <w:rFonts w:asciiTheme="majorHAnsi" w:hAnsiTheme="majorHAnsi"/>
          <w:b/>
          <w:bCs/>
          <w:sz w:val="20"/>
          <w:szCs w:val="20"/>
          <w:lang w:val="es-ES"/>
        </w:rPr>
        <w:t xml:space="preserve">VIII. </w:t>
      </w:r>
      <w:r w:rsidRPr="00C60360">
        <w:rPr>
          <w:rFonts w:asciiTheme="majorHAnsi" w:hAnsiTheme="majorHAnsi"/>
          <w:b/>
          <w:bCs/>
          <w:sz w:val="20"/>
          <w:szCs w:val="20"/>
          <w:lang w:val="es-ES"/>
        </w:rPr>
        <w:tab/>
        <w:t>DECISIÓN</w:t>
      </w:r>
    </w:p>
    <w:p w14:paraId="560D9657" w14:textId="4F1E72E3" w:rsidR="00CF15D1" w:rsidRPr="00C60360" w:rsidRDefault="00CF15D1" w:rsidP="0032394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cs="Calibri"/>
          <w:sz w:val="20"/>
          <w:szCs w:val="20"/>
          <w:lang w:val="es-ES"/>
        </w:rPr>
      </w:pPr>
      <w:r w:rsidRPr="00C60360">
        <w:rPr>
          <w:rFonts w:asciiTheme="majorHAnsi" w:hAnsiTheme="majorHAnsi"/>
          <w:sz w:val="20"/>
          <w:szCs w:val="20"/>
          <w:lang w:val="es-ES"/>
        </w:rPr>
        <w:t xml:space="preserve">Declarar inadmisible la presente petición con base en el artículo 47.b) de la Convención Americana; y </w:t>
      </w:r>
    </w:p>
    <w:p w14:paraId="6AC80CA6" w14:textId="0494A86A" w:rsidR="00722C9F" w:rsidRPr="002F09AE" w:rsidRDefault="004A6A54" w:rsidP="0032394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cs="Calibri"/>
          <w:sz w:val="20"/>
          <w:szCs w:val="20"/>
          <w:lang w:val="es-ES"/>
        </w:rPr>
      </w:pPr>
      <w:r w:rsidRPr="00C60360">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48B0EE0A" w14:textId="1905C614" w:rsidR="002F09AE" w:rsidRPr="00200E55" w:rsidRDefault="002F09AE" w:rsidP="00200E55">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w:t>
      </w:r>
      <w:r w:rsidRPr="00D51DC8">
        <w:rPr>
          <w:rStyle w:val="normaltextrun"/>
          <w:rFonts w:ascii="Cambria" w:hAnsi="Cambria" w:cs="Segoe UI"/>
          <w:sz w:val="20"/>
          <w:szCs w:val="20"/>
          <w:lang w:val="es-CL"/>
        </w:rPr>
        <w:t>echos Humanos a los 26 días del mes de noviembre de 20</w:t>
      </w:r>
      <w:r w:rsidR="004101DE" w:rsidRPr="00D51DC8">
        <w:rPr>
          <w:rStyle w:val="normaltextrun"/>
          <w:rFonts w:ascii="Cambria" w:hAnsi="Cambria" w:cs="Segoe UI"/>
          <w:sz w:val="20"/>
          <w:szCs w:val="20"/>
          <w:lang w:val="es-CL"/>
        </w:rPr>
        <w:t>25</w:t>
      </w:r>
      <w:r w:rsidRPr="00D51DC8">
        <w:rPr>
          <w:rStyle w:val="normaltextrun"/>
          <w:rFonts w:ascii="Cambria" w:hAnsi="Cambria" w:cs="Segoe UI"/>
          <w:sz w:val="20"/>
          <w:szCs w:val="20"/>
          <w:lang w:val="es-CL"/>
        </w:rPr>
        <w:t xml:space="preserve">.  (Firmado): José Luis Caballero Ochoa, Presidente; Arif Bulkan, Segundo Vicepresidente; Roberta Clarke y Gloria Monique de Mees, </w:t>
      </w:r>
      <w:r w:rsidR="00200E55">
        <w:rPr>
          <w:rStyle w:val="normaltextrun"/>
          <w:rFonts w:ascii="Cambria" w:hAnsi="Cambria" w:cs="Segoe UI"/>
          <w:sz w:val="20"/>
          <w:szCs w:val="20"/>
          <w:lang w:val="es-CL"/>
        </w:rPr>
        <w:t>m</w:t>
      </w:r>
      <w:r w:rsidRPr="00D51DC8">
        <w:rPr>
          <w:rStyle w:val="normaltextrun"/>
          <w:rFonts w:ascii="Cambria" w:hAnsi="Cambria" w:cs="Segoe UI"/>
          <w:sz w:val="20"/>
          <w:szCs w:val="20"/>
          <w:lang w:val="es-CL"/>
        </w:rPr>
        <w:t>iembros de la Comisión.</w:t>
      </w:r>
    </w:p>
    <w:sectPr w:rsidR="002F09AE" w:rsidRPr="00200E5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FC8A" w14:textId="77777777" w:rsidR="00FF03F4" w:rsidRDefault="00FF03F4">
      <w:r>
        <w:separator/>
      </w:r>
    </w:p>
  </w:endnote>
  <w:endnote w:type="continuationSeparator" w:id="0">
    <w:p w14:paraId="4223DFA2" w14:textId="77777777" w:rsidR="00FF03F4" w:rsidRDefault="00FF03F4">
      <w:r>
        <w:continuationSeparator/>
      </w:r>
    </w:p>
  </w:endnote>
  <w:endnote w:type="continuationNotice" w:id="1">
    <w:p w14:paraId="4359A42F" w14:textId="77777777" w:rsidR="00FF03F4" w:rsidRDefault="00FF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C229" w14:textId="77777777" w:rsidR="00FF03F4" w:rsidRPr="000F35ED" w:rsidRDefault="00FF03F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4D992EC" w14:textId="77777777" w:rsidR="00FF03F4" w:rsidRPr="000F35ED" w:rsidRDefault="00FF03F4" w:rsidP="000F35ED">
      <w:pPr>
        <w:rPr>
          <w:rFonts w:asciiTheme="majorHAnsi" w:hAnsiTheme="majorHAnsi"/>
          <w:sz w:val="16"/>
          <w:szCs w:val="16"/>
        </w:rPr>
      </w:pPr>
      <w:r w:rsidRPr="000F35ED">
        <w:rPr>
          <w:rFonts w:asciiTheme="majorHAnsi" w:hAnsiTheme="majorHAnsi"/>
          <w:sz w:val="16"/>
          <w:szCs w:val="16"/>
        </w:rPr>
        <w:separator/>
      </w:r>
    </w:p>
    <w:p w14:paraId="39E63CDB" w14:textId="77777777" w:rsidR="00FF03F4" w:rsidRPr="000F35ED" w:rsidRDefault="00FF03F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260812D" w14:textId="77777777" w:rsidR="00FF03F4" w:rsidRPr="000F35ED" w:rsidRDefault="00FF03F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9C0F4EF" w14:textId="4356AC62" w:rsidR="003C53E0" w:rsidRPr="00CF15D1" w:rsidRDefault="003C53E0" w:rsidP="003C53E0">
      <w:pPr>
        <w:pStyle w:val="FootnoteText"/>
        <w:ind w:firstLine="720"/>
        <w:jc w:val="both"/>
        <w:rPr>
          <w:rFonts w:ascii="Cambria" w:hAnsi="Cambria"/>
          <w:sz w:val="16"/>
          <w:szCs w:val="16"/>
          <w:lang w:val="es-ES"/>
        </w:rPr>
      </w:pPr>
      <w:r w:rsidRPr="00CF15D1">
        <w:rPr>
          <w:rStyle w:val="FootnoteReference"/>
          <w:rFonts w:ascii="Cambria" w:hAnsi="Cambria"/>
          <w:sz w:val="16"/>
          <w:szCs w:val="16"/>
          <w:lang w:val="es-ES"/>
        </w:rPr>
        <w:footnoteRef/>
      </w:r>
      <w:r w:rsidRPr="00CF15D1">
        <w:rPr>
          <w:rStyle w:val="FootnoteReference"/>
          <w:rFonts w:ascii="Cambria" w:hAnsi="Cambria"/>
          <w:sz w:val="16"/>
          <w:szCs w:val="16"/>
          <w:lang w:val="es-ES"/>
        </w:rPr>
        <w:t xml:space="preserve"> </w:t>
      </w:r>
      <w:r w:rsidR="00C51539" w:rsidRPr="00C51539">
        <w:rPr>
          <w:rStyle w:val="FootnoteReference"/>
          <w:rFonts w:ascii="Cambria" w:hAnsi="Cambria"/>
          <w:sz w:val="16"/>
          <w:szCs w:val="16"/>
          <w:vertAlign w:val="baseline"/>
          <w:lang w:val="es-ES"/>
        </w:rPr>
        <w:t>La parte peticionaria identifica a las siguientes personas como familiares</w:t>
      </w:r>
      <w:r w:rsidR="00C51539">
        <w:rPr>
          <w:rFonts w:ascii="Cambria" w:hAnsi="Cambria"/>
          <w:sz w:val="16"/>
          <w:szCs w:val="16"/>
          <w:lang w:val="es-ES"/>
        </w:rPr>
        <w:t>:</w:t>
      </w:r>
      <w:r w:rsidR="00C51539" w:rsidRPr="00C51539">
        <w:rPr>
          <w:rStyle w:val="FootnoteReference"/>
          <w:rFonts w:ascii="Cambria" w:hAnsi="Cambria"/>
          <w:sz w:val="16"/>
          <w:szCs w:val="16"/>
          <w:lang w:val="es-ES"/>
        </w:rPr>
        <w:t xml:space="preserve"> </w:t>
      </w:r>
      <w:r w:rsidRPr="00CF15D1">
        <w:rPr>
          <w:rStyle w:val="FootnoteReference"/>
          <w:rFonts w:ascii="Cambria" w:hAnsi="Cambria"/>
          <w:sz w:val="16"/>
          <w:szCs w:val="16"/>
          <w:vertAlign w:val="baseline"/>
          <w:lang w:val="es-ES"/>
        </w:rPr>
        <w:t>Amanda Arango Vergara</w:t>
      </w:r>
      <w:r w:rsidRPr="00CF15D1">
        <w:rPr>
          <w:rFonts w:ascii="Cambria" w:hAnsi="Cambria"/>
          <w:sz w:val="16"/>
          <w:szCs w:val="16"/>
          <w:lang w:val="es-ES"/>
        </w:rPr>
        <w:t xml:space="preserve"> (madre)</w:t>
      </w:r>
      <w:r w:rsidRPr="00CF15D1">
        <w:rPr>
          <w:rStyle w:val="FootnoteReference"/>
          <w:rFonts w:ascii="Cambria" w:hAnsi="Cambria"/>
          <w:sz w:val="16"/>
          <w:szCs w:val="16"/>
          <w:vertAlign w:val="baseline"/>
          <w:lang w:val="es-ES"/>
        </w:rPr>
        <w:t xml:space="preserve">, Maira Alejandra </w:t>
      </w:r>
      <w:r w:rsidR="006632A4" w:rsidRPr="00CF15D1">
        <w:rPr>
          <w:rStyle w:val="FootnoteReference"/>
          <w:rFonts w:ascii="Cambria" w:hAnsi="Cambria"/>
          <w:sz w:val="16"/>
          <w:szCs w:val="16"/>
          <w:vertAlign w:val="baseline"/>
          <w:lang w:val="es-ES"/>
        </w:rPr>
        <w:t>Martínez</w:t>
      </w:r>
      <w:r w:rsidRPr="00CF15D1">
        <w:rPr>
          <w:rStyle w:val="FootnoteReference"/>
          <w:rFonts w:ascii="Cambria" w:hAnsi="Cambria"/>
          <w:sz w:val="16"/>
          <w:szCs w:val="16"/>
          <w:vertAlign w:val="baseline"/>
          <w:lang w:val="es-ES"/>
        </w:rPr>
        <w:t xml:space="preserve"> Arango</w:t>
      </w:r>
      <w:r w:rsidR="006632A4" w:rsidRPr="00CF15D1">
        <w:rPr>
          <w:rFonts w:ascii="Cambria" w:hAnsi="Cambria"/>
          <w:sz w:val="16"/>
          <w:szCs w:val="16"/>
          <w:lang w:val="es-ES"/>
        </w:rPr>
        <w:t xml:space="preserve"> (hermana)</w:t>
      </w:r>
      <w:r w:rsidRPr="00CF15D1">
        <w:rPr>
          <w:rStyle w:val="FootnoteReference"/>
          <w:rFonts w:ascii="Cambria" w:hAnsi="Cambria"/>
          <w:sz w:val="16"/>
          <w:szCs w:val="16"/>
          <w:vertAlign w:val="baseline"/>
          <w:lang w:val="es-ES"/>
        </w:rPr>
        <w:t>, Walter Martínez Arango</w:t>
      </w:r>
      <w:r w:rsidR="006632A4" w:rsidRPr="00CF15D1">
        <w:rPr>
          <w:rFonts w:ascii="Cambria" w:hAnsi="Cambria"/>
          <w:sz w:val="16"/>
          <w:szCs w:val="16"/>
          <w:lang w:val="es-ES"/>
        </w:rPr>
        <w:t xml:space="preserve"> (hermano)</w:t>
      </w:r>
      <w:r w:rsidRPr="00CF15D1">
        <w:rPr>
          <w:rStyle w:val="FootnoteReference"/>
          <w:rFonts w:ascii="Cambria" w:hAnsi="Cambria"/>
          <w:sz w:val="16"/>
          <w:szCs w:val="16"/>
          <w:vertAlign w:val="baseline"/>
          <w:lang w:val="es-ES"/>
        </w:rPr>
        <w:t>, Johana Martínez Arango</w:t>
      </w:r>
      <w:r w:rsidR="006632A4" w:rsidRPr="00CF15D1">
        <w:rPr>
          <w:rFonts w:ascii="Cambria" w:hAnsi="Cambria"/>
          <w:sz w:val="16"/>
          <w:szCs w:val="16"/>
          <w:lang w:val="es-ES"/>
        </w:rPr>
        <w:t xml:space="preserve"> (hermana)</w:t>
      </w:r>
      <w:r w:rsidRPr="00CF15D1">
        <w:rPr>
          <w:rStyle w:val="FootnoteReference"/>
          <w:rFonts w:ascii="Cambria" w:hAnsi="Cambria"/>
          <w:sz w:val="16"/>
          <w:szCs w:val="16"/>
          <w:vertAlign w:val="baseline"/>
          <w:lang w:val="es-ES"/>
        </w:rPr>
        <w:t>, Juan Manuel Martínez Arango</w:t>
      </w:r>
      <w:r w:rsidR="006632A4" w:rsidRPr="00CF15D1">
        <w:rPr>
          <w:rFonts w:ascii="Cambria" w:hAnsi="Cambria"/>
          <w:sz w:val="16"/>
          <w:szCs w:val="16"/>
          <w:lang w:val="es-ES"/>
        </w:rPr>
        <w:t xml:space="preserve"> (hermano)</w:t>
      </w:r>
      <w:r w:rsidRPr="00CF15D1">
        <w:rPr>
          <w:rStyle w:val="FootnoteReference"/>
          <w:rFonts w:ascii="Cambria" w:hAnsi="Cambria"/>
          <w:sz w:val="16"/>
          <w:szCs w:val="16"/>
          <w:vertAlign w:val="baseline"/>
          <w:lang w:val="es-ES"/>
        </w:rPr>
        <w:t>, Roberto Martínez Arango</w:t>
      </w:r>
      <w:r w:rsidR="006632A4" w:rsidRPr="00CF15D1">
        <w:rPr>
          <w:rFonts w:ascii="Cambria" w:hAnsi="Cambria"/>
          <w:sz w:val="16"/>
          <w:szCs w:val="16"/>
          <w:lang w:val="es-ES"/>
        </w:rPr>
        <w:t xml:space="preserve"> (hermano)</w:t>
      </w:r>
      <w:r w:rsidRPr="00CF15D1">
        <w:rPr>
          <w:rStyle w:val="FootnoteReference"/>
          <w:rFonts w:ascii="Cambria" w:hAnsi="Cambria"/>
          <w:sz w:val="16"/>
          <w:szCs w:val="16"/>
          <w:vertAlign w:val="baseline"/>
          <w:lang w:val="es-ES"/>
        </w:rPr>
        <w:t>, Jhofan Alberto Martínez Montilla</w:t>
      </w:r>
      <w:r w:rsidR="006632A4" w:rsidRPr="00CF15D1">
        <w:rPr>
          <w:rFonts w:ascii="Cambria" w:hAnsi="Cambria"/>
          <w:sz w:val="16"/>
          <w:szCs w:val="16"/>
          <w:lang w:val="es-ES"/>
        </w:rPr>
        <w:t xml:space="preserve"> (hermano)</w:t>
      </w:r>
      <w:r w:rsidRPr="00CF15D1">
        <w:rPr>
          <w:rStyle w:val="FootnoteReference"/>
          <w:rFonts w:ascii="Cambria" w:hAnsi="Cambria"/>
          <w:sz w:val="16"/>
          <w:szCs w:val="16"/>
          <w:vertAlign w:val="baseline"/>
          <w:lang w:val="es-ES"/>
        </w:rPr>
        <w:t>, Maira Alejandra Martínez Arango</w:t>
      </w:r>
      <w:r w:rsidR="006632A4" w:rsidRPr="00CF15D1">
        <w:rPr>
          <w:rFonts w:ascii="Cambria" w:hAnsi="Cambria"/>
          <w:sz w:val="16"/>
          <w:szCs w:val="16"/>
          <w:lang w:val="es-ES"/>
        </w:rPr>
        <w:t xml:space="preserve"> (sobrina)</w:t>
      </w:r>
      <w:r w:rsidRPr="00CF15D1">
        <w:rPr>
          <w:rStyle w:val="FootnoteReference"/>
          <w:rFonts w:ascii="Cambria" w:hAnsi="Cambria"/>
          <w:sz w:val="16"/>
          <w:szCs w:val="16"/>
          <w:vertAlign w:val="baseline"/>
          <w:lang w:val="es-ES"/>
        </w:rPr>
        <w:t>, Viviana Asprilla Martínez</w:t>
      </w:r>
      <w:r w:rsidR="006632A4" w:rsidRPr="00CF15D1">
        <w:rPr>
          <w:rStyle w:val="FootnoteReference"/>
          <w:rFonts w:ascii="Cambria" w:hAnsi="Cambria"/>
          <w:sz w:val="16"/>
          <w:szCs w:val="16"/>
          <w:vertAlign w:val="baseline"/>
          <w:lang w:val="es-ES"/>
        </w:rPr>
        <w:t xml:space="preserve"> </w:t>
      </w:r>
      <w:r w:rsidR="006632A4" w:rsidRPr="00CF15D1">
        <w:rPr>
          <w:rFonts w:ascii="Cambria" w:hAnsi="Cambria"/>
          <w:sz w:val="16"/>
          <w:szCs w:val="16"/>
          <w:lang w:val="es-ES"/>
        </w:rPr>
        <w:t>(sobrina)</w:t>
      </w:r>
      <w:r w:rsidR="006632A4" w:rsidRPr="00CF15D1">
        <w:rPr>
          <w:rStyle w:val="FootnoteReference"/>
          <w:rFonts w:ascii="Cambria" w:hAnsi="Cambria"/>
          <w:sz w:val="16"/>
          <w:szCs w:val="16"/>
          <w:vertAlign w:val="baseline"/>
          <w:lang w:val="es-ES"/>
        </w:rPr>
        <w:t xml:space="preserve">, </w:t>
      </w:r>
      <w:r w:rsidRPr="00CF15D1">
        <w:rPr>
          <w:rStyle w:val="FootnoteReference"/>
          <w:rFonts w:ascii="Cambria" w:hAnsi="Cambria"/>
          <w:sz w:val="16"/>
          <w:szCs w:val="16"/>
          <w:vertAlign w:val="baseline"/>
          <w:lang w:val="es-ES"/>
        </w:rPr>
        <w:t xml:space="preserve"> Yerson Asprilla Martínez</w:t>
      </w:r>
      <w:r w:rsidR="006632A4" w:rsidRPr="00CF15D1">
        <w:rPr>
          <w:rStyle w:val="FootnoteReference"/>
          <w:rFonts w:ascii="Cambria" w:hAnsi="Cambria"/>
          <w:sz w:val="16"/>
          <w:szCs w:val="16"/>
          <w:vertAlign w:val="baseline"/>
          <w:lang w:val="es-ES"/>
        </w:rPr>
        <w:t xml:space="preserve"> </w:t>
      </w:r>
      <w:r w:rsidR="006632A4" w:rsidRPr="00CF15D1">
        <w:rPr>
          <w:rFonts w:ascii="Cambria" w:hAnsi="Cambria"/>
          <w:sz w:val="16"/>
          <w:szCs w:val="16"/>
          <w:lang w:val="es-ES"/>
        </w:rPr>
        <w:t>(sobrino)</w:t>
      </w:r>
      <w:r w:rsidR="006632A4" w:rsidRPr="00CF15D1">
        <w:rPr>
          <w:rStyle w:val="FootnoteReference"/>
          <w:rFonts w:ascii="Cambria" w:hAnsi="Cambria"/>
          <w:sz w:val="16"/>
          <w:szCs w:val="16"/>
          <w:vertAlign w:val="baseline"/>
          <w:lang w:val="es-ES"/>
        </w:rPr>
        <w:t>,</w:t>
      </w:r>
      <w:r w:rsidR="006632A4" w:rsidRPr="00CF15D1">
        <w:rPr>
          <w:rFonts w:ascii="Cambria" w:hAnsi="Cambria"/>
          <w:sz w:val="16"/>
          <w:szCs w:val="16"/>
          <w:lang w:val="es-ES"/>
        </w:rPr>
        <w:t xml:space="preserve"> </w:t>
      </w:r>
      <w:r w:rsidRPr="00CF15D1">
        <w:rPr>
          <w:rStyle w:val="FootnoteReference"/>
          <w:rFonts w:ascii="Cambria" w:hAnsi="Cambria"/>
          <w:sz w:val="16"/>
          <w:szCs w:val="16"/>
          <w:vertAlign w:val="baseline"/>
          <w:lang w:val="es-ES"/>
        </w:rPr>
        <w:t>Karen Yelissa Asprilla Martínez</w:t>
      </w:r>
      <w:r w:rsidR="006632A4" w:rsidRPr="00CF15D1">
        <w:rPr>
          <w:rFonts w:ascii="Cambria" w:hAnsi="Cambria"/>
          <w:sz w:val="16"/>
          <w:szCs w:val="16"/>
          <w:lang w:val="es-ES"/>
        </w:rPr>
        <w:t xml:space="preserve"> (sobrina)</w:t>
      </w:r>
      <w:r w:rsidR="006632A4" w:rsidRPr="00CF15D1">
        <w:rPr>
          <w:rStyle w:val="FootnoteReference"/>
          <w:rFonts w:ascii="Cambria" w:hAnsi="Cambria"/>
          <w:sz w:val="16"/>
          <w:szCs w:val="16"/>
          <w:vertAlign w:val="baseline"/>
          <w:lang w:val="es-ES"/>
        </w:rPr>
        <w:t>,</w:t>
      </w:r>
      <w:r w:rsidRPr="00CF15D1">
        <w:rPr>
          <w:rStyle w:val="FootnoteReference"/>
          <w:rFonts w:ascii="Cambria" w:hAnsi="Cambria"/>
          <w:sz w:val="16"/>
          <w:szCs w:val="16"/>
          <w:vertAlign w:val="baseline"/>
          <w:lang w:val="es-ES"/>
        </w:rPr>
        <w:t xml:space="preserve"> Leydy Johanna Asprilla </w:t>
      </w:r>
      <w:r w:rsidR="006632A4" w:rsidRPr="00CF15D1">
        <w:rPr>
          <w:rStyle w:val="FootnoteReference"/>
          <w:rFonts w:ascii="Cambria" w:hAnsi="Cambria"/>
          <w:sz w:val="16"/>
          <w:szCs w:val="16"/>
          <w:vertAlign w:val="baseline"/>
          <w:lang w:val="es-ES"/>
        </w:rPr>
        <w:t>Martínez</w:t>
      </w:r>
      <w:r w:rsidR="006632A4" w:rsidRPr="00CF15D1">
        <w:rPr>
          <w:rFonts w:ascii="Cambria" w:hAnsi="Cambria"/>
          <w:sz w:val="16"/>
          <w:szCs w:val="16"/>
          <w:lang w:val="es-ES"/>
        </w:rPr>
        <w:t xml:space="preserve"> (sobrina)</w:t>
      </w:r>
      <w:r w:rsidR="006632A4" w:rsidRPr="00CF15D1">
        <w:rPr>
          <w:rStyle w:val="FootnoteReference"/>
          <w:rFonts w:ascii="Cambria" w:hAnsi="Cambria"/>
          <w:sz w:val="16"/>
          <w:szCs w:val="16"/>
          <w:vertAlign w:val="baseline"/>
          <w:lang w:val="es-ES"/>
        </w:rPr>
        <w:t>,</w:t>
      </w:r>
      <w:r w:rsidR="006632A4" w:rsidRPr="00CF15D1">
        <w:rPr>
          <w:rFonts w:ascii="Cambria" w:hAnsi="Cambria"/>
          <w:sz w:val="16"/>
          <w:szCs w:val="16"/>
          <w:lang w:val="es-ES"/>
        </w:rPr>
        <w:t xml:space="preserve"> </w:t>
      </w:r>
      <w:r w:rsidRPr="00CF15D1">
        <w:rPr>
          <w:rStyle w:val="FootnoteReference"/>
          <w:rFonts w:ascii="Cambria" w:hAnsi="Cambria"/>
          <w:sz w:val="16"/>
          <w:szCs w:val="16"/>
          <w:vertAlign w:val="baseline"/>
          <w:lang w:val="es-ES"/>
        </w:rPr>
        <w:t xml:space="preserve">César David </w:t>
      </w:r>
      <w:r w:rsidR="006632A4" w:rsidRPr="00CF15D1">
        <w:rPr>
          <w:rStyle w:val="FootnoteReference"/>
          <w:rFonts w:ascii="Cambria" w:hAnsi="Cambria"/>
          <w:sz w:val="16"/>
          <w:szCs w:val="16"/>
          <w:vertAlign w:val="baseline"/>
          <w:lang w:val="es-ES"/>
        </w:rPr>
        <w:t>Martínez</w:t>
      </w:r>
      <w:r w:rsidRPr="00CF15D1">
        <w:rPr>
          <w:rStyle w:val="FootnoteReference"/>
          <w:rFonts w:ascii="Cambria" w:hAnsi="Cambria"/>
          <w:sz w:val="16"/>
          <w:szCs w:val="16"/>
          <w:vertAlign w:val="baseline"/>
          <w:lang w:val="es-ES"/>
        </w:rPr>
        <w:t xml:space="preserve"> Arango</w:t>
      </w:r>
      <w:r w:rsidR="006632A4" w:rsidRPr="00CF15D1">
        <w:rPr>
          <w:rFonts w:ascii="Cambria" w:hAnsi="Cambria"/>
          <w:sz w:val="16"/>
          <w:szCs w:val="16"/>
          <w:lang w:val="es-ES"/>
        </w:rPr>
        <w:t xml:space="preserve"> (sobrino)</w:t>
      </w:r>
      <w:r w:rsidR="006632A4" w:rsidRPr="00CF15D1">
        <w:rPr>
          <w:rStyle w:val="FootnoteReference"/>
          <w:rFonts w:ascii="Cambria" w:hAnsi="Cambria"/>
          <w:sz w:val="16"/>
          <w:szCs w:val="16"/>
          <w:vertAlign w:val="baseline"/>
          <w:lang w:val="es-ES"/>
        </w:rPr>
        <w:t>,</w:t>
      </w:r>
      <w:r w:rsidRPr="00CF15D1">
        <w:rPr>
          <w:rStyle w:val="FootnoteReference"/>
          <w:rFonts w:ascii="Cambria" w:hAnsi="Cambria"/>
          <w:sz w:val="16"/>
          <w:szCs w:val="16"/>
          <w:vertAlign w:val="baseline"/>
          <w:lang w:val="es-ES"/>
        </w:rPr>
        <w:t xml:space="preserve"> Daniela Tovar </w:t>
      </w:r>
      <w:r w:rsidR="006632A4" w:rsidRPr="00CF15D1">
        <w:rPr>
          <w:rStyle w:val="FootnoteReference"/>
          <w:rFonts w:ascii="Cambria" w:hAnsi="Cambria"/>
          <w:sz w:val="16"/>
          <w:szCs w:val="16"/>
          <w:vertAlign w:val="baseline"/>
          <w:lang w:val="es-ES"/>
        </w:rPr>
        <w:t>Martínez</w:t>
      </w:r>
      <w:r w:rsidR="006632A4" w:rsidRPr="00CF15D1">
        <w:rPr>
          <w:rFonts w:ascii="Cambria" w:hAnsi="Cambria"/>
          <w:sz w:val="16"/>
          <w:szCs w:val="16"/>
          <w:lang w:val="es-ES"/>
        </w:rPr>
        <w:t xml:space="preserve"> (sobrina)</w:t>
      </w:r>
      <w:r w:rsidR="006632A4" w:rsidRPr="00CF15D1">
        <w:rPr>
          <w:rStyle w:val="FootnoteReference"/>
          <w:rFonts w:ascii="Cambria" w:hAnsi="Cambria"/>
          <w:sz w:val="16"/>
          <w:szCs w:val="16"/>
          <w:vertAlign w:val="baseline"/>
          <w:lang w:val="es-ES"/>
        </w:rPr>
        <w:t xml:space="preserve">, </w:t>
      </w:r>
      <w:r w:rsidRPr="00CF15D1">
        <w:rPr>
          <w:rStyle w:val="FootnoteReference"/>
          <w:rFonts w:ascii="Cambria" w:hAnsi="Cambria"/>
          <w:sz w:val="16"/>
          <w:szCs w:val="16"/>
          <w:vertAlign w:val="baseline"/>
          <w:lang w:val="es-ES"/>
        </w:rPr>
        <w:t>Wilson Fidel Asprilla Murillo</w:t>
      </w:r>
      <w:r w:rsidR="006632A4" w:rsidRPr="00CF15D1">
        <w:rPr>
          <w:rFonts w:ascii="Cambria" w:hAnsi="Cambria"/>
          <w:sz w:val="16"/>
          <w:szCs w:val="16"/>
          <w:lang w:val="es-ES"/>
        </w:rPr>
        <w:t xml:space="preserve"> (cuñado)</w:t>
      </w:r>
      <w:r w:rsidRPr="00CF15D1">
        <w:rPr>
          <w:rStyle w:val="FootnoteReference"/>
          <w:rFonts w:ascii="Cambria" w:hAnsi="Cambria"/>
          <w:sz w:val="16"/>
          <w:szCs w:val="16"/>
          <w:vertAlign w:val="baseline"/>
          <w:lang w:val="es-ES"/>
        </w:rPr>
        <w:t xml:space="preserve"> y Jhoan Manuel Tovar Santanilla</w:t>
      </w:r>
      <w:r w:rsidR="006632A4" w:rsidRPr="00CF15D1">
        <w:rPr>
          <w:rFonts w:ascii="Cambria" w:hAnsi="Cambria"/>
          <w:sz w:val="16"/>
          <w:szCs w:val="16"/>
          <w:lang w:val="es-ES"/>
        </w:rPr>
        <w:t xml:space="preserve"> (cuñado).</w:t>
      </w:r>
    </w:p>
  </w:footnote>
  <w:footnote w:id="3">
    <w:p w14:paraId="367D78F6" w14:textId="77777777" w:rsidR="00077463" w:rsidRPr="00CF15D1" w:rsidRDefault="00077463" w:rsidP="00077463">
      <w:pPr>
        <w:pStyle w:val="FootnoteText"/>
        <w:ind w:firstLine="720"/>
        <w:jc w:val="both"/>
        <w:rPr>
          <w:rFonts w:ascii="Cambria" w:hAnsi="Cambria"/>
          <w:sz w:val="16"/>
          <w:szCs w:val="16"/>
          <w:lang w:val="es-ES"/>
        </w:rPr>
      </w:pPr>
      <w:r w:rsidRPr="00CF15D1">
        <w:rPr>
          <w:rStyle w:val="FootnoteReference"/>
          <w:rFonts w:ascii="Cambria" w:hAnsi="Cambria"/>
          <w:sz w:val="16"/>
          <w:szCs w:val="16"/>
          <w:lang w:val="es-ES"/>
        </w:rPr>
        <w:footnoteRef/>
      </w:r>
      <w:r w:rsidRPr="00CF15D1">
        <w:rPr>
          <w:rFonts w:ascii="Cambria" w:hAnsi="Cambria"/>
          <w:sz w:val="16"/>
          <w:szCs w:val="16"/>
          <w:lang w:val="es-ES"/>
        </w:rPr>
        <w:t xml:space="preserve"> Conforme a lo dispuesto en el artículo 17.2.a del Reglamento de la Comisión, el Comisionado Carlos Bernal Pulido, de nacionalidad colombiana, no participó en el debate ni en la decisión del presente asunto.</w:t>
      </w:r>
    </w:p>
  </w:footnote>
  <w:footnote w:id="4">
    <w:p w14:paraId="06964FF6" w14:textId="77777777" w:rsidR="00077463" w:rsidRPr="00CF15D1" w:rsidRDefault="00077463" w:rsidP="00077463">
      <w:pPr>
        <w:pStyle w:val="FootnoteText"/>
        <w:ind w:firstLine="720"/>
        <w:jc w:val="both"/>
        <w:rPr>
          <w:rFonts w:ascii="Cambria" w:hAnsi="Cambria"/>
          <w:sz w:val="16"/>
          <w:szCs w:val="16"/>
          <w:lang w:val="es-ES"/>
        </w:rPr>
      </w:pPr>
      <w:r w:rsidRPr="00CF15D1">
        <w:rPr>
          <w:rStyle w:val="FootnoteReference"/>
          <w:rFonts w:ascii="Cambria" w:hAnsi="Cambria"/>
          <w:sz w:val="16"/>
          <w:szCs w:val="16"/>
          <w:lang w:val="es-ES"/>
        </w:rPr>
        <w:footnoteRef/>
      </w:r>
      <w:r w:rsidRPr="00CF15D1">
        <w:rPr>
          <w:rStyle w:val="FootnoteReference"/>
          <w:rFonts w:ascii="Cambria" w:hAnsi="Cambria"/>
          <w:sz w:val="16"/>
          <w:szCs w:val="16"/>
          <w:lang w:val="es-ES"/>
        </w:rPr>
        <w:t xml:space="preserve"> </w:t>
      </w:r>
      <w:r w:rsidRPr="00CF15D1">
        <w:rPr>
          <w:rFonts w:ascii="Cambria" w:hAnsi="Cambria"/>
          <w:sz w:val="16"/>
          <w:szCs w:val="16"/>
          <w:lang w:val="es-ES"/>
        </w:rPr>
        <w:t xml:space="preserve">En adelante, “la Convención Americana” o “la Convención”. </w:t>
      </w:r>
      <w:r w:rsidRPr="00CF15D1">
        <w:rPr>
          <w:rFonts w:ascii="Cambria" w:hAnsi="Cambria"/>
          <w:sz w:val="16"/>
          <w:szCs w:val="16"/>
          <w:lang w:val="es-ES"/>
        </w:rPr>
        <w:tab/>
      </w:r>
    </w:p>
  </w:footnote>
  <w:footnote w:id="5">
    <w:p w14:paraId="4F8634A2" w14:textId="77777777" w:rsidR="00077463" w:rsidRPr="00CF15D1" w:rsidRDefault="00077463" w:rsidP="00077463">
      <w:pPr>
        <w:pStyle w:val="FootnoteText"/>
        <w:spacing w:after="120"/>
        <w:ind w:firstLine="720"/>
        <w:jc w:val="both"/>
        <w:rPr>
          <w:rFonts w:ascii="Cambria" w:hAnsi="Cambria"/>
          <w:sz w:val="16"/>
          <w:szCs w:val="16"/>
          <w:lang w:val="es-ES"/>
        </w:rPr>
      </w:pPr>
      <w:r w:rsidRPr="00CF15D1">
        <w:rPr>
          <w:rStyle w:val="FootnoteReference"/>
          <w:rFonts w:ascii="Cambria" w:hAnsi="Cambria"/>
          <w:sz w:val="16"/>
          <w:szCs w:val="16"/>
          <w:lang w:val="es-ES"/>
        </w:rPr>
        <w:footnoteRef/>
      </w:r>
      <w:r w:rsidRPr="00CF15D1">
        <w:rPr>
          <w:rFonts w:ascii="Cambria" w:hAnsi="Cambria"/>
          <w:sz w:val="16"/>
          <w:szCs w:val="16"/>
          <w:lang w:val="es-ES"/>
        </w:rPr>
        <w:t xml:space="preserve"> Las observaciones de cada parte fueron debidamente trasladadas a la parte contraria.</w:t>
      </w:r>
    </w:p>
  </w:footnote>
  <w:footnote w:id="6">
    <w:p w14:paraId="58DCB029" w14:textId="77777777" w:rsidR="00395077" w:rsidRPr="00CF15D1" w:rsidRDefault="00395077" w:rsidP="00395077">
      <w:pPr>
        <w:pStyle w:val="FootnoteText"/>
        <w:spacing w:after="120"/>
        <w:ind w:firstLine="720"/>
        <w:jc w:val="both"/>
        <w:rPr>
          <w:rFonts w:ascii="Cambria" w:eastAsia="Times New Roman" w:hAnsi="Cambria"/>
          <w:sz w:val="16"/>
          <w:szCs w:val="16"/>
          <w:bdr w:val="none" w:sz="0" w:space="0" w:color="auto"/>
          <w:lang w:val="es-ES" w:eastAsia="es-MX"/>
        </w:rPr>
      </w:pPr>
      <w:r w:rsidRPr="00CF15D1">
        <w:rPr>
          <w:rStyle w:val="FootnoteReference"/>
          <w:rFonts w:ascii="Cambria" w:hAnsi="Cambria"/>
          <w:sz w:val="16"/>
          <w:szCs w:val="16"/>
          <w:lang w:val="es-ES"/>
        </w:rPr>
        <w:footnoteRef/>
      </w:r>
      <w:r w:rsidRPr="00CF15D1">
        <w:rPr>
          <w:rStyle w:val="FootnoteReference"/>
          <w:rFonts w:ascii="Cambria" w:hAnsi="Cambria"/>
          <w:sz w:val="16"/>
          <w:szCs w:val="16"/>
          <w:lang w:val="es-ES"/>
        </w:rPr>
        <w:t xml:space="preserve"> </w:t>
      </w:r>
      <w:r w:rsidRPr="00CF15D1">
        <w:rPr>
          <w:rStyle w:val="FootnoteReference"/>
          <w:rFonts w:ascii="Cambria" w:hAnsi="Cambria"/>
          <w:sz w:val="16"/>
          <w:szCs w:val="16"/>
          <w:vertAlign w:val="baseline"/>
          <w:lang w:val="es-ES"/>
        </w:rPr>
        <w:t>El artículo 79 del Código de Procedimiento Penal establece que: “</w:t>
      </w:r>
      <w:r w:rsidRPr="00C8252D">
        <w:rPr>
          <w:rStyle w:val="FootnoteReference"/>
          <w:rFonts w:ascii="Cambria" w:hAnsi="Cambria"/>
          <w:i/>
          <w:iCs/>
          <w:sz w:val="16"/>
          <w:szCs w:val="16"/>
          <w:vertAlign w:val="baseline"/>
          <w:lang w:val="es-ES"/>
        </w:rPr>
        <w:t>Cuando la Fiscalía tenga conocimiento de un hecho respecto del cual constate que no existen motivos o circunstancias fácticas que permitan su caracterización como delito, o indiquen su posible existencia como tal, dispondrá el archivo de la actuación. Sin embargo, si surgieren nuevos elementos probatorios la indagación se reanudará mientras no se haya extinguido la acción penal</w:t>
      </w:r>
      <w:r w:rsidRPr="00CF15D1">
        <w:rPr>
          <w:rStyle w:val="FootnoteReference"/>
          <w:rFonts w:ascii="Cambria" w:hAnsi="Cambria"/>
          <w:sz w:val="16"/>
          <w:szCs w:val="16"/>
          <w:vertAlign w:val="baseline"/>
          <w:lang w:val="es-ES"/>
        </w:rPr>
        <w:t>”.</w:t>
      </w:r>
    </w:p>
  </w:footnote>
  <w:footnote w:id="7">
    <w:p w14:paraId="35857329" w14:textId="628DD62C" w:rsidR="00CF15D1" w:rsidRPr="00CF15D1" w:rsidRDefault="00CF15D1" w:rsidP="00BE5315">
      <w:pPr>
        <w:pStyle w:val="FootnoteText"/>
        <w:ind w:firstLine="720"/>
        <w:jc w:val="both"/>
        <w:rPr>
          <w:rFonts w:ascii="Cambria" w:hAnsi="Cambria"/>
          <w:sz w:val="16"/>
          <w:szCs w:val="16"/>
          <w:lang w:val="es-US"/>
        </w:rPr>
      </w:pPr>
      <w:r w:rsidRPr="00CF15D1">
        <w:rPr>
          <w:rStyle w:val="FootnoteReference"/>
          <w:rFonts w:ascii="Cambria" w:hAnsi="Cambria"/>
          <w:sz w:val="16"/>
          <w:szCs w:val="16"/>
        </w:rPr>
        <w:footnoteRef/>
      </w:r>
      <w:r w:rsidRPr="00CF15D1">
        <w:rPr>
          <w:rFonts w:ascii="Cambria" w:hAnsi="Cambria"/>
          <w:sz w:val="16"/>
          <w:szCs w:val="16"/>
          <w:lang w:val="es-US"/>
        </w:rPr>
        <w:t xml:space="preserve"> CIDH, Informe No. 83/05, Petición 644/00</w:t>
      </w:r>
      <w:r w:rsidR="00A3230E">
        <w:rPr>
          <w:rFonts w:ascii="Cambria" w:hAnsi="Cambria"/>
          <w:sz w:val="16"/>
          <w:szCs w:val="16"/>
          <w:lang w:val="es-US"/>
        </w:rPr>
        <w:t>.</w:t>
      </w:r>
      <w:r w:rsidRPr="00CF15D1">
        <w:rPr>
          <w:rFonts w:ascii="Cambria" w:hAnsi="Cambria"/>
          <w:sz w:val="16"/>
          <w:szCs w:val="16"/>
          <w:lang w:val="es-US"/>
        </w:rPr>
        <w:t xml:space="preserve"> Inadmisibilidad</w:t>
      </w:r>
      <w:r w:rsidR="00A3230E">
        <w:rPr>
          <w:rFonts w:ascii="Cambria" w:hAnsi="Cambria"/>
          <w:sz w:val="16"/>
          <w:szCs w:val="16"/>
          <w:lang w:val="es-US"/>
        </w:rPr>
        <w:t xml:space="preserve">. </w:t>
      </w:r>
      <w:r w:rsidRPr="00CF15D1">
        <w:rPr>
          <w:rFonts w:ascii="Cambria" w:hAnsi="Cambria"/>
          <w:sz w:val="16"/>
          <w:szCs w:val="16"/>
          <w:lang w:val="es-US"/>
        </w:rPr>
        <w:t>Carlos Alberto López Urquía</w:t>
      </w:r>
      <w:r w:rsidR="00CB0625">
        <w:rPr>
          <w:rFonts w:ascii="Cambria" w:hAnsi="Cambria"/>
          <w:sz w:val="16"/>
          <w:szCs w:val="16"/>
          <w:lang w:val="es-US"/>
        </w:rPr>
        <w:t xml:space="preserve">. </w:t>
      </w:r>
      <w:r w:rsidRPr="00CF15D1">
        <w:rPr>
          <w:rFonts w:ascii="Cambria" w:hAnsi="Cambria"/>
          <w:sz w:val="16"/>
          <w:szCs w:val="16"/>
          <w:lang w:val="es-US"/>
        </w:rPr>
        <w:t>Honduras, 24 de octubre de 2005</w:t>
      </w:r>
      <w:r w:rsidR="00A3230E">
        <w:rPr>
          <w:rFonts w:ascii="Cambria" w:hAnsi="Cambria"/>
          <w:sz w:val="16"/>
          <w:szCs w:val="16"/>
          <w:lang w:val="es-US"/>
        </w:rPr>
        <w:t>.</w:t>
      </w:r>
      <w:r w:rsidRPr="00CF15D1">
        <w:rPr>
          <w:rFonts w:ascii="Cambria" w:hAnsi="Cambria"/>
          <w:sz w:val="16"/>
          <w:szCs w:val="16"/>
          <w:lang w:val="es-US"/>
        </w:rPr>
        <w:t xml:space="preserve"> párr. </w:t>
      </w:r>
      <w:r w:rsidRPr="00CF15D1">
        <w:rPr>
          <w:rFonts w:ascii="Cambria" w:hAnsi="Cambria"/>
          <w:sz w:val="16"/>
          <w:szCs w:val="16"/>
          <w:lang w:val="es-ES"/>
        </w:rPr>
        <w:t>72.</w:t>
      </w:r>
    </w:p>
  </w:footnote>
  <w:footnote w:id="8">
    <w:p w14:paraId="5B9FB972" w14:textId="155307AD" w:rsidR="00CF15D1" w:rsidRPr="00CF15D1" w:rsidRDefault="00CF15D1" w:rsidP="00CF15D1">
      <w:pPr>
        <w:pStyle w:val="FootnoteText"/>
        <w:ind w:firstLine="720"/>
        <w:jc w:val="both"/>
        <w:rPr>
          <w:rFonts w:ascii="Cambria" w:hAnsi="Cambria"/>
          <w:sz w:val="16"/>
          <w:szCs w:val="16"/>
          <w:lang w:val="es-US"/>
        </w:rPr>
      </w:pPr>
      <w:r w:rsidRPr="00CF15D1">
        <w:rPr>
          <w:rStyle w:val="FootnoteReference"/>
          <w:rFonts w:ascii="Cambria" w:hAnsi="Cambria"/>
          <w:sz w:val="16"/>
          <w:szCs w:val="16"/>
        </w:rPr>
        <w:footnoteRef/>
      </w:r>
      <w:r w:rsidRPr="00CF15D1">
        <w:rPr>
          <w:rFonts w:ascii="Cambria" w:hAnsi="Cambria"/>
          <w:sz w:val="16"/>
          <w:szCs w:val="16"/>
          <w:lang w:val="es-US"/>
        </w:rPr>
        <w:t xml:space="preserve"> CIDH, Informe Nº 70/08, Petición 12.242, Admisibilidad, Clínica Pediátrica de la Región de los Lago, Brasil, 16 de octubre de 2008, párr. 47.</w:t>
      </w:r>
    </w:p>
  </w:footnote>
  <w:footnote w:id="9">
    <w:p w14:paraId="26464662" w14:textId="548A9606" w:rsidR="00CB0625" w:rsidRPr="00CB0625" w:rsidRDefault="00CB0625" w:rsidP="00CB0625">
      <w:pPr>
        <w:pStyle w:val="FootnoteText"/>
        <w:ind w:firstLine="720"/>
        <w:jc w:val="both"/>
        <w:rPr>
          <w:rFonts w:ascii="Cambria" w:hAnsi="Cambria"/>
          <w:sz w:val="16"/>
          <w:szCs w:val="16"/>
          <w:lang w:val="es-US"/>
        </w:rPr>
      </w:pPr>
      <w:r w:rsidRPr="00CB0625">
        <w:rPr>
          <w:rStyle w:val="FootnoteReference"/>
          <w:rFonts w:ascii="Cambria" w:hAnsi="Cambria"/>
          <w:sz w:val="16"/>
          <w:szCs w:val="16"/>
        </w:rPr>
        <w:footnoteRef/>
      </w:r>
      <w:r w:rsidRPr="00CB0625">
        <w:rPr>
          <w:rStyle w:val="FootnoteReference"/>
          <w:rFonts w:ascii="Cambria" w:hAnsi="Cambria"/>
          <w:sz w:val="16"/>
          <w:szCs w:val="16"/>
        </w:rPr>
        <w:t xml:space="preserve"> </w:t>
      </w:r>
      <w:r w:rsidRPr="00CB0625">
        <w:rPr>
          <w:rStyle w:val="FootnoteReference"/>
          <w:rFonts w:ascii="Cambria" w:hAnsi="Cambria"/>
          <w:sz w:val="16"/>
          <w:szCs w:val="16"/>
          <w:vertAlign w:val="baseline"/>
        </w:rPr>
        <w:t xml:space="preserve">CIDH, Informe No. 132/25, Petición 317-15. Inadmisibilidad. Familiares De Diana Muegues Rondón. Colombia. 19 de julio de 2025; CIDH, Informe No. 328/22, Petición 657-08. Inadmisibilidad. Familiares De Julio Roldán Burbano Lasso. Colombia. 29 de Noviembre de 2022; CIDH, Informe No. 428/21, Petición 419-12. Inadmisibilidad. Wilder González Ocampo y familia. Colombia. 19 de diciembre de </w:t>
      </w:r>
      <w:r w:rsidRPr="00A3230E">
        <w:rPr>
          <w:rStyle w:val="FootnoteReference"/>
          <w:rFonts w:ascii="Cambria" w:hAnsi="Cambria"/>
          <w:sz w:val="16"/>
          <w:szCs w:val="16"/>
          <w:vertAlign w:val="baseline"/>
        </w:rPr>
        <w:t>2021; CIDH, Informe No. 365/21. Petición 125-12. Inadmisibilidad. Familiares de José Ancizar Ferreira Cedeño. Colombia. 2 de diciembre</w:t>
      </w:r>
      <w:r w:rsidRPr="00CB0625">
        <w:rPr>
          <w:rStyle w:val="FootnoteReference"/>
          <w:rFonts w:ascii="Cambria" w:hAnsi="Cambria"/>
          <w:sz w:val="16"/>
          <w:szCs w:val="16"/>
          <w:vertAlign w:val="baseline"/>
        </w:rPr>
        <w:t xml:space="preserve"> </w:t>
      </w:r>
      <w:r w:rsidRPr="00A3230E">
        <w:rPr>
          <w:rStyle w:val="FootnoteReference"/>
          <w:rFonts w:ascii="Cambria" w:hAnsi="Cambria"/>
          <w:sz w:val="16"/>
          <w:szCs w:val="16"/>
          <w:vertAlign w:val="baseline"/>
        </w:rPr>
        <w:t>de 2021</w:t>
      </w:r>
      <w:r w:rsidRPr="00CB0625">
        <w:rPr>
          <w:rStyle w:val="FootnoteReference"/>
          <w:rFonts w:ascii="Cambria" w:hAnsi="Cambria"/>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F970F9" w:rsidP="00A50FCF">
    <w:pPr>
      <w:pStyle w:val="Header"/>
      <w:tabs>
        <w:tab w:val="clear" w:pos="4320"/>
        <w:tab w:val="clear" w:pos="8640"/>
      </w:tabs>
      <w:jc w:val="center"/>
      <w:rPr>
        <w:sz w:val="22"/>
        <w:szCs w:val="22"/>
      </w:rPr>
    </w:pPr>
    <w:r>
      <w:rPr>
        <w:noProof/>
        <w:sz w:val="22"/>
        <w:szCs w:val="22"/>
      </w:rPr>
      <w:pict w14:anchorId="4367A34C">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D75A4C84"/>
    <w:lvl w:ilvl="0" w:tplc="DAEC39AA">
      <w:start w:val="1"/>
      <w:numFmt w:val="decimal"/>
      <w:lvlText w:val="%1."/>
      <w:lvlJc w:val="left"/>
      <w:pPr>
        <w:tabs>
          <w:tab w:val="num" w:pos="720"/>
        </w:tabs>
        <w:ind w:left="0" w:firstLine="720"/>
      </w:pPr>
      <w:rPr>
        <w:rFonts w:hint="default"/>
        <w:b w:val="0"/>
        <w:b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910F86"/>
    <w:multiLevelType w:val="multilevel"/>
    <w:tmpl w:val="53D0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6D7B62B3"/>
    <w:multiLevelType w:val="hybridMultilevel"/>
    <w:tmpl w:val="3CDADC64"/>
    <w:lvl w:ilvl="0" w:tplc="755E3B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9000730">
    <w:abstractNumId w:val="3"/>
  </w:num>
  <w:num w:numId="2" w16cid:durableId="1420520311">
    <w:abstractNumId w:val="5"/>
  </w:num>
  <w:num w:numId="3" w16cid:durableId="1713266273">
    <w:abstractNumId w:val="52"/>
  </w:num>
  <w:num w:numId="4" w16cid:durableId="2068602545">
    <w:abstractNumId w:val="20"/>
  </w:num>
  <w:num w:numId="5" w16cid:durableId="1616525600">
    <w:abstractNumId w:val="45"/>
  </w:num>
  <w:num w:numId="6" w16cid:durableId="1902403871">
    <w:abstractNumId w:val="25"/>
  </w:num>
  <w:num w:numId="7" w16cid:durableId="2142066646">
    <w:abstractNumId w:val="6"/>
  </w:num>
  <w:num w:numId="8" w16cid:durableId="1861747358">
    <w:abstractNumId w:val="16"/>
  </w:num>
  <w:num w:numId="9" w16cid:durableId="1025256902">
    <w:abstractNumId w:val="36"/>
  </w:num>
  <w:num w:numId="10" w16cid:durableId="1866940441">
    <w:abstractNumId w:val="40"/>
  </w:num>
  <w:num w:numId="11" w16cid:durableId="251017014">
    <w:abstractNumId w:val="0"/>
  </w:num>
  <w:num w:numId="12" w16cid:durableId="2134210098">
    <w:abstractNumId w:val="35"/>
  </w:num>
  <w:num w:numId="13" w16cid:durableId="255601910">
    <w:abstractNumId w:val="42"/>
  </w:num>
  <w:num w:numId="14" w16cid:durableId="1761757703">
    <w:abstractNumId w:val="1"/>
  </w:num>
  <w:num w:numId="15" w16cid:durableId="1186796706">
    <w:abstractNumId w:val="2"/>
  </w:num>
  <w:num w:numId="16" w16cid:durableId="1606693034">
    <w:abstractNumId w:val="7"/>
  </w:num>
  <w:num w:numId="17" w16cid:durableId="1738476247">
    <w:abstractNumId w:val="8"/>
  </w:num>
  <w:num w:numId="18" w16cid:durableId="1484001738">
    <w:abstractNumId w:val="9"/>
  </w:num>
  <w:num w:numId="19" w16cid:durableId="866941465">
    <w:abstractNumId w:val="10"/>
  </w:num>
  <w:num w:numId="20" w16cid:durableId="891114917">
    <w:abstractNumId w:val="11"/>
  </w:num>
  <w:num w:numId="21" w16cid:durableId="1852600886">
    <w:abstractNumId w:val="12"/>
  </w:num>
  <w:num w:numId="22" w16cid:durableId="925655403">
    <w:abstractNumId w:val="13"/>
  </w:num>
  <w:num w:numId="23" w16cid:durableId="1122456303">
    <w:abstractNumId w:val="14"/>
  </w:num>
  <w:num w:numId="24" w16cid:durableId="2034264947">
    <w:abstractNumId w:val="15"/>
  </w:num>
  <w:num w:numId="25" w16cid:durableId="943655646">
    <w:abstractNumId w:val="17"/>
  </w:num>
  <w:num w:numId="26" w16cid:durableId="48573556">
    <w:abstractNumId w:val="18"/>
  </w:num>
  <w:num w:numId="27" w16cid:durableId="1714845553">
    <w:abstractNumId w:val="21"/>
  </w:num>
  <w:num w:numId="28" w16cid:durableId="43258639">
    <w:abstractNumId w:val="22"/>
  </w:num>
  <w:num w:numId="29" w16cid:durableId="1533766946">
    <w:abstractNumId w:val="23"/>
  </w:num>
  <w:num w:numId="30" w16cid:durableId="1375960398">
    <w:abstractNumId w:val="24"/>
  </w:num>
  <w:num w:numId="31" w16cid:durableId="142351334">
    <w:abstractNumId w:val="26"/>
  </w:num>
  <w:num w:numId="32" w16cid:durableId="179467967">
    <w:abstractNumId w:val="27"/>
  </w:num>
  <w:num w:numId="33" w16cid:durableId="1445685242">
    <w:abstractNumId w:val="28"/>
  </w:num>
  <w:num w:numId="34" w16cid:durableId="2049792361">
    <w:abstractNumId w:val="29"/>
  </w:num>
  <w:num w:numId="35" w16cid:durableId="1766075673">
    <w:abstractNumId w:val="30"/>
  </w:num>
  <w:num w:numId="36" w16cid:durableId="1193613694">
    <w:abstractNumId w:val="31"/>
  </w:num>
  <w:num w:numId="37" w16cid:durableId="1731923604">
    <w:abstractNumId w:val="32"/>
  </w:num>
  <w:num w:numId="38" w16cid:durableId="1266036850">
    <w:abstractNumId w:val="33"/>
  </w:num>
  <w:num w:numId="39" w16cid:durableId="1881671385">
    <w:abstractNumId w:val="37"/>
  </w:num>
  <w:num w:numId="40" w16cid:durableId="1301611395">
    <w:abstractNumId w:val="38"/>
  </w:num>
  <w:num w:numId="41" w16cid:durableId="1131166778">
    <w:abstractNumId w:val="44"/>
  </w:num>
  <w:num w:numId="42" w16cid:durableId="507405131">
    <w:abstractNumId w:val="46"/>
  </w:num>
  <w:num w:numId="43" w16cid:durableId="147091870">
    <w:abstractNumId w:val="48"/>
  </w:num>
  <w:num w:numId="44" w16cid:durableId="655454458">
    <w:abstractNumId w:val="50"/>
  </w:num>
  <w:num w:numId="45" w16cid:durableId="1812089391">
    <w:abstractNumId w:val="51"/>
  </w:num>
  <w:num w:numId="46" w16cid:durableId="515115365">
    <w:abstractNumId w:val="53"/>
  </w:num>
  <w:num w:numId="47" w16cid:durableId="1221944455">
    <w:abstractNumId w:val="54"/>
  </w:num>
  <w:num w:numId="48" w16cid:durableId="908535618">
    <w:abstractNumId w:val="55"/>
  </w:num>
  <w:num w:numId="49" w16cid:durableId="825898735">
    <w:abstractNumId w:val="56"/>
  </w:num>
  <w:num w:numId="50" w16cid:durableId="49690932">
    <w:abstractNumId w:val="57"/>
  </w:num>
  <w:num w:numId="51" w16cid:durableId="2095399920">
    <w:abstractNumId w:val="19"/>
  </w:num>
  <w:num w:numId="52" w16cid:durableId="1435326325">
    <w:abstractNumId w:val="39"/>
  </w:num>
  <w:num w:numId="53" w16cid:durableId="935866318">
    <w:abstractNumId w:val="49"/>
  </w:num>
  <w:num w:numId="54" w16cid:durableId="749347125">
    <w:abstractNumId w:val="43"/>
  </w:num>
  <w:num w:numId="55" w16cid:durableId="1458334191">
    <w:abstractNumId w:val="4"/>
  </w:num>
  <w:num w:numId="56" w16cid:durableId="1694842942">
    <w:abstractNumId w:val="41"/>
  </w:num>
  <w:num w:numId="57" w16cid:durableId="1897622933">
    <w:abstractNumId w:val="47"/>
  </w:num>
  <w:num w:numId="58" w16cid:durableId="2105565731">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6D4"/>
    <w:rsid w:val="00006E1F"/>
    <w:rsid w:val="000070D7"/>
    <w:rsid w:val="0001788C"/>
    <w:rsid w:val="00024729"/>
    <w:rsid w:val="00031FAD"/>
    <w:rsid w:val="00032376"/>
    <w:rsid w:val="000337EF"/>
    <w:rsid w:val="00040C3A"/>
    <w:rsid w:val="000419AD"/>
    <w:rsid w:val="00042EFE"/>
    <w:rsid w:val="000433C9"/>
    <w:rsid w:val="0006188D"/>
    <w:rsid w:val="00062DF8"/>
    <w:rsid w:val="000716C5"/>
    <w:rsid w:val="00075E23"/>
    <w:rsid w:val="00077463"/>
    <w:rsid w:val="00091701"/>
    <w:rsid w:val="0009344A"/>
    <w:rsid w:val="00094FED"/>
    <w:rsid w:val="000A1974"/>
    <w:rsid w:val="000A392E"/>
    <w:rsid w:val="000A42AE"/>
    <w:rsid w:val="000A575F"/>
    <w:rsid w:val="000B062C"/>
    <w:rsid w:val="000B091F"/>
    <w:rsid w:val="000B2E9A"/>
    <w:rsid w:val="000B6B0A"/>
    <w:rsid w:val="000B7962"/>
    <w:rsid w:val="000C2C1D"/>
    <w:rsid w:val="000D05CB"/>
    <w:rsid w:val="000D10DB"/>
    <w:rsid w:val="000E5EB5"/>
    <w:rsid w:val="000F142F"/>
    <w:rsid w:val="000F35ED"/>
    <w:rsid w:val="0010054D"/>
    <w:rsid w:val="00103AD1"/>
    <w:rsid w:val="00107131"/>
    <w:rsid w:val="0010736F"/>
    <w:rsid w:val="0011200A"/>
    <w:rsid w:val="00113F73"/>
    <w:rsid w:val="00117E0D"/>
    <w:rsid w:val="00121CC2"/>
    <w:rsid w:val="00123883"/>
    <w:rsid w:val="00131425"/>
    <w:rsid w:val="00131535"/>
    <w:rsid w:val="00133EE5"/>
    <w:rsid w:val="001354F1"/>
    <w:rsid w:val="00140BAA"/>
    <w:rsid w:val="00143A85"/>
    <w:rsid w:val="00150959"/>
    <w:rsid w:val="001540AF"/>
    <w:rsid w:val="00156E10"/>
    <w:rsid w:val="00167A34"/>
    <w:rsid w:val="0019566B"/>
    <w:rsid w:val="0019616B"/>
    <w:rsid w:val="001A7870"/>
    <w:rsid w:val="001B0A42"/>
    <w:rsid w:val="001B1287"/>
    <w:rsid w:val="001B35FA"/>
    <w:rsid w:val="001B3A00"/>
    <w:rsid w:val="001B4566"/>
    <w:rsid w:val="001C1B41"/>
    <w:rsid w:val="001D59FA"/>
    <w:rsid w:val="001D65EF"/>
    <w:rsid w:val="001D7945"/>
    <w:rsid w:val="001E433D"/>
    <w:rsid w:val="001E49E7"/>
    <w:rsid w:val="001E57F9"/>
    <w:rsid w:val="001F7201"/>
    <w:rsid w:val="00200E55"/>
    <w:rsid w:val="00215898"/>
    <w:rsid w:val="00223A29"/>
    <w:rsid w:val="002250A3"/>
    <w:rsid w:val="00235217"/>
    <w:rsid w:val="00240471"/>
    <w:rsid w:val="002469D2"/>
    <w:rsid w:val="00246D1F"/>
    <w:rsid w:val="00246D2D"/>
    <w:rsid w:val="00247403"/>
    <w:rsid w:val="00247542"/>
    <w:rsid w:val="0025019F"/>
    <w:rsid w:val="002516FF"/>
    <w:rsid w:val="002560DF"/>
    <w:rsid w:val="0026020D"/>
    <w:rsid w:val="00266B61"/>
    <w:rsid w:val="0026712A"/>
    <w:rsid w:val="002704DB"/>
    <w:rsid w:val="002748BD"/>
    <w:rsid w:val="00287961"/>
    <w:rsid w:val="002903B0"/>
    <w:rsid w:val="00295B57"/>
    <w:rsid w:val="002A09F5"/>
    <w:rsid w:val="002A0AAE"/>
    <w:rsid w:val="002A5820"/>
    <w:rsid w:val="002B12E6"/>
    <w:rsid w:val="002B4B34"/>
    <w:rsid w:val="002B746F"/>
    <w:rsid w:val="002C4703"/>
    <w:rsid w:val="002D2B26"/>
    <w:rsid w:val="002D3D73"/>
    <w:rsid w:val="002D7EA2"/>
    <w:rsid w:val="002E187C"/>
    <w:rsid w:val="002E2140"/>
    <w:rsid w:val="002E79AC"/>
    <w:rsid w:val="002F09AE"/>
    <w:rsid w:val="00302733"/>
    <w:rsid w:val="0030417F"/>
    <w:rsid w:val="0031301F"/>
    <w:rsid w:val="00314078"/>
    <w:rsid w:val="0031535D"/>
    <w:rsid w:val="00323945"/>
    <w:rsid w:val="003239B8"/>
    <w:rsid w:val="003271A8"/>
    <w:rsid w:val="0033169F"/>
    <w:rsid w:val="00335D79"/>
    <w:rsid w:val="00337B2B"/>
    <w:rsid w:val="00344977"/>
    <w:rsid w:val="00346C95"/>
    <w:rsid w:val="00350997"/>
    <w:rsid w:val="00353B8F"/>
    <w:rsid w:val="00355372"/>
    <w:rsid w:val="00356185"/>
    <w:rsid w:val="00360380"/>
    <w:rsid w:val="003656EA"/>
    <w:rsid w:val="0037519E"/>
    <w:rsid w:val="00380784"/>
    <w:rsid w:val="00386CF0"/>
    <w:rsid w:val="00390FF7"/>
    <w:rsid w:val="00395077"/>
    <w:rsid w:val="003B1B44"/>
    <w:rsid w:val="003B2825"/>
    <w:rsid w:val="003B70FB"/>
    <w:rsid w:val="003C14CF"/>
    <w:rsid w:val="003C2239"/>
    <w:rsid w:val="003C33F0"/>
    <w:rsid w:val="003C421F"/>
    <w:rsid w:val="003C53E0"/>
    <w:rsid w:val="003C676B"/>
    <w:rsid w:val="003D3BC2"/>
    <w:rsid w:val="003D7F52"/>
    <w:rsid w:val="003E6CA1"/>
    <w:rsid w:val="003F3E63"/>
    <w:rsid w:val="00401DA9"/>
    <w:rsid w:val="00405F9C"/>
    <w:rsid w:val="004065A8"/>
    <w:rsid w:val="004101DE"/>
    <w:rsid w:val="00411E2A"/>
    <w:rsid w:val="00415390"/>
    <w:rsid w:val="004165C2"/>
    <w:rsid w:val="004313EE"/>
    <w:rsid w:val="00436B39"/>
    <w:rsid w:val="00437E66"/>
    <w:rsid w:val="00441524"/>
    <w:rsid w:val="00441927"/>
    <w:rsid w:val="00441E0D"/>
    <w:rsid w:val="00441ECB"/>
    <w:rsid w:val="00445193"/>
    <w:rsid w:val="004509A0"/>
    <w:rsid w:val="00451095"/>
    <w:rsid w:val="0046282E"/>
    <w:rsid w:val="00462C1B"/>
    <w:rsid w:val="00467B7E"/>
    <w:rsid w:val="00473BB4"/>
    <w:rsid w:val="00477592"/>
    <w:rsid w:val="00481D12"/>
    <w:rsid w:val="004869B9"/>
    <w:rsid w:val="00486F1C"/>
    <w:rsid w:val="0049419D"/>
    <w:rsid w:val="004A6A54"/>
    <w:rsid w:val="004B09FE"/>
    <w:rsid w:val="004B201C"/>
    <w:rsid w:val="004B37B9"/>
    <w:rsid w:val="004B4663"/>
    <w:rsid w:val="004C20D2"/>
    <w:rsid w:val="004C2312"/>
    <w:rsid w:val="004C2C72"/>
    <w:rsid w:val="004C4B62"/>
    <w:rsid w:val="004C54C9"/>
    <w:rsid w:val="004D02E9"/>
    <w:rsid w:val="004D4ABA"/>
    <w:rsid w:val="004D6025"/>
    <w:rsid w:val="004E2649"/>
    <w:rsid w:val="004E6899"/>
    <w:rsid w:val="004F276D"/>
    <w:rsid w:val="004F42E0"/>
    <w:rsid w:val="004F626F"/>
    <w:rsid w:val="00501399"/>
    <w:rsid w:val="0050633D"/>
    <w:rsid w:val="00507BC4"/>
    <w:rsid w:val="005128E4"/>
    <w:rsid w:val="00512C71"/>
    <w:rsid w:val="005133DB"/>
    <w:rsid w:val="00514504"/>
    <w:rsid w:val="00523E6B"/>
    <w:rsid w:val="0052527A"/>
    <w:rsid w:val="00525560"/>
    <w:rsid w:val="00544C49"/>
    <w:rsid w:val="005516A1"/>
    <w:rsid w:val="005555B1"/>
    <w:rsid w:val="005559EF"/>
    <w:rsid w:val="005564B7"/>
    <w:rsid w:val="00560960"/>
    <w:rsid w:val="00563557"/>
    <w:rsid w:val="00570B96"/>
    <w:rsid w:val="0057402A"/>
    <w:rsid w:val="005753F4"/>
    <w:rsid w:val="005771D0"/>
    <w:rsid w:val="0059191A"/>
    <w:rsid w:val="005921FF"/>
    <w:rsid w:val="005A005A"/>
    <w:rsid w:val="005A24ED"/>
    <w:rsid w:val="005A254F"/>
    <w:rsid w:val="005A6D0E"/>
    <w:rsid w:val="005B4EEC"/>
    <w:rsid w:val="005B52B0"/>
    <w:rsid w:val="005B6806"/>
    <w:rsid w:val="005C4071"/>
    <w:rsid w:val="005C4225"/>
    <w:rsid w:val="005D38F9"/>
    <w:rsid w:val="005F0DAD"/>
    <w:rsid w:val="005F0F33"/>
    <w:rsid w:val="00600C9C"/>
    <w:rsid w:val="00600DEB"/>
    <w:rsid w:val="00601124"/>
    <w:rsid w:val="00612123"/>
    <w:rsid w:val="00623529"/>
    <w:rsid w:val="00627C9F"/>
    <w:rsid w:val="006311E6"/>
    <w:rsid w:val="006311E9"/>
    <w:rsid w:val="00632354"/>
    <w:rsid w:val="00635421"/>
    <w:rsid w:val="00635850"/>
    <w:rsid w:val="00641E3A"/>
    <w:rsid w:val="00642810"/>
    <w:rsid w:val="00652333"/>
    <w:rsid w:val="006632A4"/>
    <w:rsid w:val="0068009E"/>
    <w:rsid w:val="00681939"/>
    <w:rsid w:val="00692219"/>
    <w:rsid w:val="006A05B8"/>
    <w:rsid w:val="006A17D2"/>
    <w:rsid w:val="006A69EE"/>
    <w:rsid w:val="006A73E6"/>
    <w:rsid w:val="006B2D5C"/>
    <w:rsid w:val="006C29ED"/>
    <w:rsid w:val="006C4EB1"/>
    <w:rsid w:val="006C5D85"/>
    <w:rsid w:val="006D5B19"/>
    <w:rsid w:val="006E0166"/>
    <w:rsid w:val="006E2A94"/>
    <w:rsid w:val="006E2FFB"/>
    <w:rsid w:val="006E7299"/>
    <w:rsid w:val="006E7B34"/>
    <w:rsid w:val="0070697F"/>
    <w:rsid w:val="0070722A"/>
    <w:rsid w:val="0072199C"/>
    <w:rsid w:val="00722C9F"/>
    <w:rsid w:val="007253B8"/>
    <w:rsid w:val="0072794F"/>
    <w:rsid w:val="0073399F"/>
    <w:rsid w:val="00734045"/>
    <w:rsid w:val="00734FE7"/>
    <w:rsid w:val="0073741F"/>
    <w:rsid w:val="00764044"/>
    <w:rsid w:val="0076643F"/>
    <w:rsid w:val="00766FA9"/>
    <w:rsid w:val="00767572"/>
    <w:rsid w:val="00777F63"/>
    <w:rsid w:val="0078274F"/>
    <w:rsid w:val="007A5817"/>
    <w:rsid w:val="007B05C4"/>
    <w:rsid w:val="007B3EFD"/>
    <w:rsid w:val="007B60E9"/>
    <w:rsid w:val="007B6CC3"/>
    <w:rsid w:val="007B76D3"/>
    <w:rsid w:val="007C3334"/>
    <w:rsid w:val="007C49CA"/>
    <w:rsid w:val="007C53D6"/>
    <w:rsid w:val="007C7E8C"/>
    <w:rsid w:val="007D2B98"/>
    <w:rsid w:val="007E21BC"/>
    <w:rsid w:val="007E7C82"/>
    <w:rsid w:val="007F00FB"/>
    <w:rsid w:val="007F2AA1"/>
    <w:rsid w:val="007F588D"/>
    <w:rsid w:val="00803F1C"/>
    <w:rsid w:val="0080600E"/>
    <w:rsid w:val="00814688"/>
    <w:rsid w:val="00817612"/>
    <w:rsid w:val="0083100C"/>
    <w:rsid w:val="008338A4"/>
    <w:rsid w:val="00834D49"/>
    <w:rsid w:val="00837C45"/>
    <w:rsid w:val="00837EA4"/>
    <w:rsid w:val="00844730"/>
    <w:rsid w:val="008457C2"/>
    <w:rsid w:val="00852310"/>
    <w:rsid w:val="00857A82"/>
    <w:rsid w:val="00867314"/>
    <w:rsid w:val="0087300C"/>
    <w:rsid w:val="00873836"/>
    <w:rsid w:val="00873EDD"/>
    <w:rsid w:val="008750B4"/>
    <w:rsid w:val="008753DC"/>
    <w:rsid w:val="00885737"/>
    <w:rsid w:val="00885954"/>
    <w:rsid w:val="00890650"/>
    <w:rsid w:val="00897E12"/>
    <w:rsid w:val="008A02F7"/>
    <w:rsid w:val="008A7E0F"/>
    <w:rsid w:val="008B0D9F"/>
    <w:rsid w:val="008B12F5"/>
    <w:rsid w:val="008B42E2"/>
    <w:rsid w:val="008C2DFD"/>
    <w:rsid w:val="008C5E2D"/>
    <w:rsid w:val="008D768D"/>
    <w:rsid w:val="008E11DC"/>
    <w:rsid w:val="008E3759"/>
    <w:rsid w:val="008E3BFE"/>
    <w:rsid w:val="008F1912"/>
    <w:rsid w:val="0090270B"/>
    <w:rsid w:val="009041DC"/>
    <w:rsid w:val="00914353"/>
    <w:rsid w:val="00917B5A"/>
    <w:rsid w:val="00920A58"/>
    <w:rsid w:val="00920A8C"/>
    <w:rsid w:val="00933D61"/>
    <w:rsid w:val="00934A2C"/>
    <w:rsid w:val="009374CC"/>
    <w:rsid w:val="0094275A"/>
    <w:rsid w:val="00955CCE"/>
    <w:rsid w:val="0096706E"/>
    <w:rsid w:val="00974491"/>
    <w:rsid w:val="00975C4E"/>
    <w:rsid w:val="00981FBA"/>
    <w:rsid w:val="0098551D"/>
    <w:rsid w:val="009901C7"/>
    <w:rsid w:val="00997BC5"/>
    <w:rsid w:val="009A4F41"/>
    <w:rsid w:val="009B381B"/>
    <w:rsid w:val="009C0F33"/>
    <w:rsid w:val="009D14F6"/>
    <w:rsid w:val="009D1753"/>
    <w:rsid w:val="009D73F2"/>
    <w:rsid w:val="009D7611"/>
    <w:rsid w:val="009E0B61"/>
    <w:rsid w:val="009E53DE"/>
    <w:rsid w:val="009F41B9"/>
    <w:rsid w:val="009F41E7"/>
    <w:rsid w:val="00A00E30"/>
    <w:rsid w:val="00A11212"/>
    <w:rsid w:val="00A11E44"/>
    <w:rsid w:val="00A22616"/>
    <w:rsid w:val="00A236EF"/>
    <w:rsid w:val="00A23907"/>
    <w:rsid w:val="00A30100"/>
    <w:rsid w:val="00A3230E"/>
    <w:rsid w:val="00A328B3"/>
    <w:rsid w:val="00A50FCF"/>
    <w:rsid w:val="00A528D1"/>
    <w:rsid w:val="00A610CD"/>
    <w:rsid w:val="00A6671F"/>
    <w:rsid w:val="00A758AA"/>
    <w:rsid w:val="00AA09A2"/>
    <w:rsid w:val="00AA37F9"/>
    <w:rsid w:val="00AA407A"/>
    <w:rsid w:val="00AA52AC"/>
    <w:rsid w:val="00AA7996"/>
    <w:rsid w:val="00AB4612"/>
    <w:rsid w:val="00AC014A"/>
    <w:rsid w:val="00AC19CB"/>
    <w:rsid w:val="00AD60B6"/>
    <w:rsid w:val="00AD6E8B"/>
    <w:rsid w:val="00AE0CB2"/>
    <w:rsid w:val="00AE5488"/>
    <w:rsid w:val="00AE663F"/>
    <w:rsid w:val="00AE6F91"/>
    <w:rsid w:val="00AF28E9"/>
    <w:rsid w:val="00AF5571"/>
    <w:rsid w:val="00B07341"/>
    <w:rsid w:val="00B11459"/>
    <w:rsid w:val="00B11747"/>
    <w:rsid w:val="00B14958"/>
    <w:rsid w:val="00B30539"/>
    <w:rsid w:val="00B314DB"/>
    <w:rsid w:val="00B361F2"/>
    <w:rsid w:val="00B3718B"/>
    <w:rsid w:val="00B3745F"/>
    <w:rsid w:val="00B452B0"/>
    <w:rsid w:val="00B4632A"/>
    <w:rsid w:val="00B51243"/>
    <w:rsid w:val="00B530F1"/>
    <w:rsid w:val="00B53E19"/>
    <w:rsid w:val="00B71472"/>
    <w:rsid w:val="00B73457"/>
    <w:rsid w:val="00B8484C"/>
    <w:rsid w:val="00B84AEF"/>
    <w:rsid w:val="00B90FBD"/>
    <w:rsid w:val="00B95335"/>
    <w:rsid w:val="00B97349"/>
    <w:rsid w:val="00BA0BEF"/>
    <w:rsid w:val="00BA276C"/>
    <w:rsid w:val="00BB306F"/>
    <w:rsid w:val="00BC6038"/>
    <w:rsid w:val="00BD0A7C"/>
    <w:rsid w:val="00BD11D5"/>
    <w:rsid w:val="00BD4B89"/>
    <w:rsid w:val="00BD5922"/>
    <w:rsid w:val="00BE5315"/>
    <w:rsid w:val="00BF02CB"/>
    <w:rsid w:val="00BF26A6"/>
    <w:rsid w:val="00BF52B4"/>
    <w:rsid w:val="00BF6FD8"/>
    <w:rsid w:val="00C02F53"/>
    <w:rsid w:val="00C03680"/>
    <w:rsid w:val="00C054DF"/>
    <w:rsid w:val="00C11DE2"/>
    <w:rsid w:val="00C21762"/>
    <w:rsid w:val="00C21FEF"/>
    <w:rsid w:val="00C23BA4"/>
    <w:rsid w:val="00C24543"/>
    <w:rsid w:val="00C256A2"/>
    <w:rsid w:val="00C25ADB"/>
    <w:rsid w:val="00C359B5"/>
    <w:rsid w:val="00C51515"/>
    <w:rsid w:val="00C51539"/>
    <w:rsid w:val="00C5660B"/>
    <w:rsid w:val="00C60360"/>
    <w:rsid w:val="00C66B72"/>
    <w:rsid w:val="00C66CE3"/>
    <w:rsid w:val="00C741C1"/>
    <w:rsid w:val="00C7585D"/>
    <w:rsid w:val="00C80A87"/>
    <w:rsid w:val="00C8252D"/>
    <w:rsid w:val="00C8772C"/>
    <w:rsid w:val="00C87AC4"/>
    <w:rsid w:val="00C9567A"/>
    <w:rsid w:val="00CB0625"/>
    <w:rsid w:val="00CB212D"/>
    <w:rsid w:val="00CB2660"/>
    <w:rsid w:val="00CB7322"/>
    <w:rsid w:val="00CC442D"/>
    <w:rsid w:val="00CC5E90"/>
    <w:rsid w:val="00CD046C"/>
    <w:rsid w:val="00CD73A9"/>
    <w:rsid w:val="00CE076C"/>
    <w:rsid w:val="00CE13B3"/>
    <w:rsid w:val="00CE501F"/>
    <w:rsid w:val="00CE5199"/>
    <w:rsid w:val="00CE66D5"/>
    <w:rsid w:val="00CF15D1"/>
    <w:rsid w:val="00CF1895"/>
    <w:rsid w:val="00CF637A"/>
    <w:rsid w:val="00D016CF"/>
    <w:rsid w:val="00D04BB5"/>
    <w:rsid w:val="00D059DE"/>
    <w:rsid w:val="00D05ABD"/>
    <w:rsid w:val="00D13530"/>
    <w:rsid w:val="00D13FCE"/>
    <w:rsid w:val="00D15B53"/>
    <w:rsid w:val="00D17B8F"/>
    <w:rsid w:val="00D206AA"/>
    <w:rsid w:val="00D2293F"/>
    <w:rsid w:val="00D25D07"/>
    <w:rsid w:val="00D27D93"/>
    <w:rsid w:val="00D306D1"/>
    <w:rsid w:val="00D30800"/>
    <w:rsid w:val="00D31D7E"/>
    <w:rsid w:val="00D345F9"/>
    <w:rsid w:val="00D34786"/>
    <w:rsid w:val="00D37682"/>
    <w:rsid w:val="00D37BFC"/>
    <w:rsid w:val="00D44785"/>
    <w:rsid w:val="00D45C2E"/>
    <w:rsid w:val="00D47A8E"/>
    <w:rsid w:val="00D5173B"/>
    <w:rsid w:val="00D51DC8"/>
    <w:rsid w:val="00D528A0"/>
    <w:rsid w:val="00D52D14"/>
    <w:rsid w:val="00D640A6"/>
    <w:rsid w:val="00D712D3"/>
    <w:rsid w:val="00D71422"/>
    <w:rsid w:val="00D72DC6"/>
    <w:rsid w:val="00D74C0A"/>
    <w:rsid w:val="00D7558D"/>
    <w:rsid w:val="00D80508"/>
    <w:rsid w:val="00D81D92"/>
    <w:rsid w:val="00D839AA"/>
    <w:rsid w:val="00D876F9"/>
    <w:rsid w:val="00D951CF"/>
    <w:rsid w:val="00D967C4"/>
    <w:rsid w:val="00DA0B60"/>
    <w:rsid w:val="00DA787D"/>
    <w:rsid w:val="00DA7B5F"/>
    <w:rsid w:val="00DC11E7"/>
    <w:rsid w:val="00DC24E3"/>
    <w:rsid w:val="00DC7023"/>
    <w:rsid w:val="00DC769A"/>
    <w:rsid w:val="00DC7923"/>
    <w:rsid w:val="00DC792A"/>
    <w:rsid w:val="00DD3D86"/>
    <w:rsid w:val="00DD4AD2"/>
    <w:rsid w:val="00DE6152"/>
    <w:rsid w:val="00DE7F8E"/>
    <w:rsid w:val="00DF1EC4"/>
    <w:rsid w:val="00E0340B"/>
    <w:rsid w:val="00E04A90"/>
    <w:rsid w:val="00E0551F"/>
    <w:rsid w:val="00E15970"/>
    <w:rsid w:val="00E219C7"/>
    <w:rsid w:val="00E3277D"/>
    <w:rsid w:val="00E34B40"/>
    <w:rsid w:val="00E34C52"/>
    <w:rsid w:val="00E4118C"/>
    <w:rsid w:val="00E43157"/>
    <w:rsid w:val="00E461CE"/>
    <w:rsid w:val="00E47658"/>
    <w:rsid w:val="00E54D28"/>
    <w:rsid w:val="00E55777"/>
    <w:rsid w:val="00E573E4"/>
    <w:rsid w:val="00E64C3D"/>
    <w:rsid w:val="00E67C67"/>
    <w:rsid w:val="00E720CA"/>
    <w:rsid w:val="00E82DDC"/>
    <w:rsid w:val="00E84EB5"/>
    <w:rsid w:val="00E85662"/>
    <w:rsid w:val="00E8789F"/>
    <w:rsid w:val="00E94C4E"/>
    <w:rsid w:val="00E95CDD"/>
    <w:rsid w:val="00E97B71"/>
    <w:rsid w:val="00EA3D34"/>
    <w:rsid w:val="00EB197F"/>
    <w:rsid w:val="00EB454D"/>
    <w:rsid w:val="00EC153B"/>
    <w:rsid w:val="00ED1C85"/>
    <w:rsid w:val="00ED245D"/>
    <w:rsid w:val="00ED2F3C"/>
    <w:rsid w:val="00ED44DD"/>
    <w:rsid w:val="00ED549D"/>
    <w:rsid w:val="00ED76BE"/>
    <w:rsid w:val="00EE00E9"/>
    <w:rsid w:val="00EF1AAA"/>
    <w:rsid w:val="00EF619B"/>
    <w:rsid w:val="00EF76F5"/>
    <w:rsid w:val="00EF7CBD"/>
    <w:rsid w:val="00F00B55"/>
    <w:rsid w:val="00F02AD1"/>
    <w:rsid w:val="00F10B18"/>
    <w:rsid w:val="00F20D2A"/>
    <w:rsid w:val="00F215EF"/>
    <w:rsid w:val="00F253CC"/>
    <w:rsid w:val="00F25DB7"/>
    <w:rsid w:val="00F333D4"/>
    <w:rsid w:val="00F37106"/>
    <w:rsid w:val="00F44E25"/>
    <w:rsid w:val="00F519CF"/>
    <w:rsid w:val="00F56BA5"/>
    <w:rsid w:val="00F60E22"/>
    <w:rsid w:val="00F81395"/>
    <w:rsid w:val="00F81BB8"/>
    <w:rsid w:val="00F9056B"/>
    <w:rsid w:val="00F90C64"/>
    <w:rsid w:val="00F91182"/>
    <w:rsid w:val="00F917D1"/>
    <w:rsid w:val="00F9393C"/>
    <w:rsid w:val="00F9653B"/>
    <w:rsid w:val="00F970F9"/>
    <w:rsid w:val="00FB2D49"/>
    <w:rsid w:val="00FB62CF"/>
    <w:rsid w:val="00FD3C3B"/>
    <w:rsid w:val="00FE07DD"/>
    <w:rsid w:val="00FE6B45"/>
    <w:rsid w:val="00FF03F4"/>
    <w:rsid w:val="00FF55F3"/>
    <w:rsid w:val="00FF5851"/>
    <w:rsid w:val="00FF7B79"/>
    <w:rsid w:val="79B1652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372"/>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5537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EC" w:eastAsia="es-MX"/>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BA0BEF"/>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6C5D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paragraph" w:customStyle="1" w:styleId="Char2">
    <w:name w:val="Char2"/>
    <w:basedOn w:val="Normal"/>
    <w:link w:val="FootnoteReference"/>
    <w:uiPriority w:val="99"/>
    <w:rsid w:val="0007746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C80A87"/>
    <w:rPr>
      <w:sz w:val="16"/>
      <w:szCs w:val="16"/>
    </w:rPr>
  </w:style>
  <w:style w:type="paragraph" w:styleId="CommentText">
    <w:name w:val="annotation text"/>
    <w:basedOn w:val="Normal"/>
    <w:link w:val="CommentTextChar"/>
    <w:uiPriority w:val="99"/>
    <w:unhideWhenUsed/>
    <w:rsid w:val="00C80A87"/>
    <w:rPr>
      <w:sz w:val="20"/>
      <w:szCs w:val="20"/>
    </w:rPr>
  </w:style>
  <w:style w:type="character" w:customStyle="1" w:styleId="CommentTextChar">
    <w:name w:val="Comment Text Char"/>
    <w:basedOn w:val="DefaultParagraphFont"/>
    <w:link w:val="CommentText"/>
    <w:uiPriority w:val="99"/>
    <w:rsid w:val="00C80A87"/>
    <w:rPr>
      <w:lang w:val="en-US" w:eastAsia="en-US"/>
    </w:rPr>
  </w:style>
  <w:style w:type="character" w:customStyle="1" w:styleId="s1">
    <w:name w:val="s1"/>
    <w:basedOn w:val="DefaultParagraphFont"/>
    <w:rsid w:val="00F20D2A"/>
    <w:rPr>
      <w:rFonts w:ascii="Helvetica" w:hAnsi="Helvetica" w:hint="default"/>
      <w:sz w:val="15"/>
      <w:szCs w:val="15"/>
    </w:rPr>
  </w:style>
  <w:style w:type="character" w:customStyle="1" w:styleId="s2">
    <w:name w:val="s2"/>
    <w:basedOn w:val="DefaultParagraphFont"/>
    <w:rsid w:val="00F20D2A"/>
    <w:rPr>
      <w:rFonts w:ascii="Arial" w:hAnsi="Arial" w:cs="Arial" w:hint="default"/>
      <w:sz w:val="15"/>
      <w:szCs w:val="15"/>
    </w:rPr>
  </w:style>
  <w:style w:type="character" w:customStyle="1" w:styleId="s3">
    <w:name w:val="s3"/>
    <w:basedOn w:val="DefaultParagraphFont"/>
    <w:rsid w:val="00F20D2A"/>
    <w:rPr>
      <w:rFonts w:ascii="Helvetica" w:hAnsi="Helvetica" w:hint="default"/>
      <w:sz w:val="10"/>
      <w:szCs w:val="10"/>
    </w:rPr>
  </w:style>
  <w:style w:type="character" w:customStyle="1" w:styleId="apple-converted-space">
    <w:name w:val="apple-converted-space"/>
    <w:basedOn w:val="DefaultParagraphFont"/>
    <w:rsid w:val="00D967C4"/>
  </w:style>
  <w:style w:type="paragraph" w:styleId="CommentSubject">
    <w:name w:val="annotation subject"/>
    <w:basedOn w:val="CommentText"/>
    <w:next w:val="CommentText"/>
    <w:link w:val="CommentSubjectChar"/>
    <w:uiPriority w:val="99"/>
    <w:semiHidden/>
    <w:unhideWhenUsed/>
    <w:rsid w:val="003C53E0"/>
    <w:rPr>
      <w:b/>
      <w:bCs/>
    </w:rPr>
  </w:style>
  <w:style w:type="character" w:customStyle="1" w:styleId="CommentSubjectChar">
    <w:name w:val="Comment Subject Char"/>
    <w:basedOn w:val="CommentTextChar"/>
    <w:link w:val="CommentSubject"/>
    <w:uiPriority w:val="99"/>
    <w:semiHidden/>
    <w:rsid w:val="003C53E0"/>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CF15D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paragraph" w:customStyle="1" w:styleId="p2">
    <w:name w:val="p2"/>
    <w:basedOn w:val="Normal"/>
    <w:rsid w:val="00A3230E"/>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C0C0C"/>
      <w:sz w:val="18"/>
      <w:szCs w:val="18"/>
      <w:bdr w:val="none" w:sz="0" w:space="0" w:color="auto"/>
      <w:lang w:val="es-EC" w:eastAsia="es-MX"/>
    </w:rPr>
  </w:style>
  <w:style w:type="paragraph" w:customStyle="1" w:styleId="paragraph">
    <w:name w:val="paragraph"/>
    <w:basedOn w:val="Normal"/>
    <w:rsid w:val="002F09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F09AE"/>
  </w:style>
  <w:style w:type="character" w:customStyle="1" w:styleId="eop">
    <w:name w:val="eop"/>
    <w:basedOn w:val="DefaultParagraphFont"/>
    <w:rsid w:val="002F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ADCADECBAAF488DDCB9D3072E1412"/>
        <w:category>
          <w:name w:val="General"/>
          <w:gallery w:val="placeholder"/>
        </w:category>
        <w:types>
          <w:type w:val="bbPlcHdr"/>
        </w:types>
        <w:behaviors>
          <w:behavior w:val="content"/>
        </w:behaviors>
        <w:guid w:val="{00A9F2A6-0628-D840-B011-10A21516D09E}"/>
      </w:docPartPr>
      <w:docPartBody>
        <w:p w:rsidR="004B37B9" w:rsidRDefault="004B37B9" w:rsidP="004B37B9">
          <w:pPr>
            <w:pStyle w:val="ECDADCADECBAAF488DDCB9D3072E1412"/>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774F6"/>
    <w:rsid w:val="000A42AE"/>
    <w:rsid w:val="00136030"/>
    <w:rsid w:val="001B68CE"/>
    <w:rsid w:val="00200821"/>
    <w:rsid w:val="00201CE6"/>
    <w:rsid w:val="0025245B"/>
    <w:rsid w:val="002A3923"/>
    <w:rsid w:val="00360824"/>
    <w:rsid w:val="003656EA"/>
    <w:rsid w:val="00394049"/>
    <w:rsid w:val="003E4EFC"/>
    <w:rsid w:val="0045549D"/>
    <w:rsid w:val="004B37B9"/>
    <w:rsid w:val="004B5BBB"/>
    <w:rsid w:val="004E6899"/>
    <w:rsid w:val="004F2DF8"/>
    <w:rsid w:val="005874AE"/>
    <w:rsid w:val="00601124"/>
    <w:rsid w:val="006B4A2E"/>
    <w:rsid w:val="006F24A1"/>
    <w:rsid w:val="0073399F"/>
    <w:rsid w:val="00787C63"/>
    <w:rsid w:val="007C53D6"/>
    <w:rsid w:val="0094275A"/>
    <w:rsid w:val="009A261B"/>
    <w:rsid w:val="009C3CB6"/>
    <w:rsid w:val="00A4418E"/>
    <w:rsid w:val="00A77CE2"/>
    <w:rsid w:val="00AA2E17"/>
    <w:rsid w:val="00AC15A4"/>
    <w:rsid w:val="00B0336C"/>
    <w:rsid w:val="00B30277"/>
    <w:rsid w:val="00BC6966"/>
    <w:rsid w:val="00C00143"/>
    <w:rsid w:val="00C7585D"/>
    <w:rsid w:val="00D16D87"/>
    <w:rsid w:val="00D241E9"/>
    <w:rsid w:val="00D74C0A"/>
    <w:rsid w:val="00D7750D"/>
    <w:rsid w:val="00D969A4"/>
    <w:rsid w:val="00DB1CAF"/>
    <w:rsid w:val="00ED2F3C"/>
    <w:rsid w:val="00ED44DD"/>
    <w:rsid w:val="00F00D2F"/>
    <w:rsid w:val="00F128DF"/>
    <w:rsid w:val="00F20052"/>
    <w:rsid w:val="00F41FD6"/>
    <w:rsid w:val="00FD3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7B9"/>
    <w:rPr>
      <w:color w:val="808080"/>
    </w:rPr>
  </w:style>
  <w:style w:type="paragraph" w:customStyle="1" w:styleId="ECDADCADECBAAF488DDCB9D3072E1412">
    <w:name w:val="ECDADCADECBAAF488DDCB9D3072E1412"/>
    <w:rsid w:val="004B37B9"/>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30f74aa-8393-4aa5-b2f8-3c7aae566a68">
      <UserInfo>
        <DisplayName/>
        <AccountId xsi:nil="true"/>
        <AccountType/>
      </UserInfo>
    </SharedWithUsers>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C3A24A7B-68A5-4000-8676-20F7ECA01515}">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B1A2DBC8-99B0-4364-8FCF-03D182845862}">
  <ds:schemaRefs>
    <ds:schemaRef ds:uri="http://schemas.microsoft.com/sharepoint/v3/contenttype/forms"/>
  </ds:schemaRefs>
</ds:datastoreItem>
</file>

<file path=customXml/itemProps4.xml><?xml version="1.0" encoding="utf-8"?>
<ds:datastoreItem xmlns:ds="http://schemas.openxmlformats.org/officeDocument/2006/customXml" ds:itemID="{48C8AE0C-116D-483A-BA1F-2868FEB03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12423</Characters>
  <Application>Microsoft Office Word</Application>
  <DocSecurity>0</DocSecurity>
  <Lines>103</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2026-01-29T14:15:00Z</dcterms:created>
  <dcterms:modified xsi:type="dcterms:W3CDTF">2026-01-29T14:15:00Z</dcterms:modified>
</cp:coreProperties>
</file>