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C441C"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069A7FB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456FB">
                              <w:rPr>
                                <w:rFonts w:asciiTheme="majorHAnsi" w:hAnsiTheme="majorHAnsi" w:cs="Arial"/>
                                <w:b/>
                                <w:bCs/>
                                <w:color w:val="0D0D0D" w:themeColor="text1" w:themeTint="F2"/>
                                <w:sz w:val="36"/>
                                <w:szCs w:val="22"/>
                                <w:lang w:val="es-ES_tradnl"/>
                              </w:rPr>
                              <w:t>305</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74C20BC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51435C">
                              <w:rPr>
                                <w:rFonts w:asciiTheme="majorHAnsi" w:hAnsiTheme="majorHAnsi" w:cs="Arial"/>
                                <w:b/>
                                <w:color w:val="0D0D0D" w:themeColor="text1" w:themeTint="F2"/>
                                <w:sz w:val="36"/>
                                <w:szCs w:val="22"/>
                                <w:lang w:val="es-ES_tradnl"/>
                              </w:rPr>
                              <w:t>1512-15</w:t>
                            </w:r>
                          </w:p>
                          <w:p w14:paraId="188B4303" w14:textId="5057881B"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64D1F167" w14:textId="77777777" w:rsidR="008823E6" w:rsidRDefault="0051435C"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 xml:space="preserve">AFILIADOS DE LA </w:t>
                            </w:r>
                            <w:r w:rsidRPr="0051435C">
                              <w:rPr>
                                <w:rFonts w:asciiTheme="majorHAnsi" w:hAnsiTheme="majorHAnsi" w:cs="Arial"/>
                                <w:color w:val="0D0D0D" w:themeColor="text1" w:themeTint="F2"/>
                                <w:szCs w:val="22"/>
                                <w:lang w:val="es-ES_tradnl"/>
                              </w:rPr>
                              <w:t xml:space="preserve">ASOCIACIÓN NACIONAL DE EMPLEADOS </w:t>
                            </w:r>
                          </w:p>
                          <w:p w14:paraId="768F8782" w14:textId="7E60DB81" w:rsidR="005B52B0" w:rsidRPr="0010736F" w:rsidRDefault="0051435C" w:rsidP="00997BC5">
                            <w:pPr>
                              <w:spacing w:line="276" w:lineRule="auto"/>
                              <w:rPr>
                                <w:rFonts w:asciiTheme="majorHAnsi" w:hAnsiTheme="majorHAnsi" w:cs="Arial"/>
                                <w:color w:val="0D0D0D" w:themeColor="text1" w:themeTint="F2"/>
                                <w:szCs w:val="22"/>
                                <w:lang w:val="es-ES_tradnl"/>
                              </w:rPr>
                            </w:pPr>
                            <w:r w:rsidRPr="0051435C">
                              <w:rPr>
                                <w:rFonts w:asciiTheme="majorHAnsi" w:hAnsiTheme="majorHAnsi" w:cs="Arial"/>
                                <w:color w:val="0D0D0D" w:themeColor="text1" w:themeTint="F2"/>
                                <w:szCs w:val="22"/>
                                <w:lang w:val="es-ES_tradnl"/>
                              </w:rPr>
                              <w:t>DEL BANCO DE LA REPÚBLICA</w:t>
                            </w:r>
                            <w:r>
                              <w:rPr>
                                <w:rFonts w:asciiTheme="majorHAnsi" w:hAnsiTheme="majorHAnsi" w:cs="Arial"/>
                                <w:color w:val="0D0D0D" w:themeColor="text1" w:themeTint="F2"/>
                                <w:szCs w:val="22"/>
                                <w:lang w:val="es-ES_tradnl"/>
                              </w:rPr>
                              <w:t xml:space="preserve"> (ANEBRE)</w:t>
                            </w:r>
                          </w:p>
                          <w:bookmarkEnd w:id="0"/>
                          <w:p w14:paraId="0B9F7D22" w14:textId="228E4AA0" w:rsidR="005B52B0" w:rsidRPr="00F56ECB" w:rsidRDefault="0051435C"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069A7FB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456FB">
                        <w:rPr>
                          <w:rFonts w:asciiTheme="majorHAnsi" w:hAnsiTheme="majorHAnsi" w:cs="Arial"/>
                          <w:b/>
                          <w:bCs/>
                          <w:color w:val="0D0D0D" w:themeColor="text1" w:themeTint="F2"/>
                          <w:sz w:val="36"/>
                          <w:szCs w:val="22"/>
                          <w:lang w:val="es-ES_tradnl"/>
                        </w:rPr>
                        <w:t>305</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74C20BC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51435C">
                        <w:rPr>
                          <w:rFonts w:asciiTheme="majorHAnsi" w:hAnsiTheme="majorHAnsi" w:cs="Arial"/>
                          <w:b/>
                          <w:color w:val="0D0D0D" w:themeColor="text1" w:themeTint="F2"/>
                          <w:sz w:val="36"/>
                          <w:szCs w:val="22"/>
                          <w:lang w:val="es-ES_tradnl"/>
                        </w:rPr>
                        <w:t>1512-15</w:t>
                      </w:r>
                    </w:p>
                    <w:p w14:paraId="188B4303" w14:textId="5057881B"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64D1F167" w14:textId="77777777" w:rsidR="008823E6" w:rsidRDefault="0051435C"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 xml:space="preserve">AFILIADOS DE LA </w:t>
                      </w:r>
                      <w:r w:rsidRPr="0051435C">
                        <w:rPr>
                          <w:rFonts w:asciiTheme="majorHAnsi" w:hAnsiTheme="majorHAnsi" w:cs="Arial"/>
                          <w:color w:val="0D0D0D" w:themeColor="text1" w:themeTint="F2"/>
                          <w:szCs w:val="22"/>
                          <w:lang w:val="es-ES_tradnl"/>
                        </w:rPr>
                        <w:t xml:space="preserve">ASOCIACIÓN NACIONAL DE EMPLEADOS </w:t>
                      </w:r>
                    </w:p>
                    <w:p w14:paraId="768F8782" w14:textId="7E60DB81" w:rsidR="005B52B0" w:rsidRPr="0010736F" w:rsidRDefault="0051435C" w:rsidP="00997BC5">
                      <w:pPr>
                        <w:spacing w:line="276" w:lineRule="auto"/>
                        <w:rPr>
                          <w:rFonts w:asciiTheme="majorHAnsi" w:hAnsiTheme="majorHAnsi" w:cs="Arial"/>
                          <w:color w:val="0D0D0D" w:themeColor="text1" w:themeTint="F2"/>
                          <w:szCs w:val="22"/>
                          <w:lang w:val="es-ES_tradnl"/>
                        </w:rPr>
                      </w:pPr>
                      <w:r w:rsidRPr="0051435C">
                        <w:rPr>
                          <w:rFonts w:asciiTheme="majorHAnsi" w:hAnsiTheme="majorHAnsi" w:cs="Arial"/>
                          <w:color w:val="0D0D0D" w:themeColor="text1" w:themeTint="F2"/>
                          <w:szCs w:val="22"/>
                          <w:lang w:val="es-ES_tradnl"/>
                        </w:rPr>
                        <w:t>DEL BANCO DE LA REPÚBLICA</w:t>
                      </w:r>
                      <w:r>
                        <w:rPr>
                          <w:rFonts w:asciiTheme="majorHAnsi" w:hAnsiTheme="majorHAnsi" w:cs="Arial"/>
                          <w:color w:val="0D0D0D" w:themeColor="text1" w:themeTint="F2"/>
                          <w:szCs w:val="22"/>
                          <w:lang w:val="es-ES_tradnl"/>
                        </w:rPr>
                        <w:t xml:space="preserve"> (ANEBRE)</w:t>
                      </w:r>
                    </w:p>
                    <w:bookmarkEnd w:id="1"/>
                    <w:p w14:paraId="0B9F7D22" w14:textId="228E4AA0" w:rsidR="005B52B0" w:rsidRPr="00F56ECB" w:rsidRDefault="0051435C"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73012AB" w:rsidR="00627C9F" w:rsidRPr="00D1772D" w:rsidRDefault="00834D49" w:rsidP="007A5817">
                            <w:pPr>
                              <w:spacing w:line="276" w:lineRule="auto"/>
                              <w:jc w:val="right"/>
                              <w:rPr>
                                <w:rFonts w:asciiTheme="minorHAnsi" w:hAnsiTheme="minorHAnsi"/>
                                <w:color w:val="FFFFFF" w:themeColor="background1"/>
                                <w:sz w:val="22"/>
                                <w:lang w:val="es-ES"/>
                              </w:rPr>
                            </w:pPr>
                            <w:r w:rsidRPr="00D1772D">
                              <w:rPr>
                                <w:rFonts w:asciiTheme="minorHAnsi" w:hAnsiTheme="minorHAnsi"/>
                                <w:color w:val="FFFFFF" w:themeColor="background1"/>
                                <w:sz w:val="22"/>
                                <w:lang w:val="es-ES"/>
                              </w:rPr>
                              <w:t>OEA/Ser.L/V/II</w:t>
                            </w:r>
                          </w:p>
                          <w:p w14:paraId="71D2D5D2" w14:textId="3DF95173" w:rsidR="00627C9F" w:rsidRPr="00D1772D" w:rsidRDefault="00627C9F" w:rsidP="007A5817">
                            <w:pPr>
                              <w:spacing w:line="276" w:lineRule="auto"/>
                              <w:jc w:val="right"/>
                              <w:rPr>
                                <w:rFonts w:asciiTheme="minorHAnsi" w:hAnsiTheme="minorHAnsi"/>
                                <w:color w:val="FFFFFF" w:themeColor="background1"/>
                                <w:sz w:val="22"/>
                                <w:lang w:val="es-ES"/>
                              </w:rPr>
                            </w:pPr>
                            <w:r w:rsidRPr="00D1772D">
                              <w:rPr>
                                <w:rFonts w:asciiTheme="minorHAnsi" w:hAnsiTheme="minorHAnsi"/>
                                <w:color w:val="FFFFFF" w:themeColor="background1"/>
                                <w:sz w:val="22"/>
                                <w:lang w:val="es-ES"/>
                              </w:rPr>
                              <w:t xml:space="preserve">Doc. </w:t>
                            </w:r>
                            <w:r w:rsidR="00BC006A">
                              <w:rPr>
                                <w:rFonts w:asciiTheme="minorHAnsi" w:hAnsiTheme="minorHAnsi"/>
                                <w:color w:val="FFFFFF" w:themeColor="background1"/>
                                <w:sz w:val="22"/>
                                <w:lang w:val="es-ES"/>
                              </w:rPr>
                              <w:t>320</w:t>
                            </w:r>
                          </w:p>
                          <w:p w14:paraId="4061DBBD" w14:textId="43D20784" w:rsidR="00627C9F" w:rsidRPr="00C25ADB" w:rsidRDefault="00BC006A"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27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73012AB" w:rsidR="00627C9F" w:rsidRPr="00D1772D" w:rsidRDefault="00834D49" w:rsidP="007A5817">
                      <w:pPr>
                        <w:spacing w:line="276" w:lineRule="auto"/>
                        <w:jc w:val="right"/>
                        <w:rPr>
                          <w:rFonts w:asciiTheme="minorHAnsi" w:hAnsiTheme="minorHAnsi"/>
                          <w:color w:val="FFFFFF" w:themeColor="background1"/>
                          <w:sz w:val="22"/>
                          <w:lang w:val="es-ES"/>
                        </w:rPr>
                      </w:pPr>
                      <w:r w:rsidRPr="00D1772D">
                        <w:rPr>
                          <w:rFonts w:asciiTheme="minorHAnsi" w:hAnsiTheme="minorHAnsi"/>
                          <w:color w:val="FFFFFF" w:themeColor="background1"/>
                          <w:sz w:val="22"/>
                          <w:lang w:val="es-ES"/>
                        </w:rPr>
                        <w:t>OEA/Ser.L/V/II</w:t>
                      </w:r>
                    </w:p>
                    <w:p w14:paraId="71D2D5D2" w14:textId="3DF95173" w:rsidR="00627C9F" w:rsidRPr="00D1772D" w:rsidRDefault="00627C9F" w:rsidP="007A5817">
                      <w:pPr>
                        <w:spacing w:line="276" w:lineRule="auto"/>
                        <w:jc w:val="right"/>
                        <w:rPr>
                          <w:rFonts w:asciiTheme="minorHAnsi" w:hAnsiTheme="minorHAnsi"/>
                          <w:color w:val="FFFFFF" w:themeColor="background1"/>
                          <w:sz w:val="22"/>
                          <w:lang w:val="es-ES"/>
                        </w:rPr>
                      </w:pPr>
                      <w:r w:rsidRPr="00D1772D">
                        <w:rPr>
                          <w:rFonts w:asciiTheme="minorHAnsi" w:hAnsiTheme="minorHAnsi"/>
                          <w:color w:val="FFFFFF" w:themeColor="background1"/>
                          <w:sz w:val="22"/>
                          <w:lang w:val="es-ES"/>
                        </w:rPr>
                        <w:t xml:space="preserve">Doc. </w:t>
                      </w:r>
                      <w:r w:rsidR="00BC006A">
                        <w:rPr>
                          <w:rFonts w:asciiTheme="minorHAnsi" w:hAnsiTheme="minorHAnsi"/>
                          <w:color w:val="FFFFFF" w:themeColor="background1"/>
                          <w:sz w:val="22"/>
                          <w:lang w:val="es-ES"/>
                        </w:rPr>
                        <w:t>320</w:t>
                      </w:r>
                    </w:p>
                    <w:p w14:paraId="4061DBBD" w14:textId="43D20784" w:rsidR="00627C9F" w:rsidRPr="00C25ADB" w:rsidRDefault="00BC006A"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27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413C9742"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567A02">
                              <w:rPr>
                                <w:rFonts w:asciiTheme="majorHAnsi" w:hAnsiTheme="majorHAnsi"/>
                                <w:color w:val="0D0D0D" w:themeColor="text1" w:themeTint="F2"/>
                                <w:sz w:val="18"/>
                                <w:szCs w:val="22"/>
                                <w:lang w:val="es-ES"/>
                              </w:rPr>
                              <w:t>27</w:t>
                            </w:r>
                            <w:r w:rsidRPr="00890650">
                              <w:rPr>
                                <w:rFonts w:asciiTheme="majorHAnsi" w:hAnsiTheme="majorHAnsi"/>
                                <w:color w:val="0D0D0D" w:themeColor="text1" w:themeTint="F2"/>
                                <w:sz w:val="18"/>
                                <w:szCs w:val="22"/>
                                <w:lang w:val="es-ES"/>
                              </w:rPr>
                              <w:t xml:space="preserve"> de </w:t>
                            </w:r>
                            <w:r w:rsidR="00567A02">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567A02">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413C9742"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567A02">
                        <w:rPr>
                          <w:rFonts w:asciiTheme="majorHAnsi" w:hAnsiTheme="majorHAnsi"/>
                          <w:color w:val="0D0D0D" w:themeColor="text1" w:themeTint="F2"/>
                          <w:sz w:val="18"/>
                          <w:szCs w:val="22"/>
                          <w:lang w:val="es-ES"/>
                        </w:rPr>
                        <w:t>27</w:t>
                      </w:r>
                      <w:r w:rsidRPr="00890650">
                        <w:rPr>
                          <w:rFonts w:asciiTheme="majorHAnsi" w:hAnsiTheme="majorHAnsi"/>
                          <w:color w:val="0D0D0D" w:themeColor="text1" w:themeTint="F2"/>
                          <w:sz w:val="18"/>
                          <w:szCs w:val="22"/>
                          <w:lang w:val="es-ES"/>
                        </w:rPr>
                        <w:t xml:space="preserve"> de </w:t>
                      </w:r>
                      <w:r w:rsidR="00567A02">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567A02">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66767C07"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567A02" w:rsidRPr="00FB0A1A">
                              <w:rPr>
                                <w:rFonts w:asciiTheme="majorHAnsi" w:hAnsiTheme="majorHAnsi"/>
                                <w:color w:val="595959" w:themeColor="text1" w:themeTint="A6"/>
                                <w:sz w:val="18"/>
                                <w:szCs w:val="18"/>
                                <w:lang w:val="pt-BR"/>
                              </w:rPr>
                              <w:t>305</w:t>
                            </w:r>
                            <w:r w:rsidR="007B05C4" w:rsidRPr="00FB0A1A">
                              <w:rPr>
                                <w:rFonts w:asciiTheme="majorHAnsi" w:hAnsiTheme="majorHAnsi"/>
                                <w:color w:val="595959" w:themeColor="text1" w:themeTint="A6"/>
                                <w:sz w:val="18"/>
                                <w:szCs w:val="18"/>
                                <w:lang w:val="pt-BR"/>
                              </w:rPr>
                              <w:t>/</w:t>
                            </w:r>
                            <w:r w:rsidR="00FB0A1A" w:rsidRPr="00FB0A1A">
                              <w:rPr>
                                <w:rFonts w:asciiTheme="majorHAnsi" w:hAnsiTheme="majorHAnsi"/>
                                <w:color w:val="595959" w:themeColor="text1" w:themeTint="A6"/>
                                <w:sz w:val="18"/>
                                <w:szCs w:val="18"/>
                                <w:lang w:val="pt-BR"/>
                              </w:rPr>
                              <w:t>25</w:t>
                            </w:r>
                            <w:r w:rsidRPr="00FB0A1A">
                              <w:rPr>
                                <w:rFonts w:asciiTheme="majorHAnsi" w:hAnsiTheme="majorHAnsi"/>
                                <w:color w:val="595959" w:themeColor="text1" w:themeTint="A6"/>
                                <w:sz w:val="18"/>
                                <w:szCs w:val="18"/>
                                <w:lang w:val="pt-BR"/>
                              </w:rPr>
                              <w:t xml:space="preserve">. </w:t>
                            </w:r>
                            <w:r w:rsidR="002856F9">
                              <w:rPr>
                                <w:rFonts w:asciiTheme="majorHAnsi" w:hAnsiTheme="majorHAnsi"/>
                                <w:color w:val="595959" w:themeColor="text1" w:themeTint="A6"/>
                                <w:sz w:val="18"/>
                                <w:szCs w:val="18"/>
                                <w:lang w:val="es-ES_tradnl"/>
                              </w:rPr>
                              <w:t>Petición</w:t>
                            </w:r>
                            <w:r w:rsidR="00174F0C">
                              <w:rPr>
                                <w:rFonts w:asciiTheme="majorHAnsi" w:hAnsiTheme="majorHAnsi"/>
                                <w:color w:val="595959" w:themeColor="text1" w:themeTint="A6"/>
                                <w:sz w:val="18"/>
                                <w:szCs w:val="18"/>
                                <w:lang w:val="es-ES_tradnl"/>
                              </w:rPr>
                              <w:t xml:space="preserve"> </w:t>
                            </w:r>
                            <w:r w:rsidR="002C4E8A">
                              <w:rPr>
                                <w:rFonts w:asciiTheme="majorHAnsi" w:hAnsiTheme="majorHAnsi"/>
                                <w:color w:val="595959" w:themeColor="text1" w:themeTint="A6"/>
                                <w:sz w:val="18"/>
                                <w:szCs w:val="18"/>
                                <w:lang w:val="es-ES"/>
                              </w:rPr>
                              <w:t>1512-15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r w:rsidR="002C4E8A" w:rsidRPr="002C4E8A">
                              <w:rPr>
                                <w:rFonts w:asciiTheme="majorHAnsi" w:hAnsiTheme="majorHAnsi"/>
                                <w:color w:val="595959" w:themeColor="text1" w:themeTint="A6"/>
                                <w:sz w:val="18"/>
                                <w:szCs w:val="18"/>
                                <w:lang w:val="es-ES_tradnl"/>
                              </w:rPr>
                              <w:t xml:space="preserve">Afiliados </w:t>
                            </w:r>
                            <w:r w:rsidR="002C4E8A">
                              <w:rPr>
                                <w:rFonts w:asciiTheme="majorHAnsi" w:hAnsiTheme="majorHAnsi"/>
                                <w:color w:val="595959" w:themeColor="text1" w:themeTint="A6"/>
                                <w:sz w:val="18"/>
                                <w:szCs w:val="18"/>
                                <w:lang w:val="es-ES_tradnl"/>
                              </w:rPr>
                              <w:t>de</w:t>
                            </w:r>
                            <w:r w:rsidR="002C4E8A" w:rsidRPr="002C4E8A">
                              <w:rPr>
                                <w:rFonts w:asciiTheme="majorHAnsi" w:hAnsiTheme="majorHAnsi"/>
                                <w:color w:val="595959" w:themeColor="text1" w:themeTint="A6"/>
                                <w:sz w:val="18"/>
                                <w:szCs w:val="18"/>
                                <w:lang w:val="es-ES_tradnl"/>
                              </w:rPr>
                              <w:t xml:space="preserve"> la Asociación Nacional de Empleados del Banco de la República</w:t>
                            </w:r>
                            <w:r w:rsidR="004669C6">
                              <w:rPr>
                                <w:rFonts w:asciiTheme="majorHAnsi" w:hAnsiTheme="majorHAnsi"/>
                                <w:color w:val="595959" w:themeColor="text1" w:themeTint="A6"/>
                                <w:sz w:val="18"/>
                                <w:szCs w:val="18"/>
                                <w:lang w:val="es-ES_tradnl"/>
                              </w:rPr>
                              <w:t xml:space="preserve"> (ANEBRE)</w:t>
                            </w:r>
                            <w:r w:rsidRPr="00890650">
                              <w:rPr>
                                <w:rFonts w:asciiTheme="majorHAnsi" w:hAnsiTheme="majorHAnsi"/>
                                <w:color w:val="595959" w:themeColor="text1" w:themeTint="A6"/>
                                <w:sz w:val="18"/>
                                <w:szCs w:val="18"/>
                                <w:lang w:val="es-ES_tradnl"/>
                              </w:rPr>
                              <w:t xml:space="preserve">. </w:t>
                            </w:r>
                            <w:r w:rsidR="002C4E8A">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4669C6">
                              <w:rPr>
                                <w:rFonts w:asciiTheme="majorHAnsi" w:hAnsiTheme="majorHAnsi"/>
                                <w:color w:val="595959" w:themeColor="text1" w:themeTint="A6"/>
                                <w:sz w:val="18"/>
                                <w:szCs w:val="18"/>
                                <w:lang w:val="es-ES"/>
                              </w:rPr>
                              <w:t>27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66767C07"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567A02" w:rsidRPr="00FB0A1A">
                        <w:rPr>
                          <w:rFonts w:asciiTheme="majorHAnsi" w:hAnsiTheme="majorHAnsi"/>
                          <w:color w:val="595959" w:themeColor="text1" w:themeTint="A6"/>
                          <w:sz w:val="18"/>
                          <w:szCs w:val="18"/>
                          <w:lang w:val="pt-BR"/>
                        </w:rPr>
                        <w:t>305</w:t>
                      </w:r>
                      <w:r w:rsidR="007B05C4" w:rsidRPr="00FB0A1A">
                        <w:rPr>
                          <w:rFonts w:asciiTheme="majorHAnsi" w:hAnsiTheme="majorHAnsi"/>
                          <w:color w:val="595959" w:themeColor="text1" w:themeTint="A6"/>
                          <w:sz w:val="18"/>
                          <w:szCs w:val="18"/>
                          <w:lang w:val="pt-BR"/>
                        </w:rPr>
                        <w:t>/</w:t>
                      </w:r>
                      <w:r w:rsidR="00FB0A1A" w:rsidRPr="00FB0A1A">
                        <w:rPr>
                          <w:rFonts w:asciiTheme="majorHAnsi" w:hAnsiTheme="majorHAnsi"/>
                          <w:color w:val="595959" w:themeColor="text1" w:themeTint="A6"/>
                          <w:sz w:val="18"/>
                          <w:szCs w:val="18"/>
                          <w:lang w:val="pt-BR"/>
                        </w:rPr>
                        <w:t>25</w:t>
                      </w:r>
                      <w:r w:rsidRPr="00FB0A1A">
                        <w:rPr>
                          <w:rFonts w:asciiTheme="majorHAnsi" w:hAnsiTheme="majorHAnsi"/>
                          <w:color w:val="595959" w:themeColor="text1" w:themeTint="A6"/>
                          <w:sz w:val="18"/>
                          <w:szCs w:val="18"/>
                          <w:lang w:val="pt-BR"/>
                        </w:rPr>
                        <w:t xml:space="preserve">. </w:t>
                      </w:r>
                      <w:r w:rsidR="002856F9">
                        <w:rPr>
                          <w:rFonts w:asciiTheme="majorHAnsi" w:hAnsiTheme="majorHAnsi"/>
                          <w:color w:val="595959" w:themeColor="text1" w:themeTint="A6"/>
                          <w:sz w:val="18"/>
                          <w:szCs w:val="18"/>
                          <w:lang w:val="es-ES_tradnl"/>
                        </w:rPr>
                        <w:t>Petición</w:t>
                      </w:r>
                      <w:r w:rsidR="00174F0C">
                        <w:rPr>
                          <w:rFonts w:asciiTheme="majorHAnsi" w:hAnsiTheme="majorHAnsi"/>
                          <w:color w:val="595959" w:themeColor="text1" w:themeTint="A6"/>
                          <w:sz w:val="18"/>
                          <w:szCs w:val="18"/>
                          <w:lang w:val="es-ES_tradnl"/>
                        </w:rPr>
                        <w:t xml:space="preserve"> </w:t>
                      </w:r>
                      <w:r w:rsidR="002C4E8A">
                        <w:rPr>
                          <w:rFonts w:asciiTheme="majorHAnsi" w:hAnsiTheme="majorHAnsi"/>
                          <w:color w:val="595959" w:themeColor="text1" w:themeTint="A6"/>
                          <w:sz w:val="18"/>
                          <w:szCs w:val="18"/>
                          <w:lang w:val="es-ES"/>
                        </w:rPr>
                        <w:t>1512-15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r w:rsidR="002C4E8A" w:rsidRPr="002C4E8A">
                        <w:rPr>
                          <w:rFonts w:asciiTheme="majorHAnsi" w:hAnsiTheme="majorHAnsi"/>
                          <w:color w:val="595959" w:themeColor="text1" w:themeTint="A6"/>
                          <w:sz w:val="18"/>
                          <w:szCs w:val="18"/>
                          <w:lang w:val="es-ES_tradnl"/>
                        </w:rPr>
                        <w:t xml:space="preserve">Afiliados </w:t>
                      </w:r>
                      <w:r w:rsidR="002C4E8A">
                        <w:rPr>
                          <w:rFonts w:asciiTheme="majorHAnsi" w:hAnsiTheme="majorHAnsi"/>
                          <w:color w:val="595959" w:themeColor="text1" w:themeTint="A6"/>
                          <w:sz w:val="18"/>
                          <w:szCs w:val="18"/>
                          <w:lang w:val="es-ES_tradnl"/>
                        </w:rPr>
                        <w:t>de</w:t>
                      </w:r>
                      <w:r w:rsidR="002C4E8A" w:rsidRPr="002C4E8A">
                        <w:rPr>
                          <w:rFonts w:asciiTheme="majorHAnsi" w:hAnsiTheme="majorHAnsi"/>
                          <w:color w:val="595959" w:themeColor="text1" w:themeTint="A6"/>
                          <w:sz w:val="18"/>
                          <w:szCs w:val="18"/>
                          <w:lang w:val="es-ES_tradnl"/>
                        </w:rPr>
                        <w:t xml:space="preserve"> la Asociación Nacional de Empleados del Banco de la República</w:t>
                      </w:r>
                      <w:r w:rsidR="004669C6">
                        <w:rPr>
                          <w:rFonts w:asciiTheme="majorHAnsi" w:hAnsiTheme="majorHAnsi"/>
                          <w:color w:val="595959" w:themeColor="text1" w:themeTint="A6"/>
                          <w:sz w:val="18"/>
                          <w:szCs w:val="18"/>
                          <w:lang w:val="es-ES_tradnl"/>
                        </w:rPr>
                        <w:t xml:space="preserve"> (ANEBRE)</w:t>
                      </w:r>
                      <w:r w:rsidRPr="00890650">
                        <w:rPr>
                          <w:rFonts w:asciiTheme="majorHAnsi" w:hAnsiTheme="majorHAnsi"/>
                          <w:color w:val="595959" w:themeColor="text1" w:themeTint="A6"/>
                          <w:sz w:val="18"/>
                          <w:szCs w:val="18"/>
                          <w:lang w:val="es-ES_tradnl"/>
                        </w:rPr>
                        <w:t xml:space="preserve">. </w:t>
                      </w:r>
                      <w:r w:rsidR="002C4E8A">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4669C6">
                        <w:rPr>
                          <w:rFonts w:asciiTheme="majorHAnsi" w:hAnsiTheme="majorHAnsi"/>
                          <w:color w:val="595959" w:themeColor="text1" w:themeTint="A6"/>
                          <w:sz w:val="18"/>
                          <w:szCs w:val="18"/>
                          <w:lang w:val="es-ES"/>
                        </w:rPr>
                        <w:t>27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3A438189"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105967A8">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4ACD26EE" w:rsidR="0070697F" w:rsidRDefault="003319CC"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03E542E4">
                <wp:simplePos x="0" y="0"/>
                <wp:positionH relativeFrom="column">
                  <wp:posOffset>1329397</wp:posOffset>
                </wp:positionH>
                <wp:positionV relativeFrom="paragraph">
                  <wp:posOffset>490806</wp:posOffset>
                </wp:positionV>
                <wp:extent cx="4096385" cy="620591"/>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4096385" cy="6205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5438603D" w:rsidR="00D72DC6" w:rsidRPr="00D72DC6" w:rsidRDefault="00460A68" w:rsidP="00F02AD1">
                            <w:pPr>
                              <w:rPr>
                                <w:color w:val="FFFFFF" w:themeColor="background1"/>
                                <w14:textFill>
                                  <w14:noFill/>
                                </w14:textFill>
                              </w:rPr>
                            </w:pPr>
                            <w:r>
                              <w:rPr>
                                <w:noProof/>
                                <w:color w:val="FFFFFF" w:themeColor="background1"/>
                              </w:rPr>
                              <w:drawing>
                                <wp:inline distT="0" distB="0" distL="0" distR="0" wp14:anchorId="11D0E8F2" wp14:editId="16853BCC">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7pt;margin-top:38.65pt;width:322.55pt;height:48.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" fillcolor="white [3201]" stroked="f" strokeweight=".5pt">
                <v:textbox>
                  <w:txbxContent>
                    <w:p w14:paraId="16E85441" w14:textId="5438603D" w:rsidR="00D72DC6" w:rsidRPr="00D72DC6" w:rsidRDefault="00460A68" w:rsidP="00F02AD1">
                      <w:pPr>
                        <w:rPr>
                          <w:color w:val="FFFFFF" w:themeColor="background1"/>
                          <w14:textFill>
                            <w14:noFill/>
                          </w14:textFill>
                        </w:rPr>
                      </w:pPr>
                      <w:r>
                        <w:rPr>
                          <w:noProof/>
                          <w:color w:val="FFFFFF" w:themeColor="background1"/>
                        </w:rPr>
                        <w:drawing>
                          <wp:inline distT="0" distB="0" distL="0" distR="0" wp14:anchorId="11D0E8F2" wp14:editId="16853BCC">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D75B8F"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239D970D" w:rsidR="003239B8" w:rsidRPr="00E74734" w:rsidRDefault="00E74734" w:rsidP="008D2290">
            <w:pPr>
              <w:jc w:val="both"/>
              <w:rPr>
                <w:rFonts w:ascii="Cambria" w:hAnsi="Cambria"/>
                <w:bCs/>
                <w:sz w:val="20"/>
                <w:szCs w:val="20"/>
                <w:lang w:val="es-CO"/>
              </w:rPr>
            </w:pPr>
            <w:r w:rsidRPr="00E74734">
              <w:rPr>
                <w:rFonts w:ascii="Cambria" w:hAnsi="Cambria"/>
                <w:bCs/>
                <w:sz w:val="20"/>
                <w:szCs w:val="20"/>
                <w:lang w:val="es-CO"/>
              </w:rPr>
              <w:t xml:space="preserve">Corporación Colectivo de Abogados “José Alvear Restrepo” (“CCAJAR”) y la Asociación Nacional de Empleados del Banco de la República </w:t>
            </w:r>
            <w:r>
              <w:rPr>
                <w:rFonts w:ascii="Cambria" w:hAnsi="Cambria"/>
                <w:bCs/>
                <w:sz w:val="20"/>
                <w:szCs w:val="20"/>
                <w:lang w:val="es-CO"/>
              </w:rPr>
              <w:t>(“</w:t>
            </w:r>
            <w:r w:rsidRPr="00E74734">
              <w:rPr>
                <w:rFonts w:ascii="Cambria" w:hAnsi="Cambria"/>
                <w:bCs/>
                <w:sz w:val="20"/>
                <w:szCs w:val="20"/>
                <w:lang w:val="es-CO"/>
              </w:rPr>
              <w:t>ANEBRE</w:t>
            </w:r>
            <w:r>
              <w:rPr>
                <w:rFonts w:ascii="Cambria" w:hAnsi="Cambria"/>
                <w:bCs/>
                <w:sz w:val="20"/>
                <w:szCs w:val="20"/>
                <w:lang w:val="es-CO"/>
              </w:rPr>
              <w:t>”)</w:t>
            </w:r>
          </w:p>
        </w:tc>
      </w:tr>
      <w:tr w:rsidR="003239B8" w:rsidRPr="00767BDD"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C5B715A" w:rsidR="003239B8" w:rsidRPr="000D05CB" w:rsidRDefault="001C6A09"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D50C6F">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06055F8C" w:rsidR="003239B8" w:rsidRPr="00767BDD" w:rsidRDefault="00190055" w:rsidP="00767BDD">
            <w:pPr>
              <w:jc w:val="both"/>
              <w:rPr>
                <w:rFonts w:ascii="Cambria" w:hAnsi="Cambria"/>
                <w:bCs/>
                <w:sz w:val="20"/>
                <w:szCs w:val="20"/>
              </w:rPr>
            </w:pPr>
            <w:r w:rsidRPr="00190055">
              <w:rPr>
                <w:rFonts w:ascii="Cambria" w:hAnsi="Cambria"/>
                <w:bCs/>
                <w:sz w:val="20"/>
                <w:szCs w:val="20"/>
              </w:rPr>
              <w:t>Álvaro Fern</w:t>
            </w:r>
            <w:r>
              <w:rPr>
                <w:rFonts w:ascii="Cambria" w:hAnsi="Cambria"/>
                <w:bCs/>
                <w:sz w:val="20"/>
                <w:szCs w:val="20"/>
              </w:rPr>
              <w:t>ando Luna Apoli</w:t>
            </w:r>
            <w:r w:rsidR="00EC66C1">
              <w:rPr>
                <w:rFonts w:ascii="Cambria" w:hAnsi="Cambria"/>
                <w:bCs/>
                <w:sz w:val="20"/>
                <w:szCs w:val="20"/>
              </w:rPr>
              <w:t>n</w:t>
            </w:r>
            <w:r>
              <w:rPr>
                <w:rFonts w:ascii="Cambria" w:hAnsi="Cambria"/>
                <w:bCs/>
                <w:sz w:val="20"/>
                <w:szCs w:val="20"/>
              </w:rPr>
              <w:t xml:space="preserve">ar, </w:t>
            </w:r>
            <w:r w:rsidR="00EC66C1">
              <w:rPr>
                <w:rFonts w:ascii="Cambria" w:hAnsi="Cambria"/>
                <w:bCs/>
                <w:sz w:val="20"/>
                <w:szCs w:val="20"/>
              </w:rPr>
              <w:t xml:space="preserve">Mery Estela Aponte Mariño, Luis Raúl Vera Castillo, </w:t>
            </w:r>
            <w:r w:rsidR="00634D13" w:rsidRPr="00190055">
              <w:rPr>
                <w:rFonts w:ascii="Cambria" w:hAnsi="Cambria"/>
                <w:bCs/>
                <w:sz w:val="20"/>
                <w:szCs w:val="20"/>
              </w:rPr>
              <w:t xml:space="preserve">Héctor Salazar Salazar, Roberto Arturo Galvis Castañeda, Ramón Elías Montes Rueda, </w:t>
            </w:r>
            <w:r w:rsidR="003B7522" w:rsidRPr="00190055">
              <w:rPr>
                <w:rFonts w:ascii="Cambria" w:hAnsi="Cambria"/>
                <w:bCs/>
                <w:sz w:val="20"/>
                <w:szCs w:val="20"/>
              </w:rPr>
              <w:t xml:space="preserve">Jorge </w:t>
            </w:r>
            <w:r w:rsidR="00214866" w:rsidRPr="00190055">
              <w:rPr>
                <w:rFonts w:ascii="Cambria" w:hAnsi="Cambria"/>
                <w:bCs/>
                <w:sz w:val="20"/>
                <w:szCs w:val="20"/>
              </w:rPr>
              <w:t>Eliecer</w:t>
            </w:r>
            <w:r w:rsidR="003B7522" w:rsidRPr="00190055">
              <w:rPr>
                <w:rFonts w:ascii="Cambria" w:hAnsi="Cambria"/>
                <w:bCs/>
                <w:sz w:val="20"/>
                <w:szCs w:val="20"/>
              </w:rPr>
              <w:t xml:space="preserve"> Arenas Díaz,</w:t>
            </w:r>
            <w:r w:rsidR="00561097" w:rsidRPr="00190055">
              <w:rPr>
                <w:rFonts w:ascii="Cambria" w:hAnsi="Cambria"/>
                <w:bCs/>
                <w:sz w:val="20"/>
                <w:szCs w:val="20"/>
              </w:rPr>
              <w:t xml:space="preserve"> Carlos </w:t>
            </w:r>
            <w:r w:rsidR="005B7316" w:rsidRPr="00190055">
              <w:rPr>
                <w:rFonts w:ascii="Cambria" w:hAnsi="Cambria"/>
                <w:bCs/>
                <w:sz w:val="20"/>
                <w:szCs w:val="20"/>
              </w:rPr>
              <w:t>Asdrúbal</w:t>
            </w:r>
            <w:r w:rsidR="00561097" w:rsidRPr="00190055">
              <w:rPr>
                <w:rFonts w:ascii="Cambria" w:hAnsi="Cambria"/>
                <w:bCs/>
                <w:sz w:val="20"/>
                <w:szCs w:val="20"/>
              </w:rPr>
              <w:t xml:space="preserve"> Trejos Zuluaga, Lucía Esperanza Romero Calderón, Jairo Ulises Ipial Ya</w:t>
            </w:r>
            <w:r w:rsidR="00214866" w:rsidRPr="00190055">
              <w:rPr>
                <w:rFonts w:ascii="Cambria" w:hAnsi="Cambria"/>
                <w:bCs/>
                <w:sz w:val="20"/>
                <w:szCs w:val="20"/>
              </w:rPr>
              <w:t>n</w:t>
            </w:r>
            <w:r w:rsidR="00561097" w:rsidRPr="00190055">
              <w:rPr>
                <w:rFonts w:ascii="Cambria" w:hAnsi="Cambria"/>
                <w:bCs/>
                <w:sz w:val="20"/>
                <w:szCs w:val="20"/>
              </w:rPr>
              <w:t>dun, Luis Eduardo Bocanegra Acosta, Gloria Patricia García Buitrago, Luis Hernando Murcia Rodríguez, Gilberto Espitia Bernal, Juan Jaimes Mantilla, Alejandro Rodríguez Romero, Ricardo Gómez Morales, Jesús María Reyes, Fabio Sá</w:t>
            </w:r>
            <w:r w:rsidR="007E15C9" w:rsidRPr="00190055">
              <w:rPr>
                <w:rFonts w:ascii="Cambria" w:hAnsi="Cambria"/>
                <w:bCs/>
                <w:sz w:val="20"/>
                <w:szCs w:val="20"/>
              </w:rPr>
              <w:t xml:space="preserve">nchez Fajardo, Luis Rodolfo Quintero, Nancy Otálora González, William Fernando Hernández Patiño, Ana Julia Díaz Granados, </w:t>
            </w:r>
            <w:r w:rsidR="00460EBD" w:rsidRPr="00190055">
              <w:rPr>
                <w:rFonts w:ascii="Cambria" w:hAnsi="Cambria"/>
                <w:bCs/>
                <w:sz w:val="20"/>
                <w:szCs w:val="20"/>
              </w:rPr>
              <w:t xml:space="preserve">Javier </w:t>
            </w:r>
            <w:r w:rsidR="005B7316" w:rsidRPr="00190055">
              <w:rPr>
                <w:rFonts w:ascii="Cambria" w:hAnsi="Cambria"/>
                <w:bCs/>
                <w:sz w:val="20"/>
                <w:szCs w:val="20"/>
              </w:rPr>
              <w:t>Guzmán</w:t>
            </w:r>
            <w:r w:rsidR="00460EBD" w:rsidRPr="00190055">
              <w:rPr>
                <w:rFonts w:ascii="Cambria" w:hAnsi="Cambria"/>
                <w:bCs/>
                <w:sz w:val="20"/>
                <w:szCs w:val="20"/>
              </w:rPr>
              <w:t xml:space="preserve"> Sandoval, </w:t>
            </w:r>
            <w:r w:rsidR="005B7316" w:rsidRPr="00190055">
              <w:rPr>
                <w:rFonts w:ascii="Cambria" w:hAnsi="Cambria"/>
                <w:bCs/>
                <w:sz w:val="20"/>
                <w:szCs w:val="20"/>
              </w:rPr>
              <w:t>Edgar Vernaza Franco, Andrés Enrique Cortés, Luis Carlos Mera Molina, Saúl Enrique Durán Astudillo</w:t>
            </w:r>
            <w:r w:rsidR="00767BDD">
              <w:rPr>
                <w:rFonts w:ascii="Cambria" w:hAnsi="Cambria"/>
                <w:bCs/>
                <w:sz w:val="20"/>
                <w:szCs w:val="20"/>
              </w:rPr>
              <w:t>,</w:t>
            </w:r>
            <w:r w:rsidR="005B7316" w:rsidRPr="00190055">
              <w:rPr>
                <w:rFonts w:ascii="Cambria" w:hAnsi="Cambria"/>
                <w:bCs/>
                <w:sz w:val="20"/>
                <w:szCs w:val="20"/>
              </w:rPr>
              <w:t xml:space="preserve"> José Joaquín Suárez</w:t>
            </w:r>
            <w:r w:rsidR="00767BDD">
              <w:rPr>
                <w:rFonts w:ascii="Cambria" w:hAnsi="Cambria"/>
                <w:bCs/>
                <w:sz w:val="20"/>
                <w:szCs w:val="20"/>
              </w:rPr>
              <w:t xml:space="preserve">, </w:t>
            </w:r>
            <w:r w:rsidR="00767BDD" w:rsidRPr="00767BDD">
              <w:rPr>
                <w:rFonts w:ascii="Cambria" w:hAnsi="Cambria"/>
                <w:bCs/>
                <w:sz w:val="20"/>
                <w:szCs w:val="20"/>
              </w:rPr>
              <w:t>Pablo Emilio Arana Medina</w:t>
            </w:r>
            <w:r w:rsidR="00767BDD">
              <w:rPr>
                <w:rFonts w:ascii="Cambria" w:hAnsi="Cambria"/>
                <w:bCs/>
                <w:sz w:val="20"/>
                <w:szCs w:val="20"/>
              </w:rPr>
              <w:t xml:space="preserve">, </w:t>
            </w:r>
            <w:r w:rsidR="00767BDD" w:rsidRPr="00767BDD">
              <w:rPr>
                <w:rFonts w:ascii="Cambria" w:hAnsi="Cambria"/>
                <w:bCs/>
                <w:sz w:val="20"/>
                <w:szCs w:val="20"/>
              </w:rPr>
              <w:t>Juan Fernando Narváez Izurieta</w:t>
            </w:r>
            <w:r w:rsidR="00767BDD">
              <w:rPr>
                <w:rFonts w:ascii="Cambria" w:hAnsi="Cambria"/>
                <w:bCs/>
                <w:sz w:val="20"/>
                <w:szCs w:val="20"/>
              </w:rPr>
              <w:t xml:space="preserve">, </w:t>
            </w:r>
            <w:r w:rsidR="00767BDD" w:rsidRPr="00767BDD">
              <w:rPr>
                <w:rFonts w:ascii="Cambria" w:hAnsi="Cambria"/>
                <w:bCs/>
                <w:sz w:val="20"/>
                <w:szCs w:val="20"/>
              </w:rPr>
              <w:t>Hernando Bello Medina</w:t>
            </w:r>
            <w:r w:rsidR="00767BDD">
              <w:rPr>
                <w:rFonts w:ascii="Cambria" w:hAnsi="Cambria"/>
                <w:bCs/>
                <w:sz w:val="20"/>
                <w:szCs w:val="20"/>
              </w:rPr>
              <w:t xml:space="preserve">, </w:t>
            </w:r>
            <w:r w:rsidR="00767BDD" w:rsidRPr="00767BDD">
              <w:rPr>
                <w:rFonts w:ascii="Cambria" w:hAnsi="Cambria"/>
                <w:bCs/>
                <w:sz w:val="20"/>
                <w:szCs w:val="20"/>
              </w:rPr>
              <w:t>Víctor Manuel Rueda Melo</w:t>
            </w:r>
            <w:r w:rsidR="00767BDD">
              <w:rPr>
                <w:rFonts w:ascii="Cambria" w:hAnsi="Cambria"/>
                <w:bCs/>
                <w:sz w:val="20"/>
                <w:szCs w:val="20"/>
              </w:rPr>
              <w:t xml:space="preserve">, </w:t>
            </w:r>
            <w:r w:rsidR="00767BDD" w:rsidRPr="00767BDD">
              <w:rPr>
                <w:rFonts w:ascii="Cambria" w:hAnsi="Cambria"/>
                <w:bCs/>
                <w:sz w:val="20"/>
                <w:szCs w:val="20"/>
              </w:rPr>
              <w:t>Luis Guillermo Villamizar Cucaita</w:t>
            </w:r>
            <w:r w:rsidR="00767BDD">
              <w:rPr>
                <w:rFonts w:ascii="Cambria" w:hAnsi="Cambria"/>
                <w:bCs/>
                <w:sz w:val="20"/>
                <w:szCs w:val="20"/>
              </w:rPr>
              <w:t xml:space="preserve">, </w:t>
            </w:r>
            <w:r w:rsidR="00767BDD" w:rsidRPr="00767BDD">
              <w:rPr>
                <w:rFonts w:ascii="Cambria" w:hAnsi="Cambria"/>
                <w:bCs/>
                <w:sz w:val="20"/>
                <w:szCs w:val="20"/>
              </w:rPr>
              <w:t>María Elena Palomá Sáenz</w:t>
            </w:r>
            <w:r w:rsidR="00767BDD">
              <w:rPr>
                <w:rFonts w:ascii="Cambria" w:hAnsi="Cambria"/>
                <w:bCs/>
                <w:sz w:val="20"/>
                <w:szCs w:val="20"/>
              </w:rPr>
              <w:t xml:space="preserve">, </w:t>
            </w:r>
            <w:r w:rsidR="00767BDD" w:rsidRPr="00767BDD">
              <w:rPr>
                <w:rFonts w:ascii="Cambria" w:hAnsi="Cambria"/>
                <w:bCs/>
                <w:sz w:val="20"/>
                <w:szCs w:val="20"/>
              </w:rPr>
              <w:t>Eleanna García Cano</w:t>
            </w:r>
            <w:r w:rsidR="00767BDD">
              <w:rPr>
                <w:rFonts w:ascii="Cambria" w:hAnsi="Cambria"/>
                <w:bCs/>
                <w:sz w:val="20"/>
                <w:szCs w:val="20"/>
              </w:rPr>
              <w:t xml:space="preserve">, </w:t>
            </w:r>
            <w:r w:rsidR="00767BDD" w:rsidRPr="00767BDD">
              <w:rPr>
                <w:rFonts w:ascii="Cambria" w:hAnsi="Cambria"/>
                <w:bCs/>
                <w:sz w:val="20"/>
                <w:szCs w:val="20"/>
              </w:rPr>
              <w:t>Nolberto de la Torre Bolaños</w:t>
            </w:r>
            <w:r w:rsidR="00767BDD">
              <w:rPr>
                <w:rFonts w:ascii="Cambria" w:hAnsi="Cambria"/>
                <w:bCs/>
                <w:sz w:val="20"/>
                <w:szCs w:val="20"/>
              </w:rPr>
              <w:t xml:space="preserve">, </w:t>
            </w:r>
            <w:r w:rsidR="00767BDD" w:rsidRPr="00767BDD">
              <w:rPr>
                <w:rFonts w:ascii="Cambria" w:hAnsi="Cambria"/>
                <w:bCs/>
                <w:sz w:val="20"/>
                <w:szCs w:val="20"/>
              </w:rPr>
              <w:t>Edison Antonio García Perlaza</w:t>
            </w:r>
            <w:r w:rsidR="00767BDD">
              <w:rPr>
                <w:rFonts w:ascii="Cambria" w:hAnsi="Cambria"/>
                <w:bCs/>
                <w:sz w:val="20"/>
                <w:szCs w:val="20"/>
              </w:rPr>
              <w:t xml:space="preserve">, </w:t>
            </w:r>
            <w:r w:rsidR="00767BDD" w:rsidRPr="00767BDD">
              <w:rPr>
                <w:rFonts w:ascii="Cambria" w:hAnsi="Cambria"/>
                <w:bCs/>
                <w:sz w:val="20"/>
                <w:szCs w:val="20"/>
              </w:rPr>
              <w:t>Balmes Hiparco Mosquera Mosquera</w:t>
            </w:r>
            <w:r w:rsidR="00767BDD">
              <w:rPr>
                <w:rFonts w:ascii="Cambria" w:hAnsi="Cambria"/>
                <w:bCs/>
                <w:sz w:val="20"/>
                <w:szCs w:val="20"/>
              </w:rPr>
              <w:t xml:space="preserve">, </w:t>
            </w:r>
            <w:r w:rsidR="00767BDD" w:rsidRPr="00767BDD">
              <w:rPr>
                <w:rFonts w:ascii="Cambria" w:hAnsi="Cambria"/>
                <w:bCs/>
                <w:sz w:val="20"/>
                <w:szCs w:val="20"/>
              </w:rPr>
              <w:t>Juan Carlos Jaramillo</w:t>
            </w:r>
            <w:r w:rsidR="00767BDD">
              <w:rPr>
                <w:rFonts w:ascii="Cambria" w:hAnsi="Cambria"/>
                <w:bCs/>
                <w:sz w:val="20"/>
                <w:szCs w:val="20"/>
              </w:rPr>
              <w:t xml:space="preserve">, </w:t>
            </w:r>
            <w:r w:rsidR="00767BDD" w:rsidRPr="00767BDD">
              <w:rPr>
                <w:rFonts w:ascii="Cambria" w:hAnsi="Cambria"/>
                <w:bCs/>
                <w:sz w:val="20"/>
                <w:szCs w:val="20"/>
              </w:rPr>
              <w:t>Fernando Echeverry Sarmiento</w:t>
            </w:r>
            <w:r w:rsidR="00767BDD">
              <w:rPr>
                <w:rFonts w:ascii="Cambria" w:hAnsi="Cambria"/>
                <w:bCs/>
                <w:sz w:val="20"/>
                <w:szCs w:val="20"/>
              </w:rPr>
              <w:t xml:space="preserve">, </w:t>
            </w:r>
            <w:r w:rsidR="00767BDD" w:rsidRPr="00767BDD">
              <w:rPr>
                <w:rFonts w:ascii="Cambria" w:hAnsi="Cambria"/>
                <w:bCs/>
                <w:sz w:val="20"/>
                <w:szCs w:val="20"/>
              </w:rPr>
              <w:t>Plutarco Fernández Castro</w:t>
            </w:r>
            <w:r w:rsidR="00767BDD">
              <w:rPr>
                <w:rFonts w:ascii="Cambria" w:hAnsi="Cambria"/>
                <w:bCs/>
                <w:sz w:val="20"/>
                <w:szCs w:val="20"/>
              </w:rPr>
              <w:t xml:space="preserve">, </w:t>
            </w:r>
            <w:r w:rsidR="00767BDD" w:rsidRPr="00767BDD">
              <w:rPr>
                <w:rFonts w:ascii="Cambria" w:hAnsi="Cambria"/>
                <w:bCs/>
                <w:sz w:val="20"/>
                <w:szCs w:val="20"/>
              </w:rPr>
              <w:t>Nancy Rodríguez Moreno</w:t>
            </w:r>
            <w:r w:rsidR="00767BDD">
              <w:rPr>
                <w:rFonts w:ascii="Cambria" w:hAnsi="Cambria"/>
                <w:bCs/>
                <w:sz w:val="20"/>
                <w:szCs w:val="20"/>
              </w:rPr>
              <w:t xml:space="preserve">, </w:t>
            </w:r>
            <w:r w:rsidR="00767BDD" w:rsidRPr="00767BDD">
              <w:rPr>
                <w:rFonts w:ascii="Cambria" w:hAnsi="Cambria"/>
                <w:bCs/>
                <w:sz w:val="20"/>
                <w:szCs w:val="20"/>
              </w:rPr>
              <w:t>Fernando Loaiza Franco</w:t>
            </w:r>
            <w:r w:rsidR="00767BDD">
              <w:rPr>
                <w:rFonts w:ascii="Cambria" w:hAnsi="Cambria"/>
                <w:bCs/>
                <w:sz w:val="20"/>
                <w:szCs w:val="20"/>
              </w:rPr>
              <w:t xml:space="preserve">, </w:t>
            </w:r>
            <w:r w:rsidR="00767BDD" w:rsidRPr="00767BDD">
              <w:rPr>
                <w:rFonts w:ascii="Cambria" w:hAnsi="Cambria"/>
                <w:bCs/>
                <w:sz w:val="20"/>
                <w:szCs w:val="20"/>
              </w:rPr>
              <w:t>Juan Manuel Duarte Rivera</w:t>
            </w:r>
            <w:r w:rsidR="00DB6CA0">
              <w:rPr>
                <w:rFonts w:ascii="Cambria" w:hAnsi="Cambria"/>
                <w:bCs/>
                <w:sz w:val="20"/>
                <w:szCs w:val="20"/>
              </w:rPr>
              <w:t xml:space="preserve"> y</w:t>
            </w:r>
            <w:r w:rsidR="00767BDD">
              <w:rPr>
                <w:rFonts w:ascii="Cambria" w:hAnsi="Cambria"/>
                <w:bCs/>
                <w:sz w:val="20"/>
                <w:szCs w:val="20"/>
              </w:rPr>
              <w:t xml:space="preserve"> </w:t>
            </w:r>
            <w:r w:rsidR="00767BDD" w:rsidRPr="00767BDD">
              <w:rPr>
                <w:rFonts w:ascii="Cambria" w:hAnsi="Cambria"/>
                <w:bCs/>
                <w:sz w:val="20"/>
                <w:szCs w:val="20"/>
              </w:rPr>
              <w:t>Lucilo Solís Cuero</w:t>
            </w:r>
            <w:r w:rsidR="00D50C6F">
              <w:rPr>
                <w:rStyle w:val="FootnoteReference"/>
                <w:rFonts w:ascii="Cambria" w:hAnsi="Cambria"/>
                <w:bCs/>
                <w:sz w:val="20"/>
                <w:szCs w:val="20"/>
              </w:rPr>
              <w:footnoteReference w:id="2"/>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3350D22E" w:rsidR="003239B8" w:rsidRPr="000D05CB" w:rsidRDefault="00E74734"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3"/>
            </w:r>
          </w:p>
        </w:tc>
      </w:tr>
      <w:tr w:rsidR="00223A29" w:rsidRPr="00D75B8F"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7EF811E7" w:rsidR="00223A29" w:rsidRPr="00911A60" w:rsidRDefault="00D0739C" w:rsidP="008D2290">
            <w:pPr>
              <w:jc w:val="both"/>
              <w:rPr>
                <w:rFonts w:ascii="Cambria" w:hAnsi="Cambria"/>
                <w:bCs/>
                <w:sz w:val="20"/>
                <w:szCs w:val="20"/>
                <w:lang w:val="es-419"/>
              </w:rPr>
            </w:pPr>
            <w:r w:rsidRPr="007B59EF">
              <w:rPr>
                <w:rFonts w:ascii="Cambria" w:hAnsi="Cambria"/>
                <w:bCs/>
                <w:sz w:val="20"/>
                <w:szCs w:val="20"/>
                <w:lang w:val="es-CO"/>
              </w:rPr>
              <w:t xml:space="preserve">Artículos </w:t>
            </w:r>
            <w:r w:rsidR="00214CF4" w:rsidRPr="007B59EF">
              <w:rPr>
                <w:rFonts w:ascii="Cambria" w:hAnsi="Cambria"/>
                <w:bCs/>
                <w:sz w:val="20"/>
                <w:szCs w:val="20"/>
                <w:lang w:val="es-CO"/>
              </w:rPr>
              <w:t>8 (garantías judiciales), 16 (libertad de asociación),</w:t>
            </w:r>
            <w:r w:rsidR="004C7278">
              <w:rPr>
                <w:rFonts w:ascii="Cambria" w:hAnsi="Cambria"/>
                <w:bCs/>
                <w:sz w:val="20"/>
                <w:szCs w:val="20"/>
                <w:lang w:val="es-CO"/>
              </w:rPr>
              <w:t xml:space="preserve"> 21 (propiedad privada)</w:t>
            </w:r>
            <w:r w:rsidR="007B024B">
              <w:rPr>
                <w:rFonts w:ascii="Cambria" w:hAnsi="Cambria"/>
                <w:bCs/>
                <w:sz w:val="20"/>
                <w:szCs w:val="20"/>
                <w:lang w:val="es-CO"/>
              </w:rPr>
              <w:t>,</w:t>
            </w:r>
            <w:r w:rsidR="00214CF4" w:rsidRPr="007B59EF">
              <w:rPr>
                <w:rFonts w:ascii="Cambria" w:hAnsi="Cambria"/>
                <w:bCs/>
                <w:sz w:val="20"/>
                <w:szCs w:val="20"/>
                <w:lang w:val="es-CO"/>
              </w:rPr>
              <w:t xml:space="preserve"> 24 (igualdad ante la ley)</w:t>
            </w:r>
            <w:r w:rsidR="004C7278">
              <w:rPr>
                <w:rFonts w:ascii="Cambria" w:hAnsi="Cambria"/>
                <w:bCs/>
                <w:sz w:val="20"/>
                <w:szCs w:val="20"/>
                <w:lang w:val="es-CO"/>
              </w:rPr>
              <w:t>,</w:t>
            </w:r>
            <w:r w:rsidR="00214CF4" w:rsidRPr="007B59EF">
              <w:rPr>
                <w:rFonts w:ascii="Cambria" w:hAnsi="Cambria"/>
                <w:bCs/>
                <w:sz w:val="20"/>
                <w:szCs w:val="20"/>
                <w:lang w:val="es-CO"/>
              </w:rPr>
              <w:t xml:space="preserve"> 25 (</w:t>
            </w:r>
            <w:r w:rsidR="007B59EF" w:rsidRPr="007B59EF">
              <w:rPr>
                <w:rFonts w:ascii="Cambria" w:hAnsi="Cambria"/>
                <w:bCs/>
                <w:sz w:val="20"/>
                <w:szCs w:val="20"/>
                <w:lang w:val="es-CO"/>
              </w:rPr>
              <w:t>pr</w:t>
            </w:r>
            <w:r w:rsidR="007B59EF">
              <w:rPr>
                <w:rFonts w:ascii="Cambria" w:hAnsi="Cambria"/>
                <w:bCs/>
                <w:sz w:val="20"/>
                <w:szCs w:val="20"/>
                <w:lang w:val="es-CO"/>
              </w:rPr>
              <w:t xml:space="preserve">otección judicial) </w:t>
            </w:r>
            <w:r w:rsidR="004C7278">
              <w:rPr>
                <w:rFonts w:ascii="Cambria" w:hAnsi="Cambria"/>
                <w:bCs/>
                <w:sz w:val="20"/>
                <w:szCs w:val="20"/>
                <w:lang w:val="es-CO"/>
              </w:rPr>
              <w:t xml:space="preserve">y 26 (derechos económicos, sociales y culturales) </w:t>
            </w:r>
            <w:r w:rsidR="007B59EF">
              <w:rPr>
                <w:rFonts w:ascii="Cambria" w:hAnsi="Cambria"/>
                <w:bCs/>
                <w:sz w:val="20"/>
                <w:szCs w:val="20"/>
                <w:lang w:val="es-CO"/>
              </w:rPr>
              <w:t>de la Convención Americana sobre Derechos Humanos</w:t>
            </w:r>
            <w:r w:rsidR="00911A60" w:rsidRPr="00AE4154">
              <w:rPr>
                <w:rStyle w:val="FootnoteReference"/>
                <w:rFonts w:ascii="Cambria" w:hAnsi="Cambria"/>
                <w:bCs/>
                <w:sz w:val="20"/>
                <w:szCs w:val="20"/>
                <w:lang w:val="es-419"/>
              </w:rPr>
              <w:footnoteReference w:id="4"/>
            </w:r>
            <w:r w:rsidR="003C24F7">
              <w:rPr>
                <w:rFonts w:ascii="Cambria" w:hAnsi="Cambria"/>
                <w:bCs/>
                <w:sz w:val="20"/>
                <w:szCs w:val="20"/>
                <w:lang w:val="es-CO"/>
              </w:rPr>
              <w:t>,</w:t>
            </w:r>
            <w:r w:rsidR="00172240">
              <w:rPr>
                <w:rFonts w:ascii="Cambria" w:hAnsi="Cambria"/>
                <w:bCs/>
                <w:sz w:val="20"/>
                <w:szCs w:val="20"/>
                <w:lang w:val="es-CO"/>
              </w:rPr>
              <w:t xml:space="preserve"> en relación con sus artículos 1.1</w:t>
            </w:r>
            <w:r w:rsidR="004C7278">
              <w:rPr>
                <w:rFonts w:ascii="Cambria" w:hAnsi="Cambria"/>
                <w:bCs/>
                <w:sz w:val="20"/>
                <w:szCs w:val="20"/>
                <w:lang w:val="es-CO"/>
              </w:rPr>
              <w:t xml:space="preserve"> y</w:t>
            </w:r>
            <w:r w:rsidR="00172240">
              <w:rPr>
                <w:rFonts w:ascii="Cambria" w:hAnsi="Cambria"/>
                <w:bCs/>
                <w:sz w:val="20"/>
                <w:szCs w:val="20"/>
                <w:lang w:val="es-CO"/>
              </w:rPr>
              <w:t xml:space="preserve"> 2</w:t>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40C4F672" w:rsidR="004C2312" w:rsidRPr="003239B8" w:rsidRDefault="00172240" w:rsidP="002625EA">
            <w:pPr>
              <w:jc w:val="both"/>
              <w:rPr>
                <w:rFonts w:ascii="Cambria" w:hAnsi="Cambria"/>
                <w:bCs/>
                <w:sz w:val="20"/>
                <w:szCs w:val="20"/>
                <w:lang w:val="es-ES"/>
              </w:rPr>
            </w:pPr>
            <w:r>
              <w:rPr>
                <w:rFonts w:ascii="Cambria" w:hAnsi="Cambria"/>
                <w:bCs/>
                <w:sz w:val="20"/>
                <w:szCs w:val="20"/>
                <w:lang w:val="es-ES"/>
              </w:rPr>
              <w:t>22 de septiembre de 2015</w:t>
            </w:r>
          </w:p>
        </w:tc>
      </w:tr>
      <w:tr w:rsidR="00131425" w:rsidRPr="00D75B8F"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380CC5E5" w:rsidR="00131425" w:rsidRPr="003239B8" w:rsidRDefault="00F83BA2" w:rsidP="002625EA">
            <w:pPr>
              <w:jc w:val="both"/>
              <w:rPr>
                <w:rFonts w:ascii="Cambria" w:hAnsi="Cambria"/>
                <w:bCs/>
                <w:sz w:val="20"/>
                <w:szCs w:val="20"/>
                <w:lang w:val="es-ES"/>
              </w:rPr>
            </w:pPr>
            <w:r>
              <w:rPr>
                <w:rFonts w:ascii="Cambria" w:hAnsi="Cambria"/>
                <w:bCs/>
                <w:sz w:val="20"/>
                <w:szCs w:val="20"/>
                <w:lang w:val="es-ES"/>
              </w:rPr>
              <w:t xml:space="preserve">11 de junio de 2018, </w:t>
            </w:r>
            <w:r w:rsidR="00A06E82">
              <w:rPr>
                <w:rFonts w:ascii="Cambria" w:hAnsi="Cambria"/>
                <w:bCs/>
                <w:sz w:val="20"/>
                <w:szCs w:val="20"/>
                <w:lang w:val="es-ES"/>
              </w:rPr>
              <w:t>8 de febrero de 2019</w:t>
            </w:r>
            <w:r w:rsidR="00DB0DD4">
              <w:rPr>
                <w:rFonts w:ascii="Cambria" w:hAnsi="Cambria"/>
                <w:bCs/>
                <w:sz w:val="20"/>
                <w:szCs w:val="20"/>
                <w:lang w:val="es-ES"/>
              </w:rPr>
              <w:t>, 2 de diciembre de 2019</w:t>
            </w:r>
            <w:r w:rsidR="009777BC">
              <w:rPr>
                <w:rFonts w:ascii="Cambria" w:hAnsi="Cambria"/>
                <w:bCs/>
                <w:sz w:val="20"/>
                <w:szCs w:val="20"/>
                <w:lang w:val="es-ES"/>
              </w:rPr>
              <w:t>, 30 de marzo de 2020</w:t>
            </w:r>
            <w:r w:rsidR="00AC5B4B">
              <w:rPr>
                <w:rFonts w:ascii="Cambria" w:hAnsi="Cambria"/>
                <w:bCs/>
                <w:sz w:val="20"/>
                <w:szCs w:val="20"/>
                <w:lang w:val="es-ES"/>
              </w:rPr>
              <w:t xml:space="preserve"> y 30 de mayo de 2024</w:t>
            </w:r>
          </w:p>
        </w:tc>
      </w:tr>
      <w:tr w:rsidR="004C2312" w:rsidRPr="00AF4681"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269AE6A7" w:rsidR="004C2312" w:rsidRPr="003239B8" w:rsidRDefault="000004C4" w:rsidP="008D2290">
            <w:pPr>
              <w:jc w:val="both"/>
              <w:rPr>
                <w:rFonts w:ascii="Cambria" w:hAnsi="Cambria"/>
                <w:bCs/>
                <w:sz w:val="20"/>
                <w:szCs w:val="20"/>
                <w:lang w:val="es-ES"/>
              </w:rPr>
            </w:pPr>
            <w:r>
              <w:rPr>
                <w:rFonts w:ascii="Cambria" w:hAnsi="Cambria"/>
                <w:bCs/>
                <w:sz w:val="20"/>
                <w:szCs w:val="20"/>
                <w:lang w:val="es-ES"/>
              </w:rPr>
              <w:t xml:space="preserve">17 de </w:t>
            </w:r>
            <w:r w:rsidR="009777BC">
              <w:rPr>
                <w:rFonts w:ascii="Cambria" w:hAnsi="Cambria"/>
                <w:bCs/>
                <w:sz w:val="20"/>
                <w:szCs w:val="20"/>
                <w:lang w:val="es-ES"/>
              </w:rPr>
              <w:t>marzo</w:t>
            </w:r>
            <w:r>
              <w:rPr>
                <w:rFonts w:ascii="Cambria" w:hAnsi="Cambria"/>
                <w:bCs/>
                <w:sz w:val="20"/>
                <w:szCs w:val="20"/>
                <w:lang w:val="es-ES"/>
              </w:rPr>
              <w:t xml:space="preserve"> de 2019</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674AD112" w:rsidR="004C2312" w:rsidRPr="003239B8" w:rsidRDefault="009777BC" w:rsidP="008D2290">
            <w:pPr>
              <w:jc w:val="both"/>
              <w:rPr>
                <w:rFonts w:ascii="Cambria" w:hAnsi="Cambria"/>
                <w:bCs/>
                <w:sz w:val="20"/>
                <w:szCs w:val="20"/>
                <w:lang w:val="es-ES"/>
              </w:rPr>
            </w:pPr>
            <w:r>
              <w:rPr>
                <w:rFonts w:ascii="Cambria" w:hAnsi="Cambria"/>
                <w:bCs/>
                <w:sz w:val="20"/>
                <w:szCs w:val="20"/>
                <w:lang w:val="es-ES"/>
              </w:rPr>
              <w:t>11 de diciembre de 2020</w:t>
            </w:r>
          </w:p>
        </w:tc>
      </w:tr>
      <w:tr w:rsidR="004C2312" w:rsidRPr="00D75B8F"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1205E087" w:rsidR="004C2312" w:rsidRPr="003239B8" w:rsidRDefault="009777BC" w:rsidP="008D2290">
            <w:pPr>
              <w:jc w:val="both"/>
              <w:rPr>
                <w:rFonts w:ascii="Cambria" w:hAnsi="Cambria"/>
                <w:bCs/>
                <w:sz w:val="20"/>
                <w:szCs w:val="20"/>
                <w:lang w:val="es-ES"/>
              </w:rPr>
            </w:pPr>
            <w:r>
              <w:rPr>
                <w:rFonts w:ascii="Cambria" w:hAnsi="Cambria"/>
                <w:bCs/>
                <w:sz w:val="20"/>
                <w:szCs w:val="20"/>
                <w:lang w:val="es-ES"/>
              </w:rPr>
              <w:t>13 de septiembre de 2021</w:t>
            </w:r>
            <w:r w:rsidR="00AC5B4B">
              <w:rPr>
                <w:rFonts w:ascii="Cambria" w:hAnsi="Cambria"/>
                <w:bCs/>
                <w:sz w:val="20"/>
                <w:szCs w:val="20"/>
                <w:lang w:val="es-ES"/>
              </w:rPr>
              <w:t xml:space="preserve"> y 30 de mayo de 2024</w:t>
            </w:r>
          </w:p>
        </w:tc>
      </w:tr>
      <w:tr w:rsidR="004C2312" w:rsidRPr="00D75B8F"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4495C22B" w:rsidR="004C2312" w:rsidRPr="00FB7D61" w:rsidRDefault="009777BC" w:rsidP="008D2290">
            <w:pPr>
              <w:jc w:val="both"/>
              <w:rPr>
                <w:rFonts w:ascii="Cambria" w:hAnsi="Cambria"/>
                <w:bCs/>
                <w:sz w:val="20"/>
                <w:szCs w:val="20"/>
                <w:lang w:val="es-CO"/>
              </w:rPr>
            </w:pPr>
            <w:r w:rsidRPr="00FB7D61">
              <w:rPr>
                <w:rFonts w:ascii="Cambria" w:hAnsi="Cambria"/>
                <w:bCs/>
                <w:sz w:val="20"/>
                <w:szCs w:val="20"/>
                <w:lang w:val="es-CO"/>
              </w:rPr>
              <w:t>13 de diciembre de 2021</w:t>
            </w:r>
            <w:r w:rsidR="00FB7D61" w:rsidRPr="00FB7D61">
              <w:rPr>
                <w:rFonts w:ascii="Cambria" w:hAnsi="Cambria"/>
                <w:bCs/>
                <w:sz w:val="20"/>
                <w:szCs w:val="20"/>
                <w:lang w:val="es-CO"/>
              </w:rPr>
              <w:t>, 2 de junio</w:t>
            </w:r>
            <w:r w:rsidR="00FB7D61">
              <w:rPr>
                <w:rFonts w:ascii="Cambria" w:hAnsi="Cambria"/>
                <w:bCs/>
                <w:sz w:val="20"/>
                <w:szCs w:val="20"/>
                <w:lang w:val="es-CO"/>
              </w:rPr>
              <w:t xml:space="preserve"> de 2023 y 12 de febrero de 2024</w:t>
            </w:r>
          </w:p>
        </w:tc>
      </w:tr>
    </w:tbl>
    <w:p w14:paraId="74FF46D3" w14:textId="77777777" w:rsidR="003C24F7" w:rsidRDefault="003C24F7" w:rsidP="003239B8">
      <w:pPr>
        <w:spacing w:before="240" w:after="240"/>
        <w:ind w:firstLine="720"/>
        <w:jc w:val="both"/>
        <w:rPr>
          <w:rFonts w:asciiTheme="majorHAnsi" w:hAnsiTheme="majorHAnsi"/>
          <w:b/>
          <w:bCs/>
          <w:sz w:val="20"/>
          <w:szCs w:val="20"/>
          <w:lang w:val="es-ES"/>
        </w:rPr>
      </w:pPr>
    </w:p>
    <w:p w14:paraId="0FC6E9E8" w14:textId="356B6B4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lastRenderedPageBreak/>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D75B8F"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3A46969B" w:rsidR="003239B8" w:rsidRPr="00547809" w:rsidRDefault="00E607EE" w:rsidP="008D2290">
            <w:pPr>
              <w:rPr>
                <w:rFonts w:ascii="Cambria" w:hAnsi="Cambria"/>
                <w:bCs/>
                <w:sz w:val="20"/>
                <w:szCs w:val="20"/>
                <w:lang w:val="es-CO"/>
              </w:rPr>
            </w:pPr>
            <w:r w:rsidRPr="00547809">
              <w:rPr>
                <w:rFonts w:ascii="Cambria" w:hAnsi="Cambria"/>
                <w:bCs/>
                <w:sz w:val="20"/>
                <w:szCs w:val="20"/>
                <w:lang w:val="es-CO"/>
              </w:rPr>
              <w:t>Sí</w:t>
            </w:r>
            <w:r w:rsidR="00547809" w:rsidRPr="00547809">
              <w:rPr>
                <w:rFonts w:ascii="Cambria" w:hAnsi="Cambria"/>
                <w:bCs/>
                <w:sz w:val="20"/>
                <w:szCs w:val="20"/>
                <w:lang w:val="es-CO"/>
              </w:rPr>
              <w:t>, en los términos d</w:t>
            </w:r>
            <w:r w:rsidR="00547809">
              <w:rPr>
                <w:rFonts w:ascii="Cambria" w:hAnsi="Cambria"/>
                <w:bCs/>
                <w:sz w:val="20"/>
                <w:szCs w:val="20"/>
                <w:lang w:val="es-CO"/>
              </w:rPr>
              <w:t>e la Sección VI</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5CA85839" w:rsidR="003239B8" w:rsidRPr="00B3745F" w:rsidRDefault="00E607EE" w:rsidP="008D2290">
            <w:pPr>
              <w:rPr>
                <w:rFonts w:ascii="Cambria" w:hAnsi="Cambria"/>
                <w:bCs/>
                <w:sz w:val="20"/>
                <w:szCs w:val="20"/>
              </w:rPr>
            </w:pPr>
            <w:r>
              <w:rPr>
                <w:rFonts w:ascii="Cambria" w:hAnsi="Cambria"/>
                <w:bCs/>
                <w:sz w:val="20"/>
                <w:szCs w:val="20"/>
              </w:rPr>
              <w:t>S</w:t>
            </w:r>
            <w:r w:rsidR="00B552C3">
              <w:rPr>
                <w:rFonts w:ascii="Cambria" w:hAnsi="Cambria"/>
                <w:bCs/>
                <w:sz w:val="20"/>
                <w:szCs w:val="20"/>
              </w:rPr>
              <w:t>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0CAB31D5" w:rsidR="003239B8" w:rsidRPr="00B3745F" w:rsidRDefault="00E607EE" w:rsidP="008D2290">
            <w:pPr>
              <w:rPr>
                <w:rFonts w:ascii="Cambria" w:hAnsi="Cambria"/>
                <w:bCs/>
                <w:sz w:val="20"/>
                <w:szCs w:val="20"/>
              </w:rPr>
            </w:pPr>
            <w:r>
              <w:rPr>
                <w:rFonts w:ascii="Cambria" w:hAnsi="Cambria"/>
                <w:bCs/>
                <w:sz w:val="20"/>
                <w:szCs w:val="20"/>
              </w:rPr>
              <w:t>Sí</w:t>
            </w:r>
          </w:p>
        </w:tc>
      </w:tr>
      <w:tr w:rsidR="003239B8" w:rsidRPr="00D75B8F"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0BDB3C6D" w:rsidR="003239B8" w:rsidRPr="00B3745F" w:rsidRDefault="00E607EE" w:rsidP="008D2290">
            <w:pPr>
              <w:jc w:val="both"/>
              <w:rPr>
                <w:rFonts w:ascii="Cambria" w:hAnsi="Cambria"/>
                <w:bCs/>
                <w:sz w:val="20"/>
                <w:szCs w:val="20"/>
                <w:lang w:val="es-ES"/>
              </w:rPr>
            </w:pPr>
            <w:r w:rsidRPr="00CB26AC">
              <w:rPr>
                <w:rFonts w:ascii="Cambria" w:hAnsi="Cambria"/>
                <w:bCs/>
                <w:sz w:val="20"/>
                <w:szCs w:val="20"/>
                <w:lang w:val="es-ES"/>
              </w:rPr>
              <w:t>Sí, Convención Americana (depósito del instrumento de ratificación realizado el 31 de julio de 1973)</w:t>
            </w:r>
          </w:p>
        </w:tc>
      </w:tr>
    </w:tbl>
    <w:p w14:paraId="299A3868" w14:textId="2A27A3F0"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4"/>
        <w:gridCol w:w="5678"/>
      </w:tblGrid>
      <w:tr w:rsidR="00EE00E9" w:rsidRPr="00D75B8F"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59D50291" w:rsidR="00EE00E9" w:rsidRPr="00DC24E3" w:rsidRDefault="006D7806" w:rsidP="008D2290">
            <w:pPr>
              <w:jc w:val="both"/>
              <w:rPr>
                <w:rFonts w:ascii="Cambria" w:hAnsi="Cambria"/>
                <w:bCs/>
                <w:sz w:val="20"/>
                <w:szCs w:val="20"/>
                <w:lang w:val="es-ES"/>
              </w:rPr>
            </w:pPr>
            <w:r>
              <w:rPr>
                <w:rFonts w:ascii="Cambria" w:hAnsi="Cambria"/>
                <w:bCs/>
                <w:sz w:val="20"/>
                <w:szCs w:val="20"/>
                <w:lang w:val="es-ES"/>
              </w:rPr>
              <w:t>No</w:t>
            </w:r>
            <w:r w:rsidR="00245B90">
              <w:rPr>
                <w:rFonts w:ascii="Cambria" w:hAnsi="Cambria"/>
                <w:bCs/>
                <w:sz w:val="20"/>
                <w:szCs w:val="20"/>
                <w:lang w:val="es-ES"/>
              </w:rPr>
              <w:t>, en los términos de la Sección VI</w:t>
            </w:r>
          </w:p>
        </w:tc>
      </w:tr>
      <w:tr w:rsidR="003239B8" w:rsidRPr="008A138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7CB799EA" w:rsidR="003239B8" w:rsidRPr="008A138E" w:rsidRDefault="008D1233" w:rsidP="008D2290">
            <w:pPr>
              <w:jc w:val="both"/>
              <w:rPr>
                <w:rFonts w:ascii="Cambria" w:hAnsi="Cambria"/>
                <w:bCs/>
                <w:sz w:val="20"/>
                <w:szCs w:val="20"/>
                <w:lang w:val="es-CO"/>
              </w:rPr>
            </w:pPr>
            <w:r>
              <w:rPr>
                <w:rFonts w:ascii="Cambria" w:hAnsi="Cambria"/>
                <w:bCs/>
                <w:sz w:val="20"/>
                <w:szCs w:val="20"/>
                <w:lang w:val="es-CO"/>
              </w:rPr>
              <w:t>Ninguno</w:t>
            </w:r>
          </w:p>
        </w:tc>
      </w:tr>
      <w:tr w:rsidR="003239B8" w:rsidRPr="00D75B8F"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626B6FD6" w:rsidR="003239B8" w:rsidRPr="00DC24E3" w:rsidRDefault="005C2A50" w:rsidP="008D2290">
            <w:pPr>
              <w:rPr>
                <w:rFonts w:ascii="Cambria" w:hAnsi="Cambria"/>
                <w:bCs/>
                <w:sz w:val="20"/>
                <w:szCs w:val="20"/>
                <w:lang w:val="es-ES"/>
              </w:rPr>
            </w:pPr>
            <w:r>
              <w:rPr>
                <w:rFonts w:ascii="Cambria" w:hAnsi="Cambria"/>
                <w:bCs/>
                <w:sz w:val="20"/>
                <w:szCs w:val="20"/>
                <w:lang w:val="es-ES"/>
              </w:rPr>
              <w:t>Parcialmente</w:t>
            </w:r>
            <w:r w:rsidR="00A47D82">
              <w:rPr>
                <w:rFonts w:ascii="Cambria" w:hAnsi="Cambria"/>
                <w:bCs/>
                <w:sz w:val="20"/>
                <w:szCs w:val="20"/>
                <w:lang w:val="es-ES"/>
              </w:rPr>
              <w:t>, en los términos de la Sección VII</w:t>
            </w:r>
          </w:p>
        </w:tc>
      </w:tr>
      <w:tr w:rsidR="003239B8" w:rsidRPr="00D75B8F"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0ADF8CED" w:rsidR="003239B8" w:rsidRPr="00A47D82" w:rsidRDefault="005C2A50" w:rsidP="008D2290">
            <w:pPr>
              <w:rPr>
                <w:rFonts w:ascii="Cambria" w:hAnsi="Cambria"/>
                <w:bCs/>
                <w:sz w:val="20"/>
                <w:szCs w:val="20"/>
                <w:lang w:val="es-CO"/>
              </w:rPr>
            </w:pPr>
            <w:r>
              <w:rPr>
                <w:rFonts w:ascii="Cambria" w:hAnsi="Cambria"/>
                <w:bCs/>
                <w:sz w:val="20"/>
                <w:szCs w:val="20"/>
                <w:lang w:val="es-ES"/>
              </w:rPr>
              <w:t>Parcialmente</w:t>
            </w:r>
            <w:r w:rsidR="00A47D82">
              <w:rPr>
                <w:rFonts w:ascii="Cambria" w:hAnsi="Cambria"/>
                <w:bCs/>
                <w:sz w:val="20"/>
                <w:szCs w:val="20"/>
                <w:lang w:val="es-ES"/>
              </w:rPr>
              <w:t>, en los términos de la Sección VII</w:t>
            </w:r>
          </w:p>
        </w:tc>
      </w:tr>
    </w:tbl>
    <w:p w14:paraId="56FD5D57" w14:textId="252B1FD5" w:rsidR="003239B8" w:rsidRPr="00F73AD0" w:rsidRDefault="00223A29" w:rsidP="00F73AD0">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sidRPr="00F73AD0">
        <w:rPr>
          <w:rFonts w:asciiTheme="majorHAnsi" w:hAnsiTheme="majorHAnsi"/>
          <w:b/>
          <w:sz w:val="20"/>
          <w:szCs w:val="20"/>
          <w:lang w:val="es-UY"/>
        </w:rPr>
        <w:t>POSICIÓN DE LAS PARTES</w:t>
      </w:r>
      <w:r w:rsidR="003239B8" w:rsidRPr="00F73AD0">
        <w:rPr>
          <w:rFonts w:asciiTheme="majorHAnsi" w:hAnsiTheme="majorHAnsi"/>
          <w:b/>
          <w:sz w:val="20"/>
          <w:szCs w:val="20"/>
          <w:lang w:val="es-UY"/>
        </w:rPr>
        <w:t xml:space="preserve"> </w:t>
      </w:r>
    </w:p>
    <w:p w14:paraId="6901F992" w14:textId="2868F9D8" w:rsidR="0008158C" w:rsidRPr="00F73AD0" w:rsidRDefault="00125980" w:rsidP="00F73AD0">
      <w:pPr>
        <w:pStyle w:val="ListParagraph"/>
        <w:numPr>
          <w:ilvl w:val="0"/>
          <w:numId w:val="0"/>
        </w:numPr>
        <w:ind w:left="720"/>
        <w:jc w:val="both"/>
        <w:rPr>
          <w:rFonts w:asciiTheme="majorHAnsi" w:hAnsiTheme="majorHAnsi"/>
          <w:b/>
          <w:sz w:val="20"/>
          <w:szCs w:val="20"/>
          <w:lang w:val="es-UY"/>
        </w:rPr>
      </w:pPr>
      <w:r w:rsidRPr="00F73AD0">
        <w:rPr>
          <w:rFonts w:asciiTheme="majorHAnsi" w:hAnsiTheme="majorHAnsi"/>
          <w:b/>
          <w:sz w:val="20"/>
          <w:szCs w:val="20"/>
          <w:lang w:val="es-UY"/>
        </w:rPr>
        <w:t>La p</w:t>
      </w:r>
      <w:r w:rsidR="0008158C" w:rsidRPr="00F73AD0">
        <w:rPr>
          <w:rFonts w:asciiTheme="majorHAnsi" w:hAnsiTheme="majorHAnsi"/>
          <w:b/>
          <w:sz w:val="20"/>
          <w:szCs w:val="20"/>
          <w:lang w:val="es-UY"/>
        </w:rPr>
        <w:t>arte peticionaria</w:t>
      </w:r>
    </w:p>
    <w:p w14:paraId="53BD3EF6" w14:textId="480A1EE3" w:rsidR="006E621A" w:rsidRPr="00F73AD0" w:rsidRDefault="003B04E3" w:rsidP="00F73AD0">
      <w:pPr>
        <w:pStyle w:val="ListParagraph"/>
        <w:numPr>
          <w:ilvl w:val="0"/>
          <w:numId w:val="61"/>
        </w:numPr>
        <w:ind w:left="0" w:firstLine="720"/>
        <w:jc w:val="both"/>
        <w:rPr>
          <w:rFonts w:asciiTheme="majorHAnsi" w:hAnsiTheme="majorHAnsi"/>
          <w:bCs/>
          <w:sz w:val="20"/>
          <w:szCs w:val="20"/>
          <w:lang w:val="es-UY"/>
        </w:rPr>
      </w:pPr>
      <w:r w:rsidRPr="00F73AD0">
        <w:rPr>
          <w:rFonts w:asciiTheme="majorHAnsi" w:hAnsiTheme="majorHAnsi"/>
          <w:sz w:val="20"/>
          <w:szCs w:val="20"/>
          <w:lang w:val="es-AR"/>
        </w:rPr>
        <w:t xml:space="preserve">La parte peticionaria alega la responsabilidad internacional del Estado por el incumplimiento </w:t>
      </w:r>
      <w:r w:rsidR="00724CCB" w:rsidRPr="00F73AD0">
        <w:rPr>
          <w:rFonts w:asciiTheme="majorHAnsi" w:hAnsiTheme="majorHAnsi"/>
          <w:sz w:val="20"/>
          <w:szCs w:val="20"/>
          <w:lang w:val="es-AR"/>
        </w:rPr>
        <w:t xml:space="preserve">del Banco de la República </w:t>
      </w:r>
      <w:r w:rsidR="00277884" w:rsidRPr="00F73AD0">
        <w:rPr>
          <w:rFonts w:asciiTheme="majorHAnsi" w:hAnsiTheme="majorHAnsi"/>
          <w:sz w:val="20"/>
          <w:szCs w:val="20"/>
          <w:lang w:val="es-AR"/>
        </w:rPr>
        <w:t>en aplicar</w:t>
      </w:r>
      <w:r w:rsidR="00F93A65" w:rsidRPr="00F73AD0">
        <w:rPr>
          <w:rFonts w:asciiTheme="majorHAnsi" w:hAnsiTheme="majorHAnsi"/>
          <w:sz w:val="20"/>
          <w:szCs w:val="20"/>
          <w:lang w:val="es-AR"/>
        </w:rPr>
        <w:t xml:space="preserve"> a favor de las presuntas víctimas</w:t>
      </w:r>
      <w:r w:rsidRPr="00F73AD0">
        <w:rPr>
          <w:rFonts w:asciiTheme="majorHAnsi" w:hAnsiTheme="majorHAnsi"/>
          <w:sz w:val="20"/>
          <w:szCs w:val="20"/>
          <w:lang w:val="es-AR"/>
        </w:rPr>
        <w:t xml:space="preserve"> una convención colectiva</w:t>
      </w:r>
      <w:r w:rsidR="000713B3" w:rsidRPr="00F73AD0">
        <w:rPr>
          <w:rFonts w:asciiTheme="majorHAnsi" w:hAnsiTheme="majorHAnsi"/>
          <w:sz w:val="20"/>
          <w:szCs w:val="20"/>
          <w:lang w:val="es-AR"/>
        </w:rPr>
        <w:t xml:space="preserve"> </w:t>
      </w:r>
      <w:r w:rsidR="00454209" w:rsidRPr="00F73AD0">
        <w:rPr>
          <w:rFonts w:asciiTheme="majorHAnsi" w:hAnsiTheme="majorHAnsi"/>
          <w:sz w:val="20"/>
          <w:szCs w:val="20"/>
          <w:lang w:val="es-AR"/>
        </w:rPr>
        <w:t xml:space="preserve">de trabajo </w:t>
      </w:r>
      <w:r w:rsidR="00B44683" w:rsidRPr="00F73AD0">
        <w:rPr>
          <w:rFonts w:asciiTheme="majorHAnsi" w:hAnsiTheme="majorHAnsi"/>
          <w:sz w:val="20"/>
          <w:szCs w:val="20"/>
          <w:lang w:val="es-AR"/>
        </w:rPr>
        <w:t xml:space="preserve">en materia pensional, suscrita </w:t>
      </w:r>
      <w:r w:rsidR="000713B3" w:rsidRPr="00F73AD0">
        <w:rPr>
          <w:rFonts w:asciiTheme="majorHAnsi" w:hAnsiTheme="majorHAnsi"/>
          <w:sz w:val="20"/>
          <w:szCs w:val="20"/>
          <w:lang w:val="es-AR"/>
        </w:rPr>
        <w:t xml:space="preserve">con su sindicato, y la consecuente negativa judicial de </w:t>
      </w:r>
      <w:r w:rsidR="004527AD" w:rsidRPr="00F73AD0">
        <w:rPr>
          <w:rFonts w:asciiTheme="majorHAnsi" w:hAnsiTheme="majorHAnsi"/>
          <w:sz w:val="20"/>
          <w:szCs w:val="20"/>
          <w:lang w:val="es-AR"/>
        </w:rPr>
        <w:t>reconocer la vigencia y validez de dich</w:t>
      </w:r>
      <w:r w:rsidR="0045231E">
        <w:rPr>
          <w:rFonts w:asciiTheme="majorHAnsi" w:hAnsiTheme="majorHAnsi"/>
          <w:sz w:val="20"/>
          <w:szCs w:val="20"/>
          <w:lang w:val="es-AR"/>
        </w:rPr>
        <w:t>o co</w:t>
      </w:r>
      <w:r w:rsidR="00193FAD">
        <w:rPr>
          <w:rFonts w:asciiTheme="majorHAnsi" w:hAnsiTheme="majorHAnsi"/>
          <w:sz w:val="20"/>
          <w:szCs w:val="20"/>
          <w:lang w:val="es-AR"/>
        </w:rPr>
        <w:t>nvenio</w:t>
      </w:r>
      <w:r w:rsidR="004527AD" w:rsidRPr="00F73AD0">
        <w:rPr>
          <w:rFonts w:asciiTheme="majorHAnsi" w:hAnsiTheme="majorHAnsi"/>
          <w:sz w:val="20"/>
          <w:szCs w:val="20"/>
          <w:lang w:val="es-AR"/>
        </w:rPr>
        <w:t>.</w:t>
      </w:r>
    </w:p>
    <w:p w14:paraId="1E1B8904" w14:textId="5CBCF864" w:rsidR="007B29C3" w:rsidRPr="00F73AD0" w:rsidRDefault="00FA1E57" w:rsidP="00F73AD0">
      <w:pPr>
        <w:pStyle w:val="ListParagraph"/>
        <w:numPr>
          <w:ilvl w:val="0"/>
          <w:numId w:val="61"/>
        </w:numPr>
        <w:ind w:left="0" w:firstLine="720"/>
        <w:jc w:val="both"/>
        <w:rPr>
          <w:rFonts w:asciiTheme="majorHAnsi" w:hAnsiTheme="majorHAnsi"/>
          <w:bCs/>
          <w:sz w:val="20"/>
          <w:szCs w:val="20"/>
          <w:lang w:val="es-UY"/>
        </w:rPr>
      </w:pPr>
      <w:r w:rsidRPr="00F73AD0">
        <w:rPr>
          <w:rFonts w:asciiTheme="majorHAnsi" w:hAnsiTheme="majorHAnsi"/>
          <w:bCs/>
          <w:sz w:val="20"/>
          <w:szCs w:val="20"/>
          <w:lang w:val="es-UY"/>
        </w:rPr>
        <w:t xml:space="preserve">Los peticionarios </w:t>
      </w:r>
      <w:r w:rsidR="003F2F96" w:rsidRPr="00F73AD0">
        <w:rPr>
          <w:rFonts w:asciiTheme="majorHAnsi" w:hAnsiTheme="majorHAnsi"/>
          <w:bCs/>
          <w:sz w:val="20"/>
          <w:szCs w:val="20"/>
          <w:lang w:val="es-UY"/>
        </w:rPr>
        <w:t xml:space="preserve">explican que la Asociación Nacional de Empleados del Banco de la República (en adelante “ANEBRE”) es una organización sindical </w:t>
      </w:r>
      <w:r w:rsidR="003A0BAC" w:rsidRPr="00F73AD0">
        <w:rPr>
          <w:rFonts w:asciiTheme="majorHAnsi" w:hAnsiTheme="majorHAnsi"/>
          <w:bCs/>
          <w:sz w:val="20"/>
          <w:szCs w:val="20"/>
          <w:lang w:val="es-UY"/>
        </w:rPr>
        <w:t xml:space="preserve">fundada en 1964, cuyo propósito es defender el bienestar laboral y social de </w:t>
      </w:r>
      <w:r w:rsidR="009301CD" w:rsidRPr="00F73AD0">
        <w:rPr>
          <w:rFonts w:asciiTheme="majorHAnsi" w:hAnsiTheme="majorHAnsi"/>
          <w:bCs/>
          <w:sz w:val="20"/>
          <w:szCs w:val="20"/>
          <w:lang w:val="es-UY"/>
        </w:rPr>
        <w:t>los trabajadores y pensionados</w:t>
      </w:r>
      <w:r w:rsidR="003A0BAC" w:rsidRPr="00F73AD0">
        <w:rPr>
          <w:rFonts w:asciiTheme="majorHAnsi" w:hAnsiTheme="majorHAnsi"/>
          <w:bCs/>
          <w:sz w:val="20"/>
          <w:szCs w:val="20"/>
          <w:lang w:val="es-UY"/>
        </w:rPr>
        <w:t xml:space="preserve"> del Banco de la República. </w:t>
      </w:r>
      <w:r w:rsidR="00E56FBB" w:rsidRPr="00F73AD0">
        <w:rPr>
          <w:rFonts w:asciiTheme="majorHAnsi" w:hAnsiTheme="majorHAnsi"/>
          <w:bCs/>
          <w:sz w:val="20"/>
          <w:szCs w:val="20"/>
          <w:lang w:val="es-UY"/>
        </w:rPr>
        <w:t>Relat</w:t>
      </w:r>
      <w:r w:rsidR="003A0BAC" w:rsidRPr="00F73AD0">
        <w:rPr>
          <w:rFonts w:asciiTheme="majorHAnsi" w:hAnsiTheme="majorHAnsi"/>
          <w:bCs/>
          <w:sz w:val="20"/>
          <w:szCs w:val="20"/>
          <w:lang w:val="es-UY"/>
        </w:rPr>
        <w:t>a</w:t>
      </w:r>
      <w:r w:rsidR="00E56FBB" w:rsidRPr="00F73AD0">
        <w:rPr>
          <w:rFonts w:asciiTheme="majorHAnsi" w:hAnsiTheme="majorHAnsi"/>
          <w:bCs/>
          <w:sz w:val="20"/>
          <w:szCs w:val="20"/>
          <w:lang w:val="es-UY"/>
        </w:rPr>
        <w:t>n</w:t>
      </w:r>
      <w:r w:rsidR="003A0BAC" w:rsidRPr="00F73AD0">
        <w:rPr>
          <w:rFonts w:asciiTheme="majorHAnsi" w:hAnsiTheme="majorHAnsi"/>
          <w:bCs/>
          <w:sz w:val="20"/>
          <w:szCs w:val="20"/>
          <w:lang w:val="es-UY"/>
        </w:rPr>
        <w:t xml:space="preserve"> que </w:t>
      </w:r>
      <w:r w:rsidR="00E56FBB" w:rsidRPr="00F73AD0">
        <w:rPr>
          <w:rFonts w:asciiTheme="majorHAnsi" w:hAnsiTheme="majorHAnsi"/>
          <w:bCs/>
          <w:sz w:val="20"/>
          <w:szCs w:val="20"/>
          <w:lang w:val="es-UY"/>
        </w:rPr>
        <w:t xml:space="preserve">el 23 de noviembre de 1997 la ANEBRE y el Banco de la República </w:t>
      </w:r>
      <w:r w:rsidR="00247088" w:rsidRPr="00F73AD0">
        <w:rPr>
          <w:rFonts w:asciiTheme="majorHAnsi" w:hAnsiTheme="majorHAnsi"/>
          <w:bCs/>
          <w:sz w:val="20"/>
          <w:szCs w:val="20"/>
          <w:lang w:val="es-UY"/>
        </w:rPr>
        <w:t>suscribieron una convención colectiva de trabajo que</w:t>
      </w:r>
      <w:r w:rsidR="00193FAD">
        <w:rPr>
          <w:rFonts w:asciiTheme="majorHAnsi" w:hAnsiTheme="majorHAnsi"/>
          <w:bCs/>
          <w:sz w:val="20"/>
          <w:szCs w:val="20"/>
          <w:lang w:val="es-UY"/>
        </w:rPr>
        <w:t>,</w:t>
      </w:r>
      <w:r w:rsidR="00247088" w:rsidRPr="00F73AD0">
        <w:rPr>
          <w:rFonts w:asciiTheme="majorHAnsi" w:hAnsiTheme="majorHAnsi"/>
          <w:bCs/>
          <w:sz w:val="20"/>
          <w:szCs w:val="20"/>
          <w:lang w:val="es-UY"/>
        </w:rPr>
        <w:t xml:space="preserve"> a la fecha</w:t>
      </w:r>
      <w:r w:rsidR="00193FAD">
        <w:rPr>
          <w:rFonts w:asciiTheme="majorHAnsi" w:hAnsiTheme="majorHAnsi"/>
          <w:bCs/>
          <w:sz w:val="20"/>
          <w:szCs w:val="20"/>
          <w:lang w:val="es-UY"/>
        </w:rPr>
        <w:t>,</w:t>
      </w:r>
      <w:r w:rsidR="00247088" w:rsidRPr="00F73AD0">
        <w:rPr>
          <w:rFonts w:asciiTheme="majorHAnsi" w:hAnsiTheme="majorHAnsi"/>
          <w:bCs/>
          <w:sz w:val="20"/>
          <w:szCs w:val="20"/>
          <w:lang w:val="es-UY"/>
        </w:rPr>
        <w:t xml:space="preserve"> no ha sido denunciada por ninguna de las partes, por lo que se encuentra vigente</w:t>
      </w:r>
      <w:r w:rsidR="00193FAD">
        <w:rPr>
          <w:rFonts w:asciiTheme="majorHAnsi" w:hAnsiTheme="majorHAnsi"/>
          <w:bCs/>
          <w:sz w:val="20"/>
          <w:szCs w:val="20"/>
          <w:lang w:val="es-UY"/>
        </w:rPr>
        <w:t>;</w:t>
      </w:r>
      <w:r w:rsidR="00A710CF" w:rsidRPr="00F73AD0">
        <w:rPr>
          <w:rFonts w:asciiTheme="majorHAnsi" w:hAnsiTheme="majorHAnsi"/>
          <w:bCs/>
          <w:sz w:val="20"/>
          <w:szCs w:val="20"/>
          <w:lang w:val="es-UY"/>
        </w:rPr>
        <w:t xml:space="preserve"> pues</w:t>
      </w:r>
      <w:r w:rsidR="007069B3" w:rsidRPr="00F73AD0">
        <w:rPr>
          <w:rFonts w:asciiTheme="majorHAnsi" w:hAnsiTheme="majorHAnsi"/>
          <w:bCs/>
          <w:sz w:val="20"/>
          <w:szCs w:val="20"/>
          <w:lang w:val="es-UY"/>
        </w:rPr>
        <w:t xml:space="preserve"> </w:t>
      </w:r>
      <w:r w:rsidR="00A710CF" w:rsidRPr="00F73AD0">
        <w:rPr>
          <w:rFonts w:asciiTheme="majorHAnsi" w:hAnsiTheme="majorHAnsi"/>
          <w:bCs/>
          <w:sz w:val="20"/>
          <w:szCs w:val="20"/>
          <w:lang w:val="es-UY"/>
        </w:rPr>
        <w:t>conforme a la legislación interna</w:t>
      </w:r>
      <w:r w:rsidR="0008682A">
        <w:rPr>
          <w:rFonts w:asciiTheme="majorHAnsi" w:hAnsiTheme="majorHAnsi"/>
          <w:bCs/>
          <w:sz w:val="20"/>
          <w:szCs w:val="20"/>
          <w:lang w:val="es-UY"/>
        </w:rPr>
        <w:t>,</w:t>
      </w:r>
      <w:r w:rsidR="00A710CF" w:rsidRPr="00F73AD0">
        <w:rPr>
          <w:rFonts w:asciiTheme="majorHAnsi" w:hAnsiTheme="majorHAnsi"/>
          <w:bCs/>
          <w:sz w:val="20"/>
          <w:szCs w:val="20"/>
          <w:lang w:val="es-UY"/>
        </w:rPr>
        <w:t xml:space="preserve"> cuando la convención colectiva no se denuncia</w:t>
      </w:r>
      <w:r w:rsidR="0008682A">
        <w:rPr>
          <w:rFonts w:asciiTheme="majorHAnsi" w:hAnsiTheme="majorHAnsi"/>
          <w:bCs/>
          <w:sz w:val="20"/>
          <w:szCs w:val="20"/>
          <w:lang w:val="es-UY"/>
        </w:rPr>
        <w:t>,</w:t>
      </w:r>
      <w:r w:rsidR="00A710CF" w:rsidRPr="00F73AD0">
        <w:rPr>
          <w:rFonts w:asciiTheme="majorHAnsi" w:hAnsiTheme="majorHAnsi"/>
          <w:bCs/>
          <w:sz w:val="20"/>
          <w:szCs w:val="20"/>
          <w:lang w:val="es-UY"/>
        </w:rPr>
        <w:t xml:space="preserve"> se prorroga automáticamente por periodos de seis meses.</w:t>
      </w:r>
      <w:r w:rsidR="00B05E0B" w:rsidRPr="00F73AD0">
        <w:rPr>
          <w:rFonts w:asciiTheme="majorHAnsi" w:hAnsiTheme="majorHAnsi"/>
          <w:bCs/>
          <w:sz w:val="20"/>
          <w:szCs w:val="20"/>
          <w:lang w:val="es-UY"/>
        </w:rPr>
        <w:t xml:space="preserve"> Explica que </w:t>
      </w:r>
      <w:r w:rsidR="00742DEE" w:rsidRPr="00F73AD0">
        <w:rPr>
          <w:rFonts w:asciiTheme="majorHAnsi" w:hAnsiTheme="majorHAnsi"/>
          <w:bCs/>
          <w:sz w:val="20"/>
          <w:szCs w:val="20"/>
          <w:lang w:val="es-UY"/>
        </w:rPr>
        <w:t xml:space="preserve">el sindicato y el Banco acordaron </w:t>
      </w:r>
      <w:r w:rsidR="00F376C0" w:rsidRPr="00F73AD0">
        <w:rPr>
          <w:rFonts w:asciiTheme="majorHAnsi" w:hAnsiTheme="majorHAnsi"/>
          <w:bCs/>
          <w:sz w:val="20"/>
          <w:szCs w:val="20"/>
          <w:lang w:val="es-UY"/>
        </w:rPr>
        <w:t xml:space="preserve">el aumento del porcentaje de liquidación de la pensión de acuerdo con la cantidad de años de servicio prestados por </w:t>
      </w:r>
      <w:r w:rsidR="009C47A3" w:rsidRPr="00F73AD0">
        <w:rPr>
          <w:rFonts w:asciiTheme="majorHAnsi" w:hAnsiTheme="majorHAnsi"/>
          <w:bCs/>
          <w:sz w:val="20"/>
          <w:szCs w:val="20"/>
          <w:lang w:val="es-UY"/>
        </w:rPr>
        <w:t>la persona jubilada</w:t>
      </w:r>
      <w:r w:rsidR="00144CA9" w:rsidRPr="00F73AD0">
        <w:rPr>
          <w:rFonts w:asciiTheme="majorHAnsi" w:hAnsiTheme="majorHAnsi"/>
          <w:bCs/>
          <w:sz w:val="20"/>
          <w:szCs w:val="20"/>
          <w:lang w:val="es-UY"/>
        </w:rPr>
        <w:t>.</w:t>
      </w:r>
    </w:p>
    <w:p w14:paraId="64EA760D" w14:textId="72AB4C03" w:rsidR="00E6186E" w:rsidRPr="00F73AD0" w:rsidRDefault="003C410A" w:rsidP="00F73AD0">
      <w:pPr>
        <w:pStyle w:val="ListParagraph"/>
        <w:numPr>
          <w:ilvl w:val="0"/>
          <w:numId w:val="61"/>
        </w:numPr>
        <w:ind w:left="0" w:firstLine="720"/>
        <w:jc w:val="both"/>
        <w:rPr>
          <w:rFonts w:asciiTheme="majorHAnsi" w:hAnsiTheme="majorHAnsi"/>
          <w:bCs/>
          <w:sz w:val="20"/>
          <w:szCs w:val="20"/>
          <w:lang w:val="es-UY"/>
        </w:rPr>
      </w:pPr>
      <w:r w:rsidRPr="00F73AD0">
        <w:rPr>
          <w:rFonts w:asciiTheme="majorHAnsi" w:hAnsiTheme="majorHAnsi"/>
          <w:bCs/>
          <w:sz w:val="20"/>
          <w:szCs w:val="20"/>
          <w:lang w:val="es-UY"/>
        </w:rPr>
        <w:t xml:space="preserve">No obstante, </w:t>
      </w:r>
      <w:r w:rsidR="003728D7" w:rsidRPr="00F73AD0">
        <w:rPr>
          <w:rFonts w:asciiTheme="majorHAnsi" w:hAnsiTheme="majorHAnsi"/>
          <w:bCs/>
          <w:sz w:val="20"/>
          <w:szCs w:val="20"/>
          <w:lang w:val="es-UY"/>
        </w:rPr>
        <w:t>los peticionarios sostienen</w:t>
      </w:r>
      <w:r w:rsidR="00190B4E" w:rsidRPr="00F73AD0">
        <w:rPr>
          <w:rFonts w:asciiTheme="majorHAnsi" w:hAnsiTheme="majorHAnsi"/>
          <w:bCs/>
          <w:sz w:val="20"/>
          <w:szCs w:val="20"/>
          <w:lang w:val="es-UY"/>
        </w:rPr>
        <w:t xml:space="preserve"> que </w:t>
      </w:r>
      <w:r w:rsidR="00144C43" w:rsidRPr="00F73AD0">
        <w:rPr>
          <w:rFonts w:asciiTheme="majorHAnsi" w:hAnsiTheme="majorHAnsi"/>
          <w:bCs/>
          <w:sz w:val="20"/>
          <w:szCs w:val="20"/>
          <w:lang w:val="es-UY"/>
        </w:rPr>
        <w:t xml:space="preserve">el Congreso de la República </w:t>
      </w:r>
      <w:r w:rsidR="007462E1" w:rsidRPr="00F73AD0">
        <w:rPr>
          <w:rFonts w:asciiTheme="majorHAnsi" w:hAnsiTheme="majorHAnsi"/>
          <w:bCs/>
          <w:sz w:val="20"/>
          <w:szCs w:val="20"/>
          <w:lang w:val="es-UY"/>
        </w:rPr>
        <w:t>promulgó una reforma constitucional en 2005</w:t>
      </w:r>
      <w:r w:rsidR="00940252" w:rsidRPr="00F73AD0">
        <w:rPr>
          <w:rFonts w:asciiTheme="majorHAnsi" w:hAnsiTheme="majorHAnsi"/>
          <w:bCs/>
          <w:sz w:val="20"/>
          <w:szCs w:val="20"/>
          <w:lang w:val="es-UY"/>
        </w:rPr>
        <w:t>,</w:t>
      </w:r>
      <w:r w:rsidR="007462E1" w:rsidRPr="00F73AD0">
        <w:rPr>
          <w:rFonts w:asciiTheme="majorHAnsi" w:hAnsiTheme="majorHAnsi"/>
          <w:bCs/>
          <w:sz w:val="20"/>
          <w:szCs w:val="20"/>
          <w:lang w:val="es-UY"/>
        </w:rPr>
        <w:t xml:space="preserve"> mediante el Acto Legislativo </w:t>
      </w:r>
      <w:r w:rsidR="00773916" w:rsidRPr="00F73AD0">
        <w:rPr>
          <w:rFonts w:asciiTheme="majorHAnsi" w:hAnsiTheme="majorHAnsi"/>
          <w:bCs/>
          <w:sz w:val="20"/>
          <w:szCs w:val="20"/>
          <w:lang w:val="es-UY"/>
        </w:rPr>
        <w:t>01 de 2005</w:t>
      </w:r>
      <w:r w:rsidR="006A3980" w:rsidRPr="00F73AD0">
        <w:rPr>
          <w:rFonts w:asciiTheme="majorHAnsi" w:hAnsiTheme="majorHAnsi"/>
          <w:bCs/>
          <w:sz w:val="20"/>
          <w:szCs w:val="20"/>
          <w:lang w:val="es-UY"/>
        </w:rPr>
        <w:t xml:space="preserve">, por el cual </w:t>
      </w:r>
      <w:r w:rsidR="00D348C1" w:rsidRPr="00F73AD0">
        <w:rPr>
          <w:rFonts w:asciiTheme="majorHAnsi" w:hAnsiTheme="majorHAnsi"/>
          <w:bCs/>
          <w:sz w:val="20"/>
          <w:szCs w:val="20"/>
          <w:lang w:val="es-UY"/>
        </w:rPr>
        <w:t xml:space="preserve">eliminó todos los regímenes pensionales especiales, </w:t>
      </w:r>
      <w:r w:rsidR="00FD3F89" w:rsidRPr="00F73AD0">
        <w:rPr>
          <w:rFonts w:asciiTheme="majorHAnsi" w:hAnsiTheme="majorHAnsi"/>
          <w:bCs/>
          <w:sz w:val="20"/>
          <w:szCs w:val="20"/>
          <w:lang w:val="es-UY"/>
        </w:rPr>
        <w:t>por medio d</w:t>
      </w:r>
      <w:r w:rsidR="00D348C1" w:rsidRPr="00F73AD0">
        <w:rPr>
          <w:rFonts w:asciiTheme="majorHAnsi" w:hAnsiTheme="majorHAnsi"/>
          <w:bCs/>
          <w:sz w:val="20"/>
          <w:szCs w:val="20"/>
          <w:lang w:val="es-UY"/>
        </w:rPr>
        <w:t xml:space="preserve">el parágrafo </w:t>
      </w:r>
      <w:r w:rsidR="007D0E50" w:rsidRPr="00F73AD0">
        <w:rPr>
          <w:rFonts w:asciiTheme="majorHAnsi" w:hAnsiTheme="majorHAnsi"/>
          <w:bCs/>
          <w:sz w:val="20"/>
          <w:szCs w:val="20"/>
          <w:lang w:val="es-UY"/>
        </w:rPr>
        <w:t>3</w:t>
      </w:r>
      <w:r w:rsidR="00CC7447" w:rsidRPr="00F73AD0">
        <w:rPr>
          <w:rFonts w:asciiTheme="majorHAnsi" w:hAnsiTheme="majorHAnsi"/>
          <w:bCs/>
          <w:sz w:val="20"/>
          <w:szCs w:val="20"/>
          <w:lang w:val="es-UY"/>
        </w:rPr>
        <w:t>°</w:t>
      </w:r>
      <w:r w:rsidR="007D0E50" w:rsidRPr="00F73AD0">
        <w:rPr>
          <w:rFonts w:asciiTheme="majorHAnsi" w:hAnsiTheme="majorHAnsi"/>
          <w:bCs/>
          <w:sz w:val="20"/>
          <w:szCs w:val="20"/>
          <w:lang w:val="es-UY"/>
        </w:rPr>
        <w:t xml:space="preserve"> transitorio</w:t>
      </w:r>
      <w:r w:rsidR="00D348C1" w:rsidRPr="00F73AD0">
        <w:rPr>
          <w:rFonts w:asciiTheme="majorHAnsi" w:hAnsiTheme="majorHAnsi"/>
          <w:bCs/>
          <w:sz w:val="20"/>
          <w:szCs w:val="20"/>
          <w:lang w:val="es-UY"/>
        </w:rPr>
        <w:t xml:space="preserve"> de su artículo 1</w:t>
      </w:r>
      <w:r w:rsidR="0008682A">
        <w:rPr>
          <w:rFonts w:asciiTheme="majorHAnsi" w:hAnsiTheme="majorHAnsi"/>
          <w:bCs/>
          <w:sz w:val="20"/>
          <w:szCs w:val="20"/>
          <w:lang w:val="es-UY"/>
        </w:rPr>
        <w:t>,</w:t>
      </w:r>
      <w:r w:rsidR="00D348C1" w:rsidRPr="00F73AD0">
        <w:rPr>
          <w:rFonts w:asciiTheme="majorHAnsi" w:hAnsiTheme="majorHAnsi"/>
          <w:bCs/>
          <w:sz w:val="20"/>
          <w:szCs w:val="20"/>
          <w:lang w:val="es-UY"/>
        </w:rPr>
        <w:t xml:space="preserve"> </w:t>
      </w:r>
      <w:r w:rsidR="006E10AE" w:rsidRPr="00F73AD0">
        <w:rPr>
          <w:rFonts w:asciiTheme="majorHAnsi" w:hAnsiTheme="majorHAnsi"/>
          <w:bCs/>
          <w:sz w:val="20"/>
          <w:szCs w:val="20"/>
          <w:lang w:val="es-UY"/>
        </w:rPr>
        <w:t xml:space="preserve">que </w:t>
      </w:r>
      <w:r w:rsidR="00D348C1" w:rsidRPr="00F73AD0">
        <w:rPr>
          <w:rFonts w:asciiTheme="majorHAnsi" w:hAnsiTheme="majorHAnsi"/>
          <w:bCs/>
          <w:sz w:val="20"/>
          <w:szCs w:val="20"/>
          <w:lang w:val="es-UY"/>
        </w:rPr>
        <w:t>establece:</w:t>
      </w:r>
      <w:r w:rsidR="00C50555" w:rsidRPr="00F73AD0">
        <w:rPr>
          <w:rFonts w:asciiTheme="majorHAnsi" w:hAnsiTheme="majorHAnsi"/>
          <w:bCs/>
          <w:sz w:val="20"/>
          <w:szCs w:val="20"/>
          <w:lang w:val="es-UY"/>
        </w:rPr>
        <w:t xml:space="preserve"> </w:t>
      </w:r>
    </w:p>
    <w:p w14:paraId="574148C0" w14:textId="7B08C9C4" w:rsidR="00E6186E" w:rsidRPr="00F73AD0" w:rsidRDefault="007D0E50" w:rsidP="00F73AD0">
      <w:pPr>
        <w:spacing w:before="240" w:after="240"/>
        <w:ind w:left="720" w:right="720"/>
        <w:jc w:val="both"/>
        <w:rPr>
          <w:rFonts w:asciiTheme="majorHAnsi" w:hAnsiTheme="majorHAnsi"/>
          <w:bCs/>
          <w:sz w:val="18"/>
          <w:szCs w:val="18"/>
          <w:lang w:val="es-UY"/>
        </w:rPr>
      </w:pPr>
      <w:r w:rsidRPr="00F73AD0">
        <w:rPr>
          <w:rFonts w:asciiTheme="majorHAnsi" w:hAnsiTheme="majorHAnsi"/>
          <w:bCs/>
          <w:sz w:val="18"/>
          <w:szCs w:val="18"/>
          <w:lang w:val="es-UY"/>
        </w:rPr>
        <w:t>[l]as reglas de carácter pensional que rigen a la fecha de vigencia de este Acto Legislativo contenidas en pactos, convenciones colectivas de trabajo, laudos o acuerdos válidamente celebrados, se mantendrán por el término inicialmente estipulado. En los pactos, convenciones o laudos que se suscriban entre la vigencia de este Acto Legislativo y el 31 de julio de 2010, no podrán estipularse condiciones pensionales más favorables que las que se encuentren actualmente vigentes. En todo caso perderán vigencia el 31 de julio de 2010</w:t>
      </w:r>
      <w:r w:rsidR="00C50555" w:rsidRPr="00F73AD0">
        <w:rPr>
          <w:rStyle w:val="FootnoteReference"/>
          <w:rFonts w:asciiTheme="majorHAnsi" w:hAnsiTheme="majorHAnsi"/>
          <w:bCs/>
          <w:sz w:val="18"/>
          <w:szCs w:val="18"/>
          <w:lang w:val="es-UY"/>
        </w:rPr>
        <w:footnoteReference w:id="6"/>
      </w:r>
      <w:r w:rsidR="001B2DEC" w:rsidRPr="00F73AD0">
        <w:rPr>
          <w:rFonts w:asciiTheme="majorHAnsi" w:hAnsiTheme="majorHAnsi"/>
          <w:bCs/>
          <w:sz w:val="18"/>
          <w:szCs w:val="18"/>
          <w:lang w:val="es-UY"/>
        </w:rPr>
        <w:t>.</w:t>
      </w:r>
      <w:r w:rsidR="00C464B9" w:rsidRPr="00F73AD0">
        <w:rPr>
          <w:rFonts w:asciiTheme="majorHAnsi" w:hAnsiTheme="majorHAnsi"/>
          <w:bCs/>
          <w:sz w:val="18"/>
          <w:szCs w:val="18"/>
          <w:lang w:val="es-UY"/>
        </w:rPr>
        <w:t xml:space="preserve"> </w:t>
      </w:r>
    </w:p>
    <w:p w14:paraId="06FEA812" w14:textId="77777777" w:rsidR="001E7BD1" w:rsidRPr="001E7BD1" w:rsidRDefault="001E7BD1" w:rsidP="001E7BD1">
      <w:pPr>
        <w:pStyle w:val="ListParagraph"/>
        <w:numPr>
          <w:ilvl w:val="0"/>
          <w:numId w:val="61"/>
        </w:numPr>
        <w:ind w:left="0" w:firstLine="720"/>
        <w:jc w:val="both"/>
        <w:rPr>
          <w:rFonts w:asciiTheme="majorHAnsi" w:hAnsiTheme="majorHAnsi"/>
          <w:bCs/>
          <w:sz w:val="20"/>
          <w:szCs w:val="20"/>
          <w:lang w:val="es-UY"/>
        </w:rPr>
      </w:pPr>
      <w:r w:rsidRPr="001E7BD1">
        <w:rPr>
          <w:rFonts w:asciiTheme="majorHAnsi" w:hAnsiTheme="majorHAnsi"/>
          <w:bCs/>
          <w:sz w:val="20"/>
          <w:szCs w:val="20"/>
          <w:lang w:val="es-UY"/>
        </w:rPr>
        <w:t xml:space="preserve">Varias organizaciones, incluida una confederación sindical a la que pertenece la ANEBRE, presentaron múltiples demandas de inconstitucionalidad contra el Acto Legislativo 01 de 2005, pero ninguna habría sido estudiada de fondo, puesto que la Corte Constitucional se inhibió de conocer las demandas en sus autos proferidos el 8 de marzo de 2006, 3 de mayo de 2006, 14 de junio de 2006, 30 de agosto de 2006, 29 de </w:t>
      </w:r>
      <w:r w:rsidRPr="001E7BD1">
        <w:rPr>
          <w:rFonts w:asciiTheme="majorHAnsi" w:hAnsiTheme="majorHAnsi"/>
          <w:bCs/>
          <w:sz w:val="20"/>
          <w:szCs w:val="20"/>
          <w:lang w:val="es-UY"/>
        </w:rPr>
        <w:lastRenderedPageBreak/>
        <w:t>noviembre de 2006, 14 de marzo de 2007, 21 de marzo de 2007, 18 de abril de 2007 y 3 de mayo de 2007. De esta forma los peticionarios alegan que agotaron los recursos internos.</w:t>
      </w:r>
    </w:p>
    <w:p w14:paraId="7646A71D" w14:textId="73A6BF8E" w:rsidR="00D348C1" w:rsidRDefault="001648AE" w:rsidP="00F73AD0">
      <w:pPr>
        <w:pStyle w:val="ListParagraph"/>
        <w:numPr>
          <w:ilvl w:val="0"/>
          <w:numId w:val="61"/>
        </w:numPr>
        <w:ind w:left="0" w:firstLine="720"/>
        <w:jc w:val="both"/>
        <w:rPr>
          <w:rFonts w:asciiTheme="majorHAnsi" w:hAnsiTheme="majorHAnsi"/>
          <w:bCs/>
          <w:sz w:val="20"/>
          <w:szCs w:val="20"/>
          <w:lang w:val="es-UY"/>
        </w:rPr>
      </w:pPr>
      <w:r w:rsidRPr="00F73AD0">
        <w:rPr>
          <w:rFonts w:asciiTheme="majorHAnsi" w:hAnsiTheme="majorHAnsi"/>
          <w:bCs/>
          <w:sz w:val="20"/>
          <w:szCs w:val="20"/>
          <w:lang w:val="es-UY"/>
        </w:rPr>
        <w:t xml:space="preserve">Por otra parte, </w:t>
      </w:r>
      <w:r w:rsidR="00031C57" w:rsidRPr="00F73AD0">
        <w:rPr>
          <w:rFonts w:asciiTheme="majorHAnsi" w:hAnsiTheme="majorHAnsi"/>
          <w:bCs/>
          <w:sz w:val="20"/>
          <w:szCs w:val="20"/>
          <w:lang w:val="es-UY"/>
        </w:rPr>
        <w:t xml:space="preserve">varios </w:t>
      </w:r>
      <w:r w:rsidR="00C464B9" w:rsidRPr="00F73AD0">
        <w:rPr>
          <w:rFonts w:asciiTheme="majorHAnsi" w:hAnsiTheme="majorHAnsi"/>
          <w:bCs/>
          <w:sz w:val="20"/>
          <w:szCs w:val="20"/>
          <w:lang w:val="es-UY"/>
        </w:rPr>
        <w:t xml:space="preserve">sindicatos de otras entidades públicas interpusieron </w:t>
      </w:r>
      <w:r w:rsidR="009F5933" w:rsidRPr="00F73AD0">
        <w:rPr>
          <w:rFonts w:asciiTheme="majorHAnsi" w:hAnsiTheme="majorHAnsi"/>
          <w:bCs/>
          <w:sz w:val="20"/>
          <w:szCs w:val="20"/>
          <w:lang w:val="es-UY"/>
        </w:rPr>
        <w:t xml:space="preserve">varias </w:t>
      </w:r>
      <w:r w:rsidR="00C464B9" w:rsidRPr="00F73AD0">
        <w:rPr>
          <w:rFonts w:asciiTheme="majorHAnsi" w:hAnsiTheme="majorHAnsi"/>
          <w:bCs/>
          <w:sz w:val="20"/>
          <w:szCs w:val="20"/>
          <w:lang w:val="es-UY"/>
        </w:rPr>
        <w:t>queja</w:t>
      </w:r>
      <w:r w:rsidR="009F5933" w:rsidRPr="00F73AD0">
        <w:rPr>
          <w:rFonts w:asciiTheme="majorHAnsi" w:hAnsiTheme="majorHAnsi"/>
          <w:bCs/>
          <w:sz w:val="20"/>
          <w:szCs w:val="20"/>
          <w:lang w:val="es-UY"/>
        </w:rPr>
        <w:t>s</w:t>
      </w:r>
      <w:r w:rsidR="00C464B9" w:rsidRPr="00F73AD0">
        <w:rPr>
          <w:rFonts w:asciiTheme="majorHAnsi" w:hAnsiTheme="majorHAnsi"/>
          <w:bCs/>
          <w:sz w:val="20"/>
          <w:szCs w:val="20"/>
          <w:lang w:val="es-UY"/>
        </w:rPr>
        <w:t xml:space="preserve"> ante el Comité de Libertad Sindical de la Organización Internacional del Trabajo (en adelante “OIT”) </w:t>
      </w:r>
      <w:r w:rsidR="008D3F8F" w:rsidRPr="00F73AD0">
        <w:rPr>
          <w:rFonts w:asciiTheme="majorHAnsi" w:hAnsiTheme="majorHAnsi"/>
          <w:bCs/>
          <w:sz w:val="20"/>
          <w:szCs w:val="20"/>
          <w:lang w:val="es-UY"/>
        </w:rPr>
        <w:t>por</w:t>
      </w:r>
      <w:r w:rsidR="00C464B9" w:rsidRPr="00F73AD0">
        <w:rPr>
          <w:rFonts w:asciiTheme="majorHAnsi" w:hAnsiTheme="majorHAnsi"/>
          <w:bCs/>
          <w:sz w:val="20"/>
          <w:szCs w:val="20"/>
          <w:lang w:val="es-UY"/>
        </w:rPr>
        <w:t xml:space="preserve"> la eliminación de los regímenes pensionales especiales </w:t>
      </w:r>
      <w:r w:rsidR="00A719ED" w:rsidRPr="00F73AD0">
        <w:rPr>
          <w:rFonts w:asciiTheme="majorHAnsi" w:hAnsiTheme="majorHAnsi"/>
          <w:bCs/>
          <w:sz w:val="20"/>
          <w:szCs w:val="20"/>
          <w:lang w:val="es-UY"/>
        </w:rPr>
        <w:t>d</w:t>
      </w:r>
      <w:r w:rsidR="00C464B9" w:rsidRPr="00F73AD0">
        <w:rPr>
          <w:rFonts w:asciiTheme="majorHAnsi" w:hAnsiTheme="majorHAnsi"/>
          <w:bCs/>
          <w:sz w:val="20"/>
          <w:szCs w:val="20"/>
          <w:lang w:val="es-UY"/>
        </w:rPr>
        <w:t>el Acto Legislativo 01 de 2005</w:t>
      </w:r>
      <w:r w:rsidR="00C501F2">
        <w:rPr>
          <w:rFonts w:asciiTheme="majorHAnsi" w:hAnsiTheme="majorHAnsi"/>
          <w:bCs/>
          <w:sz w:val="20"/>
          <w:szCs w:val="20"/>
          <w:lang w:val="es-UY"/>
        </w:rPr>
        <w:t>. Fren</w:t>
      </w:r>
      <w:r w:rsidR="00A84DB0">
        <w:rPr>
          <w:rFonts w:asciiTheme="majorHAnsi" w:hAnsiTheme="majorHAnsi"/>
          <w:bCs/>
          <w:sz w:val="20"/>
          <w:szCs w:val="20"/>
          <w:lang w:val="es-UY"/>
        </w:rPr>
        <w:t>te a ello</w:t>
      </w:r>
      <w:r w:rsidR="00B50705" w:rsidRPr="00F73AD0">
        <w:rPr>
          <w:rFonts w:asciiTheme="majorHAnsi" w:hAnsiTheme="majorHAnsi"/>
          <w:bCs/>
          <w:sz w:val="20"/>
          <w:szCs w:val="20"/>
          <w:lang w:val="es-UY"/>
        </w:rPr>
        <w:t>,</w:t>
      </w:r>
      <w:r w:rsidR="00C464B9" w:rsidRPr="00F73AD0">
        <w:rPr>
          <w:rFonts w:asciiTheme="majorHAnsi" w:hAnsiTheme="majorHAnsi"/>
          <w:bCs/>
          <w:sz w:val="20"/>
          <w:szCs w:val="20"/>
          <w:lang w:val="es-UY"/>
        </w:rPr>
        <w:t xml:space="preserve"> en marzo de 2007</w:t>
      </w:r>
      <w:r w:rsidR="00A84DB0">
        <w:rPr>
          <w:rFonts w:asciiTheme="majorHAnsi" w:hAnsiTheme="majorHAnsi"/>
          <w:bCs/>
          <w:sz w:val="20"/>
          <w:szCs w:val="20"/>
          <w:lang w:val="es-UY"/>
        </w:rPr>
        <w:t>,</w:t>
      </w:r>
      <w:r w:rsidR="00C464B9" w:rsidRPr="00F73AD0">
        <w:rPr>
          <w:rFonts w:asciiTheme="majorHAnsi" w:hAnsiTheme="majorHAnsi"/>
          <w:bCs/>
          <w:sz w:val="20"/>
          <w:szCs w:val="20"/>
          <w:lang w:val="es-UY"/>
        </w:rPr>
        <w:t xml:space="preserve"> la OIT aprobó el informe GB.298/7/1, contentivo de una recomendación del Comité de Libertad Sindical al gobierno colombiano para que adoptara las medidas correctivas pertinentes para garantizar el cumplimiento de las convenciones colectivas celebradas con anterioridad a la reforma constitucional</w:t>
      </w:r>
      <w:r w:rsidR="00061AA9" w:rsidRPr="00F73AD0">
        <w:rPr>
          <w:rFonts w:asciiTheme="majorHAnsi" w:hAnsiTheme="majorHAnsi"/>
          <w:bCs/>
          <w:sz w:val="20"/>
          <w:szCs w:val="20"/>
          <w:lang w:val="es-UY"/>
        </w:rPr>
        <w:t xml:space="preserve">. </w:t>
      </w:r>
      <w:r w:rsidR="00977B4B" w:rsidRPr="00F73AD0">
        <w:rPr>
          <w:rFonts w:asciiTheme="majorHAnsi" w:hAnsiTheme="majorHAnsi"/>
          <w:bCs/>
          <w:sz w:val="20"/>
          <w:szCs w:val="20"/>
          <w:lang w:val="es-UY"/>
        </w:rPr>
        <w:t xml:space="preserve">Los peticionarios indican </w:t>
      </w:r>
      <w:r w:rsidR="00061AA9" w:rsidRPr="00F73AD0">
        <w:rPr>
          <w:rFonts w:asciiTheme="majorHAnsi" w:hAnsiTheme="majorHAnsi"/>
          <w:bCs/>
          <w:sz w:val="20"/>
          <w:szCs w:val="20"/>
          <w:lang w:val="es-UY"/>
        </w:rPr>
        <w:t xml:space="preserve">que la ANEBRE presentó 32 acciones de tutela para hacer efectiva la recomendación de la OIT, </w:t>
      </w:r>
      <w:r w:rsidR="00325431" w:rsidRPr="00F73AD0">
        <w:rPr>
          <w:rFonts w:asciiTheme="majorHAnsi" w:hAnsiTheme="majorHAnsi"/>
          <w:bCs/>
          <w:sz w:val="20"/>
          <w:szCs w:val="20"/>
          <w:lang w:val="es-UY"/>
        </w:rPr>
        <w:t>pero</w:t>
      </w:r>
      <w:r w:rsidR="00227B1D" w:rsidRPr="00F73AD0">
        <w:rPr>
          <w:rFonts w:asciiTheme="majorHAnsi" w:hAnsiTheme="majorHAnsi"/>
          <w:bCs/>
          <w:sz w:val="20"/>
          <w:szCs w:val="20"/>
          <w:lang w:val="es-UY"/>
        </w:rPr>
        <w:t xml:space="preserve"> </w:t>
      </w:r>
      <w:r w:rsidR="00D012B7" w:rsidRPr="00F73AD0">
        <w:rPr>
          <w:rFonts w:asciiTheme="majorHAnsi" w:hAnsiTheme="majorHAnsi"/>
          <w:bCs/>
          <w:sz w:val="20"/>
          <w:szCs w:val="20"/>
          <w:lang w:val="es-UY"/>
        </w:rPr>
        <w:t xml:space="preserve">aseveran que </w:t>
      </w:r>
      <w:r w:rsidR="00325431" w:rsidRPr="00F73AD0">
        <w:rPr>
          <w:rFonts w:asciiTheme="majorHAnsi" w:hAnsiTheme="majorHAnsi"/>
          <w:bCs/>
          <w:sz w:val="20"/>
          <w:szCs w:val="20"/>
          <w:lang w:val="es-UY"/>
        </w:rPr>
        <w:t xml:space="preserve">la Corte Constitucional </w:t>
      </w:r>
      <w:r w:rsidR="00FC4702" w:rsidRPr="00F73AD0">
        <w:rPr>
          <w:rFonts w:asciiTheme="majorHAnsi" w:hAnsiTheme="majorHAnsi"/>
          <w:bCs/>
          <w:sz w:val="20"/>
          <w:szCs w:val="20"/>
          <w:lang w:val="es-UY"/>
        </w:rPr>
        <w:t xml:space="preserve">realizó una interpretación regresiva en materia de derechos económicos y sociales mediante la emisión de la Sentencia de Unificación SU-555 </w:t>
      </w:r>
      <w:r w:rsidR="00195410" w:rsidRPr="00F73AD0">
        <w:rPr>
          <w:rFonts w:asciiTheme="majorHAnsi" w:hAnsiTheme="majorHAnsi"/>
          <w:bCs/>
          <w:sz w:val="20"/>
          <w:szCs w:val="20"/>
          <w:lang w:val="es-UY"/>
        </w:rPr>
        <w:t xml:space="preserve">de 24 de julio de 2014, por la cual </w:t>
      </w:r>
      <w:r w:rsidR="00274B96" w:rsidRPr="00F73AD0">
        <w:rPr>
          <w:rFonts w:asciiTheme="majorHAnsi" w:hAnsiTheme="majorHAnsi"/>
          <w:bCs/>
          <w:sz w:val="20"/>
          <w:szCs w:val="20"/>
          <w:lang w:val="es-UY"/>
        </w:rPr>
        <w:t>negó la validez de la convención colectiva de trabajo</w:t>
      </w:r>
      <w:r w:rsidR="00E07B8F" w:rsidRPr="00F73AD0">
        <w:rPr>
          <w:rFonts w:asciiTheme="majorHAnsi" w:hAnsiTheme="majorHAnsi"/>
          <w:bCs/>
          <w:sz w:val="20"/>
          <w:szCs w:val="20"/>
          <w:lang w:val="es-UY"/>
        </w:rPr>
        <w:t xml:space="preserve"> en materia pensional</w:t>
      </w:r>
      <w:r w:rsidR="00274B96" w:rsidRPr="00F73AD0">
        <w:rPr>
          <w:rFonts w:asciiTheme="majorHAnsi" w:hAnsiTheme="majorHAnsi"/>
          <w:bCs/>
          <w:sz w:val="20"/>
          <w:szCs w:val="20"/>
          <w:lang w:val="es-UY"/>
        </w:rPr>
        <w:t>.</w:t>
      </w:r>
    </w:p>
    <w:p w14:paraId="58FC4A6F" w14:textId="5F0F9BE0" w:rsidR="0000055F" w:rsidRPr="00F73AD0" w:rsidRDefault="002F0DE4" w:rsidP="00F73AD0">
      <w:pPr>
        <w:pStyle w:val="ListParagraph"/>
        <w:numPr>
          <w:ilvl w:val="0"/>
          <w:numId w:val="61"/>
        </w:numPr>
        <w:ind w:left="0" w:firstLine="720"/>
        <w:jc w:val="both"/>
        <w:rPr>
          <w:rFonts w:asciiTheme="majorHAnsi" w:hAnsiTheme="majorHAnsi"/>
          <w:bCs/>
          <w:sz w:val="20"/>
          <w:szCs w:val="20"/>
          <w:lang w:val="es-UY"/>
        </w:rPr>
      </w:pPr>
      <w:r w:rsidRPr="00F73AD0">
        <w:rPr>
          <w:rFonts w:asciiTheme="majorHAnsi" w:hAnsiTheme="majorHAnsi"/>
          <w:bCs/>
          <w:sz w:val="20"/>
          <w:szCs w:val="20"/>
          <w:lang w:val="es-UY"/>
        </w:rPr>
        <w:t>La parte peticionaria narra que</w:t>
      </w:r>
      <w:r w:rsidR="00A84DB0">
        <w:rPr>
          <w:rFonts w:asciiTheme="majorHAnsi" w:hAnsiTheme="majorHAnsi"/>
          <w:bCs/>
          <w:sz w:val="20"/>
          <w:szCs w:val="20"/>
          <w:lang w:val="es-UY"/>
        </w:rPr>
        <w:t>,</w:t>
      </w:r>
      <w:r w:rsidRPr="00F73AD0">
        <w:rPr>
          <w:rFonts w:asciiTheme="majorHAnsi" w:hAnsiTheme="majorHAnsi"/>
          <w:bCs/>
          <w:sz w:val="20"/>
          <w:szCs w:val="20"/>
          <w:lang w:val="es-UY"/>
        </w:rPr>
        <w:t xml:space="preserve"> debido a esta reforma, varios </w:t>
      </w:r>
      <w:r w:rsidR="00A35319" w:rsidRPr="00F73AD0">
        <w:rPr>
          <w:rFonts w:asciiTheme="majorHAnsi" w:hAnsiTheme="majorHAnsi"/>
          <w:bCs/>
          <w:sz w:val="20"/>
          <w:szCs w:val="20"/>
          <w:lang w:val="es-UY"/>
        </w:rPr>
        <w:t xml:space="preserve">afiliados de la ANEBRE </w:t>
      </w:r>
      <w:r w:rsidRPr="00F73AD0">
        <w:rPr>
          <w:rFonts w:asciiTheme="majorHAnsi" w:hAnsiTheme="majorHAnsi"/>
          <w:bCs/>
          <w:sz w:val="20"/>
          <w:szCs w:val="20"/>
          <w:lang w:val="es-UY"/>
        </w:rPr>
        <w:t>solicitar</w:t>
      </w:r>
      <w:r w:rsidR="00B14E48" w:rsidRPr="00F73AD0">
        <w:rPr>
          <w:rFonts w:asciiTheme="majorHAnsi" w:hAnsiTheme="majorHAnsi"/>
          <w:bCs/>
          <w:sz w:val="20"/>
          <w:szCs w:val="20"/>
          <w:lang w:val="es-UY"/>
        </w:rPr>
        <w:t>o</w:t>
      </w:r>
      <w:r w:rsidRPr="00F73AD0">
        <w:rPr>
          <w:rFonts w:asciiTheme="majorHAnsi" w:hAnsiTheme="majorHAnsi"/>
          <w:bCs/>
          <w:sz w:val="20"/>
          <w:szCs w:val="20"/>
          <w:lang w:val="es-UY"/>
        </w:rPr>
        <w:t xml:space="preserve">n </w:t>
      </w:r>
      <w:r w:rsidR="004B2772" w:rsidRPr="00F73AD0">
        <w:rPr>
          <w:rFonts w:asciiTheme="majorHAnsi" w:hAnsiTheme="majorHAnsi"/>
          <w:bCs/>
          <w:sz w:val="20"/>
          <w:szCs w:val="20"/>
          <w:lang w:val="es-UY"/>
        </w:rPr>
        <w:t>el reconocimiento de su pensión de jubilación de</w:t>
      </w:r>
      <w:r w:rsidR="004F6E54" w:rsidRPr="00F73AD0">
        <w:rPr>
          <w:rFonts w:asciiTheme="majorHAnsi" w:hAnsiTheme="majorHAnsi"/>
          <w:bCs/>
          <w:sz w:val="20"/>
          <w:szCs w:val="20"/>
          <w:lang w:val="es-UY"/>
        </w:rPr>
        <w:t xml:space="preserve"> conformidad con la convención colectiva de 1997</w:t>
      </w:r>
      <w:r w:rsidR="00B3340F">
        <w:rPr>
          <w:rFonts w:asciiTheme="majorHAnsi" w:hAnsiTheme="majorHAnsi"/>
          <w:bCs/>
          <w:sz w:val="20"/>
          <w:szCs w:val="20"/>
          <w:lang w:val="es-UY"/>
        </w:rPr>
        <w:t>;</w:t>
      </w:r>
      <w:r w:rsidR="004F6E54" w:rsidRPr="00F73AD0">
        <w:rPr>
          <w:rFonts w:asciiTheme="majorHAnsi" w:hAnsiTheme="majorHAnsi"/>
          <w:bCs/>
          <w:sz w:val="20"/>
          <w:szCs w:val="20"/>
          <w:lang w:val="es-UY"/>
        </w:rPr>
        <w:t xml:space="preserve"> </w:t>
      </w:r>
      <w:r w:rsidR="00B14E48" w:rsidRPr="00F73AD0">
        <w:rPr>
          <w:rFonts w:asciiTheme="majorHAnsi" w:hAnsiTheme="majorHAnsi"/>
          <w:bCs/>
          <w:sz w:val="20"/>
          <w:szCs w:val="20"/>
          <w:lang w:val="es-UY"/>
        </w:rPr>
        <w:t xml:space="preserve">pero </w:t>
      </w:r>
      <w:r w:rsidR="004F6E54" w:rsidRPr="00F73AD0">
        <w:rPr>
          <w:rFonts w:asciiTheme="majorHAnsi" w:hAnsiTheme="majorHAnsi"/>
          <w:bCs/>
          <w:sz w:val="20"/>
          <w:szCs w:val="20"/>
          <w:lang w:val="es-UY"/>
        </w:rPr>
        <w:t xml:space="preserve">el Banco de la República </w:t>
      </w:r>
      <w:r w:rsidR="002F791D" w:rsidRPr="00F73AD0">
        <w:rPr>
          <w:rFonts w:asciiTheme="majorHAnsi" w:hAnsiTheme="majorHAnsi"/>
          <w:bCs/>
          <w:sz w:val="20"/>
          <w:szCs w:val="20"/>
          <w:lang w:val="es-UY"/>
        </w:rPr>
        <w:t>las negó con fundamento en el Acto Legislativo 01 de 2005.</w:t>
      </w:r>
      <w:r w:rsidR="00F95AB9" w:rsidRPr="00F73AD0">
        <w:rPr>
          <w:rFonts w:asciiTheme="majorHAnsi" w:hAnsiTheme="majorHAnsi"/>
          <w:bCs/>
          <w:sz w:val="20"/>
          <w:szCs w:val="20"/>
          <w:lang w:val="es-UY"/>
        </w:rPr>
        <w:t xml:space="preserve"> </w:t>
      </w:r>
      <w:r w:rsidR="000D70B3" w:rsidRPr="00F73AD0">
        <w:rPr>
          <w:rFonts w:asciiTheme="majorHAnsi" w:hAnsiTheme="majorHAnsi"/>
          <w:bCs/>
          <w:sz w:val="20"/>
          <w:szCs w:val="20"/>
          <w:lang w:val="es-UY"/>
        </w:rPr>
        <w:t>L</w:t>
      </w:r>
      <w:r w:rsidR="00F95AB9" w:rsidRPr="00F73AD0">
        <w:rPr>
          <w:rFonts w:asciiTheme="majorHAnsi" w:hAnsiTheme="majorHAnsi"/>
          <w:bCs/>
          <w:sz w:val="20"/>
          <w:szCs w:val="20"/>
          <w:lang w:val="es-UY"/>
        </w:rPr>
        <w:t>a entidad argumentó que</w:t>
      </w:r>
      <w:r w:rsidR="00B3340F">
        <w:rPr>
          <w:rFonts w:asciiTheme="majorHAnsi" w:hAnsiTheme="majorHAnsi"/>
          <w:bCs/>
          <w:sz w:val="20"/>
          <w:szCs w:val="20"/>
          <w:lang w:val="es-UY"/>
        </w:rPr>
        <w:t>,</w:t>
      </w:r>
      <w:r w:rsidR="00F95AB9" w:rsidRPr="00F73AD0">
        <w:rPr>
          <w:rFonts w:asciiTheme="majorHAnsi" w:hAnsiTheme="majorHAnsi"/>
          <w:bCs/>
          <w:sz w:val="20"/>
          <w:szCs w:val="20"/>
          <w:lang w:val="es-UY"/>
        </w:rPr>
        <w:t xml:space="preserve"> a part</w:t>
      </w:r>
      <w:r w:rsidR="00560621" w:rsidRPr="00F73AD0">
        <w:rPr>
          <w:rFonts w:asciiTheme="majorHAnsi" w:hAnsiTheme="majorHAnsi"/>
          <w:bCs/>
          <w:sz w:val="20"/>
          <w:szCs w:val="20"/>
          <w:lang w:val="es-UY"/>
        </w:rPr>
        <w:t>ir</w:t>
      </w:r>
      <w:r w:rsidR="00F95AB9" w:rsidRPr="00F73AD0">
        <w:rPr>
          <w:rFonts w:asciiTheme="majorHAnsi" w:hAnsiTheme="majorHAnsi"/>
          <w:bCs/>
          <w:sz w:val="20"/>
          <w:szCs w:val="20"/>
          <w:lang w:val="es-UY"/>
        </w:rPr>
        <w:t xml:space="preserve"> del 31 de ju</w:t>
      </w:r>
      <w:r w:rsidR="00700973" w:rsidRPr="00F73AD0">
        <w:rPr>
          <w:rFonts w:asciiTheme="majorHAnsi" w:hAnsiTheme="majorHAnsi"/>
          <w:bCs/>
          <w:sz w:val="20"/>
          <w:szCs w:val="20"/>
          <w:lang w:val="es-UY"/>
        </w:rPr>
        <w:t>lio de 2010</w:t>
      </w:r>
      <w:r w:rsidR="00B3340F">
        <w:rPr>
          <w:rFonts w:asciiTheme="majorHAnsi" w:hAnsiTheme="majorHAnsi"/>
          <w:bCs/>
          <w:sz w:val="20"/>
          <w:szCs w:val="20"/>
          <w:lang w:val="es-UY"/>
        </w:rPr>
        <w:t>,</w:t>
      </w:r>
      <w:r w:rsidR="00700973" w:rsidRPr="00F73AD0">
        <w:rPr>
          <w:rFonts w:asciiTheme="majorHAnsi" w:hAnsiTheme="majorHAnsi"/>
          <w:bCs/>
          <w:sz w:val="20"/>
          <w:szCs w:val="20"/>
          <w:lang w:val="es-UY"/>
        </w:rPr>
        <w:t xml:space="preserve"> toda la cláusula pensional contenida en convenciones colectivas, laudos y pactos perdía vigencia</w:t>
      </w:r>
      <w:r w:rsidR="008E3A78" w:rsidRPr="00F73AD0">
        <w:rPr>
          <w:rFonts w:asciiTheme="majorHAnsi" w:hAnsiTheme="majorHAnsi"/>
          <w:bCs/>
          <w:sz w:val="20"/>
          <w:szCs w:val="20"/>
          <w:lang w:val="es-UY"/>
        </w:rPr>
        <w:t>.</w:t>
      </w:r>
    </w:p>
    <w:p w14:paraId="6B95FAF5" w14:textId="796D28F6" w:rsidR="00F12317" w:rsidRPr="00F73AD0" w:rsidRDefault="0000055F" w:rsidP="00F73AD0">
      <w:pPr>
        <w:pStyle w:val="ListParagraph"/>
        <w:numPr>
          <w:ilvl w:val="0"/>
          <w:numId w:val="61"/>
        </w:numPr>
        <w:ind w:left="0" w:firstLine="720"/>
        <w:jc w:val="both"/>
        <w:rPr>
          <w:rFonts w:asciiTheme="majorHAnsi" w:hAnsiTheme="majorHAnsi"/>
          <w:bCs/>
          <w:sz w:val="20"/>
          <w:szCs w:val="20"/>
          <w:lang w:val="es-UY"/>
        </w:rPr>
      </w:pPr>
      <w:r w:rsidRPr="00F73AD0">
        <w:rPr>
          <w:rFonts w:asciiTheme="majorHAnsi" w:hAnsiTheme="majorHAnsi"/>
          <w:bCs/>
          <w:sz w:val="20"/>
          <w:szCs w:val="20"/>
          <w:lang w:val="es-UY"/>
        </w:rPr>
        <w:t xml:space="preserve">De acuerdo con la </w:t>
      </w:r>
      <w:r w:rsidR="00A56444" w:rsidRPr="00F73AD0">
        <w:rPr>
          <w:rFonts w:asciiTheme="majorHAnsi" w:hAnsiTheme="majorHAnsi"/>
          <w:bCs/>
          <w:sz w:val="20"/>
          <w:szCs w:val="20"/>
          <w:lang w:val="es-UY"/>
        </w:rPr>
        <w:t xml:space="preserve">información </w:t>
      </w:r>
      <w:r w:rsidR="00F06C20" w:rsidRPr="00F73AD0">
        <w:rPr>
          <w:rFonts w:asciiTheme="majorHAnsi" w:hAnsiTheme="majorHAnsi"/>
          <w:bCs/>
          <w:sz w:val="20"/>
          <w:szCs w:val="20"/>
          <w:lang w:val="es-UY"/>
        </w:rPr>
        <w:t xml:space="preserve">y documentos </w:t>
      </w:r>
      <w:r w:rsidRPr="00F73AD0">
        <w:rPr>
          <w:rFonts w:asciiTheme="majorHAnsi" w:hAnsiTheme="majorHAnsi"/>
          <w:bCs/>
          <w:sz w:val="20"/>
          <w:szCs w:val="20"/>
          <w:lang w:val="es-UY"/>
        </w:rPr>
        <w:t>aportad</w:t>
      </w:r>
      <w:r w:rsidR="00F06C20" w:rsidRPr="00F73AD0">
        <w:rPr>
          <w:rFonts w:asciiTheme="majorHAnsi" w:hAnsiTheme="majorHAnsi"/>
          <w:bCs/>
          <w:sz w:val="20"/>
          <w:szCs w:val="20"/>
          <w:lang w:val="es-UY"/>
        </w:rPr>
        <w:t>os</w:t>
      </w:r>
      <w:r w:rsidRPr="00F73AD0">
        <w:rPr>
          <w:rFonts w:asciiTheme="majorHAnsi" w:hAnsiTheme="majorHAnsi"/>
          <w:bCs/>
          <w:sz w:val="20"/>
          <w:szCs w:val="20"/>
          <w:lang w:val="es-UY"/>
        </w:rPr>
        <w:t xml:space="preserve"> por las partes </w:t>
      </w:r>
      <w:r w:rsidR="00A56444" w:rsidRPr="00F73AD0">
        <w:rPr>
          <w:rFonts w:asciiTheme="majorHAnsi" w:hAnsiTheme="majorHAnsi"/>
          <w:bCs/>
          <w:sz w:val="20"/>
          <w:szCs w:val="20"/>
          <w:lang w:val="es-UY"/>
        </w:rPr>
        <w:t xml:space="preserve">sobre </w:t>
      </w:r>
      <w:r w:rsidR="00AF756D" w:rsidRPr="00F73AD0">
        <w:rPr>
          <w:rFonts w:asciiTheme="majorHAnsi" w:hAnsiTheme="majorHAnsi"/>
          <w:bCs/>
          <w:sz w:val="20"/>
          <w:szCs w:val="20"/>
          <w:lang w:val="es-UY"/>
        </w:rPr>
        <w:t xml:space="preserve">demandas laborales interpuestas </w:t>
      </w:r>
      <w:r w:rsidR="00A56444" w:rsidRPr="00F73AD0">
        <w:rPr>
          <w:rFonts w:asciiTheme="majorHAnsi" w:hAnsiTheme="majorHAnsi"/>
          <w:bCs/>
          <w:sz w:val="20"/>
          <w:szCs w:val="20"/>
          <w:lang w:val="es-UY"/>
        </w:rPr>
        <w:t>por cada presunta víctima</w:t>
      </w:r>
      <w:r w:rsidR="00AF756D" w:rsidRPr="00F73AD0">
        <w:rPr>
          <w:rFonts w:asciiTheme="majorHAnsi" w:hAnsiTheme="majorHAnsi"/>
          <w:bCs/>
          <w:sz w:val="20"/>
          <w:szCs w:val="20"/>
          <w:lang w:val="es-UY"/>
        </w:rPr>
        <w:t xml:space="preserve"> a fin de obtener el reconocimiento de su pensión conforme a la convención colectiva suscrita por la ANEBRE con el Banco de la República en 1997</w:t>
      </w:r>
      <w:r w:rsidR="00F06C20" w:rsidRPr="00F73AD0">
        <w:rPr>
          <w:rFonts w:asciiTheme="majorHAnsi" w:hAnsiTheme="majorHAnsi"/>
          <w:bCs/>
          <w:sz w:val="20"/>
          <w:szCs w:val="20"/>
          <w:lang w:val="es-UY"/>
        </w:rPr>
        <w:t>, se tiene lo siguiente</w:t>
      </w:r>
      <w:r w:rsidR="00A56444" w:rsidRPr="00F73AD0">
        <w:rPr>
          <w:rFonts w:asciiTheme="majorHAnsi" w:hAnsiTheme="majorHAnsi"/>
          <w:bCs/>
          <w:sz w:val="20"/>
          <w:szCs w:val="20"/>
          <w:lang w:val="es-UY"/>
        </w:rPr>
        <w:t>:</w:t>
      </w:r>
    </w:p>
    <w:tbl>
      <w:tblPr>
        <w:tblStyle w:val="TableGrid"/>
        <w:tblW w:w="9365" w:type="dxa"/>
        <w:jc w:val="center"/>
        <w:tblLook w:val="04A0" w:firstRow="1" w:lastRow="0" w:firstColumn="1" w:lastColumn="0" w:noHBand="0" w:noVBand="1"/>
      </w:tblPr>
      <w:tblGrid>
        <w:gridCol w:w="2615"/>
        <w:gridCol w:w="2070"/>
        <w:gridCol w:w="4680"/>
      </w:tblGrid>
      <w:tr w:rsidR="008D3136" w:rsidRPr="00F73AD0" w14:paraId="78613AD7" w14:textId="77777777" w:rsidTr="00D21EA9">
        <w:trPr>
          <w:jc w:val="center"/>
        </w:trPr>
        <w:tc>
          <w:tcPr>
            <w:tcW w:w="2615" w:type="dxa"/>
            <w:shd w:val="clear" w:color="auto" w:fill="D9D9D9" w:themeFill="background1" w:themeFillShade="D9"/>
          </w:tcPr>
          <w:p w14:paraId="61A73687" w14:textId="74A965F0" w:rsidR="008D3136" w:rsidRPr="00F73AD0" w:rsidRDefault="008A105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
                <w:sz w:val="18"/>
                <w:szCs w:val="18"/>
                <w:lang w:val="es-UY"/>
              </w:rPr>
            </w:pPr>
            <w:r w:rsidRPr="00F73AD0">
              <w:rPr>
                <w:rFonts w:asciiTheme="majorHAnsi" w:hAnsiTheme="majorHAnsi"/>
                <w:b/>
                <w:sz w:val="18"/>
                <w:szCs w:val="18"/>
                <w:lang w:val="es-UY"/>
              </w:rPr>
              <w:t>Nombre</w:t>
            </w:r>
          </w:p>
        </w:tc>
        <w:tc>
          <w:tcPr>
            <w:tcW w:w="2070" w:type="dxa"/>
            <w:shd w:val="clear" w:color="auto" w:fill="D9D9D9" w:themeFill="background1" w:themeFillShade="D9"/>
          </w:tcPr>
          <w:p w14:paraId="66E3C457" w14:textId="6C33A81C" w:rsidR="008D3136" w:rsidRPr="00F73AD0" w:rsidRDefault="008A105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
                <w:sz w:val="18"/>
                <w:szCs w:val="18"/>
                <w:lang w:val="es-UY"/>
              </w:rPr>
            </w:pPr>
            <w:r w:rsidRPr="00F73AD0">
              <w:rPr>
                <w:rFonts w:asciiTheme="majorHAnsi" w:hAnsiTheme="majorHAnsi"/>
                <w:b/>
                <w:sz w:val="18"/>
                <w:szCs w:val="18"/>
                <w:lang w:val="es-UY"/>
              </w:rPr>
              <w:t>Número de proceso</w:t>
            </w:r>
          </w:p>
        </w:tc>
        <w:tc>
          <w:tcPr>
            <w:tcW w:w="4680" w:type="dxa"/>
            <w:shd w:val="clear" w:color="auto" w:fill="D9D9D9" w:themeFill="background1" w:themeFillShade="D9"/>
          </w:tcPr>
          <w:p w14:paraId="4AF01BA4" w14:textId="61AFEDA8" w:rsidR="008D3136" w:rsidRPr="00F73AD0" w:rsidRDefault="005D64E9"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
                <w:sz w:val="18"/>
                <w:szCs w:val="18"/>
                <w:lang w:val="es-UY"/>
              </w:rPr>
            </w:pPr>
            <w:r w:rsidRPr="00F73AD0">
              <w:rPr>
                <w:rFonts w:asciiTheme="majorHAnsi" w:hAnsiTheme="majorHAnsi"/>
                <w:b/>
                <w:sz w:val="18"/>
                <w:szCs w:val="18"/>
                <w:lang w:val="es-UY"/>
              </w:rPr>
              <w:t>Última decisión</w:t>
            </w:r>
          </w:p>
        </w:tc>
      </w:tr>
      <w:tr w:rsidR="00F4230A" w:rsidRPr="00D75B8F" w14:paraId="0FB40BE1" w14:textId="77777777" w:rsidTr="00D21EA9">
        <w:trPr>
          <w:jc w:val="center"/>
        </w:trPr>
        <w:tc>
          <w:tcPr>
            <w:tcW w:w="2615" w:type="dxa"/>
          </w:tcPr>
          <w:p w14:paraId="1855A0EC" w14:textId="13BFFC7D" w:rsidR="00F4230A" w:rsidRPr="00F73AD0" w:rsidRDefault="00F4230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UY"/>
              </w:rPr>
              <w:t>Álvaro Fernando Luna Apolinar</w:t>
            </w:r>
          </w:p>
        </w:tc>
        <w:tc>
          <w:tcPr>
            <w:tcW w:w="2070" w:type="dxa"/>
          </w:tcPr>
          <w:p w14:paraId="280B460B" w14:textId="0D805AB0" w:rsidR="00F4230A" w:rsidRPr="00F73AD0" w:rsidRDefault="00304887"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UY"/>
              </w:rPr>
              <w:t>STL2269-2016</w:t>
            </w:r>
          </w:p>
        </w:tc>
        <w:tc>
          <w:tcPr>
            <w:tcW w:w="4680" w:type="dxa"/>
          </w:tcPr>
          <w:p w14:paraId="538AD256" w14:textId="4FE9AA46" w:rsidR="00F4230A" w:rsidRPr="00F73AD0" w:rsidRDefault="004A021B"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CO"/>
              </w:rPr>
              <w:t>Sentencia</w:t>
            </w:r>
            <w:r w:rsidR="004850B5" w:rsidRPr="00F73AD0">
              <w:rPr>
                <w:rFonts w:asciiTheme="majorHAnsi" w:hAnsiTheme="majorHAnsi"/>
                <w:bCs/>
                <w:sz w:val="18"/>
                <w:szCs w:val="18"/>
                <w:lang w:val="es-CO"/>
              </w:rPr>
              <w:t xml:space="preserve"> de </w:t>
            </w:r>
            <w:r w:rsidR="0058545C" w:rsidRPr="00F73AD0">
              <w:rPr>
                <w:rFonts w:asciiTheme="majorHAnsi" w:hAnsiTheme="majorHAnsi"/>
                <w:bCs/>
                <w:sz w:val="18"/>
                <w:szCs w:val="18"/>
                <w:lang w:val="es-CO"/>
              </w:rPr>
              <w:t xml:space="preserve">tutela proferida por </w:t>
            </w:r>
            <w:r w:rsidR="004850B5" w:rsidRPr="00F73AD0">
              <w:rPr>
                <w:rFonts w:asciiTheme="majorHAnsi" w:hAnsiTheme="majorHAnsi"/>
                <w:bCs/>
                <w:sz w:val="18"/>
                <w:szCs w:val="18"/>
                <w:lang w:val="es-CO"/>
              </w:rPr>
              <w:t xml:space="preserve">la Sala Laboral de la Corte Suprema de Justicia proferida el </w:t>
            </w:r>
            <w:r w:rsidR="00CA7845" w:rsidRPr="00F73AD0">
              <w:rPr>
                <w:rFonts w:asciiTheme="majorHAnsi" w:hAnsiTheme="majorHAnsi"/>
                <w:bCs/>
                <w:sz w:val="18"/>
                <w:szCs w:val="18"/>
                <w:lang w:val="es-CO"/>
              </w:rPr>
              <w:t>17 de febrero de 2016, negando la pensión convencional.</w:t>
            </w:r>
          </w:p>
        </w:tc>
      </w:tr>
      <w:tr w:rsidR="004A021B" w:rsidRPr="00D75B8F" w14:paraId="35EE2D38" w14:textId="77777777" w:rsidTr="00D21EA9">
        <w:trPr>
          <w:jc w:val="center"/>
        </w:trPr>
        <w:tc>
          <w:tcPr>
            <w:tcW w:w="2615" w:type="dxa"/>
          </w:tcPr>
          <w:p w14:paraId="01DA2CCE" w14:textId="2979348F" w:rsidR="004A021B" w:rsidRPr="00F73AD0" w:rsidRDefault="004A021B"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UY"/>
              </w:rPr>
              <w:t>Mery Estela Aponte Mariño</w:t>
            </w:r>
          </w:p>
        </w:tc>
        <w:tc>
          <w:tcPr>
            <w:tcW w:w="2070" w:type="dxa"/>
          </w:tcPr>
          <w:p w14:paraId="29F58878" w14:textId="0E6F604B" w:rsidR="004A021B" w:rsidRPr="00F73AD0" w:rsidRDefault="00872D8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UY"/>
              </w:rPr>
              <w:t>STP5913-2016</w:t>
            </w:r>
          </w:p>
        </w:tc>
        <w:tc>
          <w:tcPr>
            <w:tcW w:w="4680" w:type="dxa"/>
          </w:tcPr>
          <w:p w14:paraId="4B812ED3" w14:textId="1A4E7FB5" w:rsidR="004A021B" w:rsidRPr="00F73AD0" w:rsidRDefault="00C346F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tutela proferida por la Sala Laboral de la Corte Suprema de Justicia el 3 de mayo de 2016, negando la pensión convencional.</w:t>
            </w:r>
          </w:p>
        </w:tc>
      </w:tr>
      <w:tr w:rsidR="007E6127" w:rsidRPr="00D75B8F" w14:paraId="00D77430" w14:textId="77777777" w:rsidTr="00D21EA9">
        <w:trPr>
          <w:jc w:val="center"/>
        </w:trPr>
        <w:tc>
          <w:tcPr>
            <w:tcW w:w="2615" w:type="dxa"/>
          </w:tcPr>
          <w:p w14:paraId="3F7AC1C8" w14:textId="5F2F789B" w:rsidR="007E6127" w:rsidRPr="00F73AD0" w:rsidRDefault="007E6127"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UY"/>
              </w:rPr>
              <w:t>Luis Raúl Vera Castillo</w:t>
            </w:r>
          </w:p>
        </w:tc>
        <w:tc>
          <w:tcPr>
            <w:tcW w:w="2070" w:type="dxa"/>
          </w:tcPr>
          <w:p w14:paraId="6368F124" w14:textId="3C65E7C0" w:rsidR="007E6127" w:rsidRPr="00F73AD0" w:rsidRDefault="00FB52D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UY"/>
              </w:rPr>
              <w:t>No especifica</w:t>
            </w:r>
          </w:p>
        </w:tc>
        <w:tc>
          <w:tcPr>
            <w:tcW w:w="4680" w:type="dxa"/>
          </w:tcPr>
          <w:p w14:paraId="4BF7E9F7" w14:textId="30262DB1" w:rsidR="007E6127" w:rsidRPr="00F73AD0" w:rsidRDefault="00433672"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tutela proferida por la Sala Laboral de la Corte Suprema de Justicia el 17 de febrero de 2016, negando la pensión convencional.</w:t>
            </w:r>
          </w:p>
        </w:tc>
      </w:tr>
      <w:tr w:rsidR="008D3136" w:rsidRPr="00F73AD0" w14:paraId="34FA6E32" w14:textId="77777777" w:rsidTr="00D21EA9">
        <w:trPr>
          <w:jc w:val="center"/>
        </w:trPr>
        <w:tc>
          <w:tcPr>
            <w:tcW w:w="2615" w:type="dxa"/>
          </w:tcPr>
          <w:p w14:paraId="451B4942" w14:textId="262FAB81" w:rsidR="008D3136" w:rsidRPr="00F73AD0" w:rsidRDefault="00A771A7"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UY"/>
              </w:rPr>
              <w:t>Héctor Salazar Salazar</w:t>
            </w:r>
          </w:p>
        </w:tc>
        <w:tc>
          <w:tcPr>
            <w:tcW w:w="2070" w:type="dxa"/>
          </w:tcPr>
          <w:p w14:paraId="42D64C42" w14:textId="05A1A576" w:rsidR="008D3136" w:rsidRPr="00F73AD0" w:rsidRDefault="00A771A7"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UY"/>
              </w:rPr>
            </w:pPr>
            <w:r w:rsidRPr="00F73AD0">
              <w:rPr>
                <w:rFonts w:asciiTheme="majorHAnsi" w:hAnsiTheme="majorHAnsi"/>
                <w:bCs/>
                <w:sz w:val="18"/>
                <w:szCs w:val="18"/>
                <w:lang w:val="es-UY"/>
              </w:rPr>
              <w:t>2016-167</w:t>
            </w:r>
          </w:p>
        </w:tc>
        <w:tc>
          <w:tcPr>
            <w:tcW w:w="4680" w:type="dxa"/>
          </w:tcPr>
          <w:p w14:paraId="32384D4E" w14:textId="001CA101" w:rsidR="008D3136" w:rsidRPr="00F73AD0" w:rsidRDefault="00DA5545"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segunda instancia</w:t>
            </w:r>
            <w:r w:rsidR="00CA54E8" w:rsidRPr="00F73AD0">
              <w:rPr>
                <w:rFonts w:asciiTheme="majorHAnsi" w:hAnsiTheme="majorHAnsi"/>
                <w:bCs/>
                <w:sz w:val="18"/>
                <w:szCs w:val="18"/>
                <w:lang w:val="es-CO"/>
              </w:rPr>
              <w:t xml:space="preserve"> de 14 de septiembre de 2018</w:t>
            </w:r>
            <w:r w:rsidR="00B15064" w:rsidRPr="00F73AD0">
              <w:rPr>
                <w:rFonts w:asciiTheme="majorHAnsi" w:hAnsiTheme="majorHAnsi"/>
                <w:bCs/>
                <w:sz w:val="18"/>
                <w:szCs w:val="18"/>
                <w:lang w:val="es-CO"/>
              </w:rPr>
              <w:t xml:space="preserve">, </w:t>
            </w:r>
            <w:r w:rsidR="00A450E2" w:rsidRPr="00F73AD0">
              <w:rPr>
                <w:rFonts w:asciiTheme="majorHAnsi" w:hAnsiTheme="majorHAnsi"/>
                <w:bCs/>
                <w:sz w:val="18"/>
                <w:szCs w:val="18"/>
                <w:lang w:val="es-CO"/>
              </w:rPr>
              <w:t>absolviendo al Banco de la República</w:t>
            </w:r>
            <w:r w:rsidR="00B15064" w:rsidRPr="00F73AD0">
              <w:rPr>
                <w:rFonts w:asciiTheme="majorHAnsi" w:hAnsiTheme="majorHAnsi"/>
                <w:bCs/>
                <w:sz w:val="18"/>
                <w:szCs w:val="18"/>
                <w:lang w:val="es-CO"/>
              </w:rPr>
              <w:t>. Interpuso recurso de casación.</w:t>
            </w:r>
          </w:p>
        </w:tc>
      </w:tr>
      <w:tr w:rsidR="008D3136" w:rsidRPr="00D75B8F" w14:paraId="1FD4F21F" w14:textId="77777777" w:rsidTr="00D21EA9">
        <w:trPr>
          <w:jc w:val="center"/>
        </w:trPr>
        <w:tc>
          <w:tcPr>
            <w:tcW w:w="2615" w:type="dxa"/>
          </w:tcPr>
          <w:p w14:paraId="06624B3C" w14:textId="5F03E79E" w:rsidR="008D3136" w:rsidRPr="00F73AD0" w:rsidRDefault="00D670DE"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Roberto Arturo</w:t>
            </w:r>
            <w:r w:rsidR="00277C18" w:rsidRPr="00F73AD0">
              <w:rPr>
                <w:rFonts w:asciiTheme="majorHAnsi" w:hAnsiTheme="majorHAnsi"/>
                <w:bCs/>
                <w:sz w:val="18"/>
                <w:szCs w:val="18"/>
                <w:lang w:val="es-CO"/>
              </w:rPr>
              <w:t xml:space="preserve"> Galvis Castañeda</w:t>
            </w:r>
          </w:p>
        </w:tc>
        <w:tc>
          <w:tcPr>
            <w:tcW w:w="2070" w:type="dxa"/>
          </w:tcPr>
          <w:p w14:paraId="03ECF2D3" w14:textId="1665EA91" w:rsidR="008D3136" w:rsidRPr="00F73AD0" w:rsidRDefault="009C3AE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pt-BR"/>
              </w:rPr>
            </w:pPr>
            <w:r w:rsidRPr="00F73AD0">
              <w:rPr>
                <w:rFonts w:asciiTheme="majorHAnsi" w:hAnsiTheme="majorHAnsi"/>
                <w:bCs/>
                <w:sz w:val="18"/>
                <w:szCs w:val="18"/>
                <w:lang w:val="pt-BR"/>
              </w:rPr>
              <w:t>SL3947-2021</w:t>
            </w:r>
          </w:p>
        </w:tc>
        <w:tc>
          <w:tcPr>
            <w:tcW w:w="4680" w:type="dxa"/>
          </w:tcPr>
          <w:p w14:paraId="342C3AB5" w14:textId="1A473DED" w:rsidR="008D3136" w:rsidRPr="00F73AD0" w:rsidRDefault="00277C18"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w:t>
            </w:r>
            <w:r w:rsidR="009C3AEF" w:rsidRPr="00F73AD0">
              <w:rPr>
                <w:rFonts w:asciiTheme="majorHAnsi" w:hAnsiTheme="majorHAnsi"/>
                <w:bCs/>
                <w:sz w:val="18"/>
                <w:szCs w:val="18"/>
                <w:lang w:val="es-CO"/>
              </w:rPr>
              <w:t xml:space="preserve">la Sala de Casación Laboral de la Corte Suprema de Justicia de 9 de agosto de 2021, </w:t>
            </w:r>
            <w:r w:rsidR="005E1209" w:rsidRPr="00F73AD0">
              <w:rPr>
                <w:rFonts w:asciiTheme="majorHAnsi" w:hAnsiTheme="majorHAnsi"/>
                <w:bCs/>
                <w:sz w:val="18"/>
                <w:szCs w:val="18"/>
                <w:lang w:val="es-CO"/>
              </w:rPr>
              <w:t xml:space="preserve">negando la pensión convencional y la </w:t>
            </w:r>
            <w:r w:rsidR="00CA31DC" w:rsidRPr="00F73AD0">
              <w:rPr>
                <w:rFonts w:asciiTheme="majorHAnsi" w:hAnsiTheme="majorHAnsi"/>
                <w:bCs/>
                <w:sz w:val="18"/>
                <w:szCs w:val="18"/>
                <w:lang w:val="es-CO"/>
              </w:rPr>
              <w:t xml:space="preserve">del Reglamento Interno del Banco de la República, otorgando </w:t>
            </w:r>
            <w:r w:rsidR="00340EED" w:rsidRPr="00F73AD0">
              <w:rPr>
                <w:rFonts w:asciiTheme="majorHAnsi" w:hAnsiTheme="majorHAnsi"/>
                <w:bCs/>
                <w:sz w:val="18"/>
                <w:szCs w:val="18"/>
                <w:lang w:val="es-CO"/>
              </w:rPr>
              <w:t>un</w:t>
            </w:r>
            <w:r w:rsidR="00CA31DC" w:rsidRPr="00F73AD0">
              <w:rPr>
                <w:rFonts w:asciiTheme="majorHAnsi" w:hAnsiTheme="majorHAnsi"/>
                <w:bCs/>
                <w:sz w:val="18"/>
                <w:szCs w:val="18"/>
                <w:lang w:val="es-CO"/>
              </w:rPr>
              <w:t>a pensión ordinaria.</w:t>
            </w:r>
          </w:p>
        </w:tc>
      </w:tr>
      <w:tr w:rsidR="008D3136" w:rsidRPr="00D75B8F" w14:paraId="064EE456" w14:textId="77777777" w:rsidTr="00D21EA9">
        <w:trPr>
          <w:jc w:val="center"/>
        </w:trPr>
        <w:tc>
          <w:tcPr>
            <w:tcW w:w="2615" w:type="dxa"/>
          </w:tcPr>
          <w:p w14:paraId="475943DC" w14:textId="13BD173F" w:rsidR="008D3136" w:rsidRPr="00F73AD0" w:rsidRDefault="00D67230"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Ramón Elías Montes Rueda</w:t>
            </w:r>
          </w:p>
        </w:tc>
        <w:tc>
          <w:tcPr>
            <w:tcW w:w="2070" w:type="dxa"/>
          </w:tcPr>
          <w:p w14:paraId="468D3C64" w14:textId="7B931C61" w:rsidR="008D3136" w:rsidRPr="00F73AD0" w:rsidRDefault="003C435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pt-BR"/>
              </w:rPr>
            </w:pPr>
            <w:r w:rsidRPr="00F73AD0">
              <w:rPr>
                <w:rFonts w:asciiTheme="majorHAnsi" w:hAnsiTheme="majorHAnsi"/>
                <w:bCs/>
                <w:sz w:val="18"/>
                <w:szCs w:val="18"/>
                <w:lang w:val="pt-BR"/>
              </w:rPr>
              <w:t>SL660-2021</w:t>
            </w:r>
          </w:p>
        </w:tc>
        <w:tc>
          <w:tcPr>
            <w:tcW w:w="4680" w:type="dxa"/>
          </w:tcPr>
          <w:p w14:paraId="3352B0A1" w14:textId="45654B7B" w:rsidR="008D3136" w:rsidRPr="00F73AD0" w:rsidRDefault="003C435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17 de febrero de 2021, negando la pensión convencional.</w:t>
            </w:r>
          </w:p>
        </w:tc>
      </w:tr>
      <w:tr w:rsidR="008D3136" w:rsidRPr="00F73AD0" w14:paraId="49461BC2" w14:textId="77777777" w:rsidTr="00D21EA9">
        <w:trPr>
          <w:jc w:val="center"/>
        </w:trPr>
        <w:tc>
          <w:tcPr>
            <w:tcW w:w="2615" w:type="dxa"/>
          </w:tcPr>
          <w:p w14:paraId="1B9A7489" w14:textId="34C7F707" w:rsidR="008D3136" w:rsidRPr="00F73AD0" w:rsidRDefault="0034154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Jorge Eliécer Arenas Díaz</w:t>
            </w:r>
          </w:p>
        </w:tc>
        <w:tc>
          <w:tcPr>
            <w:tcW w:w="2070" w:type="dxa"/>
          </w:tcPr>
          <w:p w14:paraId="0F757594" w14:textId="1C308286" w:rsidR="008D3136" w:rsidRPr="00F73AD0" w:rsidRDefault="0034154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2016-128</w:t>
            </w:r>
          </w:p>
        </w:tc>
        <w:tc>
          <w:tcPr>
            <w:tcW w:w="4680" w:type="dxa"/>
          </w:tcPr>
          <w:p w14:paraId="282C5F05" w14:textId="7462A6EF" w:rsidR="008D3136" w:rsidRPr="00F73AD0" w:rsidRDefault="00816767"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segunda instancia de </w:t>
            </w:r>
            <w:r w:rsidR="00602457" w:rsidRPr="00F73AD0">
              <w:rPr>
                <w:rFonts w:asciiTheme="majorHAnsi" w:hAnsiTheme="majorHAnsi"/>
                <w:bCs/>
                <w:sz w:val="18"/>
                <w:szCs w:val="18"/>
                <w:lang w:val="es-CO"/>
              </w:rPr>
              <w:t xml:space="preserve">5 </w:t>
            </w:r>
            <w:r w:rsidRPr="00F73AD0">
              <w:rPr>
                <w:rFonts w:asciiTheme="majorHAnsi" w:hAnsiTheme="majorHAnsi"/>
                <w:bCs/>
                <w:sz w:val="18"/>
                <w:szCs w:val="18"/>
                <w:lang w:val="es-CO"/>
              </w:rPr>
              <w:t xml:space="preserve">de </w:t>
            </w:r>
            <w:r w:rsidR="00602457" w:rsidRPr="00F73AD0">
              <w:rPr>
                <w:rFonts w:asciiTheme="majorHAnsi" w:hAnsiTheme="majorHAnsi"/>
                <w:bCs/>
                <w:sz w:val="18"/>
                <w:szCs w:val="18"/>
                <w:lang w:val="es-CO"/>
              </w:rPr>
              <w:t xml:space="preserve">abril </w:t>
            </w:r>
            <w:r w:rsidRPr="00F73AD0">
              <w:rPr>
                <w:rFonts w:asciiTheme="majorHAnsi" w:hAnsiTheme="majorHAnsi"/>
                <w:bCs/>
                <w:sz w:val="18"/>
                <w:szCs w:val="18"/>
                <w:lang w:val="es-CO"/>
              </w:rPr>
              <w:t>de 201</w:t>
            </w:r>
            <w:r w:rsidR="00602457" w:rsidRPr="00F73AD0">
              <w:rPr>
                <w:rFonts w:asciiTheme="majorHAnsi" w:hAnsiTheme="majorHAnsi"/>
                <w:bCs/>
                <w:sz w:val="18"/>
                <w:szCs w:val="18"/>
                <w:lang w:val="es-CO"/>
              </w:rPr>
              <w:t>7</w:t>
            </w:r>
            <w:r w:rsidR="00A450E2" w:rsidRPr="00F73AD0">
              <w:rPr>
                <w:rFonts w:asciiTheme="majorHAnsi" w:hAnsiTheme="majorHAnsi"/>
                <w:bCs/>
                <w:sz w:val="18"/>
                <w:szCs w:val="18"/>
                <w:lang w:val="es-CO"/>
              </w:rPr>
              <w:t>, absolviendo al Banco de la República</w:t>
            </w:r>
            <w:r w:rsidRPr="00F73AD0">
              <w:rPr>
                <w:rFonts w:asciiTheme="majorHAnsi" w:hAnsiTheme="majorHAnsi"/>
                <w:bCs/>
                <w:sz w:val="18"/>
                <w:szCs w:val="18"/>
                <w:lang w:val="es-CO"/>
              </w:rPr>
              <w:t>.</w:t>
            </w:r>
          </w:p>
        </w:tc>
      </w:tr>
      <w:tr w:rsidR="008D3136" w:rsidRPr="00D75B8F" w14:paraId="018F336E" w14:textId="77777777" w:rsidTr="00D21EA9">
        <w:trPr>
          <w:jc w:val="center"/>
        </w:trPr>
        <w:tc>
          <w:tcPr>
            <w:tcW w:w="2615" w:type="dxa"/>
          </w:tcPr>
          <w:p w14:paraId="21A3AC42" w14:textId="4738A6DA" w:rsidR="008D3136" w:rsidRPr="00F73AD0" w:rsidRDefault="0014628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Carlos Asdrúbal Trejos Zuluaga</w:t>
            </w:r>
          </w:p>
        </w:tc>
        <w:tc>
          <w:tcPr>
            <w:tcW w:w="2070" w:type="dxa"/>
          </w:tcPr>
          <w:p w14:paraId="1F141E18" w14:textId="5FF031DD" w:rsidR="008D3136" w:rsidRPr="00F73AD0" w:rsidRDefault="0014628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2016-132</w:t>
            </w:r>
          </w:p>
        </w:tc>
        <w:tc>
          <w:tcPr>
            <w:tcW w:w="4680" w:type="dxa"/>
          </w:tcPr>
          <w:p w14:paraId="61D34872" w14:textId="48CF985D" w:rsidR="008D3136" w:rsidRPr="00F73AD0" w:rsidRDefault="0014628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Denegación del recurso de casación, sentencia de segunda instancia de 14 de junio de 2018</w:t>
            </w:r>
            <w:r w:rsidR="00A450E2" w:rsidRPr="00F73AD0">
              <w:rPr>
                <w:rFonts w:asciiTheme="majorHAnsi" w:hAnsiTheme="majorHAnsi"/>
                <w:bCs/>
                <w:sz w:val="18"/>
                <w:szCs w:val="18"/>
                <w:lang w:val="es-CO"/>
              </w:rPr>
              <w:t>, absolviendo al Banco de la República</w:t>
            </w:r>
            <w:r w:rsidRPr="00F73AD0">
              <w:rPr>
                <w:rFonts w:asciiTheme="majorHAnsi" w:hAnsiTheme="majorHAnsi"/>
                <w:bCs/>
                <w:sz w:val="18"/>
                <w:szCs w:val="18"/>
                <w:lang w:val="es-CO"/>
              </w:rPr>
              <w:t>.</w:t>
            </w:r>
          </w:p>
        </w:tc>
      </w:tr>
      <w:tr w:rsidR="0070075B" w:rsidRPr="00D75B8F" w14:paraId="74097493" w14:textId="77777777" w:rsidTr="00D21EA9">
        <w:trPr>
          <w:jc w:val="center"/>
        </w:trPr>
        <w:tc>
          <w:tcPr>
            <w:tcW w:w="2615" w:type="dxa"/>
          </w:tcPr>
          <w:p w14:paraId="4238F8BA" w14:textId="7B2B6E50" w:rsidR="0070075B" w:rsidRPr="00F73AD0" w:rsidRDefault="00B4559B"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Jairo Ulises Ipial Yandun</w:t>
            </w:r>
          </w:p>
        </w:tc>
        <w:tc>
          <w:tcPr>
            <w:tcW w:w="2070" w:type="dxa"/>
          </w:tcPr>
          <w:p w14:paraId="1EAAD370" w14:textId="609E9636" w:rsidR="0070075B" w:rsidRPr="00F73AD0" w:rsidRDefault="00EA145E"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SL2963-2022</w:t>
            </w:r>
          </w:p>
        </w:tc>
        <w:tc>
          <w:tcPr>
            <w:tcW w:w="4680" w:type="dxa"/>
          </w:tcPr>
          <w:p w14:paraId="1A7E22CB" w14:textId="0C3FDED8" w:rsidR="0070075B" w:rsidRPr="00F73AD0" w:rsidRDefault="00EA145E"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Justicia de 3 de agosto de 2022, </w:t>
            </w:r>
            <w:r w:rsidR="00AC654C" w:rsidRPr="00F73AD0">
              <w:rPr>
                <w:rFonts w:asciiTheme="majorHAnsi" w:hAnsiTheme="majorHAnsi"/>
                <w:bCs/>
                <w:sz w:val="18"/>
                <w:szCs w:val="18"/>
                <w:lang w:val="es-CO"/>
              </w:rPr>
              <w:t>concediendo la pensión conforme al Reglamento Interno del Banco de la República</w:t>
            </w:r>
            <w:r w:rsidRPr="00F73AD0">
              <w:rPr>
                <w:rFonts w:asciiTheme="majorHAnsi" w:hAnsiTheme="majorHAnsi"/>
                <w:bCs/>
                <w:sz w:val="18"/>
                <w:szCs w:val="18"/>
                <w:lang w:val="es-CO"/>
              </w:rPr>
              <w:t>.</w:t>
            </w:r>
          </w:p>
        </w:tc>
      </w:tr>
      <w:tr w:rsidR="0070075B" w:rsidRPr="00D75B8F" w14:paraId="5AD3D4D9" w14:textId="77777777" w:rsidTr="00D21EA9">
        <w:trPr>
          <w:jc w:val="center"/>
        </w:trPr>
        <w:tc>
          <w:tcPr>
            <w:tcW w:w="2615" w:type="dxa"/>
          </w:tcPr>
          <w:p w14:paraId="2C820C5B" w14:textId="052C2251" w:rsidR="0070075B" w:rsidRPr="00F73AD0" w:rsidRDefault="004B5D3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Luis Eduardo Bocanegra Acosta</w:t>
            </w:r>
          </w:p>
        </w:tc>
        <w:tc>
          <w:tcPr>
            <w:tcW w:w="2070" w:type="dxa"/>
          </w:tcPr>
          <w:p w14:paraId="1420D694" w14:textId="6B5C515C" w:rsidR="0070075B" w:rsidRPr="00F73AD0" w:rsidRDefault="004B5D3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2016-153</w:t>
            </w:r>
          </w:p>
        </w:tc>
        <w:tc>
          <w:tcPr>
            <w:tcW w:w="4680" w:type="dxa"/>
          </w:tcPr>
          <w:p w14:paraId="4AD4A53C" w14:textId="7016F8BE" w:rsidR="0070075B" w:rsidRPr="00F73AD0" w:rsidRDefault="00A25535"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Denegación del recurso de casación, sentencia de segunda instancia de 14 de febrero de 2018</w:t>
            </w:r>
            <w:r w:rsidR="00A450E2" w:rsidRPr="00F73AD0">
              <w:rPr>
                <w:rFonts w:asciiTheme="majorHAnsi" w:hAnsiTheme="majorHAnsi"/>
                <w:bCs/>
                <w:sz w:val="18"/>
                <w:szCs w:val="18"/>
                <w:lang w:val="es-CO"/>
              </w:rPr>
              <w:t>, absolviendo al Banco de la República</w:t>
            </w:r>
            <w:r w:rsidRPr="00F73AD0">
              <w:rPr>
                <w:rFonts w:asciiTheme="majorHAnsi" w:hAnsiTheme="majorHAnsi"/>
                <w:bCs/>
                <w:sz w:val="18"/>
                <w:szCs w:val="18"/>
                <w:lang w:val="es-CO"/>
              </w:rPr>
              <w:t>.</w:t>
            </w:r>
          </w:p>
        </w:tc>
      </w:tr>
      <w:tr w:rsidR="006677B3" w:rsidRPr="00D75B8F" w14:paraId="3C16E294" w14:textId="77777777" w:rsidTr="00D21EA9">
        <w:trPr>
          <w:jc w:val="center"/>
        </w:trPr>
        <w:tc>
          <w:tcPr>
            <w:tcW w:w="2615" w:type="dxa"/>
          </w:tcPr>
          <w:p w14:paraId="2FB5F57B" w14:textId="57E1B3A7" w:rsidR="006677B3" w:rsidRPr="00F73AD0" w:rsidRDefault="006677B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lastRenderedPageBreak/>
              <w:t>Gloria Patricia</w:t>
            </w:r>
            <w:r w:rsidR="00A50DB5" w:rsidRPr="00F73AD0">
              <w:rPr>
                <w:rFonts w:asciiTheme="majorHAnsi" w:hAnsiTheme="majorHAnsi"/>
                <w:bCs/>
                <w:sz w:val="18"/>
                <w:szCs w:val="18"/>
                <w:lang w:val="es-CO"/>
              </w:rPr>
              <w:t xml:space="preserve"> García Buitrago</w:t>
            </w:r>
          </w:p>
        </w:tc>
        <w:tc>
          <w:tcPr>
            <w:tcW w:w="2070" w:type="dxa"/>
          </w:tcPr>
          <w:p w14:paraId="72973EF4" w14:textId="0F2E19B8" w:rsidR="006677B3" w:rsidRPr="00F73AD0" w:rsidRDefault="008818A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SL3160-2022</w:t>
            </w:r>
          </w:p>
        </w:tc>
        <w:tc>
          <w:tcPr>
            <w:tcW w:w="4680" w:type="dxa"/>
          </w:tcPr>
          <w:p w14:paraId="2F571D96" w14:textId="260464F7" w:rsidR="006677B3" w:rsidRPr="00F73AD0" w:rsidRDefault="00D94A2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16 de agosto de 2022,</w:t>
            </w:r>
            <w:r w:rsidR="008E0EB4" w:rsidRPr="00F73AD0">
              <w:rPr>
                <w:rFonts w:asciiTheme="majorHAnsi" w:hAnsiTheme="majorHAnsi"/>
                <w:bCs/>
                <w:sz w:val="18"/>
                <w:szCs w:val="18"/>
                <w:lang w:val="es-CO"/>
              </w:rPr>
              <w:t xml:space="preserve"> negando la pensión convencional</w:t>
            </w:r>
            <w:r w:rsidR="00A50DB5" w:rsidRPr="00F73AD0">
              <w:rPr>
                <w:rFonts w:asciiTheme="majorHAnsi" w:hAnsiTheme="majorHAnsi"/>
                <w:bCs/>
                <w:sz w:val="18"/>
                <w:szCs w:val="18"/>
                <w:lang w:val="es-CO"/>
              </w:rPr>
              <w:t>.</w:t>
            </w:r>
          </w:p>
        </w:tc>
      </w:tr>
      <w:tr w:rsidR="008B6AAC" w:rsidRPr="00D75B8F" w14:paraId="26582A9F" w14:textId="77777777" w:rsidTr="00D21EA9">
        <w:trPr>
          <w:jc w:val="center"/>
        </w:trPr>
        <w:tc>
          <w:tcPr>
            <w:tcW w:w="2615" w:type="dxa"/>
          </w:tcPr>
          <w:p w14:paraId="21432E8D" w14:textId="01AA8A4B" w:rsidR="008B6AAC" w:rsidRPr="00F73AD0" w:rsidRDefault="008B6AA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Luis Hernando Murcia Rodríguez</w:t>
            </w:r>
          </w:p>
        </w:tc>
        <w:tc>
          <w:tcPr>
            <w:tcW w:w="2070" w:type="dxa"/>
          </w:tcPr>
          <w:p w14:paraId="295DA5F9" w14:textId="2888E1C3" w:rsidR="008B6AAC" w:rsidRPr="00F73AD0" w:rsidRDefault="00FF790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w:t>
            </w:r>
            <w:r w:rsidR="000B75E5" w:rsidRPr="00F73AD0">
              <w:rPr>
                <w:rFonts w:asciiTheme="majorHAnsi" w:hAnsiTheme="majorHAnsi"/>
                <w:bCs/>
                <w:sz w:val="18"/>
                <w:szCs w:val="18"/>
                <w:lang w:val="es-CO"/>
              </w:rPr>
              <w:t>1937-2021</w:t>
            </w:r>
          </w:p>
        </w:tc>
        <w:tc>
          <w:tcPr>
            <w:tcW w:w="4680" w:type="dxa"/>
          </w:tcPr>
          <w:p w14:paraId="08B517A1" w14:textId="7D2A2B2D" w:rsidR="008B6AAC" w:rsidRPr="00F73AD0" w:rsidRDefault="000B75E5"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10 de mayo de 2021, negando la pensión convencional.</w:t>
            </w:r>
          </w:p>
        </w:tc>
      </w:tr>
      <w:tr w:rsidR="00084D4F" w:rsidRPr="00D75B8F" w14:paraId="3B2764FF" w14:textId="77777777" w:rsidTr="00D21EA9">
        <w:trPr>
          <w:jc w:val="center"/>
        </w:trPr>
        <w:tc>
          <w:tcPr>
            <w:tcW w:w="2615" w:type="dxa"/>
          </w:tcPr>
          <w:p w14:paraId="7E487DAE" w14:textId="4AB16191" w:rsidR="00084D4F" w:rsidRPr="00F73AD0" w:rsidRDefault="00084D4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Gilberto Espitia Bernal</w:t>
            </w:r>
          </w:p>
        </w:tc>
        <w:tc>
          <w:tcPr>
            <w:tcW w:w="2070" w:type="dxa"/>
          </w:tcPr>
          <w:p w14:paraId="3E0A6F60" w14:textId="6C416FB3" w:rsidR="00084D4F" w:rsidRPr="00F73AD0" w:rsidRDefault="0066501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w:t>
            </w:r>
            <w:r w:rsidR="00E61490" w:rsidRPr="00F73AD0">
              <w:rPr>
                <w:rFonts w:asciiTheme="majorHAnsi" w:hAnsiTheme="majorHAnsi"/>
                <w:bCs/>
                <w:sz w:val="18"/>
                <w:szCs w:val="18"/>
                <w:lang w:val="es-CO"/>
              </w:rPr>
              <w:t>805-2022</w:t>
            </w:r>
          </w:p>
        </w:tc>
        <w:tc>
          <w:tcPr>
            <w:tcW w:w="4680" w:type="dxa"/>
          </w:tcPr>
          <w:p w14:paraId="315F96C2" w14:textId="7FBCC7FD" w:rsidR="00084D4F" w:rsidRPr="00F73AD0" w:rsidRDefault="00E61490"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16 de agosto de 2022, negando la pensión convencional.</w:t>
            </w:r>
          </w:p>
        </w:tc>
      </w:tr>
      <w:tr w:rsidR="00B64BB5" w:rsidRPr="00F73AD0" w14:paraId="7F3839F0" w14:textId="77777777" w:rsidTr="00D21EA9">
        <w:trPr>
          <w:jc w:val="center"/>
        </w:trPr>
        <w:tc>
          <w:tcPr>
            <w:tcW w:w="2615" w:type="dxa"/>
          </w:tcPr>
          <w:p w14:paraId="48B4914E" w14:textId="2FAE6C26" w:rsidR="00B64BB5" w:rsidRPr="00F73AD0" w:rsidRDefault="00B64BB5"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Juan Jaimes Mantilla</w:t>
            </w:r>
          </w:p>
        </w:tc>
        <w:tc>
          <w:tcPr>
            <w:tcW w:w="2070" w:type="dxa"/>
          </w:tcPr>
          <w:p w14:paraId="52373A19" w14:textId="24468858" w:rsidR="00B64BB5" w:rsidRPr="00F73AD0" w:rsidRDefault="00B64BB5"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2016-117</w:t>
            </w:r>
          </w:p>
        </w:tc>
        <w:tc>
          <w:tcPr>
            <w:tcW w:w="4680" w:type="dxa"/>
          </w:tcPr>
          <w:p w14:paraId="2BBCA5FA" w14:textId="5D502DFA" w:rsidR="00B64BB5" w:rsidRPr="00F73AD0" w:rsidRDefault="0092787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segunda instancia de 13 de julio de 2018</w:t>
            </w:r>
            <w:r w:rsidR="00A450E2" w:rsidRPr="00F73AD0">
              <w:rPr>
                <w:rFonts w:asciiTheme="majorHAnsi" w:hAnsiTheme="majorHAnsi"/>
                <w:bCs/>
                <w:sz w:val="18"/>
                <w:szCs w:val="18"/>
                <w:lang w:val="es-CO"/>
              </w:rPr>
              <w:t>, absolviendo al Banco de la República</w:t>
            </w:r>
            <w:r w:rsidRPr="00F73AD0">
              <w:rPr>
                <w:rFonts w:asciiTheme="majorHAnsi" w:hAnsiTheme="majorHAnsi"/>
                <w:bCs/>
                <w:sz w:val="18"/>
                <w:szCs w:val="18"/>
                <w:lang w:val="es-CO"/>
              </w:rPr>
              <w:t>. Interpuso recurso de casación.</w:t>
            </w:r>
          </w:p>
        </w:tc>
      </w:tr>
      <w:tr w:rsidR="00927871" w:rsidRPr="00F73AD0" w14:paraId="1738E0CD" w14:textId="77777777" w:rsidTr="00D21EA9">
        <w:trPr>
          <w:jc w:val="center"/>
        </w:trPr>
        <w:tc>
          <w:tcPr>
            <w:tcW w:w="2615" w:type="dxa"/>
          </w:tcPr>
          <w:p w14:paraId="5E2DFE72" w14:textId="35356211" w:rsidR="00927871" w:rsidRPr="00F73AD0" w:rsidRDefault="0092787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Alejandro Rodríguez Romero</w:t>
            </w:r>
          </w:p>
        </w:tc>
        <w:tc>
          <w:tcPr>
            <w:tcW w:w="2070" w:type="dxa"/>
          </w:tcPr>
          <w:p w14:paraId="2587516E" w14:textId="52B53B02" w:rsidR="00927871" w:rsidRPr="00F73AD0" w:rsidRDefault="0092787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2016-096</w:t>
            </w:r>
          </w:p>
        </w:tc>
        <w:tc>
          <w:tcPr>
            <w:tcW w:w="4680" w:type="dxa"/>
          </w:tcPr>
          <w:p w14:paraId="534B9FA8" w14:textId="6C1FA8E5" w:rsidR="00927871" w:rsidRPr="00F73AD0" w:rsidRDefault="00DD1585"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segunda instancia de 2</w:t>
            </w:r>
            <w:r w:rsidR="000F7614" w:rsidRPr="00F73AD0">
              <w:rPr>
                <w:rFonts w:asciiTheme="majorHAnsi" w:hAnsiTheme="majorHAnsi"/>
                <w:bCs/>
                <w:sz w:val="18"/>
                <w:szCs w:val="18"/>
                <w:lang w:val="es-CO"/>
              </w:rPr>
              <w:t>7</w:t>
            </w:r>
            <w:r w:rsidRPr="00F73AD0">
              <w:rPr>
                <w:rFonts w:asciiTheme="majorHAnsi" w:hAnsiTheme="majorHAnsi"/>
                <w:bCs/>
                <w:sz w:val="18"/>
                <w:szCs w:val="18"/>
                <w:lang w:val="es-CO"/>
              </w:rPr>
              <w:t xml:space="preserve"> de </w:t>
            </w:r>
            <w:r w:rsidR="000F7614" w:rsidRPr="00F73AD0">
              <w:rPr>
                <w:rFonts w:asciiTheme="majorHAnsi" w:hAnsiTheme="majorHAnsi"/>
                <w:bCs/>
                <w:sz w:val="18"/>
                <w:szCs w:val="18"/>
                <w:lang w:val="es-CO"/>
              </w:rPr>
              <w:t xml:space="preserve">noviembre </w:t>
            </w:r>
            <w:r w:rsidRPr="00F73AD0">
              <w:rPr>
                <w:rFonts w:asciiTheme="majorHAnsi" w:hAnsiTheme="majorHAnsi"/>
                <w:bCs/>
                <w:sz w:val="18"/>
                <w:szCs w:val="18"/>
                <w:lang w:val="es-CO"/>
              </w:rPr>
              <w:t xml:space="preserve">de 2017, </w:t>
            </w:r>
            <w:r w:rsidR="00A450E2" w:rsidRPr="00F73AD0">
              <w:rPr>
                <w:rFonts w:asciiTheme="majorHAnsi" w:hAnsiTheme="majorHAnsi"/>
                <w:bCs/>
                <w:sz w:val="18"/>
                <w:szCs w:val="18"/>
                <w:lang w:val="es-CO"/>
              </w:rPr>
              <w:t>condenando al Banco de la República</w:t>
            </w:r>
            <w:r w:rsidRPr="00F73AD0">
              <w:rPr>
                <w:rFonts w:asciiTheme="majorHAnsi" w:hAnsiTheme="majorHAnsi"/>
                <w:bCs/>
                <w:sz w:val="18"/>
                <w:szCs w:val="18"/>
                <w:lang w:val="es-CO"/>
              </w:rPr>
              <w:t>. Interpuso recurso de casación.</w:t>
            </w:r>
          </w:p>
        </w:tc>
      </w:tr>
      <w:tr w:rsidR="00316E74" w:rsidRPr="00F73AD0" w14:paraId="13FEF4FA" w14:textId="77777777" w:rsidTr="00D21EA9">
        <w:trPr>
          <w:jc w:val="center"/>
        </w:trPr>
        <w:tc>
          <w:tcPr>
            <w:tcW w:w="2615" w:type="dxa"/>
          </w:tcPr>
          <w:p w14:paraId="47551ABC" w14:textId="0A0003B2" w:rsidR="00316E74" w:rsidRPr="00F73AD0" w:rsidRDefault="00316E7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Ricardo Gómez Morales</w:t>
            </w:r>
          </w:p>
        </w:tc>
        <w:tc>
          <w:tcPr>
            <w:tcW w:w="2070" w:type="dxa"/>
          </w:tcPr>
          <w:p w14:paraId="26EF88D9" w14:textId="5EE7D934" w:rsidR="00316E74" w:rsidRPr="00F73AD0" w:rsidRDefault="00316E7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2015-095</w:t>
            </w:r>
          </w:p>
        </w:tc>
        <w:tc>
          <w:tcPr>
            <w:tcW w:w="4680" w:type="dxa"/>
          </w:tcPr>
          <w:p w14:paraId="4E61AB8C" w14:textId="1517A6FD" w:rsidR="00316E74" w:rsidRPr="00F73AD0" w:rsidRDefault="00316E7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segunda instancia de </w:t>
            </w:r>
            <w:r w:rsidR="00F37DD7" w:rsidRPr="00F73AD0">
              <w:rPr>
                <w:rFonts w:asciiTheme="majorHAnsi" w:hAnsiTheme="majorHAnsi"/>
                <w:bCs/>
                <w:sz w:val="18"/>
                <w:szCs w:val="18"/>
                <w:lang w:val="es-CO"/>
              </w:rPr>
              <w:t>06</w:t>
            </w:r>
            <w:r w:rsidRPr="00F73AD0">
              <w:rPr>
                <w:rFonts w:asciiTheme="majorHAnsi" w:hAnsiTheme="majorHAnsi"/>
                <w:bCs/>
                <w:sz w:val="18"/>
                <w:szCs w:val="18"/>
                <w:lang w:val="es-CO"/>
              </w:rPr>
              <w:t xml:space="preserve"> de </w:t>
            </w:r>
            <w:r w:rsidR="00F37DD7" w:rsidRPr="00F73AD0">
              <w:rPr>
                <w:rFonts w:asciiTheme="majorHAnsi" w:hAnsiTheme="majorHAnsi"/>
                <w:bCs/>
                <w:sz w:val="18"/>
                <w:szCs w:val="18"/>
                <w:lang w:val="es-CO"/>
              </w:rPr>
              <w:t>dic</w:t>
            </w:r>
            <w:r w:rsidRPr="00F73AD0">
              <w:rPr>
                <w:rFonts w:asciiTheme="majorHAnsi" w:hAnsiTheme="majorHAnsi"/>
                <w:bCs/>
                <w:sz w:val="18"/>
                <w:szCs w:val="18"/>
                <w:lang w:val="es-CO"/>
              </w:rPr>
              <w:t>iembre de 2017, condenando al Banco de la República. Interpuso recurso de casación.</w:t>
            </w:r>
          </w:p>
        </w:tc>
      </w:tr>
      <w:tr w:rsidR="00F37DD7" w:rsidRPr="00D75B8F" w14:paraId="6E35DEC5" w14:textId="77777777" w:rsidTr="00D21EA9">
        <w:trPr>
          <w:jc w:val="center"/>
        </w:trPr>
        <w:tc>
          <w:tcPr>
            <w:tcW w:w="2615" w:type="dxa"/>
          </w:tcPr>
          <w:p w14:paraId="3F9A137C" w14:textId="0CA23FF6" w:rsidR="00F37DD7" w:rsidRPr="00F73AD0" w:rsidRDefault="00254C5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Jesús María Reyes</w:t>
            </w:r>
          </w:p>
        </w:tc>
        <w:tc>
          <w:tcPr>
            <w:tcW w:w="2070" w:type="dxa"/>
          </w:tcPr>
          <w:p w14:paraId="14EA4C86" w14:textId="281858A8" w:rsidR="00F37DD7" w:rsidRPr="00F73AD0" w:rsidRDefault="00254C5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2016-138</w:t>
            </w:r>
          </w:p>
        </w:tc>
        <w:tc>
          <w:tcPr>
            <w:tcW w:w="4680" w:type="dxa"/>
          </w:tcPr>
          <w:p w14:paraId="7B86674D" w14:textId="68205E3E" w:rsidR="00F37DD7" w:rsidRPr="00F73AD0" w:rsidRDefault="00EB3C0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segunda instancia de 14 de noviembre de 201</w:t>
            </w:r>
            <w:r w:rsidR="008814FF" w:rsidRPr="00F73AD0">
              <w:rPr>
                <w:rFonts w:asciiTheme="majorHAnsi" w:hAnsiTheme="majorHAnsi"/>
                <w:bCs/>
                <w:sz w:val="18"/>
                <w:szCs w:val="18"/>
                <w:lang w:val="es-CO"/>
              </w:rPr>
              <w:t>7</w:t>
            </w:r>
            <w:r w:rsidRPr="00F73AD0">
              <w:rPr>
                <w:rFonts w:asciiTheme="majorHAnsi" w:hAnsiTheme="majorHAnsi"/>
                <w:bCs/>
                <w:sz w:val="18"/>
                <w:szCs w:val="18"/>
                <w:lang w:val="es-CO"/>
              </w:rPr>
              <w:t>, absolviendo al Banco de la República. Interpuso recurso de casación.</w:t>
            </w:r>
          </w:p>
        </w:tc>
      </w:tr>
      <w:tr w:rsidR="00981B64" w:rsidRPr="00D75B8F" w14:paraId="4F5FE1DC" w14:textId="77777777" w:rsidTr="00D21EA9">
        <w:trPr>
          <w:jc w:val="center"/>
        </w:trPr>
        <w:tc>
          <w:tcPr>
            <w:tcW w:w="2615" w:type="dxa"/>
          </w:tcPr>
          <w:p w14:paraId="3CDCD9ED" w14:textId="55CD30E9" w:rsidR="00981B64" w:rsidRPr="00F73AD0" w:rsidRDefault="00981B6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Fabio Sánchez Fajardo</w:t>
            </w:r>
          </w:p>
        </w:tc>
        <w:tc>
          <w:tcPr>
            <w:tcW w:w="2070" w:type="dxa"/>
          </w:tcPr>
          <w:p w14:paraId="7FA11CAE" w14:textId="71D89086" w:rsidR="00981B64" w:rsidRPr="00F73AD0" w:rsidRDefault="00E0614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w:t>
            </w:r>
            <w:r w:rsidR="002D23CE" w:rsidRPr="00F73AD0">
              <w:rPr>
                <w:rFonts w:asciiTheme="majorHAnsi" w:hAnsiTheme="majorHAnsi"/>
                <w:bCs/>
                <w:sz w:val="18"/>
                <w:szCs w:val="18"/>
                <w:lang w:val="es-CO"/>
              </w:rPr>
              <w:t>1727-</w:t>
            </w:r>
            <w:r w:rsidR="006D7B97" w:rsidRPr="00F73AD0">
              <w:rPr>
                <w:rFonts w:asciiTheme="majorHAnsi" w:hAnsiTheme="majorHAnsi"/>
                <w:bCs/>
                <w:sz w:val="18"/>
                <w:szCs w:val="18"/>
                <w:lang w:val="es-CO"/>
              </w:rPr>
              <w:t>2023</w:t>
            </w:r>
          </w:p>
        </w:tc>
        <w:tc>
          <w:tcPr>
            <w:tcW w:w="4680" w:type="dxa"/>
          </w:tcPr>
          <w:p w14:paraId="62D63944" w14:textId="59EF11FE" w:rsidR="00981B64" w:rsidRPr="00F73AD0" w:rsidRDefault="00B92C4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w:t>
            </w:r>
            <w:r w:rsidR="00144DCA" w:rsidRPr="00F73AD0">
              <w:rPr>
                <w:rFonts w:asciiTheme="majorHAnsi" w:hAnsiTheme="majorHAnsi"/>
                <w:bCs/>
                <w:sz w:val="18"/>
                <w:szCs w:val="18"/>
                <w:lang w:val="es-CO"/>
              </w:rPr>
              <w:t xml:space="preserve">la Sala de Casación Laboral de la Corte Suprema de Justicia </w:t>
            </w:r>
            <w:r w:rsidRPr="00F73AD0">
              <w:rPr>
                <w:rFonts w:asciiTheme="majorHAnsi" w:hAnsiTheme="majorHAnsi"/>
                <w:bCs/>
                <w:sz w:val="18"/>
                <w:szCs w:val="18"/>
                <w:lang w:val="es-CO"/>
              </w:rPr>
              <w:t xml:space="preserve">de </w:t>
            </w:r>
            <w:r w:rsidR="00144DCA" w:rsidRPr="00F73AD0">
              <w:rPr>
                <w:rFonts w:asciiTheme="majorHAnsi" w:hAnsiTheme="majorHAnsi"/>
                <w:bCs/>
                <w:sz w:val="18"/>
                <w:szCs w:val="18"/>
                <w:lang w:val="es-CO"/>
              </w:rPr>
              <w:t>2</w:t>
            </w:r>
            <w:r w:rsidR="00815D41" w:rsidRPr="00F73AD0">
              <w:rPr>
                <w:rFonts w:asciiTheme="majorHAnsi" w:hAnsiTheme="majorHAnsi"/>
                <w:bCs/>
                <w:sz w:val="18"/>
                <w:szCs w:val="18"/>
                <w:lang w:val="es-CO"/>
              </w:rPr>
              <w:t>7</w:t>
            </w:r>
            <w:r w:rsidRPr="00F73AD0">
              <w:rPr>
                <w:rFonts w:asciiTheme="majorHAnsi" w:hAnsiTheme="majorHAnsi"/>
                <w:bCs/>
                <w:sz w:val="18"/>
                <w:szCs w:val="18"/>
                <w:lang w:val="es-CO"/>
              </w:rPr>
              <w:t xml:space="preserve"> de </w:t>
            </w:r>
            <w:r w:rsidR="00815D41" w:rsidRPr="00F73AD0">
              <w:rPr>
                <w:rFonts w:asciiTheme="majorHAnsi" w:hAnsiTheme="majorHAnsi"/>
                <w:bCs/>
                <w:sz w:val="18"/>
                <w:szCs w:val="18"/>
                <w:lang w:val="es-CO"/>
              </w:rPr>
              <w:t xml:space="preserve">septiembre </w:t>
            </w:r>
            <w:r w:rsidRPr="00F73AD0">
              <w:rPr>
                <w:rFonts w:asciiTheme="majorHAnsi" w:hAnsiTheme="majorHAnsi"/>
                <w:bCs/>
                <w:sz w:val="18"/>
                <w:szCs w:val="18"/>
                <w:lang w:val="es-CO"/>
              </w:rPr>
              <w:t>de 2</w:t>
            </w:r>
            <w:r w:rsidR="00144DCA" w:rsidRPr="00F73AD0">
              <w:rPr>
                <w:rFonts w:asciiTheme="majorHAnsi" w:hAnsiTheme="majorHAnsi"/>
                <w:bCs/>
                <w:sz w:val="18"/>
                <w:szCs w:val="18"/>
                <w:lang w:val="es-CO"/>
              </w:rPr>
              <w:t>023</w:t>
            </w:r>
            <w:r w:rsidRPr="00F73AD0">
              <w:rPr>
                <w:rFonts w:asciiTheme="majorHAnsi" w:hAnsiTheme="majorHAnsi"/>
                <w:bCs/>
                <w:sz w:val="18"/>
                <w:szCs w:val="18"/>
                <w:lang w:val="es-CO"/>
              </w:rPr>
              <w:t>,</w:t>
            </w:r>
            <w:r w:rsidR="006B4D73" w:rsidRPr="00F73AD0">
              <w:rPr>
                <w:rFonts w:asciiTheme="majorHAnsi" w:hAnsiTheme="majorHAnsi"/>
                <w:bCs/>
                <w:sz w:val="18"/>
                <w:szCs w:val="18"/>
                <w:lang w:val="es-CO"/>
              </w:rPr>
              <w:t xml:space="preserve"> negando la pensión convencional, pero otorgando la pensión conforme al Reglamento Interno del Banco de la República</w:t>
            </w:r>
            <w:r w:rsidRPr="00F73AD0">
              <w:rPr>
                <w:rFonts w:asciiTheme="majorHAnsi" w:hAnsiTheme="majorHAnsi"/>
                <w:bCs/>
                <w:sz w:val="18"/>
                <w:szCs w:val="18"/>
                <w:lang w:val="es-CO"/>
              </w:rPr>
              <w:t>.</w:t>
            </w:r>
          </w:p>
        </w:tc>
      </w:tr>
      <w:tr w:rsidR="00B92C4F" w:rsidRPr="00D75B8F" w14:paraId="53734019" w14:textId="77777777" w:rsidTr="00D21EA9">
        <w:trPr>
          <w:jc w:val="center"/>
        </w:trPr>
        <w:tc>
          <w:tcPr>
            <w:tcW w:w="2615" w:type="dxa"/>
          </w:tcPr>
          <w:p w14:paraId="14B9A776" w14:textId="2505456E" w:rsidR="00B92C4F" w:rsidRPr="00F73AD0" w:rsidRDefault="00B92C4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Luis Rodolfo Quintero</w:t>
            </w:r>
            <w:r w:rsidR="0000585E" w:rsidRPr="00F73AD0">
              <w:rPr>
                <w:rFonts w:asciiTheme="majorHAnsi" w:hAnsiTheme="majorHAnsi"/>
                <w:bCs/>
                <w:sz w:val="18"/>
                <w:szCs w:val="18"/>
                <w:lang w:val="es-CO"/>
              </w:rPr>
              <w:t xml:space="preserve"> Gaviria</w:t>
            </w:r>
          </w:p>
        </w:tc>
        <w:tc>
          <w:tcPr>
            <w:tcW w:w="2070" w:type="dxa"/>
          </w:tcPr>
          <w:p w14:paraId="315A1789" w14:textId="44DC6F6D" w:rsidR="00B92C4F" w:rsidRPr="00F73AD0" w:rsidRDefault="0000585E"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SL2519-2021</w:t>
            </w:r>
          </w:p>
        </w:tc>
        <w:tc>
          <w:tcPr>
            <w:tcW w:w="4680" w:type="dxa"/>
          </w:tcPr>
          <w:p w14:paraId="6845A90D" w14:textId="0E5B49B3" w:rsidR="00B92C4F" w:rsidRPr="00F73AD0" w:rsidRDefault="00565F7E"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w:t>
            </w:r>
            <w:r w:rsidR="004E4BF8" w:rsidRPr="00F73AD0">
              <w:rPr>
                <w:rFonts w:asciiTheme="majorHAnsi" w:hAnsiTheme="majorHAnsi"/>
                <w:bCs/>
                <w:sz w:val="18"/>
                <w:szCs w:val="18"/>
                <w:lang w:val="es-CO"/>
              </w:rPr>
              <w:t xml:space="preserve">de la Sala de Casación Laboral de la Corte Suprema de Justicia </w:t>
            </w:r>
            <w:r w:rsidRPr="00F73AD0">
              <w:rPr>
                <w:rFonts w:asciiTheme="majorHAnsi" w:hAnsiTheme="majorHAnsi"/>
                <w:bCs/>
                <w:sz w:val="18"/>
                <w:szCs w:val="18"/>
                <w:lang w:val="es-CO"/>
              </w:rPr>
              <w:t>de 1</w:t>
            </w:r>
            <w:r w:rsidR="00EB5B48" w:rsidRPr="00F73AD0">
              <w:rPr>
                <w:rFonts w:asciiTheme="majorHAnsi" w:hAnsiTheme="majorHAnsi"/>
                <w:bCs/>
                <w:sz w:val="18"/>
                <w:szCs w:val="18"/>
                <w:lang w:val="es-CO"/>
              </w:rPr>
              <w:t>7</w:t>
            </w:r>
            <w:r w:rsidRPr="00F73AD0">
              <w:rPr>
                <w:rFonts w:asciiTheme="majorHAnsi" w:hAnsiTheme="majorHAnsi"/>
                <w:bCs/>
                <w:sz w:val="18"/>
                <w:szCs w:val="18"/>
                <w:lang w:val="es-CO"/>
              </w:rPr>
              <w:t xml:space="preserve"> de </w:t>
            </w:r>
            <w:r w:rsidR="00EB5B48" w:rsidRPr="00F73AD0">
              <w:rPr>
                <w:rFonts w:asciiTheme="majorHAnsi" w:hAnsiTheme="majorHAnsi"/>
                <w:bCs/>
                <w:sz w:val="18"/>
                <w:szCs w:val="18"/>
                <w:lang w:val="es-CO"/>
              </w:rPr>
              <w:t xml:space="preserve">noviembre </w:t>
            </w:r>
            <w:r w:rsidRPr="00F73AD0">
              <w:rPr>
                <w:rFonts w:asciiTheme="majorHAnsi" w:hAnsiTheme="majorHAnsi"/>
                <w:bCs/>
                <w:sz w:val="18"/>
                <w:szCs w:val="18"/>
                <w:lang w:val="es-CO"/>
              </w:rPr>
              <w:t>de 20</w:t>
            </w:r>
            <w:r w:rsidR="00EB5B48" w:rsidRPr="00F73AD0">
              <w:rPr>
                <w:rFonts w:asciiTheme="majorHAnsi" w:hAnsiTheme="majorHAnsi"/>
                <w:bCs/>
                <w:sz w:val="18"/>
                <w:szCs w:val="18"/>
                <w:lang w:val="es-CO"/>
              </w:rPr>
              <w:t>2</w:t>
            </w:r>
            <w:r w:rsidRPr="00F73AD0">
              <w:rPr>
                <w:rFonts w:asciiTheme="majorHAnsi" w:hAnsiTheme="majorHAnsi"/>
                <w:bCs/>
                <w:sz w:val="18"/>
                <w:szCs w:val="18"/>
                <w:lang w:val="es-CO"/>
              </w:rPr>
              <w:t xml:space="preserve">1, </w:t>
            </w:r>
            <w:r w:rsidR="00FB57C7" w:rsidRPr="00F73AD0">
              <w:rPr>
                <w:rFonts w:asciiTheme="majorHAnsi" w:hAnsiTheme="majorHAnsi"/>
                <w:bCs/>
                <w:sz w:val="18"/>
                <w:szCs w:val="18"/>
                <w:lang w:val="es-CO"/>
              </w:rPr>
              <w:t xml:space="preserve">denegando la pensión </w:t>
            </w:r>
            <w:r w:rsidR="00AE6974" w:rsidRPr="00F73AD0">
              <w:rPr>
                <w:rFonts w:asciiTheme="majorHAnsi" w:hAnsiTheme="majorHAnsi"/>
                <w:bCs/>
                <w:sz w:val="18"/>
                <w:szCs w:val="18"/>
                <w:lang w:val="es-CO"/>
              </w:rPr>
              <w:t>solicitada</w:t>
            </w:r>
            <w:r w:rsidRPr="00F73AD0">
              <w:rPr>
                <w:rFonts w:asciiTheme="majorHAnsi" w:hAnsiTheme="majorHAnsi"/>
                <w:bCs/>
                <w:sz w:val="18"/>
                <w:szCs w:val="18"/>
                <w:lang w:val="es-CO"/>
              </w:rPr>
              <w:t>.</w:t>
            </w:r>
          </w:p>
        </w:tc>
      </w:tr>
      <w:tr w:rsidR="00D51D8D" w:rsidRPr="00F73AD0" w14:paraId="6726526A" w14:textId="77777777" w:rsidTr="00D21EA9">
        <w:trPr>
          <w:jc w:val="center"/>
        </w:trPr>
        <w:tc>
          <w:tcPr>
            <w:tcW w:w="2615" w:type="dxa"/>
          </w:tcPr>
          <w:p w14:paraId="7920BD55" w14:textId="411471E8" w:rsidR="00D51D8D" w:rsidRPr="00F73AD0" w:rsidRDefault="00D51D8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Nancy Otálora González</w:t>
            </w:r>
          </w:p>
        </w:tc>
        <w:tc>
          <w:tcPr>
            <w:tcW w:w="2070" w:type="dxa"/>
          </w:tcPr>
          <w:p w14:paraId="780C6B66" w14:textId="5BE748C5" w:rsidR="00D51D8D" w:rsidRPr="00F73AD0" w:rsidRDefault="00D51D8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2017-020</w:t>
            </w:r>
          </w:p>
        </w:tc>
        <w:tc>
          <w:tcPr>
            <w:tcW w:w="4680" w:type="dxa"/>
          </w:tcPr>
          <w:p w14:paraId="0F811C46" w14:textId="50B65606" w:rsidR="00D51D8D" w:rsidRPr="00F73AD0" w:rsidRDefault="00901E12"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segunda instancia de 13 de junio de 2018, absolviendo al Banco de la República. Interpuso recurso de casación.</w:t>
            </w:r>
          </w:p>
        </w:tc>
      </w:tr>
      <w:tr w:rsidR="00D51D8D" w:rsidRPr="00D75B8F" w14:paraId="24781D0A" w14:textId="77777777" w:rsidTr="00D21EA9">
        <w:trPr>
          <w:jc w:val="center"/>
        </w:trPr>
        <w:tc>
          <w:tcPr>
            <w:tcW w:w="2615" w:type="dxa"/>
          </w:tcPr>
          <w:p w14:paraId="7711B871" w14:textId="73C6C09F" w:rsidR="00D51D8D" w:rsidRPr="00F73AD0" w:rsidRDefault="00901E12"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William Fernando Hernández Patiño</w:t>
            </w:r>
          </w:p>
        </w:tc>
        <w:tc>
          <w:tcPr>
            <w:tcW w:w="2070" w:type="dxa"/>
          </w:tcPr>
          <w:p w14:paraId="7DDDC0F5" w14:textId="5DF980AC" w:rsidR="00D51D8D" w:rsidRPr="00F73AD0" w:rsidRDefault="00D415B0"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SL176-2022</w:t>
            </w:r>
          </w:p>
        </w:tc>
        <w:tc>
          <w:tcPr>
            <w:tcW w:w="4680" w:type="dxa"/>
          </w:tcPr>
          <w:p w14:paraId="3F406539" w14:textId="1CC8462B" w:rsidR="00D51D8D" w:rsidRPr="00F73AD0" w:rsidRDefault="00D415B0"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2 de febrero de 202</w:t>
            </w:r>
            <w:r w:rsidR="00AB053E" w:rsidRPr="00F73AD0">
              <w:rPr>
                <w:rFonts w:asciiTheme="majorHAnsi" w:hAnsiTheme="majorHAnsi"/>
                <w:bCs/>
                <w:sz w:val="18"/>
                <w:szCs w:val="18"/>
                <w:lang w:val="es-CO"/>
              </w:rPr>
              <w:t>2</w:t>
            </w:r>
            <w:r w:rsidRPr="00F73AD0">
              <w:rPr>
                <w:rFonts w:asciiTheme="majorHAnsi" w:hAnsiTheme="majorHAnsi"/>
                <w:bCs/>
                <w:sz w:val="18"/>
                <w:szCs w:val="18"/>
                <w:lang w:val="es-CO"/>
              </w:rPr>
              <w:t>, negando la pensión convencional.</w:t>
            </w:r>
          </w:p>
        </w:tc>
      </w:tr>
      <w:tr w:rsidR="00D51D8D" w:rsidRPr="00F73AD0" w14:paraId="2900AEA3" w14:textId="77777777" w:rsidTr="00D21EA9">
        <w:trPr>
          <w:jc w:val="center"/>
        </w:trPr>
        <w:tc>
          <w:tcPr>
            <w:tcW w:w="2615" w:type="dxa"/>
          </w:tcPr>
          <w:p w14:paraId="655D5AE5" w14:textId="71BC92F8" w:rsidR="00D51D8D" w:rsidRPr="00F73AD0" w:rsidRDefault="005B0BB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Ana Julia Díaz Granados</w:t>
            </w:r>
          </w:p>
        </w:tc>
        <w:tc>
          <w:tcPr>
            <w:tcW w:w="2070" w:type="dxa"/>
          </w:tcPr>
          <w:p w14:paraId="4974F143" w14:textId="6564FD4E" w:rsidR="00D51D8D" w:rsidRPr="00F73AD0" w:rsidRDefault="009160D2"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2016-146</w:t>
            </w:r>
          </w:p>
        </w:tc>
        <w:tc>
          <w:tcPr>
            <w:tcW w:w="4680" w:type="dxa"/>
          </w:tcPr>
          <w:p w14:paraId="26586AA9" w14:textId="2F5EC35C" w:rsidR="00D51D8D" w:rsidRPr="00F73AD0" w:rsidRDefault="009160D2"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segunda instancia de 15 de mayo de 2018, absolviendo al Banco de la República. Interpuso recurso de casación.</w:t>
            </w:r>
          </w:p>
        </w:tc>
      </w:tr>
      <w:tr w:rsidR="00D51D8D" w:rsidRPr="00D75B8F" w14:paraId="036414F4" w14:textId="77777777" w:rsidTr="00D21EA9">
        <w:trPr>
          <w:jc w:val="center"/>
        </w:trPr>
        <w:tc>
          <w:tcPr>
            <w:tcW w:w="2615" w:type="dxa"/>
          </w:tcPr>
          <w:p w14:paraId="50DDC7BB" w14:textId="5D55FBA1" w:rsidR="00D51D8D" w:rsidRPr="00F73AD0" w:rsidRDefault="009160D2"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Javier Guzmán Sandoval</w:t>
            </w:r>
          </w:p>
        </w:tc>
        <w:tc>
          <w:tcPr>
            <w:tcW w:w="2070" w:type="dxa"/>
          </w:tcPr>
          <w:p w14:paraId="674436AF" w14:textId="0BD97AD2" w:rsidR="00D51D8D" w:rsidRPr="00F73AD0" w:rsidRDefault="002A13B8"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SL2657-2021</w:t>
            </w:r>
          </w:p>
        </w:tc>
        <w:tc>
          <w:tcPr>
            <w:tcW w:w="4680" w:type="dxa"/>
          </w:tcPr>
          <w:p w14:paraId="3EF2CB0A" w14:textId="1A5013BE" w:rsidR="00D51D8D" w:rsidRPr="00F73AD0" w:rsidRDefault="002A13B8"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16 de junio de 2021, negando la pensión convencional.</w:t>
            </w:r>
          </w:p>
        </w:tc>
      </w:tr>
      <w:tr w:rsidR="00D51D8D" w:rsidRPr="00D75B8F" w14:paraId="5A52C6F2" w14:textId="77777777" w:rsidTr="00D21EA9">
        <w:trPr>
          <w:jc w:val="center"/>
        </w:trPr>
        <w:tc>
          <w:tcPr>
            <w:tcW w:w="2615" w:type="dxa"/>
          </w:tcPr>
          <w:p w14:paraId="16FD6E25" w14:textId="000D4B06" w:rsidR="00D51D8D" w:rsidRPr="00F73AD0" w:rsidRDefault="0040213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Edgar Vernaza Franco</w:t>
            </w:r>
          </w:p>
        </w:tc>
        <w:tc>
          <w:tcPr>
            <w:tcW w:w="2070" w:type="dxa"/>
          </w:tcPr>
          <w:p w14:paraId="1377306D" w14:textId="41735028" w:rsidR="00D51D8D" w:rsidRPr="00F73AD0" w:rsidRDefault="008665B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SL4303-2022</w:t>
            </w:r>
          </w:p>
        </w:tc>
        <w:tc>
          <w:tcPr>
            <w:tcW w:w="4680" w:type="dxa"/>
          </w:tcPr>
          <w:p w14:paraId="5E8974CD" w14:textId="41DCEF52" w:rsidR="00D51D8D" w:rsidRPr="00F73AD0" w:rsidRDefault="005A51BB"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w:t>
            </w:r>
            <w:r w:rsidR="00D71CEF" w:rsidRPr="00F73AD0">
              <w:rPr>
                <w:rFonts w:asciiTheme="majorHAnsi" w:hAnsiTheme="majorHAnsi"/>
                <w:bCs/>
                <w:sz w:val="18"/>
                <w:szCs w:val="18"/>
                <w:lang w:val="es-CO"/>
              </w:rPr>
              <w:t>Justicia</w:t>
            </w:r>
            <w:r w:rsidRPr="00F73AD0">
              <w:rPr>
                <w:rFonts w:asciiTheme="majorHAnsi" w:hAnsiTheme="majorHAnsi"/>
                <w:bCs/>
                <w:sz w:val="18"/>
                <w:szCs w:val="18"/>
                <w:lang w:val="es-CO"/>
              </w:rPr>
              <w:t xml:space="preserve"> de 7 de diciembre de 2022, revocando la decisión de otorgarle la pensión convencional reconocida en segunda instancia.</w:t>
            </w:r>
          </w:p>
        </w:tc>
      </w:tr>
      <w:tr w:rsidR="00D51D8D" w:rsidRPr="00D75B8F" w14:paraId="5893C6E5" w14:textId="77777777" w:rsidTr="00D21EA9">
        <w:trPr>
          <w:jc w:val="center"/>
        </w:trPr>
        <w:tc>
          <w:tcPr>
            <w:tcW w:w="2615" w:type="dxa"/>
          </w:tcPr>
          <w:p w14:paraId="56B019ED" w14:textId="1B7B0314" w:rsidR="00D51D8D" w:rsidRPr="00F73AD0" w:rsidRDefault="0021486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Andrés Enrique Cortés</w:t>
            </w:r>
          </w:p>
        </w:tc>
        <w:tc>
          <w:tcPr>
            <w:tcW w:w="2070" w:type="dxa"/>
          </w:tcPr>
          <w:p w14:paraId="3CDF824C" w14:textId="1D0CDF42" w:rsidR="00D51D8D" w:rsidRPr="00F73AD0" w:rsidRDefault="00D55667"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SL4667-2020</w:t>
            </w:r>
          </w:p>
        </w:tc>
        <w:tc>
          <w:tcPr>
            <w:tcW w:w="4680" w:type="dxa"/>
          </w:tcPr>
          <w:p w14:paraId="65967858" w14:textId="4B5F83F7" w:rsidR="00D51D8D" w:rsidRPr="00F73AD0" w:rsidRDefault="0021486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w:t>
            </w:r>
            <w:r w:rsidR="00D55667" w:rsidRPr="00F73AD0">
              <w:rPr>
                <w:rFonts w:asciiTheme="majorHAnsi" w:hAnsiTheme="majorHAnsi"/>
                <w:bCs/>
                <w:sz w:val="18"/>
                <w:szCs w:val="18"/>
                <w:lang w:val="es-CO"/>
              </w:rPr>
              <w:t>la Sala de Casación Laboral</w:t>
            </w:r>
            <w:r w:rsidR="005A51BB" w:rsidRPr="00F73AD0">
              <w:rPr>
                <w:rFonts w:asciiTheme="majorHAnsi" w:hAnsiTheme="majorHAnsi"/>
                <w:bCs/>
                <w:sz w:val="18"/>
                <w:szCs w:val="18"/>
                <w:lang w:val="es-CO"/>
              </w:rPr>
              <w:t xml:space="preserve"> de la Corte Suprema de Justicia</w:t>
            </w:r>
            <w:r w:rsidR="00D55667" w:rsidRPr="00F73AD0">
              <w:rPr>
                <w:rFonts w:asciiTheme="majorHAnsi" w:hAnsiTheme="majorHAnsi"/>
                <w:bCs/>
                <w:sz w:val="18"/>
                <w:szCs w:val="18"/>
                <w:lang w:val="es-CO"/>
              </w:rPr>
              <w:t xml:space="preserve"> </w:t>
            </w:r>
            <w:r w:rsidRPr="00F73AD0">
              <w:rPr>
                <w:rFonts w:asciiTheme="majorHAnsi" w:hAnsiTheme="majorHAnsi"/>
                <w:bCs/>
                <w:sz w:val="18"/>
                <w:szCs w:val="18"/>
                <w:lang w:val="es-CO"/>
              </w:rPr>
              <w:t xml:space="preserve">de </w:t>
            </w:r>
            <w:r w:rsidR="00D55667" w:rsidRPr="00F73AD0">
              <w:rPr>
                <w:rFonts w:asciiTheme="majorHAnsi" w:hAnsiTheme="majorHAnsi"/>
                <w:bCs/>
                <w:sz w:val="18"/>
                <w:szCs w:val="18"/>
                <w:lang w:val="es-CO"/>
              </w:rPr>
              <w:t xml:space="preserve">24 </w:t>
            </w:r>
            <w:r w:rsidRPr="00F73AD0">
              <w:rPr>
                <w:rFonts w:asciiTheme="majorHAnsi" w:hAnsiTheme="majorHAnsi"/>
                <w:bCs/>
                <w:sz w:val="18"/>
                <w:szCs w:val="18"/>
                <w:lang w:val="es-CO"/>
              </w:rPr>
              <w:t xml:space="preserve">de </w:t>
            </w:r>
            <w:r w:rsidR="005E73BF" w:rsidRPr="00F73AD0">
              <w:rPr>
                <w:rFonts w:asciiTheme="majorHAnsi" w:hAnsiTheme="majorHAnsi"/>
                <w:bCs/>
                <w:sz w:val="18"/>
                <w:szCs w:val="18"/>
                <w:lang w:val="es-CO"/>
              </w:rPr>
              <w:t xml:space="preserve">noviembre </w:t>
            </w:r>
            <w:r w:rsidRPr="00F73AD0">
              <w:rPr>
                <w:rFonts w:asciiTheme="majorHAnsi" w:hAnsiTheme="majorHAnsi"/>
                <w:bCs/>
                <w:sz w:val="18"/>
                <w:szCs w:val="18"/>
                <w:lang w:val="es-CO"/>
              </w:rPr>
              <w:t>de 20</w:t>
            </w:r>
            <w:r w:rsidR="005E73BF" w:rsidRPr="00F73AD0">
              <w:rPr>
                <w:rFonts w:asciiTheme="majorHAnsi" w:hAnsiTheme="majorHAnsi"/>
                <w:bCs/>
                <w:sz w:val="18"/>
                <w:szCs w:val="18"/>
                <w:lang w:val="es-CO"/>
              </w:rPr>
              <w:t>20</w:t>
            </w:r>
            <w:r w:rsidRPr="00F73AD0">
              <w:rPr>
                <w:rFonts w:asciiTheme="majorHAnsi" w:hAnsiTheme="majorHAnsi"/>
                <w:bCs/>
                <w:sz w:val="18"/>
                <w:szCs w:val="18"/>
                <w:lang w:val="es-CO"/>
              </w:rPr>
              <w:t xml:space="preserve">, </w:t>
            </w:r>
            <w:r w:rsidR="00E00057" w:rsidRPr="00F73AD0">
              <w:rPr>
                <w:rFonts w:asciiTheme="majorHAnsi" w:hAnsiTheme="majorHAnsi"/>
                <w:bCs/>
                <w:sz w:val="18"/>
                <w:szCs w:val="18"/>
                <w:lang w:val="es-CO"/>
              </w:rPr>
              <w:t>revocando la decisión de otorgarle la pensión convencional reconocida en las sentencias de primera y segunda instancia</w:t>
            </w:r>
            <w:r w:rsidRPr="00F73AD0">
              <w:rPr>
                <w:rFonts w:asciiTheme="majorHAnsi" w:hAnsiTheme="majorHAnsi"/>
                <w:bCs/>
                <w:sz w:val="18"/>
                <w:szCs w:val="18"/>
                <w:lang w:val="es-CO"/>
              </w:rPr>
              <w:t>.</w:t>
            </w:r>
          </w:p>
        </w:tc>
      </w:tr>
      <w:tr w:rsidR="00D51D8D" w:rsidRPr="00D75B8F" w14:paraId="5ECAB152" w14:textId="77777777" w:rsidTr="00D21EA9">
        <w:trPr>
          <w:jc w:val="center"/>
        </w:trPr>
        <w:tc>
          <w:tcPr>
            <w:tcW w:w="2615" w:type="dxa"/>
          </w:tcPr>
          <w:p w14:paraId="31562159" w14:textId="7154F740" w:rsidR="00D51D8D" w:rsidRPr="00F73AD0" w:rsidRDefault="0021486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Luis Carlos Mera Molina</w:t>
            </w:r>
          </w:p>
        </w:tc>
        <w:tc>
          <w:tcPr>
            <w:tcW w:w="2070" w:type="dxa"/>
          </w:tcPr>
          <w:p w14:paraId="504A2454" w14:textId="5EF3ACDC" w:rsidR="00D51D8D" w:rsidRPr="00F73AD0" w:rsidRDefault="002750D4"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w:t>
            </w:r>
            <w:r w:rsidR="00DC2219" w:rsidRPr="00F73AD0">
              <w:rPr>
                <w:rFonts w:asciiTheme="majorHAnsi" w:hAnsiTheme="majorHAnsi"/>
                <w:bCs/>
                <w:sz w:val="18"/>
                <w:szCs w:val="18"/>
                <w:lang w:val="es-CO"/>
              </w:rPr>
              <w:t>3063-2021</w:t>
            </w:r>
          </w:p>
        </w:tc>
        <w:tc>
          <w:tcPr>
            <w:tcW w:w="4680" w:type="dxa"/>
          </w:tcPr>
          <w:p w14:paraId="476091EB" w14:textId="599ECBC5" w:rsidR="00D51D8D" w:rsidRPr="00F73AD0" w:rsidRDefault="00DC2219"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Justicia de 7 </w:t>
            </w:r>
            <w:r w:rsidR="00226227" w:rsidRPr="00F73AD0">
              <w:rPr>
                <w:rFonts w:asciiTheme="majorHAnsi" w:hAnsiTheme="majorHAnsi"/>
                <w:bCs/>
                <w:sz w:val="18"/>
                <w:szCs w:val="18"/>
                <w:lang w:val="es-CO"/>
              </w:rPr>
              <w:t>de</w:t>
            </w:r>
            <w:r w:rsidRPr="00F73AD0">
              <w:rPr>
                <w:rFonts w:asciiTheme="majorHAnsi" w:hAnsiTheme="majorHAnsi"/>
                <w:bCs/>
                <w:sz w:val="18"/>
                <w:szCs w:val="18"/>
                <w:lang w:val="es-CO"/>
              </w:rPr>
              <w:t xml:space="preserve"> julio de 2021, negando la pensión convencional.</w:t>
            </w:r>
          </w:p>
        </w:tc>
      </w:tr>
      <w:tr w:rsidR="00D51D8D" w:rsidRPr="00D75B8F" w14:paraId="03BC4311" w14:textId="77777777" w:rsidTr="00D21EA9">
        <w:trPr>
          <w:jc w:val="center"/>
        </w:trPr>
        <w:tc>
          <w:tcPr>
            <w:tcW w:w="2615" w:type="dxa"/>
          </w:tcPr>
          <w:p w14:paraId="14109F52" w14:textId="61F9AD6A" w:rsidR="00D51D8D" w:rsidRPr="00F73AD0" w:rsidRDefault="00117BF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Saul Enrique Durán Astudillo</w:t>
            </w:r>
          </w:p>
        </w:tc>
        <w:tc>
          <w:tcPr>
            <w:tcW w:w="2070" w:type="dxa"/>
          </w:tcPr>
          <w:p w14:paraId="5CBCC116" w14:textId="469F6FAF" w:rsidR="00D51D8D" w:rsidRPr="00F73AD0" w:rsidRDefault="00BD0895"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w:t>
            </w:r>
            <w:r w:rsidR="00D5219C" w:rsidRPr="00F73AD0">
              <w:rPr>
                <w:rFonts w:asciiTheme="majorHAnsi" w:hAnsiTheme="majorHAnsi"/>
                <w:bCs/>
                <w:sz w:val="18"/>
                <w:szCs w:val="18"/>
                <w:lang w:val="es-CO"/>
              </w:rPr>
              <w:t>1559-2021</w:t>
            </w:r>
          </w:p>
        </w:tc>
        <w:tc>
          <w:tcPr>
            <w:tcW w:w="4680" w:type="dxa"/>
          </w:tcPr>
          <w:p w14:paraId="504860F4" w14:textId="5E8D8510" w:rsidR="00D51D8D" w:rsidRPr="00F73AD0" w:rsidRDefault="00D5219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Justicia de 20 de abril de 2021, </w:t>
            </w:r>
            <w:r w:rsidR="00734332" w:rsidRPr="00F73AD0">
              <w:rPr>
                <w:rFonts w:asciiTheme="majorHAnsi" w:hAnsiTheme="majorHAnsi"/>
                <w:bCs/>
                <w:sz w:val="18"/>
                <w:szCs w:val="18"/>
                <w:lang w:val="es-CO"/>
              </w:rPr>
              <w:t>revocan</w:t>
            </w:r>
            <w:r w:rsidRPr="00F73AD0">
              <w:rPr>
                <w:rFonts w:asciiTheme="majorHAnsi" w:hAnsiTheme="majorHAnsi"/>
                <w:bCs/>
                <w:sz w:val="18"/>
                <w:szCs w:val="18"/>
                <w:lang w:val="es-CO"/>
              </w:rPr>
              <w:t>do la pensión convencional</w:t>
            </w:r>
            <w:r w:rsidR="00734332" w:rsidRPr="00F73AD0">
              <w:rPr>
                <w:rFonts w:asciiTheme="majorHAnsi" w:hAnsiTheme="majorHAnsi"/>
                <w:bCs/>
                <w:sz w:val="18"/>
                <w:szCs w:val="18"/>
                <w:lang w:val="es-CO"/>
              </w:rPr>
              <w:t xml:space="preserve"> concedida en segunda instancia</w:t>
            </w:r>
            <w:r w:rsidRPr="00F73AD0">
              <w:rPr>
                <w:rFonts w:asciiTheme="majorHAnsi" w:hAnsiTheme="majorHAnsi"/>
                <w:bCs/>
                <w:sz w:val="18"/>
                <w:szCs w:val="18"/>
                <w:lang w:val="es-CO"/>
              </w:rPr>
              <w:t>.</w:t>
            </w:r>
          </w:p>
        </w:tc>
      </w:tr>
      <w:tr w:rsidR="00D51D8D" w:rsidRPr="00F73AD0" w14:paraId="2CD13F0E" w14:textId="77777777" w:rsidTr="00D21EA9">
        <w:trPr>
          <w:jc w:val="center"/>
        </w:trPr>
        <w:tc>
          <w:tcPr>
            <w:tcW w:w="2615" w:type="dxa"/>
          </w:tcPr>
          <w:p w14:paraId="73B15095" w14:textId="7D33456C" w:rsidR="00D51D8D" w:rsidRPr="00F73AD0" w:rsidRDefault="006B527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José Joaquín Suárez</w:t>
            </w:r>
          </w:p>
        </w:tc>
        <w:tc>
          <w:tcPr>
            <w:tcW w:w="2070" w:type="dxa"/>
          </w:tcPr>
          <w:p w14:paraId="746D5D23" w14:textId="20CFB040" w:rsidR="00D51D8D" w:rsidRPr="00F73AD0" w:rsidRDefault="006B527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2015-580</w:t>
            </w:r>
          </w:p>
        </w:tc>
        <w:tc>
          <w:tcPr>
            <w:tcW w:w="4680" w:type="dxa"/>
          </w:tcPr>
          <w:p w14:paraId="229AEF0B" w14:textId="09601613" w:rsidR="00D51D8D" w:rsidRPr="00F73AD0" w:rsidRDefault="006B527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segunda instancia de </w:t>
            </w:r>
            <w:r w:rsidR="00885661" w:rsidRPr="00F73AD0">
              <w:rPr>
                <w:rFonts w:asciiTheme="majorHAnsi" w:hAnsiTheme="majorHAnsi"/>
                <w:bCs/>
                <w:sz w:val="18"/>
                <w:szCs w:val="18"/>
                <w:lang w:val="es-CO"/>
              </w:rPr>
              <w:t>21</w:t>
            </w:r>
            <w:r w:rsidRPr="00F73AD0">
              <w:rPr>
                <w:rFonts w:asciiTheme="majorHAnsi" w:hAnsiTheme="majorHAnsi"/>
                <w:bCs/>
                <w:sz w:val="18"/>
                <w:szCs w:val="18"/>
                <w:lang w:val="es-CO"/>
              </w:rPr>
              <w:t xml:space="preserve"> de </w:t>
            </w:r>
            <w:r w:rsidR="00885661" w:rsidRPr="00F73AD0">
              <w:rPr>
                <w:rFonts w:asciiTheme="majorHAnsi" w:hAnsiTheme="majorHAnsi"/>
                <w:bCs/>
                <w:sz w:val="18"/>
                <w:szCs w:val="18"/>
                <w:lang w:val="es-CO"/>
              </w:rPr>
              <w:t xml:space="preserve">agosto </w:t>
            </w:r>
            <w:r w:rsidRPr="00F73AD0">
              <w:rPr>
                <w:rFonts w:asciiTheme="majorHAnsi" w:hAnsiTheme="majorHAnsi"/>
                <w:bCs/>
                <w:sz w:val="18"/>
                <w:szCs w:val="18"/>
                <w:lang w:val="es-CO"/>
              </w:rPr>
              <w:t>de 201</w:t>
            </w:r>
            <w:r w:rsidR="00885661" w:rsidRPr="00F73AD0">
              <w:rPr>
                <w:rFonts w:asciiTheme="majorHAnsi" w:hAnsiTheme="majorHAnsi"/>
                <w:bCs/>
                <w:sz w:val="18"/>
                <w:szCs w:val="18"/>
                <w:lang w:val="es-CO"/>
              </w:rPr>
              <w:t>8</w:t>
            </w:r>
            <w:r w:rsidRPr="00F73AD0">
              <w:rPr>
                <w:rFonts w:asciiTheme="majorHAnsi" w:hAnsiTheme="majorHAnsi"/>
                <w:bCs/>
                <w:sz w:val="18"/>
                <w:szCs w:val="18"/>
                <w:lang w:val="es-CO"/>
              </w:rPr>
              <w:t>, absolviendo al Banco de la República. Interpuso recurso de casación.</w:t>
            </w:r>
          </w:p>
        </w:tc>
      </w:tr>
      <w:tr w:rsidR="00CC70F3" w:rsidRPr="00D75B8F" w14:paraId="4C726746" w14:textId="77777777" w:rsidTr="00D21EA9">
        <w:trPr>
          <w:jc w:val="center"/>
        </w:trPr>
        <w:tc>
          <w:tcPr>
            <w:tcW w:w="2615" w:type="dxa"/>
          </w:tcPr>
          <w:p w14:paraId="7450F414" w14:textId="66DCCA06" w:rsidR="00CC70F3" w:rsidRPr="00F73AD0" w:rsidRDefault="00CC70F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Pablo Emilio Arana Medina</w:t>
            </w:r>
          </w:p>
        </w:tc>
        <w:tc>
          <w:tcPr>
            <w:tcW w:w="2070" w:type="dxa"/>
          </w:tcPr>
          <w:p w14:paraId="60B0A291" w14:textId="2A650387" w:rsidR="00CC70F3" w:rsidRPr="00F73AD0" w:rsidRDefault="00CC70F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SL3503-2022</w:t>
            </w:r>
          </w:p>
        </w:tc>
        <w:tc>
          <w:tcPr>
            <w:tcW w:w="4680" w:type="dxa"/>
          </w:tcPr>
          <w:p w14:paraId="735985E4" w14:textId="45F385D0" w:rsidR="00CC70F3" w:rsidRPr="00F73AD0" w:rsidRDefault="00472E0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Justicia de 4 de octubre de 2022, negando </w:t>
            </w:r>
            <w:r w:rsidR="00380D85" w:rsidRPr="00F73AD0">
              <w:rPr>
                <w:rFonts w:asciiTheme="majorHAnsi" w:hAnsiTheme="majorHAnsi"/>
                <w:bCs/>
                <w:sz w:val="18"/>
                <w:szCs w:val="18"/>
                <w:lang w:val="es-CO"/>
              </w:rPr>
              <w:t xml:space="preserve">la </w:t>
            </w:r>
            <w:r w:rsidR="00380D85" w:rsidRPr="00F73AD0">
              <w:rPr>
                <w:rFonts w:asciiTheme="majorHAnsi" w:hAnsiTheme="majorHAnsi"/>
                <w:bCs/>
                <w:sz w:val="18"/>
                <w:szCs w:val="18"/>
                <w:lang w:val="es-CO"/>
              </w:rPr>
              <w:lastRenderedPageBreak/>
              <w:t>pensión convencional y la del Reglamento Interno del Banco de la República.</w:t>
            </w:r>
          </w:p>
        </w:tc>
      </w:tr>
      <w:tr w:rsidR="00990EE6" w:rsidRPr="00D75B8F" w14:paraId="5E85A7BB" w14:textId="77777777" w:rsidTr="00D21EA9">
        <w:trPr>
          <w:jc w:val="center"/>
        </w:trPr>
        <w:tc>
          <w:tcPr>
            <w:tcW w:w="2615" w:type="dxa"/>
          </w:tcPr>
          <w:p w14:paraId="7D0F5406" w14:textId="08F5C651" w:rsidR="00990EE6" w:rsidRPr="00F73AD0" w:rsidRDefault="00990EE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lastRenderedPageBreak/>
              <w:t>Juan Fernando Narváez Izurieta</w:t>
            </w:r>
          </w:p>
        </w:tc>
        <w:tc>
          <w:tcPr>
            <w:tcW w:w="2070" w:type="dxa"/>
          </w:tcPr>
          <w:p w14:paraId="50176D01" w14:textId="11449D4D" w:rsidR="00990EE6" w:rsidRPr="00F73AD0" w:rsidRDefault="00990EE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SL2715-2023</w:t>
            </w:r>
          </w:p>
        </w:tc>
        <w:tc>
          <w:tcPr>
            <w:tcW w:w="4680" w:type="dxa"/>
          </w:tcPr>
          <w:p w14:paraId="2DBD9EE6" w14:textId="03D950D0" w:rsidR="00990EE6" w:rsidRPr="00F73AD0" w:rsidRDefault="00990EE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Justicia de </w:t>
            </w:r>
            <w:r w:rsidR="0069557F" w:rsidRPr="00F73AD0">
              <w:rPr>
                <w:rFonts w:asciiTheme="majorHAnsi" w:hAnsiTheme="majorHAnsi"/>
                <w:bCs/>
                <w:sz w:val="18"/>
                <w:szCs w:val="18"/>
                <w:lang w:val="es-CO"/>
              </w:rPr>
              <w:t xml:space="preserve">8 </w:t>
            </w:r>
            <w:r w:rsidRPr="00F73AD0">
              <w:rPr>
                <w:rFonts w:asciiTheme="majorHAnsi" w:hAnsiTheme="majorHAnsi"/>
                <w:bCs/>
                <w:sz w:val="18"/>
                <w:szCs w:val="18"/>
                <w:lang w:val="es-CO"/>
              </w:rPr>
              <w:t xml:space="preserve">de </w:t>
            </w:r>
            <w:r w:rsidR="0069557F" w:rsidRPr="00F73AD0">
              <w:rPr>
                <w:rFonts w:asciiTheme="majorHAnsi" w:hAnsiTheme="majorHAnsi"/>
                <w:bCs/>
                <w:sz w:val="18"/>
                <w:szCs w:val="18"/>
                <w:lang w:val="es-CO"/>
              </w:rPr>
              <w:t xml:space="preserve">noviembre </w:t>
            </w:r>
            <w:r w:rsidRPr="00F73AD0">
              <w:rPr>
                <w:rFonts w:asciiTheme="majorHAnsi" w:hAnsiTheme="majorHAnsi"/>
                <w:bCs/>
                <w:sz w:val="18"/>
                <w:szCs w:val="18"/>
                <w:lang w:val="es-CO"/>
              </w:rPr>
              <w:t>de 202</w:t>
            </w:r>
            <w:r w:rsidR="0069557F" w:rsidRPr="00F73AD0">
              <w:rPr>
                <w:rFonts w:asciiTheme="majorHAnsi" w:hAnsiTheme="majorHAnsi"/>
                <w:bCs/>
                <w:sz w:val="18"/>
                <w:szCs w:val="18"/>
                <w:lang w:val="es-CO"/>
              </w:rPr>
              <w:t>3</w:t>
            </w:r>
            <w:r w:rsidRPr="00F73AD0">
              <w:rPr>
                <w:rFonts w:asciiTheme="majorHAnsi" w:hAnsiTheme="majorHAnsi"/>
                <w:bCs/>
                <w:sz w:val="18"/>
                <w:szCs w:val="18"/>
                <w:lang w:val="es-CO"/>
              </w:rPr>
              <w:t>, negando la pensión convencional.</w:t>
            </w:r>
          </w:p>
        </w:tc>
      </w:tr>
      <w:tr w:rsidR="00325361" w:rsidRPr="00D75B8F" w14:paraId="4FA9CF93" w14:textId="77777777" w:rsidTr="00D21EA9">
        <w:trPr>
          <w:jc w:val="center"/>
        </w:trPr>
        <w:tc>
          <w:tcPr>
            <w:tcW w:w="2615" w:type="dxa"/>
          </w:tcPr>
          <w:p w14:paraId="2D5E5C95" w14:textId="6D7F08F1" w:rsidR="00325361" w:rsidRPr="00F73AD0" w:rsidRDefault="0032536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Hernando Bello Medina</w:t>
            </w:r>
          </w:p>
        </w:tc>
        <w:tc>
          <w:tcPr>
            <w:tcW w:w="2070" w:type="dxa"/>
          </w:tcPr>
          <w:p w14:paraId="1812994C" w14:textId="524CD62B" w:rsidR="00325361" w:rsidRPr="00F73AD0" w:rsidRDefault="006F374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SL539-2022</w:t>
            </w:r>
          </w:p>
        </w:tc>
        <w:tc>
          <w:tcPr>
            <w:tcW w:w="4680" w:type="dxa"/>
          </w:tcPr>
          <w:p w14:paraId="1C8FB1EF" w14:textId="50BC822A" w:rsidR="00325361" w:rsidRPr="00F73AD0" w:rsidRDefault="006F374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2 de marzo de 2022, negando la pensión convencional.</w:t>
            </w:r>
          </w:p>
        </w:tc>
      </w:tr>
      <w:tr w:rsidR="00B03811" w:rsidRPr="00D75B8F" w14:paraId="457CA1B0" w14:textId="77777777" w:rsidTr="00D21EA9">
        <w:trPr>
          <w:jc w:val="center"/>
        </w:trPr>
        <w:tc>
          <w:tcPr>
            <w:tcW w:w="2615" w:type="dxa"/>
          </w:tcPr>
          <w:p w14:paraId="4CD87A6A" w14:textId="13D6CA8C" w:rsidR="00B03811" w:rsidRPr="00F73AD0" w:rsidRDefault="00B0381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Víctor Manuel Rueda Melo</w:t>
            </w:r>
          </w:p>
        </w:tc>
        <w:tc>
          <w:tcPr>
            <w:tcW w:w="2070" w:type="dxa"/>
          </w:tcPr>
          <w:p w14:paraId="27DD0BA7" w14:textId="2EA53799" w:rsidR="00B03811" w:rsidRPr="00F73AD0" w:rsidRDefault="00B0381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SL409-2022</w:t>
            </w:r>
          </w:p>
        </w:tc>
        <w:tc>
          <w:tcPr>
            <w:tcW w:w="4680" w:type="dxa"/>
          </w:tcPr>
          <w:p w14:paraId="6614C2A8" w14:textId="1352BE9A" w:rsidR="00B03811" w:rsidRPr="00F73AD0" w:rsidRDefault="00B0381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17 de febrero de 2021, negando la pensión convencional.</w:t>
            </w:r>
          </w:p>
        </w:tc>
      </w:tr>
      <w:tr w:rsidR="008A4D4F" w:rsidRPr="00D75B8F" w14:paraId="0FE40C75" w14:textId="77777777" w:rsidTr="00D21EA9">
        <w:trPr>
          <w:jc w:val="center"/>
        </w:trPr>
        <w:tc>
          <w:tcPr>
            <w:tcW w:w="2615" w:type="dxa"/>
          </w:tcPr>
          <w:p w14:paraId="05628E9B" w14:textId="42CC3E44" w:rsidR="008A4D4F" w:rsidRPr="00F73AD0" w:rsidRDefault="008A4D4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Luis Guiller</w:t>
            </w:r>
            <w:r w:rsidR="00967A66" w:rsidRPr="00F73AD0">
              <w:rPr>
                <w:rFonts w:asciiTheme="majorHAnsi" w:hAnsiTheme="majorHAnsi"/>
                <w:bCs/>
                <w:sz w:val="18"/>
                <w:szCs w:val="18"/>
                <w:lang w:val="es-CO"/>
              </w:rPr>
              <w:t>mo Villamizar Cucaita</w:t>
            </w:r>
          </w:p>
        </w:tc>
        <w:tc>
          <w:tcPr>
            <w:tcW w:w="2070" w:type="dxa"/>
          </w:tcPr>
          <w:p w14:paraId="31057E77" w14:textId="7B676050" w:rsidR="008A4D4F" w:rsidRPr="00F73AD0" w:rsidRDefault="00967A6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SL051-2022</w:t>
            </w:r>
          </w:p>
        </w:tc>
        <w:tc>
          <w:tcPr>
            <w:tcW w:w="4680" w:type="dxa"/>
          </w:tcPr>
          <w:p w14:paraId="3AD170E0" w14:textId="7B8ECB96" w:rsidR="008A4D4F" w:rsidRPr="00F73AD0" w:rsidRDefault="00967A6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Justicia de </w:t>
            </w:r>
            <w:r w:rsidR="00950D61" w:rsidRPr="00F73AD0">
              <w:rPr>
                <w:rFonts w:asciiTheme="majorHAnsi" w:hAnsiTheme="majorHAnsi"/>
                <w:bCs/>
                <w:sz w:val="18"/>
                <w:szCs w:val="18"/>
                <w:lang w:val="es-CO"/>
              </w:rPr>
              <w:t>26</w:t>
            </w:r>
            <w:r w:rsidRPr="00F73AD0">
              <w:rPr>
                <w:rFonts w:asciiTheme="majorHAnsi" w:hAnsiTheme="majorHAnsi"/>
                <w:bCs/>
                <w:sz w:val="18"/>
                <w:szCs w:val="18"/>
                <w:lang w:val="es-CO"/>
              </w:rPr>
              <w:t xml:space="preserve"> de </w:t>
            </w:r>
            <w:r w:rsidR="00950D61" w:rsidRPr="00F73AD0">
              <w:rPr>
                <w:rFonts w:asciiTheme="majorHAnsi" w:hAnsiTheme="majorHAnsi"/>
                <w:bCs/>
                <w:sz w:val="18"/>
                <w:szCs w:val="18"/>
                <w:lang w:val="es-CO"/>
              </w:rPr>
              <w:t>en</w:t>
            </w:r>
            <w:r w:rsidRPr="00F73AD0">
              <w:rPr>
                <w:rFonts w:asciiTheme="majorHAnsi" w:hAnsiTheme="majorHAnsi"/>
                <w:bCs/>
                <w:sz w:val="18"/>
                <w:szCs w:val="18"/>
                <w:lang w:val="es-CO"/>
              </w:rPr>
              <w:t>ero de 202</w:t>
            </w:r>
            <w:r w:rsidR="00950D61" w:rsidRPr="00F73AD0">
              <w:rPr>
                <w:rFonts w:asciiTheme="majorHAnsi" w:hAnsiTheme="majorHAnsi"/>
                <w:bCs/>
                <w:sz w:val="18"/>
                <w:szCs w:val="18"/>
                <w:lang w:val="es-CO"/>
              </w:rPr>
              <w:t>2</w:t>
            </w:r>
            <w:r w:rsidRPr="00F73AD0">
              <w:rPr>
                <w:rFonts w:asciiTheme="majorHAnsi" w:hAnsiTheme="majorHAnsi"/>
                <w:bCs/>
                <w:sz w:val="18"/>
                <w:szCs w:val="18"/>
                <w:lang w:val="es-CO"/>
              </w:rPr>
              <w:t>, negando la pensión convencional.</w:t>
            </w:r>
          </w:p>
        </w:tc>
      </w:tr>
      <w:tr w:rsidR="00E82D9A" w:rsidRPr="00D75B8F" w14:paraId="703CDDEB" w14:textId="77777777" w:rsidTr="00D21EA9">
        <w:trPr>
          <w:jc w:val="center"/>
        </w:trPr>
        <w:tc>
          <w:tcPr>
            <w:tcW w:w="2615" w:type="dxa"/>
          </w:tcPr>
          <w:p w14:paraId="72AEC27C" w14:textId="6DF41B94" w:rsidR="00E82D9A" w:rsidRPr="00F73AD0" w:rsidRDefault="00E82D9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María Elena Palomá Sáenz</w:t>
            </w:r>
          </w:p>
        </w:tc>
        <w:tc>
          <w:tcPr>
            <w:tcW w:w="2070" w:type="dxa"/>
          </w:tcPr>
          <w:p w14:paraId="3567F95F" w14:textId="3E035818" w:rsidR="00E82D9A" w:rsidRPr="00F73AD0" w:rsidRDefault="00E82D9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w:t>
            </w:r>
            <w:r w:rsidR="00E11D3B" w:rsidRPr="00F73AD0">
              <w:rPr>
                <w:rFonts w:asciiTheme="majorHAnsi" w:hAnsiTheme="majorHAnsi"/>
                <w:bCs/>
                <w:sz w:val="18"/>
                <w:szCs w:val="18"/>
                <w:lang w:val="es-CO"/>
              </w:rPr>
              <w:t>018-2014</w:t>
            </w:r>
          </w:p>
        </w:tc>
        <w:tc>
          <w:tcPr>
            <w:tcW w:w="4680" w:type="dxa"/>
          </w:tcPr>
          <w:p w14:paraId="70D681C2" w14:textId="54AB76DC" w:rsidR="00E82D9A" w:rsidRPr="00F73AD0" w:rsidRDefault="00E11D3B"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24 de enero de 2024, negando la pensión convencional.</w:t>
            </w:r>
          </w:p>
        </w:tc>
      </w:tr>
      <w:tr w:rsidR="00ED3D48" w:rsidRPr="00D75B8F" w14:paraId="46FA89FE" w14:textId="77777777" w:rsidTr="00D21EA9">
        <w:trPr>
          <w:jc w:val="center"/>
        </w:trPr>
        <w:tc>
          <w:tcPr>
            <w:tcW w:w="2615" w:type="dxa"/>
          </w:tcPr>
          <w:p w14:paraId="1F76068F" w14:textId="776C8A21" w:rsidR="00ED3D48" w:rsidRPr="00F73AD0" w:rsidRDefault="00ED3D48"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Eleanna García Cano</w:t>
            </w:r>
          </w:p>
        </w:tc>
        <w:tc>
          <w:tcPr>
            <w:tcW w:w="2070" w:type="dxa"/>
          </w:tcPr>
          <w:p w14:paraId="0DE657F8" w14:textId="6D05B0B1" w:rsidR="00ED3D48" w:rsidRPr="00F73AD0" w:rsidRDefault="00B41038"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2016-00604-01</w:t>
            </w:r>
          </w:p>
        </w:tc>
        <w:tc>
          <w:tcPr>
            <w:tcW w:w="4680" w:type="dxa"/>
          </w:tcPr>
          <w:p w14:paraId="58C98B86" w14:textId="01EA32A5" w:rsidR="00ED3D48" w:rsidRPr="00F73AD0" w:rsidRDefault="00B41038"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Laboral del Tribunal Superior del Distrito Judicial de Cali en segunda instancia de 14 d</w:t>
            </w:r>
            <w:r w:rsidR="007B461E" w:rsidRPr="00F73AD0">
              <w:rPr>
                <w:rFonts w:asciiTheme="majorHAnsi" w:hAnsiTheme="majorHAnsi"/>
                <w:bCs/>
                <w:sz w:val="18"/>
                <w:szCs w:val="18"/>
                <w:lang w:val="es-CO"/>
              </w:rPr>
              <w:t>e</w:t>
            </w:r>
            <w:r w:rsidRPr="00F73AD0">
              <w:rPr>
                <w:rFonts w:asciiTheme="majorHAnsi" w:hAnsiTheme="majorHAnsi"/>
                <w:bCs/>
                <w:sz w:val="18"/>
                <w:szCs w:val="18"/>
                <w:lang w:val="es-CO"/>
              </w:rPr>
              <w:t xml:space="preserve"> diciembre de 2023, </w:t>
            </w:r>
            <w:r w:rsidR="001C32DC" w:rsidRPr="00F73AD0">
              <w:rPr>
                <w:rFonts w:asciiTheme="majorHAnsi" w:hAnsiTheme="majorHAnsi"/>
                <w:bCs/>
                <w:sz w:val="18"/>
                <w:szCs w:val="18"/>
                <w:lang w:val="es-CO"/>
              </w:rPr>
              <w:t xml:space="preserve">revocando el fallo de primera instancia que concedía </w:t>
            </w:r>
            <w:r w:rsidRPr="00F73AD0">
              <w:rPr>
                <w:rFonts w:asciiTheme="majorHAnsi" w:hAnsiTheme="majorHAnsi"/>
                <w:bCs/>
                <w:sz w:val="18"/>
                <w:szCs w:val="18"/>
                <w:lang w:val="es-CO"/>
              </w:rPr>
              <w:t>la pensión convencional.</w:t>
            </w:r>
          </w:p>
        </w:tc>
      </w:tr>
      <w:tr w:rsidR="003D71CF" w:rsidRPr="00D75B8F" w14:paraId="2368FC2F" w14:textId="77777777" w:rsidTr="00D21EA9">
        <w:trPr>
          <w:jc w:val="center"/>
        </w:trPr>
        <w:tc>
          <w:tcPr>
            <w:tcW w:w="2615" w:type="dxa"/>
          </w:tcPr>
          <w:p w14:paraId="0A204B52" w14:textId="6F5721CB" w:rsidR="003D71CF" w:rsidRPr="00F73AD0" w:rsidRDefault="003D71C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Nolberto de la Torre Bolaños</w:t>
            </w:r>
          </w:p>
        </w:tc>
        <w:tc>
          <w:tcPr>
            <w:tcW w:w="2070" w:type="dxa"/>
          </w:tcPr>
          <w:p w14:paraId="13F6341A" w14:textId="66B0980A" w:rsidR="003D71CF" w:rsidRPr="00F73AD0" w:rsidRDefault="003D71C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2016-00032-01</w:t>
            </w:r>
          </w:p>
        </w:tc>
        <w:tc>
          <w:tcPr>
            <w:tcW w:w="4680" w:type="dxa"/>
          </w:tcPr>
          <w:p w14:paraId="67397C78" w14:textId="16EA5E11" w:rsidR="003D71CF" w:rsidRPr="00F73AD0" w:rsidRDefault="003D71C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Laboral del Tribunal Superior del Distrito Judicial de Cali</w:t>
            </w:r>
            <w:r w:rsidR="00945B15" w:rsidRPr="00F73AD0">
              <w:rPr>
                <w:rFonts w:asciiTheme="majorHAnsi" w:hAnsiTheme="majorHAnsi"/>
                <w:bCs/>
                <w:sz w:val="18"/>
                <w:szCs w:val="18"/>
                <w:lang w:val="es-CO"/>
              </w:rPr>
              <w:t xml:space="preserve"> </w:t>
            </w:r>
            <w:r w:rsidRPr="00F73AD0">
              <w:rPr>
                <w:rFonts w:asciiTheme="majorHAnsi" w:hAnsiTheme="majorHAnsi"/>
                <w:bCs/>
                <w:sz w:val="18"/>
                <w:szCs w:val="18"/>
                <w:lang w:val="es-CO"/>
              </w:rPr>
              <w:t>de 2</w:t>
            </w:r>
            <w:r w:rsidR="00945B15" w:rsidRPr="00F73AD0">
              <w:rPr>
                <w:rFonts w:asciiTheme="majorHAnsi" w:hAnsiTheme="majorHAnsi"/>
                <w:bCs/>
                <w:sz w:val="18"/>
                <w:szCs w:val="18"/>
                <w:lang w:val="es-CO"/>
              </w:rPr>
              <w:t>7</w:t>
            </w:r>
            <w:r w:rsidRPr="00F73AD0">
              <w:rPr>
                <w:rFonts w:asciiTheme="majorHAnsi" w:hAnsiTheme="majorHAnsi"/>
                <w:bCs/>
                <w:sz w:val="18"/>
                <w:szCs w:val="18"/>
                <w:lang w:val="es-CO"/>
              </w:rPr>
              <w:t xml:space="preserve"> de </w:t>
            </w:r>
            <w:r w:rsidR="00945B15" w:rsidRPr="00F73AD0">
              <w:rPr>
                <w:rFonts w:asciiTheme="majorHAnsi" w:hAnsiTheme="majorHAnsi"/>
                <w:bCs/>
                <w:sz w:val="18"/>
                <w:szCs w:val="18"/>
                <w:lang w:val="es-CO"/>
              </w:rPr>
              <w:t xml:space="preserve">septiembre </w:t>
            </w:r>
            <w:r w:rsidRPr="00F73AD0">
              <w:rPr>
                <w:rFonts w:asciiTheme="majorHAnsi" w:hAnsiTheme="majorHAnsi"/>
                <w:bCs/>
                <w:sz w:val="18"/>
                <w:szCs w:val="18"/>
                <w:lang w:val="es-CO"/>
              </w:rPr>
              <w:t xml:space="preserve">de 2022, </w:t>
            </w:r>
            <w:r w:rsidR="009D6C6B" w:rsidRPr="00F73AD0">
              <w:rPr>
                <w:rFonts w:asciiTheme="majorHAnsi" w:hAnsiTheme="majorHAnsi"/>
                <w:bCs/>
                <w:sz w:val="18"/>
                <w:szCs w:val="18"/>
                <w:lang w:val="es-CO"/>
              </w:rPr>
              <w:t>reconociendo el pago de la pensión conforme al Reglamento Interno del Banco de la República</w:t>
            </w:r>
            <w:r w:rsidRPr="00F73AD0">
              <w:rPr>
                <w:rFonts w:asciiTheme="majorHAnsi" w:hAnsiTheme="majorHAnsi"/>
                <w:bCs/>
                <w:sz w:val="18"/>
                <w:szCs w:val="18"/>
                <w:lang w:val="es-CO"/>
              </w:rPr>
              <w:t>.</w:t>
            </w:r>
          </w:p>
        </w:tc>
      </w:tr>
      <w:tr w:rsidR="00083FCF" w:rsidRPr="00D75B8F" w14:paraId="79687591" w14:textId="77777777" w:rsidTr="00D21EA9">
        <w:trPr>
          <w:jc w:val="center"/>
        </w:trPr>
        <w:tc>
          <w:tcPr>
            <w:tcW w:w="2615" w:type="dxa"/>
          </w:tcPr>
          <w:p w14:paraId="46516C15" w14:textId="5A1F9404" w:rsidR="00083FCF" w:rsidRPr="00F73AD0" w:rsidRDefault="00083FCF"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Edison</w:t>
            </w:r>
            <w:r w:rsidR="006350C6" w:rsidRPr="00F73AD0">
              <w:rPr>
                <w:rFonts w:asciiTheme="majorHAnsi" w:hAnsiTheme="majorHAnsi"/>
                <w:bCs/>
                <w:sz w:val="18"/>
                <w:szCs w:val="18"/>
                <w:lang w:val="es-CO"/>
              </w:rPr>
              <w:t xml:space="preserve"> Antonio García Perlaza</w:t>
            </w:r>
          </w:p>
        </w:tc>
        <w:tc>
          <w:tcPr>
            <w:tcW w:w="2070" w:type="dxa"/>
          </w:tcPr>
          <w:p w14:paraId="3CAC2A03" w14:textId="33F7C9D1" w:rsidR="00083FCF" w:rsidRPr="00F73AD0" w:rsidRDefault="00CA5BD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w:t>
            </w:r>
            <w:r w:rsidR="00D9574A" w:rsidRPr="00F73AD0">
              <w:rPr>
                <w:rFonts w:asciiTheme="majorHAnsi" w:hAnsiTheme="majorHAnsi"/>
                <w:bCs/>
                <w:sz w:val="18"/>
                <w:szCs w:val="18"/>
                <w:lang w:val="es-CO"/>
              </w:rPr>
              <w:t>00034-01</w:t>
            </w:r>
          </w:p>
        </w:tc>
        <w:tc>
          <w:tcPr>
            <w:tcW w:w="4680" w:type="dxa"/>
          </w:tcPr>
          <w:p w14:paraId="33D47A66" w14:textId="6616CD16" w:rsidR="00083FCF" w:rsidRPr="00F73AD0" w:rsidRDefault="00D9574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Laboral del Tribunal Superior del Distrito Judicial de Cali de 7 de diciembre de 2021, </w:t>
            </w:r>
            <w:r w:rsidR="00A462C2" w:rsidRPr="00F73AD0">
              <w:rPr>
                <w:rFonts w:asciiTheme="majorHAnsi" w:hAnsiTheme="majorHAnsi"/>
                <w:bCs/>
                <w:sz w:val="18"/>
                <w:szCs w:val="18"/>
                <w:lang w:val="es-CO"/>
              </w:rPr>
              <w:t>negando la pensión convencional</w:t>
            </w:r>
            <w:r w:rsidRPr="00F73AD0">
              <w:rPr>
                <w:rFonts w:asciiTheme="majorHAnsi" w:hAnsiTheme="majorHAnsi"/>
                <w:bCs/>
                <w:sz w:val="18"/>
                <w:szCs w:val="18"/>
                <w:lang w:val="es-CO"/>
              </w:rPr>
              <w:t>.</w:t>
            </w:r>
          </w:p>
        </w:tc>
      </w:tr>
      <w:tr w:rsidR="00454291" w:rsidRPr="00D75B8F" w14:paraId="1D18D3B8" w14:textId="77777777" w:rsidTr="00D21EA9">
        <w:trPr>
          <w:jc w:val="center"/>
        </w:trPr>
        <w:tc>
          <w:tcPr>
            <w:tcW w:w="2615" w:type="dxa"/>
          </w:tcPr>
          <w:p w14:paraId="1057DFBE" w14:textId="592D1D63" w:rsidR="00454291" w:rsidRPr="00F73AD0" w:rsidRDefault="0045429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Balmes Hiparco Mosquera Mosquera</w:t>
            </w:r>
          </w:p>
        </w:tc>
        <w:tc>
          <w:tcPr>
            <w:tcW w:w="2070" w:type="dxa"/>
          </w:tcPr>
          <w:p w14:paraId="162F2FF4" w14:textId="75E013E6" w:rsidR="00454291" w:rsidRPr="00F73AD0" w:rsidRDefault="0045429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2016-0024-01</w:t>
            </w:r>
          </w:p>
        </w:tc>
        <w:tc>
          <w:tcPr>
            <w:tcW w:w="4680" w:type="dxa"/>
          </w:tcPr>
          <w:p w14:paraId="2B4F5266" w14:textId="2EDCC4CB" w:rsidR="00454291" w:rsidRPr="00F73AD0" w:rsidRDefault="00454291"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Laboral del Tribunal Superior del Distrito Judicial de Cali de 26 de junio de 2023, </w:t>
            </w:r>
            <w:r w:rsidR="00F40FA8" w:rsidRPr="00F73AD0">
              <w:rPr>
                <w:rFonts w:asciiTheme="majorHAnsi" w:hAnsiTheme="majorHAnsi"/>
                <w:bCs/>
                <w:sz w:val="18"/>
                <w:szCs w:val="18"/>
                <w:lang w:val="es-CO"/>
              </w:rPr>
              <w:t>negando la pensión convencional</w:t>
            </w:r>
            <w:r w:rsidRPr="00F73AD0">
              <w:rPr>
                <w:rFonts w:asciiTheme="majorHAnsi" w:hAnsiTheme="majorHAnsi"/>
                <w:bCs/>
                <w:sz w:val="18"/>
                <w:szCs w:val="18"/>
                <w:lang w:val="es-CO"/>
              </w:rPr>
              <w:t>.</w:t>
            </w:r>
          </w:p>
        </w:tc>
      </w:tr>
      <w:tr w:rsidR="009808B0" w:rsidRPr="00D75B8F" w14:paraId="33E35C05" w14:textId="77777777" w:rsidTr="00D21EA9">
        <w:trPr>
          <w:jc w:val="center"/>
        </w:trPr>
        <w:tc>
          <w:tcPr>
            <w:tcW w:w="2615" w:type="dxa"/>
          </w:tcPr>
          <w:p w14:paraId="4D089724" w14:textId="2B968496" w:rsidR="009808B0" w:rsidRPr="00F73AD0" w:rsidRDefault="009808B0"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Juan Carlos Jaramillo</w:t>
            </w:r>
          </w:p>
        </w:tc>
        <w:tc>
          <w:tcPr>
            <w:tcW w:w="2070" w:type="dxa"/>
          </w:tcPr>
          <w:p w14:paraId="5D9B2B4D" w14:textId="7BCA071F" w:rsidR="009808B0" w:rsidRPr="00F73AD0" w:rsidRDefault="0065095B"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76001-31-05-004-2016-00024-01</w:t>
            </w:r>
          </w:p>
        </w:tc>
        <w:tc>
          <w:tcPr>
            <w:tcW w:w="4680" w:type="dxa"/>
          </w:tcPr>
          <w:p w14:paraId="24D9000B" w14:textId="0E731E83" w:rsidR="009808B0" w:rsidRPr="00F73AD0" w:rsidRDefault="0065095B"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Laboral del Tribunal Superior del Distrito Judicial de Cali de 18 de julio de 2023, </w:t>
            </w:r>
            <w:r w:rsidR="005131B8" w:rsidRPr="00F73AD0">
              <w:rPr>
                <w:rFonts w:asciiTheme="majorHAnsi" w:hAnsiTheme="majorHAnsi"/>
                <w:bCs/>
                <w:sz w:val="18"/>
                <w:szCs w:val="18"/>
                <w:lang w:val="es-CO"/>
              </w:rPr>
              <w:t>concediendo</w:t>
            </w:r>
            <w:r w:rsidRPr="00F73AD0">
              <w:rPr>
                <w:rFonts w:asciiTheme="majorHAnsi" w:hAnsiTheme="majorHAnsi"/>
                <w:bCs/>
                <w:sz w:val="18"/>
                <w:szCs w:val="18"/>
                <w:lang w:val="es-CO"/>
              </w:rPr>
              <w:t xml:space="preserve"> la pensión </w:t>
            </w:r>
            <w:r w:rsidR="005131B8" w:rsidRPr="00F73AD0">
              <w:rPr>
                <w:rFonts w:asciiTheme="majorHAnsi" w:hAnsiTheme="majorHAnsi"/>
                <w:bCs/>
                <w:sz w:val="18"/>
                <w:szCs w:val="18"/>
                <w:lang w:val="es-CO"/>
              </w:rPr>
              <w:t>conforme al Reglamento Interno del Banco de la República</w:t>
            </w:r>
            <w:r w:rsidRPr="00F73AD0">
              <w:rPr>
                <w:rFonts w:asciiTheme="majorHAnsi" w:hAnsiTheme="majorHAnsi"/>
                <w:bCs/>
                <w:sz w:val="18"/>
                <w:szCs w:val="18"/>
                <w:lang w:val="es-CO"/>
              </w:rPr>
              <w:t>.</w:t>
            </w:r>
          </w:p>
        </w:tc>
      </w:tr>
      <w:tr w:rsidR="009B713E" w:rsidRPr="00D75B8F" w14:paraId="623F78B7" w14:textId="77777777" w:rsidTr="00D21EA9">
        <w:trPr>
          <w:jc w:val="center"/>
        </w:trPr>
        <w:tc>
          <w:tcPr>
            <w:tcW w:w="2615" w:type="dxa"/>
          </w:tcPr>
          <w:p w14:paraId="37718594" w14:textId="326434E3" w:rsidR="009B713E" w:rsidRPr="00F73AD0" w:rsidRDefault="009B713E"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Fernando Echeverry Sarmiento</w:t>
            </w:r>
          </w:p>
        </w:tc>
        <w:tc>
          <w:tcPr>
            <w:tcW w:w="2070" w:type="dxa"/>
          </w:tcPr>
          <w:p w14:paraId="191E3DC8" w14:textId="1B9554EC" w:rsidR="009B713E" w:rsidRPr="00F73AD0" w:rsidRDefault="0083475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2016-0038-01</w:t>
            </w:r>
          </w:p>
        </w:tc>
        <w:tc>
          <w:tcPr>
            <w:tcW w:w="4680" w:type="dxa"/>
          </w:tcPr>
          <w:p w14:paraId="3834F248" w14:textId="5E0B47D9" w:rsidR="009B713E" w:rsidRPr="00F73AD0" w:rsidRDefault="0083475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Laboral del Tribunal Superior del Distrito Judicial de Buga de 2 de marzo de 2023, negando la pensión convencional.</w:t>
            </w:r>
          </w:p>
        </w:tc>
      </w:tr>
      <w:tr w:rsidR="001C3825" w:rsidRPr="00D75B8F" w14:paraId="0B6ABAB1" w14:textId="77777777" w:rsidTr="00D21EA9">
        <w:trPr>
          <w:jc w:val="center"/>
        </w:trPr>
        <w:tc>
          <w:tcPr>
            <w:tcW w:w="2615" w:type="dxa"/>
          </w:tcPr>
          <w:p w14:paraId="6BCCC6CE" w14:textId="1FF16787" w:rsidR="001C3825" w:rsidRPr="00F73AD0" w:rsidRDefault="001C3825"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Plutarco Fernández Castro</w:t>
            </w:r>
          </w:p>
        </w:tc>
        <w:tc>
          <w:tcPr>
            <w:tcW w:w="2070" w:type="dxa"/>
          </w:tcPr>
          <w:p w14:paraId="29F3B0CB" w14:textId="2B79BC4D" w:rsidR="001C3825" w:rsidRPr="00F73AD0" w:rsidRDefault="00776CC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2016-00184-01</w:t>
            </w:r>
          </w:p>
        </w:tc>
        <w:tc>
          <w:tcPr>
            <w:tcW w:w="4680" w:type="dxa"/>
          </w:tcPr>
          <w:p w14:paraId="04D21B37" w14:textId="51067739" w:rsidR="001C3825" w:rsidRPr="00F73AD0" w:rsidRDefault="00776CC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Laboral del Tribunal Superior del Distrito Judicial de Cali de 13 de diciembre de 2023, </w:t>
            </w:r>
            <w:r w:rsidR="00027D7E" w:rsidRPr="00F73AD0">
              <w:rPr>
                <w:rFonts w:asciiTheme="majorHAnsi" w:hAnsiTheme="majorHAnsi"/>
                <w:bCs/>
                <w:sz w:val="18"/>
                <w:szCs w:val="18"/>
                <w:lang w:val="es-CO"/>
              </w:rPr>
              <w:t xml:space="preserve">revocando el otorgamiento de </w:t>
            </w:r>
            <w:r w:rsidRPr="00F73AD0">
              <w:rPr>
                <w:rFonts w:asciiTheme="majorHAnsi" w:hAnsiTheme="majorHAnsi"/>
                <w:bCs/>
                <w:sz w:val="18"/>
                <w:szCs w:val="18"/>
                <w:lang w:val="es-CO"/>
              </w:rPr>
              <w:t>la pensión convencional</w:t>
            </w:r>
            <w:r w:rsidR="00027D7E" w:rsidRPr="00F73AD0">
              <w:rPr>
                <w:rFonts w:asciiTheme="majorHAnsi" w:hAnsiTheme="majorHAnsi"/>
                <w:bCs/>
                <w:sz w:val="18"/>
                <w:szCs w:val="18"/>
                <w:lang w:val="es-CO"/>
              </w:rPr>
              <w:t xml:space="preserve"> y </w:t>
            </w:r>
            <w:r w:rsidR="00073D28" w:rsidRPr="00F73AD0">
              <w:rPr>
                <w:rFonts w:asciiTheme="majorHAnsi" w:hAnsiTheme="majorHAnsi"/>
                <w:bCs/>
                <w:sz w:val="18"/>
                <w:szCs w:val="18"/>
                <w:lang w:val="es-CO"/>
              </w:rPr>
              <w:t>concediendo la pensión conforme al Reglamento Interno del Banco de la República</w:t>
            </w:r>
            <w:r w:rsidRPr="00F73AD0">
              <w:rPr>
                <w:rFonts w:asciiTheme="majorHAnsi" w:hAnsiTheme="majorHAnsi"/>
                <w:bCs/>
                <w:sz w:val="18"/>
                <w:szCs w:val="18"/>
                <w:lang w:val="es-CO"/>
              </w:rPr>
              <w:t>.</w:t>
            </w:r>
          </w:p>
        </w:tc>
      </w:tr>
      <w:tr w:rsidR="001E0807" w:rsidRPr="00D75B8F" w14:paraId="342EE8AF" w14:textId="77777777" w:rsidTr="00D21EA9">
        <w:trPr>
          <w:jc w:val="center"/>
        </w:trPr>
        <w:tc>
          <w:tcPr>
            <w:tcW w:w="2615" w:type="dxa"/>
          </w:tcPr>
          <w:p w14:paraId="44A96929" w14:textId="0203103D" w:rsidR="001E0807" w:rsidRPr="00F73AD0" w:rsidRDefault="001E0807"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Nancy Rodríguez Moreno</w:t>
            </w:r>
          </w:p>
        </w:tc>
        <w:tc>
          <w:tcPr>
            <w:tcW w:w="2070" w:type="dxa"/>
          </w:tcPr>
          <w:p w14:paraId="32341952" w14:textId="10BAE385" w:rsidR="001E0807" w:rsidRPr="00F73AD0" w:rsidRDefault="00643F20"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2021-00409</w:t>
            </w:r>
          </w:p>
        </w:tc>
        <w:tc>
          <w:tcPr>
            <w:tcW w:w="4680" w:type="dxa"/>
          </w:tcPr>
          <w:p w14:paraId="13BC26F3" w14:textId="41AAD507" w:rsidR="001E0807" w:rsidRPr="00F73AD0" w:rsidRDefault="00F67849"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primera instancia proferida por el Juzgado 37 Laboral del Circuito de Bogotá el 14 de junio de 2023, </w:t>
            </w:r>
            <w:r w:rsidR="00E217F6" w:rsidRPr="00F73AD0">
              <w:rPr>
                <w:rFonts w:asciiTheme="majorHAnsi" w:hAnsiTheme="majorHAnsi"/>
                <w:bCs/>
                <w:sz w:val="18"/>
                <w:szCs w:val="18"/>
                <w:lang w:val="es-CO"/>
              </w:rPr>
              <w:t>negando la pensión convencional. La presunta víctima interpuso recurso de apelación</w:t>
            </w:r>
            <w:r w:rsidR="00DC0690" w:rsidRPr="00F73AD0">
              <w:rPr>
                <w:rFonts w:asciiTheme="majorHAnsi" w:hAnsiTheme="majorHAnsi"/>
                <w:bCs/>
                <w:sz w:val="18"/>
                <w:szCs w:val="18"/>
                <w:lang w:val="es-CO"/>
              </w:rPr>
              <w:t>, que estaría en trámite</w:t>
            </w:r>
            <w:r w:rsidR="00E217F6" w:rsidRPr="00F73AD0">
              <w:rPr>
                <w:rFonts w:asciiTheme="majorHAnsi" w:hAnsiTheme="majorHAnsi"/>
                <w:bCs/>
                <w:sz w:val="18"/>
                <w:szCs w:val="18"/>
                <w:lang w:val="es-CO"/>
              </w:rPr>
              <w:t>.</w:t>
            </w:r>
          </w:p>
        </w:tc>
      </w:tr>
      <w:tr w:rsidR="003F3922" w:rsidRPr="00D75B8F" w14:paraId="19DC64F3" w14:textId="77777777" w:rsidTr="00D21EA9">
        <w:trPr>
          <w:jc w:val="center"/>
        </w:trPr>
        <w:tc>
          <w:tcPr>
            <w:tcW w:w="2615" w:type="dxa"/>
          </w:tcPr>
          <w:p w14:paraId="677F73E3" w14:textId="6A19B7D0" w:rsidR="003F3922" w:rsidRPr="00F73AD0" w:rsidRDefault="003F3922"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Fernando Loaiza Franco</w:t>
            </w:r>
          </w:p>
        </w:tc>
        <w:tc>
          <w:tcPr>
            <w:tcW w:w="2070" w:type="dxa"/>
          </w:tcPr>
          <w:p w14:paraId="1F8DAC46" w14:textId="696E35D7" w:rsidR="003F3922" w:rsidRPr="00F73AD0" w:rsidRDefault="00697AC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SL2132-2023</w:t>
            </w:r>
          </w:p>
        </w:tc>
        <w:tc>
          <w:tcPr>
            <w:tcW w:w="4680" w:type="dxa"/>
          </w:tcPr>
          <w:p w14:paraId="1916C6FC" w14:textId="068E593C" w:rsidR="003F3922" w:rsidRPr="00F73AD0" w:rsidRDefault="00697ACC"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Justicia de 31 de julio de 2023, </w:t>
            </w:r>
            <w:r w:rsidR="00337A07" w:rsidRPr="00F73AD0">
              <w:rPr>
                <w:rFonts w:asciiTheme="majorHAnsi" w:hAnsiTheme="majorHAnsi"/>
                <w:bCs/>
                <w:sz w:val="18"/>
                <w:szCs w:val="18"/>
                <w:lang w:val="es-CO"/>
              </w:rPr>
              <w:t>revocando la sentencia de segunda instancia que concedía la pensión convencional.</w:t>
            </w:r>
          </w:p>
        </w:tc>
      </w:tr>
      <w:tr w:rsidR="00E008FA" w:rsidRPr="00D75B8F" w14:paraId="12F9796B" w14:textId="77777777" w:rsidTr="00D21EA9">
        <w:trPr>
          <w:jc w:val="center"/>
        </w:trPr>
        <w:tc>
          <w:tcPr>
            <w:tcW w:w="2615" w:type="dxa"/>
          </w:tcPr>
          <w:p w14:paraId="750D1F57" w14:textId="053BB8E7" w:rsidR="00E008FA" w:rsidRPr="00F73AD0" w:rsidRDefault="00E008F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Juan Manuel Duarte Rivera</w:t>
            </w:r>
          </w:p>
        </w:tc>
        <w:tc>
          <w:tcPr>
            <w:tcW w:w="2070" w:type="dxa"/>
          </w:tcPr>
          <w:p w14:paraId="137831FD" w14:textId="1C32FF6F" w:rsidR="00E008FA" w:rsidRPr="00F73AD0" w:rsidRDefault="00E008FA"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Sl2626-2023</w:t>
            </w:r>
          </w:p>
        </w:tc>
        <w:tc>
          <w:tcPr>
            <w:tcW w:w="4680" w:type="dxa"/>
          </w:tcPr>
          <w:p w14:paraId="05226140" w14:textId="13ADD88D" w:rsidR="00E008FA" w:rsidRPr="00F73AD0" w:rsidRDefault="00A81BAD"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de la Sala de Casación Laboral de la Corte Suprema de Justicia de </w:t>
            </w:r>
            <w:r w:rsidR="00C45B07" w:rsidRPr="00F73AD0">
              <w:rPr>
                <w:rFonts w:asciiTheme="majorHAnsi" w:hAnsiTheme="majorHAnsi"/>
                <w:bCs/>
                <w:sz w:val="18"/>
                <w:szCs w:val="18"/>
                <w:lang w:val="es-CO"/>
              </w:rPr>
              <w:t>2 de octubre de 2023, concediendo la pensión conforme al Reglamento Interno de Trabajo del Banco de la República.</w:t>
            </w:r>
          </w:p>
        </w:tc>
      </w:tr>
      <w:tr w:rsidR="00965343" w:rsidRPr="00D75B8F" w14:paraId="67186619" w14:textId="77777777" w:rsidTr="00D21EA9">
        <w:trPr>
          <w:jc w:val="center"/>
        </w:trPr>
        <w:tc>
          <w:tcPr>
            <w:tcW w:w="2615" w:type="dxa"/>
          </w:tcPr>
          <w:p w14:paraId="6F2F2792" w14:textId="6F24AAD3" w:rsidR="00965343" w:rsidRPr="00F73AD0" w:rsidRDefault="0096534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Lucilo Solís Cuero</w:t>
            </w:r>
          </w:p>
        </w:tc>
        <w:tc>
          <w:tcPr>
            <w:tcW w:w="2070" w:type="dxa"/>
          </w:tcPr>
          <w:p w14:paraId="7F0E00C6" w14:textId="0D9F2236" w:rsidR="00965343" w:rsidRPr="00F73AD0" w:rsidRDefault="0096534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SL</w:t>
            </w:r>
            <w:r w:rsidR="00090F1E" w:rsidRPr="00F73AD0">
              <w:rPr>
                <w:rFonts w:asciiTheme="majorHAnsi" w:hAnsiTheme="majorHAnsi"/>
                <w:bCs/>
                <w:sz w:val="18"/>
                <w:szCs w:val="18"/>
                <w:lang w:val="es-CO"/>
              </w:rPr>
              <w:t>286-2023</w:t>
            </w:r>
          </w:p>
        </w:tc>
        <w:tc>
          <w:tcPr>
            <w:tcW w:w="4680" w:type="dxa"/>
          </w:tcPr>
          <w:p w14:paraId="5740AC22" w14:textId="5D984E7A" w:rsidR="00965343" w:rsidRPr="00F73AD0" w:rsidRDefault="00090F1E"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Sentencia de la Sala de Casación Laboral de la Corte Suprema de Justicia de 2</w:t>
            </w:r>
            <w:r w:rsidR="004E2885" w:rsidRPr="00F73AD0">
              <w:rPr>
                <w:rFonts w:asciiTheme="majorHAnsi" w:hAnsiTheme="majorHAnsi"/>
                <w:bCs/>
                <w:sz w:val="18"/>
                <w:szCs w:val="18"/>
                <w:lang w:val="es-CO"/>
              </w:rPr>
              <w:t>1</w:t>
            </w:r>
            <w:r w:rsidRPr="00F73AD0">
              <w:rPr>
                <w:rFonts w:asciiTheme="majorHAnsi" w:hAnsiTheme="majorHAnsi"/>
                <w:bCs/>
                <w:sz w:val="18"/>
                <w:szCs w:val="18"/>
                <w:lang w:val="es-CO"/>
              </w:rPr>
              <w:t xml:space="preserve"> de </w:t>
            </w:r>
            <w:r w:rsidR="005F6B88" w:rsidRPr="00F73AD0">
              <w:rPr>
                <w:rFonts w:asciiTheme="majorHAnsi" w:hAnsiTheme="majorHAnsi"/>
                <w:bCs/>
                <w:sz w:val="18"/>
                <w:szCs w:val="18"/>
                <w:lang w:val="es-CO"/>
              </w:rPr>
              <w:t xml:space="preserve">febrero </w:t>
            </w:r>
            <w:r w:rsidRPr="00F73AD0">
              <w:rPr>
                <w:rFonts w:asciiTheme="majorHAnsi" w:hAnsiTheme="majorHAnsi"/>
                <w:bCs/>
                <w:sz w:val="18"/>
                <w:szCs w:val="18"/>
                <w:lang w:val="es-CO"/>
              </w:rPr>
              <w:t>de 2023, concediendo la pensión conforme al Reglamento Interno de Trabajo del Banco de la República.</w:t>
            </w:r>
          </w:p>
        </w:tc>
      </w:tr>
      <w:tr w:rsidR="007035E3" w:rsidRPr="00D75B8F" w14:paraId="0071FA7D" w14:textId="77777777" w:rsidTr="00D21EA9">
        <w:trPr>
          <w:jc w:val="center"/>
        </w:trPr>
        <w:tc>
          <w:tcPr>
            <w:tcW w:w="2615" w:type="dxa"/>
          </w:tcPr>
          <w:p w14:paraId="0F9542D2" w14:textId="54B36319" w:rsidR="007035E3" w:rsidRPr="00F73AD0" w:rsidRDefault="007035E3"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lastRenderedPageBreak/>
              <w:t xml:space="preserve">Lucía Esperanza </w:t>
            </w:r>
            <w:r w:rsidR="00952506" w:rsidRPr="00F73AD0">
              <w:rPr>
                <w:rFonts w:asciiTheme="majorHAnsi" w:hAnsiTheme="majorHAnsi"/>
                <w:bCs/>
                <w:sz w:val="18"/>
                <w:szCs w:val="18"/>
                <w:lang w:val="es-CO"/>
              </w:rPr>
              <w:t>Romero Calderón</w:t>
            </w:r>
          </w:p>
        </w:tc>
        <w:tc>
          <w:tcPr>
            <w:tcW w:w="2070" w:type="dxa"/>
          </w:tcPr>
          <w:p w14:paraId="6C313473" w14:textId="282EA653" w:rsidR="007035E3" w:rsidRPr="00F73AD0" w:rsidRDefault="0095250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T-8.996.369</w:t>
            </w:r>
          </w:p>
        </w:tc>
        <w:tc>
          <w:tcPr>
            <w:tcW w:w="4680" w:type="dxa"/>
          </w:tcPr>
          <w:p w14:paraId="36B60887" w14:textId="0601730D" w:rsidR="007035E3" w:rsidRPr="00F73AD0" w:rsidRDefault="00E77366" w:rsidP="00F73A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18"/>
                <w:szCs w:val="18"/>
                <w:lang w:val="es-CO"/>
              </w:rPr>
            </w:pPr>
            <w:r w:rsidRPr="00F73AD0">
              <w:rPr>
                <w:rFonts w:asciiTheme="majorHAnsi" w:hAnsiTheme="majorHAnsi"/>
                <w:bCs/>
                <w:sz w:val="18"/>
                <w:szCs w:val="18"/>
                <w:lang w:val="es-CO"/>
              </w:rPr>
              <w:t xml:space="preserve">Sentencia SU-212 de 8 de junio de 2023 proferida por la Corte Constitucional mediante la cual revoca el reconocimiento de </w:t>
            </w:r>
            <w:r w:rsidR="008B4564" w:rsidRPr="00F73AD0">
              <w:rPr>
                <w:rFonts w:asciiTheme="majorHAnsi" w:hAnsiTheme="majorHAnsi"/>
                <w:bCs/>
                <w:sz w:val="18"/>
                <w:szCs w:val="18"/>
                <w:lang w:val="es-CO"/>
              </w:rPr>
              <w:t>la pensión convencional a su favor, realizada en casación por la Corte Suprema de Justicia.</w:t>
            </w:r>
          </w:p>
        </w:tc>
      </w:tr>
    </w:tbl>
    <w:p w14:paraId="1986BA27" w14:textId="3032773C" w:rsidR="00D607AC" w:rsidRPr="00F73AD0" w:rsidRDefault="00756FAA"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 xml:space="preserve">No obstante, </w:t>
      </w:r>
      <w:r w:rsidR="00D2444A" w:rsidRPr="00F73AD0">
        <w:rPr>
          <w:rFonts w:asciiTheme="majorHAnsi" w:hAnsiTheme="majorHAnsi"/>
          <w:bCs/>
          <w:sz w:val="20"/>
          <w:szCs w:val="20"/>
          <w:lang w:val="es-CO"/>
        </w:rPr>
        <w:t xml:space="preserve">la parte peticionaria </w:t>
      </w:r>
      <w:r w:rsidRPr="00F73AD0">
        <w:rPr>
          <w:rFonts w:asciiTheme="majorHAnsi" w:hAnsiTheme="majorHAnsi"/>
          <w:bCs/>
          <w:sz w:val="20"/>
          <w:szCs w:val="20"/>
          <w:lang w:val="es-CO"/>
        </w:rPr>
        <w:t>a</w:t>
      </w:r>
      <w:r w:rsidR="00D607AC" w:rsidRPr="00F73AD0">
        <w:rPr>
          <w:rFonts w:asciiTheme="majorHAnsi" w:hAnsiTheme="majorHAnsi"/>
          <w:bCs/>
          <w:sz w:val="20"/>
          <w:szCs w:val="20"/>
          <w:lang w:val="es-CO"/>
        </w:rPr>
        <w:t>clara que</w:t>
      </w:r>
      <w:r w:rsidR="00226693">
        <w:rPr>
          <w:rFonts w:asciiTheme="majorHAnsi" w:hAnsiTheme="majorHAnsi"/>
          <w:bCs/>
          <w:sz w:val="20"/>
          <w:szCs w:val="20"/>
          <w:lang w:val="es-CO"/>
        </w:rPr>
        <w:t>,</w:t>
      </w:r>
      <w:r w:rsidR="005415F3" w:rsidRPr="00F73AD0">
        <w:rPr>
          <w:rFonts w:asciiTheme="majorHAnsi" w:hAnsiTheme="majorHAnsi"/>
          <w:bCs/>
          <w:sz w:val="20"/>
          <w:szCs w:val="20"/>
          <w:lang w:val="es-CO"/>
        </w:rPr>
        <w:t xml:space="preserve"> en</w:t>
      </w:r>
      <w:r w:rsidRPr="00F73AD0">
        <w:rPr>
          <w:rFonts w:asciiTheme="majorHAnsi" w:hAnsiTheme="majorHAnsi"/>
          <w:bCs/>
          <w:sz w:val="20"/>
          <w:szCs w:val="20"/>
          <w:lang w:val="es-CO"/>
        </w:rPr>
        <w:t xml:space="preserve"> </w:t>
      </w:r>
      <w:r w:rsidR="00C70AEF" w:rsidRPr="00F73AD0">
        <w:rPr>
          <w:rFonts w:asciiTheme="majorHAnsi" w:hAnsiTheme="majorHAnsi"/>
          <w:bCs/>
          <w:sz w:val="20"/>
          <w:szCs w:val="20"/>
          <w:lang w:val="es-CO"/>
        </w:rPr>
        <w:t xml:space="preserve">ocho de las 34 </w:t>
      </w:r>
      <w:r w:rsidR="00534334" w:rsidRPr="00F73AD0">
        <w:rPr>
          <w:rFonts w:asciiTheme="majorHAnsi" w:hAnsiTheme="majorHAnsi"/>
          <w:bCs/>
          <w:sz w:val="20"/>
          <w:szCs w:val="20"/>
          <w:lang w:val="es-CO"/>
        </w:rPr>
        <w:t>decisiones judiciales adjuntas al expediente</w:t>
      </w:r>
      <w:r w:rsidR="00D2444A" w:rsidRPr="00F73AD0">
        <w:rPr>
          <w:rFonts w:asciiTheme="majorHAnsi" w:hAnsiTheme="majorHAnsi"/>
          <w:bCs/>
          <w:sz w:val="20"/>
          <w:szCs w:val="20"/>
          <w:lang w:val="es-CO"/>
        </w:rPr>
        <w:t xml:space="preserve"> </w:t>
      </w:r>
      <w:r w:rsidR="002476FA" w:rsidRPr="00F73AD0">
        <w:rPr>
          <w:rFonts w:asciiTheme="majorHAnsi" w:hAnsiTheme="majorHAnsi"/>
          <w:bCs/>
          <w:sz w:val="20"/>
          <w:szCs w:val="20"/>
          <w:lang w:val="es-CO"/>
        </w:rPr>
        <w:t>de la presente petición</w:t>
      </w:r>
      <w:r w:rsidR="00534334" w:rsidRPr="00F73AD0">
        <w:rPr>
          <w:rFonts w:asciiTheme="majorHAnsi" w:hAnsiTheme="majorHAnsi"/>
          <w:bCs/>
          <w:sz w:val="20"/>
          <w:szCs w:val="20"/>
          <w:lang w:val="es-CO"/>
        </w:rPr>
        <w:t xml:space="preserve">, </w:t>
      </w:r>
      <w:r w:rsidR="006528A9" w:rsidRPr="00F73AD0">
        <w:rPr>
          <w:rFonts w:asciiTheme="majorHAnsi" w:hAnsiTheme="majorHAnsi"/>
          <w:bCs/>
          <w:sz w:val="20"/>
          <w:szCs w:val="20"/>
          <w:lang w:val="es-CO"/>
        </w:rPr>
        <w:t xml:space="preserve">la Corte Suprema de Justicia decidió otorgar la pensión </w:t>
      </w:r>
      <w:r w:rsidR="00ED6141" w:rsidRPr="00F73AD0">
        <w:rPr>
          <w:rFonts w:asciiTheme="majorHAnsi" w:hAnsiTheme="majorHAnsi"/>
          <w:bCs/>
          <w:sz w:val="20"/>
          <w:szCs w:val="20"/>
          <w:lang w:val="es-CO"/>
        </w:rPr>
        <w:t>contenida en el Reglamento Interno de Trabajo del Banco de la República</w:t>
      </w:r>
      <w:r w:rsidR="00226693">
        <w:rPr>
          <w:rFonts w:asciiTheme="majorHAnsi" w:hAnsiTheme="majorHAnsi"/>
          <w:bCs/>
          <w:sz w:val="20"/>
          <w:szCs w:val="20"/>
          <w:lang w:val="es-CO"/>
        </w:rPr>
        <w:t xml:space="preserve"> —</w:t>
      </w:r>
      <w:r w:rsidR="00ED6141" w:rsidRPr="00F73AD0">
        <w:rPr>
          <w:rFonts w:asciiTheme="majorHAnsi" w:hAnsiTheme="majorHAnsi"/>
          <w:bCs/>
          <w:sz w:val="20"/>
          <w:szCs w:val="20"/>
          <w:lang w:val="es-CO"/>
        </w:rPr>
        <w:t>aunque no la reconocida en la convención colectiv</w:t>
      </w:r>
      <w:r w:rsidR="00226693">
        <w:rPr>
          <w:rFonts w:asciiTheme="majorHAnsi" w:hAnsiTheme="majorHAnsi"/>
          <w:bCs/>
          <w:sz w:val="20"/>
          <w:szCs w:val="20"/>
          <w:lang w:val="es-CO"/>
        </w:rPr>
        <w:t>a—</w:t>
      </w:r>
      <w:r w:rsidR="002F0D38" w:rsidRPr="00F73AD0">
        <w:rPr>
          <w:rFonts w:asciiTheme="majorHAnsi" w:hAnsiTheme="majorHAnsi"/>
          <w:bCs/>
          <w:sz w:val="20"/>
          <w:szCs w:val="20"/>
          <w:lang w:val="es-CO"/>
        </w:rPr>
        <w:t>, y en lo demás casos negó ambos tipos de pensiones</w:t>
      </w:r>
      <w:r w:rsidR="003A4855" w:rsidRPr="00F73AD0">
        <w:rPr>
          <w:rFonts w:asciiTheme="majorHAnsi" w:hAnsiTheme="majorHAnsi"/>
          <w:bCs/>
          <w:sz w:val="20"/>
          <w:szCs w:val="20"/>
          <w:lang w:val="es-CO"/>
        </w:rPr>
        <w:t>.</w:t>
      </w:r>
    </w:p>
    <w:p w14:paraId="79D22B06" w14:textId="19FC0578" w:rsidR="00A56444" w:rsidRPr="00F73AD0" w:rsidRDefault="000315DE"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Adicionalmente</w:t>
      </w:r>
      <w:r w:rsidR="00DC4E87" w:rsidRPr="00F73AD0">
        <w:rPr>
          <w:rFonts w:asciiTheme="majorHAnsi" w:hAnsiTheme="majorHAnsi"/>
          <w:bCs/>
          <w:sz w:val="20"/>
          <w:szCs w:val="20"/>
          <w:lang w:val="es-CO"/>
        </w:rPr>
        <w:t>,</w:t>
      </w:r>
      <w:r w:rsidRPr="00F73AD0">
        <w:rPr>
          <w:rFonts w:asciiTheme="majorHAnsi" w:hAnsiTheme="majorHAnsi"/>
          <w:bCs/>
          <w:sz w:val="20"/>
          <w:szCs w:val="20"/>
          <w:lang w:val="es-CO"/>
        </w:rPr>
        <w:t xml:space="preserve"> la parte peticionaria </w:t>
      </w:r>
      <w:r w:rsidR="00DC4E87" w:rsidRPr="00F73AD0">
        <w:rPr>
          <w:rFonts w:asciiTheme="majorHAnsi" w:hAnsiTheme="majorHAnsi"/>
          <w:bCs/>
          <w:sz w:val="20"/>
          <w:szCs w:val="20"/>
          <w:lang w:val="es-CO"/>
        </w:rPr>
        <w:t xml:space="preserve">invoca la excepción al agotamiento de los recursos internos de inexistencia de </w:t>
      </w:r>
      <w:r w:rsidR="00BF3F97" w:rsidRPr="00F73AD0">
        <w:rPr>
          <w:rFonts w:asciiTheme="majorHAnsi" w:hAnsiTheme="majorHAnsi"/>
          <w:bCs/>
          <w:sz w:val="20"/>
          <w:szCs w:val="20"/>
          <w:lang w:val="es-CO"/>
        </w:rPr>
        <w:t xml:space="preserve">un recurso para impugnar los alcances del Acto Legislativo 01 de 2005 en materia pensional, así como la inefectividad de la </w:t>
      </w:r>
      <w:r w:rsidR="002535CF" w:rsidRPr="00F73AD0">
        <w:rPr>
          <w:rFonts w:asciiTheme="majorHAnsi" w:hAnsiTheme="majorHAnsi"/>
          <w:bCs/>
          <w:sz w:val="20"/>
          <w:szCs w:val="20"/>
          <w:lang w:val="es-CO"/>
        </w:rPr>
        <w:t>acción de tutela para garantizar el cumplimiento de las decisiones de la OIT.</w:t>
      </w:r>
      <w:r w:rsidR="00E424F5" w:rsidRPr="00F73AD0">
        <w:rPr>
          <w:rFonts w:asciiTheme="majorHAnsi" w:hAnsiTheme="majorHAnsi"/>
          <w:bCs/>
          <w:sz w:val="20"/>
          <w:szCs w:val="20"/>
          <w:lang w:val="es-CO"/>
        </w:rPr>
        <w:t xml:space="preserve"> También </w:t>
      </w:r>
      <w:r w:rsidR="00524F71">
        <w:rPr>
          <w:rFonts w:asciiTheme="majorHAnsi" w:hAnsiTheme="majorHAnsi"/>
          <w:bCs/>
          <w:sz w:val="20"/>
          <w:szCs w:val="20"/>
          <w:lang w:val="es-CO"/>
        </w:rPr>
        <w:t>plantea</w:t>
      </w:r>
      <w:r w:rsidR="00E424F5" w:rsidRPr="00F73AD0">
        <w:rPr>
          <w:rFonts w:asciiTheme="majorHAnsi" w:hAnsiTheme="majorHAnsi"/>
          <w:bCs/>
          <w:sz w:val="20"/>
          <w:szCs w:val="20"/>
          <w:lang w:val="es-CO"/>
        </w:rPr>
        <w:t xml:space="preserve"> que</w:t>
      </w:r>
      <w:r w:rsidR="00226693">
        <w:rPr>
          <w:rFonts w:asciiTheme="majorHAnsi" w:hAnsiTheme="majorHAnsi"/>
          <w:bCs/>
          <w:sz w:val="20"/>
          <w:szCs w:val="20"/>
          <w:lang w:val="es-CO"/>
        </w:rPr>
        <w:t>,</w:t>
      </w:r>
      <w:r w:rsidR="00E424F5" w:rsidRPr="00F73AD0">
        <w:rPr>
          <w:rFonts w:asciiTheme="majorHAnsi" w:hAnsiTheme="majorHAnsi"/>
          <w:bCs/>
          <w:sz w:val="20"/>
          <w:szCs w:val="20"/>
          <w:lang w:val="es-CO"/>
        </w:rPr>
        <w:t xml:space="preserve"> dado el rechazo inicial de las primeras tres demandadas de trabajadores resueltas en su contra en 2015 en segunda instancia, no existían posibilidades </w:t>
      </w:r>
      <w:r w:rsidR="00D3593E" w:rsidRPr="00F73AD0">
        <w:rPr>
          <w:rFonts w:asciiTheme="majorHAnsi" w:hAnsiTheme="majorHAnsi"/>
          <w:bCs/>
          <w:sz w:val="20"/>
          <w:szCs w:val="20"/>
          <w:lang w:val="es-CO"/>
        </w:rPr>
        <w:t xml:space="preserve">razonables </w:t>
      </w:r>
      <w:r w:rsidR="00E424F5" w:rsidRPr="00F73AD0">
        <w:rPr>
          <w:rFonts w:asciiTheme="majorHAnsi" w:hAnsiTheme="majorHAnsi"/>
          <w:bCs/>
          <w:sz w:val="20"/>
          <w:szCs w:val="20"/>
          <w:lang w:val="es-CO"/>
        </w:rPr>
        <w:t>de</w:t>
      </w:r>
      <w:r w:rsidR="00D3593E" w:rsidRPr="00F73AD0">
        <w:rPr>
          <w:rFonts w:asciiTheme="majorHAnsi" w:hAnsiTheme="majorHAnsi"/>
          <w:bCs/>
          <w:sz w:val="20"/>
          <w:szCs w:val="20"/>
          <w:lang w:val="es-CO"/>
        </w:rPr>
        <w:t>l reconocimiento de su derecho a la seguridad social</w:t>
      </w:r>
      <w:r w:rsidR="00E424F5" w:rsidRPr="00F73AD0">
        <w:rPr>
          <w:rFonts w:asciiTheme="majorHAnsi" w:hAnsiTheme="majorHAnsi"/>
          <w:bCs/>
          <w:sz w:val="20"/>
          <w:szCs w:val="20"/>
          <w:lang w:val="es-CO"/>
        </w:rPr>
        <w:t xml:space="preserve"> </w:t>
      </w:r>
      <w:r w:rsidR="00D3593E" w:rsidRPr="00F73AD0">
        <w:rPr>
          <w:rFonts w:asciiTheme="majorHAnsi" w:hAnsiTheme="majorHAnsi"/>
          <w:bCs/>
          <w:sz w:val="20"/>
          <w:szCs w:val="20"/>
          <w:lang w:val="es-CO"/>
        </w:rPr>
        <w:t>en el proceso laboral ordinario</w:t>
      </w:r>
      <w:r w:rsidR="00292835" w:rsidRPr="00F73AD0">
        <w:rPr>
          <w:rFonts w:asciiTheme="majorHAnsi" w:hAnsiTheme="majorHAnsi"/>
          <w:bCs/>
          <w:sz w:val="20"/>
          <w:szCs w:val="20"/>
          <w:lang w:val="es-CO"/>
        </w:rPr>
        <w:t xml:space="preserve"> para los demás afiliados de la ANEBRE</w:t>
      </w:r>
      <w:r w:rsidR="00A579F8">
        <w:rPr>
          <w:rFonts w:asciiTheme="majorHAnsi" w:hAnsiTheme="majorHAnsi"/>
          <w:bCs/>
          <w:sz w:val="20"/>
          <w:szCs w:val="20"/>
          <w:lang w:val="es-CO"/>
        </w:rPr>
        <w:t>;</w:t>
      </w:r>
      <w:r w:rsidR="004728DD" w:rsidRPr="00F73AD0">
        <w:rPr>
          <w:rFonts w:asciiTheme="majorHAnsi" w:hAnsiTheme="majorHAnsi"/>
          <w:bCs/>
          <w:sz w:val="20"/>
          <w:szCs w:val="20"/>
          <w:lang w:val="es-CO"/>
        </w:rPr>
        <w:t xml:space="preserve"> por lo que el resto de </w:t>
      </w:r>
      <w:r w:rsidR="00672BA8" w:rsidRPr="00F73AD0">
        <w:rPr>
          <w:rFonts w:asciiTheme="majorHAnsi" w:hAnsiTheme="majorHAnsi"/>
          <w:bCs/>
          <w:sz w:val="20"/>
          <w:szCs w:val="20"/>
          <w:lang w:val="es-CO"/>
        </w:rPr>
        <w:t>los afiliados</w:t>
      </w:r>
      <w:r w:rsidR="004728DD" w:rsidRPr="00F73AD0">
        <w:rPr>
          <w:rFonts w:asciiTheme="majorHAnsi" w:hAnsiTheme="majorHAnsi"/>
          <w:bCs/>
          <w:sz w:val="20"/>
          <w:szCs w:val="20"/>
          <w:lang w:val="es-CO"/>
        </w:rPr>
        <w:t xml:space="preserve"> no estaba requerido de agotar dicho mecanismo</w:t>
      </w:r>
      <w:r w:rsidR="00D3593E" w:rsidRPr="00F73AD0">
        <w:rPr>
          <w:rFonts w:asciiTheme="majorHAnsi" w:hAnsiTheme="majorHAnsi"/>
          <w:bCs/>
          <w:sz w:val="20"/>
          <w:szCs w:val="20"/>
          <w:lang w:val="es-CO"/>
        </w:rPr>
        <w:t>.</w:t>
      </w:r>
    </w:p>
    <w:p w14:paraId="2E8BD365" w14:textId="7C69CC75" w:rsidR="006D7806" w:rsidRPr="00F73AD0" w:rsidRDefault="000623CF"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En respuesta a las observaciones del Estado</w:t>
      </w:r>
      <w:r w:rsidR="005A5450" w:rsidRPr="00F73AD0">
        <w:rPr>
          <w:rFonts w:asciiTheme="majorHAnsi" w:hAnsiTheme="majorHAnsi"/>
          <w:bCs/>
          <w:sz w:val="20"/>
          <w:szCs w:val="20"/>
          <w:lang w:val="es-CO"/>
        </w:rPr>
        <w:t xml:space="preserve"> relativas a la</w:t>
      </w:r>
      <w:r w:rsidR="00B551CC" w:rsidRPr="00F73AD0">
        <w:rPr>
          <w:rFonts w:asciiTheme="majorHAnsi" w:hAnsiTheme="majorHAnsi"/>
          <w:bCs/>
          <w:sz w:val="20"/>
          <w:szCs w:val="20"/>
          <w:lang w:val="es-CO"/>
        </w:rPr>
        <w:t xml:space="preserve"> falta de determinación e identificación de las presuntas víctimas, la parte peticionaria </w:t>
      </w:r>
      <w:r w:rsidR="00A579F8">
        <w:rPr>
          <w:rFonts w:asciiTheme="majorHAnsi" w:hAnsiTheme="majorHAnsi"/>
          <w:bCs/>
          <w:sz w:val="20"/>
          <w:szCs w:val="20"/>
          <w:lang w:val="es-CO"/>
        </w:rPr>
        <w:t>replica</w:t>
      </w:r>
      <w:r w:rsidR="00A579F8" w:rsidRPr="00F73AD0">
        <w:rPr>
          <w:rFonts w:asciiTheme="majorHAnsi" w:hAnsiTheme="majorHAnsi"/>
          <w:bCs/>
          <w:sz w:val="20"/>
          <w:szCs w:val="20"/>
          <w:lang w:val="es-CO"/>
        </w:rPr>
        <w:t xml:space="preserve"> </w:t>
      </w:r>
      <w:r w:rsidR="00B551CC" w:rsidRPr="00F73AD0">
        <w:rPr>
          <w:rFonts w:asciiTheme="majorHAnsi" w:hAnsiTheme="majorHAnsi"/>
          <w:bCs/>
          <w:sz w:val="20"/>
          <w:szCs w:val="20"/>
          <w:lang w:val="es-CO"/>
        </w:rPr>
        <w:t xml:space="preserve">que </w:t>
      </w:r>
      <w:r w:rsidR="00B13D48" w:rsidRPr="00F73AD0">
        <w:rPr>
          <w:rFonts w:asciiTheme="majorHAnsi" w:hAnsiTheme="majorHAnsi"/>
          <w:bCs/>
          <w:sz w:val="20"/>
          <w:szCs w:val="20"/>
          <w:lang w:val="es-CO"/>
        </w:rPr>
        <w:t>estas</w:t>
      </w:r>
      <w:r w:rsidR="00083503" w:rsidRPr="00F73AD0">
        <w:rPr>
          <w:rFonts w:asciiTheme="majorHAnsi" w:hAnsiTheme="majorHAnsi"/>
          <w:bCs/>
          <w:sz w:val="20"/>
          <w:szCs w:val="20"/>
          <w:lang w:val="es-CO"/>
        </w:rPr>
        <w:t xml:space="preserve"> son “delimitables” conforme a tres criterios: 1) las personas que tengan o hayan tenido un vínculo laboral con el Banco de la República; 2) </w:t>
      </w:r>
      <w:r w:rsidR="001A3712" w:rsidRPr="00F73AD0">
        <w:rPr>
          <w:rFonts w:asciiTheme="majorHAnsi" w:hAnsiTheme="majorHAnsi"/>
          <w:bCs/>
          <w:sz w:val="20"/>
          <w:szCs w:val="20"/>
          <w:lang w:val="es-CO"/>
        </w:rPr>
        <w:t>estén afiliadas a la ANEBRE; y 3) hayan solicitado la aplicación de la convención colectiva de 1997 en materia pensional.</w:t>
      </w:r>
      <w:r w:rsidR="006A1F60" w:rsidRPr="00F73AD0">
        <w:rPr>
          <w:rFonts w:asciiTheme="majorHAnsi" w:hAnsiTheme="majorHAnsi"/>
          <w:bCs/>
          <w:sz w:val="20"/>
          <w:szCs w:val="20"/>
          <w:lang w:val="es-CO"/>
        </w:rPr>
        <w:t xml:space="preserve"> A este respecto, destaca que el Estado indica que la ANEBRE cuenta con 1</w:t>
      </w:r>
      <w:r w:rsidR="00456912" w:rsidRPr="00F73AD0">
        <w:rPr>
          <w:rFonts w:asciiTheme="majorHAnsi" w:hAnsiTheme="majorHAnsi"/>
          <w:bCs/>
          <w:sz w:val="20"/>
          <w:szCs w:val="20"/>
          <w:lang w:val="es-CO"/>
        </w:rPr>
        <w:t>.</w:t>
      </w:r>
      <w:r w:rsidR="006A1F60" w:rsidRPr="00F73AD0">
        <w:rPr>
          <w:rFonts w:asciiTheme="majorHAnsi" w:hAnsiTheme="majorHAnsi"/>
          <w:bCs/>
          <w:sz w:val="20"/>
          <w:szCs w:val="20"/>
          <w:lang w:val="es-CO"/>
        </w:rPr>
        <w:t>374 afiliados</w:t>
      </w:r>
      <w:r w:rsidR="005F5190" w:rsidRPr="00F73AD0">
        <w:rPr>
          <w:rFonts w:asciiTheme="majorHAnsi" w:hAnsiTheme="majorHAnsi"/>
          <w:bCs/>
          <w:sz w:val="20"/>
          <w:szCs w:val="20"/>
          <w:lang w:val="es-CO"/>
        </w:rPr>
        <w:t>, de los cuales cerca de 532 ha</w:t>
      </w:r>
      <w:r w:rsidR="00BF46AC">
        <w:rPr>
          <w:rFonts w:asciiTheme="majorHAnsi" w:hAnsiTheme="majorHAnsi"/>
          <w:bCs/>
          <w:sz w:val="20"/>
          <w:szCs w:val="20"/>
          <w:lang w:val="es-CO"/>
        </w:rPr>
        <w:t>n</w:t>
      </w:r>
      <w:r w:rsidR="005F5190" w:rsidRPr="00F73AD0">
        <w:rPr>
          <w:rFonts w:asciiTheme="majorHAnsi" w:hAnsiTheme="majorHAnsi"/>
          <w:bCs/>
          <w:sz w:val="20"/>
          <w:szCs w:val="20"/>
          <w:lang w:val="es-CO"/>
        </w:rPr>
        <w:t xml:space="preserve"> solicitado la aplicación de la convención colectiva de 1997</w:t>
      </w:r>
      <w:r w:rsidR="005B7FAF" w:rsidRPr="00F73AD0">
        <w:rPr>
          <w:rFonts w:asciiTheme="majorHAnsi" w:hAnsiTheme="majorHAnsi"/>
          <w:bCs/>
          <w:sz w:val="20"/>
          <w:szCs w:val="20"/>
          <w:lang w:val="es-CO"/>
        </w:rPr>
        <w:t xml:space="preserve"> en su reconocimiento de pensiones.</w:t>
      </w:r>
      <w:r w:rsidR="00E3521E" w:rsidRPr="00F73AD0">
        <w:rPr>
          <w:rFonts w:asciiTheme="majorHAnsi" w:hAnsiTheme="majorHAnsi"/>
          <w:bCs/>
          <w:sz w:val="20"/>
          <w:szCs w:val="20"/>
          <w:lang w:val="es-CO"/>
        </w:rPr>
        <w:t xml:space="preserve"> La parte peticionaria asegura haber presentado una prueba de solicitud para 241 trabajadores.</w:t>
      </w:r>
      <w:r w:rsidR="00E43B48" w:rsidRPr="00F73AD0">
        <w:rPr>
          <w:rFonts w:asciiTheme="majorHAnsi" w:hAnsiTheme="majorHAnsi"/>
          <w:bCs/>
          <w:sz w:val="20"/>
          <w:szCs w:val="20"/>
          <w:lang w:val="es-CO"/>
        </w:rPr>
        <w:t xml:space="preserve"> Asimismo, subraya que </w:t>
      </w:r>
      <w:r w:rsidR="00F74D10" w:rsidRPr="00F73AD0">
        <w:rPr>
          <w:rFonts w:asciiTheme="majorHAnsi" w:hAnsiTheme="majorHAnsi"/>
          <w:bCs/>
          <w:sz w:val="20"/>
          <w:szCs w:val="20"/>
          <w:lang w:val="es-CO"/>
        </w:rPr>
        <w:t xml:space="preserve">la Convención Americana </w:t>
      </w:r>
      <w:r w:rsidR="00524F71">
        <w:rPr>
          <w:rFonts w:asciiTheme="majorHAnsi" w:hAnsiTheme="majorHAnsi"/>
          <w:bCs/>
          <w:sz w:val="20"/>
          <w:szCs w:val="20"/>
          <w:lang w:val="es-CO"/>
        </w:rPr>
        <w:t>habilita</w:t>
      </w:r>
      <w:r w:rsidR="00F74D10" w:rsidRPr="00F73AD0">
        <w:rPr>
          <w:rFonts w:asciiTheme="majorHAnsi" w:hAnsiTheme="majorHAnsi"/>
          <w:bCs/>
          <w:sz w:val="20"/>
          <w:szCs w:val="20"/>
          <w:lang w:val="es-CO"/>
        </w:rPr>
        <w:t xml:space="preserve"> que el agotamiento de los recursos internos sea realizado por una persona jurídica a nombre de las presuntas víctimas</w:t>
      </w:r>
      <w:r w:rsidR="00DB7641">
        <w:rPr>
          <w:rFonts w:asciiTheme="majorHAnsi" w:hAnsiTheme="majorHAnsi"/>
          <w:bCs/>
          <w:sz w:val="20"/>
          <w:szCs w:val="20"/>
          <w:lang w:val="es-CO"/>
        </w:rPr>
        <w:t>;</w:t>
      </w:r>
      <w:r w:rsidR="00F74D10" w:rsidRPr="00F73AD0">
        <w:rPr>
          <w:rFonts w:asciiTheme="majorHAnsi" w:hAnsiTheme="majorHAnsi"/>
          <w:bCs/>
          <w:sz w:val="20"/>
          <w:szCs w:val="20"/>
          <w:lang w:val="es-CO"/>
        </w:rPr>
        <w:t xml:space="preserve"> y </w:t>
      </w:r>
      <w:r w:rsidR="00DB7641">
        <w:rPr>
          <w:rFonts w:asciiTheme="majorHAnsi" w:hAnsiTheme="majorHAnsi"/>
          <w:bCs/>
          <w:sz w:val="20"/>
          <w:szCs w:val="20"/>
          <w:lang w:val="es-CO"/>
        </w:rPr>
        <w:t>añade</w:t>
      </w:r>
      <w:r w:rsidR="00F74D10" w:rsidRPr="00F73AD0">
        <w:rPr>
          <w:rFonts w:asciiTheme="majorHAnsi" w:hAnsiTheme="majorHAnsi"/>
          <w:bCs/>
          <w:sz w:val="20"/>
          <w:szCs w:val="20"/>
          <w:lang w:val="es-CO"/>
        </w:rPr>
        <w:t xml:space="preserve"> que la CIDH ha </w:t>
      </w:r>
      <w:r w:rsidR="00DB7641">
        <w:rPr>
          <w:rFonts w:asciiTheme="majorHAnsi" w:hAnsiTheme="majorHAnsi"/>
          <w:bCs/>
          <w:sz w:val="20"/>
          <w:szCs w:val="20"/>
          <w:lang w:val="es-CO"/>
        </w:rPr>
        <w:t>fac</w:t>
      </w:r>
      <w:r w:rsidR="00516DBB">
        <w:rPr>
          <w:rFonts w:asciiTheme="majorHAnsi" w:hAnsiTheme="majorHAnsi"/>
          <w:bCs/>
          <w:sz w:val="20"/>
          <w:szCs w:val="20"/>
          <w:lang w:val="es-CO"/>
        </w:rPr>
        <w:t>ultado</w:t>
      </w:r>
      <w:r w:rsidR="00DB7641" w:rsidRPr="00F73AD0">
        <w:rPr>
          <w:rFonts w:asciiTheme="majorHAnsi" w:hAnsiTheme="majorHAnsi"/>
          <w:bCs/>
          <w:sz w:val="20"/>
          <w:szCs w:val="20"/>
          <w:lang w:val="es-CO"/>
        </w:rPr>
        <w:t xml:space="preserve"> </w:t>
      </w:r>
      <w:r w:rsidR="00F74D10" w:rsidRPr="00F73AD0">
        <w:rPr>
          <w:rFonts w:asciiTheme="majorHAnsi" w:hAnsiTheme="majorHAnsi"/>
          <w:bCs/>
          <w:sz w:val="20"/>
          <w:szCs w:val="20"/>
          <w:lang w:val="es-CO"/>
        </w:rPr>
        <w:t xml:space="preserve">que </w:t>
      </w:r>
      <w:r w:rsidR="00313A8F" w:rsidRPr="00F73AD0">
        <w:rPr>
          <w:rFonts w:asciiTheme="majorHAnsi" w:hAnsiTheme="majorHAnsi"/>
          <w:bCs/>
          <w:sz w:val="20"/>
          <w:szCs w:val="20"/>
          <w:lang w:val="es-CO"/>
        </w:rPr>
        <w:t>la plena identificación de la totalidad de las presuntas víctimas se surta con la prueba aportada en la etapa de fondo.</w:t>
      </w:r>
    </w:p>
    <w:p w14:paraId="6B1D3586" w14:textId="0C0BCFFF" w:rsidR="00D65D00" w:rsidRPr="00F73AD0" w:rsidRDefault="00A8787C"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 xml:space="preserve">Por otro lado, plantea que los órganos del Sistema Interamericano pueden estudiar </w:t>
      </w:r>
      <w:r w:rsidR="00C5676C" w:rsidRPr="00F73AD0">
        <w:rPr>
          <w:rFonts w:asciiTheme="majorHAnsi" w:hAnsiTheme="majorHAnsi"/>
          <w:bCs/>
          <w:sz w:val="20"/>
          <w:szCs w:val="20"/>
          <w:lang w:val="es-CO"/>
        </w:rPr>
        <w:t xml:space="preserve">si las leyes expedidas por un Estado son contrarias a las disposiciones de la Convención Americana en virtud del artículo 2 de dicho tratado. También </w:t>
      </w:r>
      <w:r w:rsidR="00B3417B" w:rsidRPr="00F73AD0">
        <w:rPr>
          <w:rFonts w:asciiTheme="majorHAnsi" w:hAnsiTheme="majorHAnsi"/>
          <w:bCs/>
          <w:sz w:val="20"/>
          <w:szCs w:val="20"/>
          <w:lang w:val="es-CO"/>
        </w:rPr>
        <w:t>q</w:t>
      </w:r>
      <w:r w:rsidR="00C5676C" w:rsidRPr="00F73AD0">
        <w:rPr>
          <w:rFonts w:asciiTheme="majorHAnsi" w:hAnsiTheme="majorHAnsi"/>
          <w:bCs/>
          <w:sz w:val="20"/>
          <w:szCs w:val="20"/>
          <w:lang w:val="es-CO"/>
        </w:rPr>
        <w:t xml:space="preserve">ue </w:t>
      </w:r>
      <w:r w:rsidR="000D74FA" w:rsidRPr="00F73AD0">
        <w:rPr>
          <w:rFonts w:asciiTheme="majorHAnsi" w:hAnsiTheme="majorHAnsi"/>
          <w:bCs/>
          <w:sz w:val="20"/>
          <w:szCs w:val="20"/>
          <w:lang w:val="es-CO"/>
        </w:rPr>
        <w:t xml:space="preserve">la CIDH ha reconocido </w:t>
      </w:r>
      <w:r w:rsidR="009D594F" w:rsidRPr="00F73AD0">
        <w:rPr>
          <w:rFonts w:asciiTheme="majorHAnsi" w:hAnsiTheme="majorHAnsi"/>
          <w:bCs/>
          <w:sz w:val="20"/>
          <w:szCs w:val="20"/>
          <w:lang w:val="es-CO"/>
        </w:rPr>
        <w:t>la justiciabilidad de los</w:t>
      </w:r>
      <w:r w:rsidR="00040FB0" w:rsidRPr="00F73AD0">
        <w:rPr>
          <w:rFonts w:asciiTheme="majorHAnsi" w:hAnsiTheme="majorHAnsi"/>
          <w:bCs/>
          <w:sz w:val="20"/>
          <w:szCs w:val="20"/>
          <w:lang w:val="es-CO"/>
        </w:rPr>
        <w:t xml:space="preserve"> derechos económicos, sociales, culturales y ambientales</w:t>
      </w:r>
      <w:r w:rsidR="000D74FA" w:rsidRPr="00F73AD0">
        <w:rPr>
          <w:rFonts w:asciiTheme="majorHAnsi" w:hAnsiTheme="majorHAnsi"/>
          <w:bCs/>
          <w:sz w:val="20"/>
          <w:szCs w:val="20"/>
          <w:lang w:val="es-CO"/>
        </w:rPr>
        <w:t xml:space="preserve"> mediante el artículo 26 de la Convención Americana</w:t>
      </w:r>
      <w:r w:rsidR="00C85CED" w:rsidRPr="00F73AD0">
        <w:rPr>
          <w:rFonts w:asciiTheme="majorHAnsi" w:hAnsiTheme="majorHAnsi"/>
          <w:bCs/>
          <w:sz w:val="20"/>
          <w:szCs w:val="20"/>
          <w:lang w:val="es-CO"/>
        </w:rPr>
        <w:t xml:space="preserve">, sin que ello implique declarar violaciones sobre el Protocolo </w:t>
      </w:r>
      <w:r w:rsidR="00552BBE" w:rsidRPr="00F73AD0">
        <w:rPr>
          <w:rFonts w:asciiTheme="majorHAnsi" w:hAnsiTheme="majorHAnsi"/>
          <w:bCs/>
          <w:sz w:val="20"/>
          <w:szCs w:val="20"/>
          <w:lang w:val="es-CO"/>
        </w:rPr>
        <w:t xml:space="preserve">Adicional a la Convención Americana en Materia de Derechos Económicos, Sociales y Culturales (en adelante “Protocolo de San Salvador”), sobre el cual carece de competencia </w:t>
      </w:r>
      <w:r w:rsidR="00552BBE" w:rsidRPr="00F73AD0">
        <w:rPr>
          <w:rFonts w:asciiTheme="majorHAnsi" w:hAnsiTheme="majorHAnsi"/>
          <w:bCs/>
          <w:i/>
          <w:iCs/>
          <w:sz w:val="20"/>
          <w:szCs w:val="20"/>
          <w:lang w:val="es-CO"/>
        </w:rPr>
        <w:t>ratione materiae</w:t>
      </w:r>
      <w:r w:rsidR="00040FB0" w:rsidRPr="00F73AD0">
        <w:rPr>
          <w:rFonts w:asciiTheme="majorHAnsi" w:hAnsiTheme="majorHAnsi"/>
          <w:bCs/>
          <w:sz w:val="20"/>
          <w:szCs w:val="20"/>
          <w:lang w:val="es-CO"/>
        </w:rPr>
        <w:t>.</w:t>
      </w:r>
      <w:r w:rsidR="00552BBE" w:rsidRPr="00F73AD0">
        <w:rPr>
          <w:rFonts w:asciiTheme="majorHAnsi" w:hAnsiTheme="majorHAnsi"/>
          <w:bCs/>
          <w:sz w:val="20"/>
          <w:szCs w:val="20"/>
          <w:lang w:val="es-CO"/>
        </w:rPr>
        <w:t xml:space="preserve"> </w:t>
      </w:r>
      <w:r w:rsidR="00C53E4A" w:rsidRPr="00F73AD0">
        <w:rPr>
          <w:rFonts w:asciiTheme="majorHAnsi" w:hAnsiTheme="majorHAnsi"/>
          <w:bCs/>
          <w:sz w:val="20"/>
          <w:szCs w:val="20"/>
          <w:lang w:val="es-CO"/>
        </w:rPr>
        <w:t xml:space="preserve">Además, </w:t>
      </w:r>
      <w:r w:rsidR="006D42B0" w:rsidRPr="00F73AD0">
        <w:rPr>
          <w:rFonts w:asciiTheme="majorHAnsi" w:hAnsiTheme="majorHAnsi"/>
          <w:bCs/>
          <w:sz w:val="20"/>
          <w:szCs w:val="20"/>
          <w:lang w:val="es-CO"/>
        </w:rPr>
        <w:t xml:space="preserve">sostiene </w:t>
      </w:r>
      <w:r w:rsidR="00C53E4A" w:rsidRPr="00F73AD0">
        <w:rPr>
          <w:rFonts w:asciiTheme="majorHAnsi" w:hAnsiTheme="majorHAnsi"/>
          <w:bCs/>
          <w:sz w:val="20"/>
          <w:szCs w:val="20"/>
          <w:lang w:val="es-CO"/>
        </w:rPr>
        <w:t xml:space="preserve">que no </w:t>
      </w:r>
      <w:r w:rsidR="006D42B0" w:rsidRPr="00F73AD0">
        <w:rPr>
          <w:rFonts w:asciiTheme="majorHAnsi" w:hAnsiTheme="majorHAnsi"/>
          <w:bCs/>
          <w:sz w:val="20"/>
          <w:szCs w:val="20"/>
          <w:lang w:val="es-CO"/>
        </w:rPr>
        <w:t xml:space="preserve">existe litispendencia frente a las </w:t>
      </w:r>
      <w:r w:rsidR="00C53E4A" w:rsidRPr="00F73AD0">
        <w:rPr>
          <w:rFonts w:asciiTheme="majorHAnsi" w:hAnsiTheme="majorHAnsi"/>
          <w:bCs/>
          <w:sz w:val="20"/>
          <w:szCs w:val="20"/>
          <w:lang w:val="es-CO"/>
        </w:rPr>
        <w:t>denuncia</w:t>
      </w:r>
      <w:r w:rsidR="006D42B0" w:rsidRPr="00F73AD0">
        <w:rPr>
          <w:rFonts w:asciiTheme="majorHAnsi" w:hAnsiTheme="majorHAnsi"/>
          <w:bCs/>
          <w:sz w:val="20"/>
          <w:szCs w:val="20"/>
          <w:lang w:val="es-CO"/>
        </w:rPr>
        <w:t>s</w:t>
      </w:r>
      <w:r w:rsidR="00C53E4A" w:rsidRPr="00F73AD0">
        <w:rPr>
          <w:rFonts w:asciiTheme="majorHAnsi" w:hAnsiTheme="majorHAnsi"/>
          <w:bCs/>
          <w:sz w:val="20"/>
          <w:szCs w:val="20"/>
          <w:lang w:val="es-CO"/>
        </w:rPr>
        <w:t xml:space="preserve"> </w:t>
      </w:r>
      <w:r w:rsidR="006D42B0" w:rsidRPr="00F73AD0">
        <w:rPr>
          <w:rFonts w:asciiTheme="majorHAnsi" w:hAnsiTheme="majorHAnsi"/>
          <w:bCs/>
          <w:sz w:val="20"/>
          <w:szCs w:val="20"/>
          <w:lang w:val="es-CO"/>
        </w:rPr>
        <w:t xml:space="preserve">presentadas </w:t>
      </w:r>
      <w:r w:rsidR="00C53E4A" w:rsidRPr="00F73AD0">
        <w:rPr>
          <w:rFonts w:asciiTheme="majorHAnsi" w:hAnsiTheme="majorHAnsi"/>
          <w:bCs/>
          <w:sz w:val="20"/>
          <w:szCs w:val="20"/>
          <w:lang w:val="es-CO"/>
        </w:rPr>
        <w:t>ante el Comité Sindical de la OIT</w:t>
      </w:r>
      <w:r w:rsidR="006D42B0" w:rsidRPr="00F73AD0">
        <w:rPr>
          <w:rFonts w:asciiTheme="majorHAnsi" w:hAnsiTheme="majorHAnsi"/>
          <w:bCs/>
          <w:sz w:val="20"/>
          <w:szCs w:val="20"/>
          <w:lang w:val="es-CO"/>
        </w:rPr>
        <w:t xml:space="preserve">, puesto que </w:t>
      </w:r>
      <w:r w:rsidR="00D0621C" w:rsidRPr="00F73AD0">
        <w:rPr>
          <w:rFonts w:asciiTheme="majorHAnsi" w:hAnsiTheme="majorHAnsi"/>
          <w:bCs/>
          <w:sz w:val="20"/>
          <w:szCs w:val="20"/>
          <w:lang w:val="es-CO"/>
        </w:rPr>
        <w:t>ése</w:t>
      </w:r>
      <w:r w:rsidR="00216DD4" w:rsidRPr="00F73AD0">
        <w:rPr>
          <w:rFonts w:asciiTheme="majorHAnsi" w:hAnsiTheme="majorHAnsi"/>
          <w:bCs/>
          <w:sz w:val="20"/>
          <w:szCs w:val="20"/>
          <w:lang w:val="es-CO"/>
        </w:rPr>
        <w:t xml:space="preserve"> es</w:t>
      </w:r>
      <w:r w:rsidR="006D42B0" w:rsidRPr="00F73AD0">
        <w:rPr>
          <w:rFonts w:asciiTheme="majorHAnsi" w:hAnsiTheme="majorHAnsi"/>
          <w:bCs/>
          <w:sz w:val="20"/>
          <w:szCs w:val="20"/>
          <w:lang w:val="es-CO"/>
        </w:rPr>
        <w:t xml:space="preserve"> un órgano internacional de naturaleza distinta al Sistema Interamericano que no abarca</w:t>
      </w:r>
      <w:r w:rsidR="00097D1D" w:rsidRPr="00F73AD0">
        <w:rPr>
          <w:rFonts w:asciiTheme="majorHAnsi" w:hAnsiTheme="majorHAnsi"/>
          <w:bCs/>
          <w:sz w:val="20"/>
          <w:szCs w:val="20"/>
          <w:lang w:val="es-CO"/>
        </w:rPr>
        <w:t xml:space="preserve"> todos los derechos que se invocan como violados en el presente trámite</w:t>
      </w:r>
      <w:r w:rsidR="00C53E4A" w:rsidRPr="00F73AD0">
        <w:rPr>
          <w:rFonts w:asciiTheme="majorHAnsi" w:hAnsiTheme="majorHAnsi"/>
          <w:bCs/>
          <w:sz w:val="20"/>
          <w:szCs w:val="20"/>
          <w:lang w:val="es-CO"/>
        </w:rPr>
        <w:t>.</w:t>
      </w:r>
    </w:p>
    <w:p w14:paraId="142267EB" w14:textId="63A2DC71" w:rsidR="00890DA0" w:rsidRPr="00F73AD0" w:rsidRDefault="00125980" w:rsidP="00F73AD0">
      <w:pPr>
        <w:pStyle w:val="ListParagraph"/>
        <w:numPr>
          <w:ilvl w:val="0"/>
          <w:numId w:val="0"/>
        </w:numPr>
        <w:ind w:left="720"/>
        <w:jc w:val="both"/>
        <w:rPr>
          <w:rFonts w:asciiTheme="majorHAnsi" w:hAnsiTheme="majorHAnsi"/>
          <w:b/>
          <w:bCs/>
          <w:sz w:val="20"/>
          <w:szCs w:val="20"/>
          <w:lang w:val="es-UY"/>
        </w:rPr>
      </w:pPr>
      <w:r w:rsidRPr="00F73AD0">
        <w:rPr>
          <w:rFonts w:asciiTheme="majorHAnsi" w:hAnsiTheme="majorHAnsi"/>
          <w:b/>
          <w:bCs/>
          <w:sz w:val="20"/>
          <w:szCs w:val="20"/>
          <w:lang w:val="es-AR"/>
        </w:rPr>
        <w:t xml:space="preserve">El </w:t>
      </w:r>
      <w:r w:rsidR="00890DA0" w:rsidRPr="00F73AD0">
        <w:rPr>
          <w:rFonts w:asciiTheme="majorHAnsi" w:hAnsiTheme="majorHAnsi"/>
          <w:b/>
          <w:bCs/>
          <w:sz w:val="20"/>
          <w:szCs w:val="20"/>
          <w:lang w:val="es-AR"/>
        </w:rPr>
        <w:t>Estado</w:t>
      </w:r>
      <w:r w:rsidRPr="00F73AD0">
        <w:rPr>
          <w:rFonts w:asciiTheme="majorHAnsi" w:hAnsiTheme="majorHAnsi"/>
          <w:b/>
          <w:bCs/>
          <w:sz w:val="20"/>
          <w:szCs w:val="20"/>
          <w:lang w:val="es-AR"/>
        </w:rPr>
        <w:t xml:space="preserve"> </w:t>
      </w:r>
      <w:r w:rsidR="00DC7440" w:rsidRPr="00F73AD0">
        <w:rPr>
          <w:rFonts w:asciiTheme="majorHAnsi" w:hAnsiTheme="majorHAnsi"/>
          <w:b/>
          <w:bCs/>
          <w:sz w:val="20"/>
          <w:szCs w:val="20"/>
          <w:lang w:val="es-AR"/>
        </w:rPr>
        <w:t>colombiano</w:t>
      </w:r>
    </w:p>
    <w:p w14:paraId="68A417B2" w14:textId="55349DE1" w:rsidR="00B93D7F" w:rsidRPr="00F73AD0" w:rsidRDefault="00677F99" w:rsidP="00F73AD0">
      <w:pPr>
        <w:pStyle w:val="ListParagraph"/>
        <w:numPr>
          <w:ilvl w:val="0"/>
          <w:numId w:val="61"/>
        </w:numPr>
        <w:ind w:left="0" w:firstLine="720"/>
        <w:jc w:val="both"/>
        <w:rPr>
          <w:rFonts w:asciiTheme="majorHAnsi" w:hAnsiTheme="majorHAnsi"/>
          <w:bCs/>
          <w:sz w:val="20"/>
          <w:szCs w:val="20"/>
          <w:lang w:val="es-UY"/>
        </w:rPr>
      </w:pPr>
      <w:r w:rsidRPr="00F73AD0">
        <w:rPr>
          <w:rFonts w:asciiTheme="majorHAnsi" w:hAnsiTheme="majorHAnsi"/>
          <w:sz w:val="20"/>
          <w:szCs w:val="20"/>
          <w:lang w:val="es-AR"/>
        </w:rPr>
        <w:t>E</w:t>
      </w:r>
      <w:r w:rsidR="00B93D7F" w:rsidRPr="00F73AD0">
        <w:rPr>
          <w:rFonts w:asciiTheme="majorHAnsi" w:hAnsiTheme="majorHAnsi"/>
          <w:sz w:val="20"/>
          <w:szCs w:val="20"/>
          <w:lang w:val="es-AR"/>
        </w:rPr>
        <w:t>l Es</w:t>
      </w:r>
      <w:r w:rsidR="003F5154" w:rsidRPr="00F73AD0">
        <w:rPr>
          <w:rFonts w:asciiTheme="majorHAnsi" w:hAnsiTheme="majorHAnsi"/>
          <w:sz w:val="20"/>
          <w:szCs w:val="20"/>
          <w:lang w:val="es-AR"/>
        </w:rPr>
        <w:t xml:space="preserve">tado, </w:t>
      </w:r>
      <w:r w:rsidR="004A2D6F" w:rsidRPr="00F73AD0">
        <w:rPr>
          <w:rFonts w:asciiTheme="majorHAnsi" w:hAnsiTheme="majorHAnsi"/>
          <w:sz w:val="20"/>
          <w:szCs w:val="20"/>
          <w:lang w:val="es-AR"/>
        </w:rPr>
        <w:t>por su parte, replica que la presente petición es inadmisible</w:t>
      </w:r>
      <w:r w:rsidR="00E877B9" w:rsidRPr="00F73AD0">
        <w:rPr>
          <w:rFonts w:asciiTheme="majorHAnsi" w:hAnsiTheme="majorHAnsi"/>
          <w:sz w:val="20"/>
          <w:szCs w:val="20"/>
          <w:lang w:val="es-AR"/>
        </w:rPr>
        <w:t xml:space="preserve"> por: i) falta de competencia personal</w:t>
      </w:r>
      <w:r w:rsidR="007C2BDF" w:rsidRPr="00F73AD0">
        <w:rPr>
          <w:rFonts w:asciiTheme="majorHAnsi" w:hAnsiTheme="majorHAnsi"/>
          <w:sz w:val="20"/>
          <w:szCs w:val="20"/>
          <w:lang w:val="es-AR"/>
        </w:rPr>
        <w:t xml:space="preserve"> y material</w:t>
      </w:r>
      <w:r w:rsidR="00E877B9" w:rsidRPr="00F73AD0">
        <w:rPr>
          <w:rFonts w:asciiTheme="majorHAnsi" w:hAnsiTheme="majorHAnsi"/>
          <w:sz w:val="20"/>
          <w:szCs w:val="20"/>
          <w:lang w:val="es-AR"/>
        </w:rPr>
        <w:t xml:space="preserve">; ii) </w:t>
      </w:r>
      <w:r w:rsidR="002D30AE" w:rsidRPr="00F73AD0">
        <w:rPr>
          <w:rFonts w:asciiTheme="majorHAnsi" w:hAnsiTheme="majorHAnsi"/>
          <w:sz w:val="20"/>
          <w:szCs w:val="20"/>
          <w:lang w:val="es-AR"/>
        </w:rPr>
        <w:t>extemporaneidad</w:t>
      </w:r>
      <w:r w:rsidR="00B749FB" w:rsidRPr="00F73AD0">
        <w:rPr>
          <w:rFonts w:asciiTheme="majorHAnsi" w:hAnsiTheme="majorHAnsi"/>
          <w:sz w:val="20"/>
          <w:szCs w:val="20"/>
          <w:lang w:val="es-AR"/>
        </w:rPr>
        <w:t xml:space="preserve">; </w:t>
      </w:r>
      <w:r w:rsidR="00E257A4" w:rsidRPr="00F73AD0">
        <w:rPr>
          <w:rFonts w:asciiTheme="majorHAnsi" w:hAnsiTheme="majorHAnsi"/>
          <w:sz w:val="20"/>
          <w:szCs w:val="20"/>
          <w:lang w:val="es-AR"/>
        </w:rPr>
        <w:t>iii</w:t>
      </w:r>
      <w:r w:rsidR="002D30AE" w:rsidRPr="00F73AD0">
        <w:rPr>
          <w:rFonts w:asciiTheme="majorHAnsi" w:hAnsiTheme="majorHAnsi"/>
          <w:sz w:val="20"/>
          <w:szCs w:val="20"/>
          <w:lang w:val="es-AR"/>
        </w:rPr>
        <w:t>) de manera subsidiaria, falta de agotamiento de los recursos internos</w:t>
      </w:r>
      <w:r w:rsidR="000830AF" w:rsidRPr="00F73AD0">
        <w:rPr>
          <w:rFonts w:asciiTheme="majorHAnsi" w:hAnsiTheme="majorHAnsi"/>
          <w:sz w:val="20"/>
          <w:szCs w:val="20"/>
          <w:lang w:val="es-AR"/>
        </w:rPr>
        <w:t xml:space="preserve">; </w:t>
      </w:r>
      <w:r w:rsidR="00E257A4" w:rsidRPr="00F73AD0">
        <w:rPr>
          <w:rFonts w:asciiTheme="majorHAnsi" w:hAnsiTheme="majorHAnsi"/>
          <w:sz w:val="20"/>
          <w:szCs w:val="20"/>
          <w:lang w:val="es-AR"/>
        </w:rPr>
        <w:t xml:space="preserve">iv) </w:t>
      </w:r>
      <w:r w:rsidR="00484B65" w:rsidRPr="00F73AD0">
        <w:rPr>
          <w:rFonts w:asciiTheme="majorHAnsi" w:hAnsiTheme="majorHAnsi"/>
          <w:sz w:val="20"/>
          <w:szCs w:val="20"/>
          <w:lang w:val="es-AR"/>
        </w:rPr>
        <w:t>configuración de la denominada ‘fórmula de la cuarta instancia internacional’;</w:t>
      </w:r>
      <w:r w:rsidR="00E257A4" w:rsidRPr="00F73AD0">
        <w:rPr>
          <w:rFonts w:asciiTheme="majorHAnsi" w:hAnsiTheme="majorHAnsi"/>
          <w:sz w:val="20"/>
          <w:szCs w:val="20"/>
          <w:lang w:val="es-AR"/>
        </w:rPr>
        <w:t xml:space="preserve"> v)</w:t>
      </w:r>
      <w:r w:rsidR="00C42898" w:rsidRPr="00F73AD0">
        <w:rPr>
          <w:rFonts w:asciiTheme="majorHAnsi" w:hAnsiTheme="majorHAnsi"/>
          <w:sz w:val="20"/>
          <w:szCs w:val="20"/>
          <w:lang w:val="es-AR"/>
        </w:rPr>
        <w:t xml:space="preserve"> litispendencia internacional </w:t>
      </w:r>
      <w:r w:rsidR="00EE7B2A" w:rsidRPr="00F73AD0">
        <w:rPr>
          <w:rFonts w:asciiTheme="majorHAnsi" w:hAnsiTheme="majorHAnsi"/>
          <w:sz w:val="20"/>
          <w:szCs w:val="20"/>
          <w:lang w:val="es-AR"/>
        </w:rPr>
        <w:t>frente al</w:t>
      </w:r>
      <w:r w:rsidR="00C42898" w:rsidRPr="00F73AD0">
        <w:rPr>
          <w:rFonts w:asciiTheme="majorHAnsi" w:hAnsiTheme="majorHAnsi"/>
          <w:sz w:val="20"/>
          <w:szCs w:val="20"/>
          <w:lang w:val="es-AR"/>
        </w:rPr>
        <w:t xml:space="preserve"> Comité de Libertad Sindical de la OIT;</w:t>
      </w:r>
      <w:r w:rsidR="00A340D6" w:rsidRPr="00F73AD0">
        <w:rPr>
          <w:rFonts w:asciiTheme="majorHAnsi" w:hAnsiTheme="majorHAnsi"/>
          <w:sz w:val="20"/>
          <w:szCs w:val="20"/>
          <w:lang w:val="es-AR"/>
        </w:rPr>
        <w:t xml:space="preserve"> </w:t>
      </w:r>
      <w:r w:rsidR="00260151" w:rsidRPr="00F73AD0">
        <w:rPr>
          <w:rFonts w:asciiTheme="majorHAnsi" w:hAnsiTheme="majorHAnsi"/>
          <w:sz w:val="20"/>
          <w:szCs w:val="20"/>
          <w:lang w:val="es-AR"/>
        </w:rPr>
        <w:t xml:space="preserve">y </w:t>
      </w:r>
      <w:r w:rsidR="00A340D6" w:rsidRPr="00F73AD0">
        <w:rPr>
          <w:rFonts w:asciiTheme="majorHAnsi" w:hAnsiTheme="majorHAnsi"/>
          <w:sz w:val="20"/>
          <w:szCs w:val="20"/>
          <w:lang w:val="es-AR"/>
        </w:rPr>
        <w:t xml:space="preserve">vi) duplicidad </w:t>
      </w:r>
      <w:r w:rsidR="00260151" w:rsidRPr="00F73AD0">
        <w:rPr>
          <w:rFonts w:asciiTheme="majorHAnsi" w:hAnsiTheme="majorHAnsi"/>
          <w:sz w:val="20"/>
          <w:szCs w:val="20"/>
          <w:lang w:val="es-AR"/>
        </w:rPr>
        <w:t>respecto de otras</w:t>
      </w:r>
      <w:r w:rsidR="00A340D6" w:rsidRPr="00F73AD0">
        <w:rPr>
          <w:rFonts w:asciiTheme="majorHAnsi" w:hAnsiTheme="majorHAnsi"/>
          <w:sz w:val="20"/>
          <w:szCs w:val="20"/>
          <w:lang w:val="es-AR"/>
        </w:rPr>
        <w:t xml:space="preserve"> peticiones</w:t>
      </w:r>
      <w:r w:rsidR="00976A8F" w:rsidRPr="00F73AD0">
        <w:rPr>
          <w:rFonts w:asciiTheme="majorHAnsi" w:hAnsiTheme="majorHAnsi"/>
          <w:sz w:val="20"/>
          <w:szCs w:val="20"/>
          <w:lang w:val="es-AR"/>
        </w:rPr>
        <w:t xml:space="preserve"> tramitadas</w:t>
      </w:r>
      <w:r w:rsidR="00A340D6" w:rsidRPr="00F73AD0">
        <w:rPr>
          <w:rFonts w:asciiTheme="majorHAnsi" w:hAnsiTheme="majorHAnsi"/>
          <w:sz w:val="20"/>
          <w:szCs w:val="20"/>
          <w:lang w:val="es-AR"/>
        </w:rPr>
        <w:t xml:space="preserve"> </w:t>
      </w:r>
      <w:r w:rsidR="00976A8F" w:rsidRPr="00F73AD0">
        <w:rPr>
          <w:rFonts w:asciiTheme="majorHAnsi" w:hAnsiTheme="majorHAnsi"/>
          <w:sz w:val="20"/>
          <w:szCs w:val="20"/>
          <w:lang w:val="es-AR"/>
        </w:rPr>
        <w:t xml:space="preserve">por </w:t>
      </w:r>
      <w:r w:rsidR="00A340D6" w:rsidRPr="00F73AD0">
        <w:rPr>
          <w:rFonts w:asciiTheme="majorHAnsi" w:hAnsiTheme="majorHAnsi"/>
          <w:sz w:val="20"/>
          <w:szCs w:val="20"/>
          <w:lang w:val="es-AR"/>
        </w:rPr>
        <w:t>la CIDH</w:t>
      </w:r>
      <w:r w:rsidR="003F5154" w:rsidRPr="00F73AD0">
        <w:rPr>
          <w:rFonts w:asciiTheme="majorHAnsi" w:hAnsiTheme="majorHAnsi"/>
          <w:sz w:val="20"/>
          <w:szCs w:val="20"/>
          <w:lang w:val="es-AR"/>
        </w:rPr>
        <w:t>.</w:t>
      </w:r>
    </w:p>
    <w:p w14:paraId="3F1ED752" w14:textId="24DBCBB9" w:rsidR="0058306E" w:rsidRPr="00F73AD0" w:rsidRDefault="0058306E"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sz w:val="20"/>
          <w:szCs w:val="20"/>
          <w:lang w:val="es-CO"/>
        </w:rPr>
        <w:t xml:space="preserve">A modo de contexto, </w:t>
      </w:r>
      <w:r w:rsidR="000F7E81" w:rsidRPr="00F73AD0">
        <w:rPr>
          <w:rFonts w:asciiTheme="majorHAnsi" w:hAnsiTheme="majorHAnsi"/>
          <w:sz w:val="20"/>
          <w:szCs w:val="20"/>
          <w:lang w:val="es-CO"/>
        </w:rPr>
        <w:t xml:space="preserve">Colombia </w:t>
      </w:r>
      <w:r w:rsidRPr="00F73AD0">
        <w:rPr>
          <w:rFonts w:asciiTheme="majorHAnsi" w:hAnsiTheme="majorHAnsi"/>
          <w:sz w:val="20"/>
          <w:szCs w:val="20"/>
          <w:lang w:val="es-CO"/>
        </w:rPr>
        <w:t>explica que</w:t>
      </w:r>
      <w:r w:rsidR="00137E2F" w:rsidRPr="00F73AD0">
        <w:rPr>
          <w:rFonts w:asciiTheme="majorHAnsi" w:hAnsiTheme="majorHAnsi"/>
          <w:sz w:val="20"/>
          <w:szCs w:val="20"/>
          <w:lang w:val="es-CO"/>
        </w:rPr>
        <w:t xml:space="preserve"> para el 2004</w:t>
      </w:r>
      <w:r w:rsidR="00120FE3" w:rsidRPr="00F73AD0">
        <w:rPr>
          <w:rFonts w:asciiTheme="majorHAnsi" w:hAnsiTheme="majorHAnsi"/>
          <w:sz w:val="20"/>
          <w:szCs w:val="20"/>
          <w:lang w:val="es-CO"/>
        </w:rPr>
        <w:t xml:space="preserve"> existía un déficit operacional del sistema de seguridad social</w:t>
      </w:r>
      <w:r w:rsidR="008859C9" w:rsidRPr="00F73AD0">
        <w:rPr>
          <w:rFonts w:asciiTheme="majorHAnsi" w:hAnsiTheme="majorHAnsi"/>
          <w:sz w:val="20"/>
          <w:szCs w:val="20"/>
          <w:lang w:val="es-CO"/>
        </w:rPr>
        <w:t>, por lo que el gobierno tuvo que</w:t>
      </w:r>
      <w:r w:rsidR="00120FE3" w:rsidRPr="00F73AD0">
        <w:rPr>
          <w:rFonts w:asciiTheme="majorHAnsi" w:hAnsiTheme="majorHAnsi"/>
          <w:sz w:val="20"/>
          <w:szCs w:val="20"/>
          <w:lang w:val="es-CO"/>
        </w:rPr>
        <w:t xml:space="preserve"> utilizar </w:t>
      </w:r>
      <w:r w:rsidR="006D1075" w:rsidRPr="00F73AD0">
        <w:rPr>
          <w:rFonts w:asciiTheme="majorHAnsi" w:hAnsiTheme="majorHAnsi"/>
          <w:sz w:val="20"/>
          <w:szCs w:val="20"/>
          <w:lang w:val="es-CO"/>
        </w:rPr>
        <w:t>recursos de las reservas del Instituto de Seguros Sociales y del Presupuesto General de la Nación equivalente al 3</w:t>
      </w:r>
      <w:r w:rsidR="00BC0145">
        <w:rPr>
          <w:rFonts w:asciiTheme="majorHAnsi" w:hAnsiTheme="majorHAnsi"/>
          <w:sz w:val="20"/>
          <w:szCs w:val="20"/>
          <w:lang w:val="es-CO"/>
        </w:rPr>
        <w:t>,</w:t>
      </w:r>
      <w:r w:rsidR="006D1075" w:rsidRPr="00F73AD0">
        <w:rPr>
          <w:rFonts w:asciiTheme="majorHAnsi" w:hAnsiTheme="majorHAnsi"/>
          <w:sz w:val="20"/>
          <w:szCs w:val="20"/>
          <w:lang w:val="es-CO"/>
        </w:rPr>
        <w:t>3</w:t>
      </w:r>
      <w:r w:rsidR="00F46130" w:rsidRPr="00F73AD0">
        <w:rPr>
          <w:rFonts w:asciiTheme="majorHAnsi" w:hAnsiTheme="majorHAnsi"/>
          <w:sz w:val="20"/>
          <w:szCs w:val="20"/>
          <w:lang w:val="es-CO"/>
        </w:rPr>
        <w:t>%</w:t>
      </w:r>
      <w:r w:rsidR="006D1075" w:rsidRPr="00F73AD0">
        <w:rPr>
          <w:rFonts w:asciiTheme="majorHAnsi" w:hAnsiTheme="majorHAnsi"/>
          <w:sz w:val="20"/>
          <w:szCs w:val="20"/>
          <w:lang w:val="es-CO"/>
        </w:rPr>
        <w:t xml:space="preserve"> del producto interno bruto. Por ello, en julio de 2005 el Congreso de la República aprobó el Acto Legislativo 01 de ese año </w:t>
      </w:r>
      <w:r w:rsidR="00F46130" w:rsidRPr="00F73AD0">
        <w:rPr>
          <w:rFonts w:asciiTheme="majorHAnsi" w:hAnsiTheme="majorHAnsi"/>
          <w:sz w:val="20"/>
          <w:szCs w:val="20"/>
          <w:lang w:val="es-CO"/>
        </w:rPr>
        <w:t xml:space="preserve">a </w:t>
      </w:r>
      <w:r w:rsidR="000D3082" w:rsidRPr="00F73AD0">
        <w:rPr>
          <w:rFonts w:asciiTheme="majorHAnsi" w:hAnsiTheme="majorHAnsi"/>
          <w:sz w:val="20"/>
          <w:szCs w:val="20"/>
          <w:lang w:val="es-CO"/>
        </w:rPr>
        <w:t>fin de</w:t>
      </w:r>
      <w:r w:rsidR="00F46130" w:rsidRPr="00F73AD0">
        <w:rPr>
          <w:rFonts w:asciiTheme="majorHAnsi" w:hAnsiTheme="majorHAnsi"/>
          <w:sz w:val="20"/>
          <w:szCs w:val="20"/>
          <w:lang w:val="es-CO"/>
        </w:rPr>
        <w:t xml:space="preserve"> establecer </w:t>
      </w:r>
      <w:r w:rsidR="00230420" w:rsidRPr="00F73AD0">
        <w:rPr>
          <w:rFonts w:asciiTheme="majorHAnsi" w:hAnsiTheme="majorHAnsi"/>
          <w:sz w:val="20"/>
          <w:szCs w:val="20"/>
          <w:lang w:val="es-CO"/>
        </w:rPr>
        <w:t>criterios de sostenibilidad financiera del sistema pensional</w:t>
      </w:r>
      <w:r w:rsidR="00FF25DA" w:rsidRPr="00F73AD0">
        <w:rPr>
          <w:rFonts w:asciiTheme="majorHAnsi" w:hAnsiTheme="majorHAnsi"/>
          <w:sz w:val="20"/>
          <w:szCs w:val="20"/>
          <w:lang w:val="es-CO"/>
        </w:rPr>
        <w:t>, lo que implicó la eliminación de los regímenes pensionales especiales</w:t>
      </w:r>
      <w:r w:rsidR="00230420" w:rsidRPr="00F73AD0">
        <w:rPr>
          <w:rFonts w:asciiTheme="majorHAnsi" w:hAnsiTheme="majorHAnsi"/>
          <w:sz w:val="20"/>
          <w:szCs w:val="20"/>
          <w:lang w:val="es-CO"/>
        </w:rPr>
        <w:t>.</w:t>
      </w:r>
    </w:p>
    <w:p w14:paraId="4243CEF7" w14:textId="1F233AAC" w:rsidR="001B13B1" w:rsidRPr="00F73AD0" w:rsidRDefault="00BA7210"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sz w:val="20"/>
          <w:szCs w:val="20"/>
          <w:lang w:val="es-CO"/>
        </w:rPr>
        <w:lastRenderedPageBreak/>
        <w:t>En cuanto a la inadmisibilidad de la petición, el Estado sostiene</w:t>
      </w:r>
      <w:r w:rsidR="00BC0145">
        <w:rPr>
          <w:rFonts w:asciiTheme="majorHAnsi" w:hAnsiTheme="majorHAnsi"/>
          <w:sz w:val="20"/>
          <w:szCs w:val="20"/>
          <w:lang w:val="es-CO"/>
        </w:rPr>
        <w:t>,</w:t>
      </w:r>
      <w:r w:rsidRPr="00F73AD0">
        <w:rPr>
          <w:rFonts w:asciiTheme="majorHAnsi" w:hAnsiTheme="majorHAnsi"/>
          <w:sz w:val="20"/>
          <w:szCs w:val="20"/>
          <w:lang w:val="es-CO"/>
        </w:rPr>
        <w:t xml:space="preserve"> en primer lugar</w:t>
      </w:r>
      <w:r w:rsidR="00BC0145">
        <w:rPr>
          <w:rFonts w:asciiTheme="majorHAnsi" w:hAnsiTheme="majorHAnsi"/>
          <w:sz w:val="20"/>
          <w:szCs w:val="20"/>
          <w:lang w:val="es-CO"/>
        </w:rPr>
        <w:t>,</w:t>
      </w:r>
      <w:r w:rsidRPr="00F73AD0">
        <w:rPr>
          <w:rFonts w:asciiTheme="majorHAnsi" w:hAnsiTheme="majorHAnsi"/>
          <w:sz w:val="20"/>
          <w:szCs w:val="20"/>
          <w:lang w:val="es-CO"/>
        </w:rPr>
        <w:t xml:space="preserve"> que la CIDH carece de competencia para pronunciarse sobre la convencionalidad de la legislación colombiana en abstracto </w:t>
      </w:r>
      <w:r w:rsidR="007849EB" w:rsidRPr="00F73AD0">
        <w:rPr>
          <w:rFonts w:asciiTheme="majorHAnsi" w:hAnsiTheme="majorHAnsi"/>
          <w:sz w:val="20"/>
          <w:szCs w:val="20"/>
          <w:lang w:val="es-CO"/>
        </w:rPr>
        <w:t>y con relación a víctimas indeterminadas, pues</w:t>
      </w:r>
      <w:r w:rsidR="00496D61" w:rsidRPr="00F73AD0">
        <w:rPr>
          <w:rFonts w:asciiTheme="majorHAnsi" w:hAnsiTheme="majorHAnsi"/>
          <w:sz w:val="20"/>
          <w:szCs w:val="20"/>
          <w:lang w:val="es-CO"/>
        </w:rPr>
        <w:t xml:space="preserve"> </w:t>
      </w:r>
      <w:r w:rsidR="007849EB" w:rsidRPr="00F73AD0">
        <w:rPr>
          <w:rFonts w:asciiTheme="majorHAnsi" w:hAnsiTheme="majorHAnsi"/>
          <w:sz w:val="20"/>
          <w:szCs w:val="20"/>
          <w:lang w:val="es-CO"/>
        </w:rPr>
        <w:t>ello constitu</w:t>
      </w:r>
      <w:r w:rsidR="00496D61" w:rsidRPr="00F73AD0">
        <w:rPr>
          <w:rFonts w:asciiTheme="majorHAnsi" w:hAnsiTheme="majorHAnsi"/>
          <w:sz w:val="20"/>
          <w:szCs w:val="20"/>
          <w:lang w:val="es-CO"/>
        </w:rPr>
        <w:t>ir</w:t>
      </w:r>
      <w:r w:rsidR="007849EB" w:rsidRPr="00F73AD0">
        <w:rPr>
          <w:rFonts w:asciiTheme="majorHAnsi" w:hAnsiTheme="majorHAnsi"/>
          <w:sz w:val="20"/>
          <w:szCs w:val="20"/>
          <w:lang w:val="es-CO"/>
        </w:rPr>
        <w:t xml:space="preserve">ía una </w:t>
      </w:r>
      <w:r w:rsidR="007849EB" w:rsidRPr="00F73AD0">
        <w:rPr>
          <w:rFonts w:asciiTheme="majorHAnsi" w:hAnsiTheme="majorHAnsi"/>
          <w:i/>
          <w:iCs/>
          <w:sz w:val="20"/>
          <w:szCs w:val="20"/>
          <w:lang w:val="es-CO"/>
        </w:rPr>
        <w:t>actio popularis</w:t>
      </w:r>
      <w:r w:rsidR="007849EB" w:rsidRPr="00F73AD0">
        <w:rPr>
          <w:rFonts w:asciiTheme="majorHAnsi" w:hAnsiTheme="majorHAnsi"/>
          <w:sz w:val="20"/>
          <w:szCs w:val="20"/>
          <w:lang w:val="es-CO"/>
        </w:rPr>
        <w:t xml:space="preserve">. </w:t>
      </w:r>
      <w:r w:rsidR="005164AF" w:rsidRPr="00F73AD0">
        <w:rPr>
          <w:rFonts w:asciiTheme="majorHAnsi" w:hAnsiTheme="majorHAnsi"/>
          <w:sz w:val="20"/>
          <w:szCs w:val="20"/>
          <w:lang w:val="es-CO"/>
        </w:rPr>
        <w:t>A</w:t>
      </w:r>
      <w:r w:rsidR="0045717B" w:rsidRPr="00F73AD0">
        <w:rPr>
          <w:rFonts w:asciiTheme="majorHAnsi" w:hAnsiTheme="majorHAnsi"/>
          <w:sz w:val="20"/>
          <w:szCs w:val="20"/>
          <w:lang w:val="es-CO"/>
        </w:rPr>
        <w:t>sever</w:t>
      </w:r>
      <w:r w:rsidR="008319F0" w:rsidRPr="00F73AD0">
        <w:rPr>
          <w:rFonts w:asciiTheme="majorHAnsi" w:hAnsiTheme="majorHAnsi"/>
          <w:sz w:val="20"/>
          <w:szCs w:val="20"/>
          <w:lang w:val="es-CO"/>
        </w:rPr>
        <w:t xml:space="preserve">a que </w:t>
      </w:r>
      <w:r w:rsidR="00EA4C87" w:rsidRPr="00F73AD0">
        <w:rPr>
          <w:rFonts w:asciiTheme="majorHAnsi" w:hAnsiTheme="majorHAnsi"/>
          <w:sz w:val="20"/>
          <w:szCs w:val="20"/>
          <w:lang w:val="es-CO"/>
        </w:rPr>
        <w:t xml:space="preserve">el control de convencionalidad en abstracto, sin que exista un hecho respecto de una persona determinada </w:t>
      </w:r>
      <w:r w:rsidR="003809D6" w:rsidRPr="00F73AD0">
        <w:rPr>
          <w:rFonts w:asciiTheme="majorHAnsi" w:hAnsiTheme="majorHAnsi"/>
          <w:sz w:val="20"/>
          <w:szCs w:val="20"/>
          <w:lang w:val="es-CO"/>
        </w:rPr>
        <w:t>no se refiere a una violación concreta de los derechos consagrados en la Convención Americana</w:t>
      </w:r>
      <w:r w:rsidR="004424C1">
        <w:rPr>
          <w:rFonts w:asciiTheme="majorHAnsi" w:hAnsiTheme="majorHAnsi"/>
          <w:sz w:val="20"/>
          <w:szCs w:val="20"/>
          <w:lang w:val="es-CO"/>
        </w:rPr>
        <w:t>;</w:t>
      </w:r>
      <w:r w:rsidR="003809D6" w:rsidRPr="00F73AD0">
        <w:rPr>
          <w:rFonts w:asciiTheme="majorHAnsi" w:hAnsiTheme="majorHAnsi"/>
          <w:sz w:val="20"/>
          <w:szCs w:val="20"/>
          <w:lang w:val="es-CO"/>
        </w:rPr>
        <w:t xml:space="preserve"> </w:t>
      </w:r>
      <w:r w:rsidR="00BE1873" w:rsidRPr="00F73AD0">
        <w:rPr>
          <w:rFonts w:asciiTheme="majorHAnsi" w:hAnsiTheme="majorHAnsi"/>
          <w:sz w:val="20"/>
          <w:szCs w:val="20"/>
          <w:lang w:val="es-CO"/>
        </w:rPr>
        <w:t>y</w:t>
      </w:r>
      <w:r w:rsidR="004424C1">
        <w:rPr>
          <w:rFonts w:asciiTheme="majorHAnsi" w:hAnsiTheme="majorHAnsi"/>
          <w:sz w:val="20"/>
          <w:szCs w:val="20"/>
          <w:lang w:val="es-CO"/>
        </w:rPr>
        <w:t>,</w:t>
      </w:r>
      <w:r w:rsidR="00BE1873" w:rsidRPr="00F73AD0">
        <w:rPr>
          <w:rFonts w:asciiTheme="majorHAnsi" w:hAnsiTheme="majorHAnsi"/>
          <w:sz w:val="20"/>
          <w:szCs w:val="20"/>
          <w:lang w:val="es-CO"/>
        </w:rPr>
        <w:t xml:space="preserve"> por tanto, deriva en un análisis de situaciones en abstracto</w:t>
      </w:r>
      <w:r w:rsidR="00BF31FB" w:rsidRPr="00F73AD0">
        <w:rPr>
          <w:rFonts w:asciiTheme="majorHAnsi" w:hAnsiTheme="majorHAnsi"/>
          <w:sz w:val="20"/>
          <w:szCs w:val="20"/>
          <w:lang w:val="es-CO"/>
        </w:rPr>
        <w:t xml:space="preserve">. A este respecto, refiere que sólo las tres primeras presuntas víctimas fueron nombradas en la petición inicial, por lo que </w:t>
      </w:r>
      <w:r w:rsidR="00D64976" w:rsidRPr="00F73AD0">
        <w:rPr>
          <w:rFonts w:asciiTheme="majorHAnsi" w:hAnsiTheme="majorHAnsi"/>
          <w:sz w:val="20"/>
          <w:szCs w:val="20"/>
          <w:lang w:val="es-CO"/>
        </w:rPr>
        <w:t xml:space="preserve">la CIDH </w:t>
      </w:r>
      <w:r w:rsidR="005A36FD" w:rsidRPr="00F73AD0">
        <w:rPr>
          <w:rFonts w:asciiTheme="majorHAnsi" w:hAnsiTheme="majorHAnsi"/>
          <w:sz w:val="20"/>
          <w:szCs w:val="20"/>
          <w:lang w:val="es-CO"/>
        </w:rPr>
        <w:t>debe abordar el caso únicamente en relación con ellas y no frente a la totalidad de personas afiliadas a la ANEBRE que no fueron individualizadas por los peticionarios.</w:t>
      </w:r>
    </w:p>
    <w:p w14:paraId="00EC5159" w14:textId="761DF12F" w:rsidR="0009040A" w:rsidRPr="00F73AD0" w:rsidRDefault="005A36FD"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sz w:val="20"/>
          <w:szCs w:val="20"/>
          <w:lang w:val="es-CO"/>
        </w:rPr>
        <w:t xml:space="preserve">Sobre el particular, </w:t>
      </w:r>
      <w:r w:rsidR="00D96A93" w:rsidRPr="00F73AD0">
        <w:rPr>
          <w:rFonts w:asciiTheme="majorHAnsi" w:hAnsiTheme="majorHAnsi"/>
          <w:sz w:val="20"/>
          <w:szCs w:val="20"/>
          <w:lang w:val="es-CO"/>
        </w:rPr>
        <w:t>plantea</w:t>
      </w:r>
      <w:r w:rsidR="00F62979" w:rsidRPr="00F73AD0">
        <w:rPr>
          <w:rFonts w:asciiTheme="majorHAnsi" w:hAnsiTheme="majorHAnsi"/>
          <w:sz w:val="20"/>
          <w:szCs w:val="20"/>
          <w:lang w:val="es-CO"/>
        </w:rPr>
        <w:t xml:space="preserve"> además que</w:t>
      </w:r>
      <w:r w:rsidR="004424C1">
        <w:rPr>
          <w:rFonts w:asciiTheme="majorHAnsi" w:hAnsiTheme="majorHAnsi"/>
          <w:sz w:val="20"/>
          <w:szCs w:val="20"/>
          <w:lang w:val="es-CO"/>
        </w:rPr>
        <w:t>,</w:t>
      </w:r>
      <w:r w:rsidR="00F62979" w:rsidRPr="00F73AD0">
        <w:rPr>
          <w:rFonts w:asciiTheme="majorHAnsi" w:hAnsiTheme="majorHAnsi"/>
          <w:sz w:val="20"/>
          <w:szCs w:val="20"/>
          <w:lang w:val="es-CO"/>
        </w:rPr>
        <w:t xml:space="preserve"> para declarar la admisibilidad </w:t>
      </w:r>
      <w:r w:rsidR="001B13B1" w:rsidRPr="00F73AD0">
        <w:rPr>
          <w:rFonts w:asciiTheme="majorHAnsi" w:hAnsiTheme="majorHAnsi"/>
          <w:sz w:val="20"/>
          <w:szCs w:val="20"/>
          <w:lang w:val="es-CO"/>
        </w:rPr>
        <w:t>sobre una petición</w:t>
      </w:r>
      <w:r w:rsidR="004424C1">
        <w:rPr>
          <w:rFonts w:asciiTheme="majorHAnsi" w:hAnsiTheme="majorHAnsi"/>
          <w:sz w:val="20"/>
          <w:szCs w:val="20"/>
          <w:lang w:val="es-CO"/>
        </w:rPr>
        <w:t>,</w:t>
      </w:r>
      <w:r w:rsidR="001B13B1" w:rsidRPr="00F73AD0">
        <w:rPr>
          <w:rFonts w:asciiTheme="majorHAnsi" w:hAnsiTheme="majorHAnsi"/>
          <w:sz w:val="20"/>
          <w:szCs w:val="20"/>
          <w:lang w:val="es-CO"/>
        </w:rPr>
        <w:t xml:space="preserve"> </w:t>
      </w:r>
      <w:r w:rsidR="00F62979" w:rsidRPr="00F73AD0">
        <w:rPr>
          <w:rFonts w:asciiTheme="majorHAnsi" w:hAnsiTheme="majorHAnsi"/>
          <w:sz w:val="20"/>
          <w:szCs w:val="20"/>
          <w:lang w:val="es-CO"/>
        </w:rPr>
        <w:t xml:space="preserve">se requiere información concreta sobre cada caso que </w:t>
      </w:r>
      <w:r w:rsidR="00583570" w:rsidRPr="00F73AD0">
        <w:rPr>
          <w:rFonts w:asciiTheme="majorHAnsi" w:hAnsiTheme="majorHAnsi"/>
          <w:sz w:val="20"/>
          <w:szCs w:val="20"/>
          <w:lang w:val="es-CO"/>
        </w:rPr>
        <w:t>se denuncia y del agotamiento</w:t>
      </w:r>
      <w:r w:rsidR="008A361D" w:rsidRPr="00F73AD0">
        <w:rPr>
          <w:rFonts w:asciiTheme="majorHAnsi" w:hAnsiTheme="majorHAnsi"/>
          <w:sz w:val="20"/>
          <w:szCs w:val="20"/>
          <w:lang w:val="es-CO"/>
        </w:rPr>
        <w:t xml:space="preserve"> de recursos internos</w:t>
      </w:r>
      <w:r w:rsidR="00583570" w:rsidRPr="00F73AD0">
        <w:rPr>
          <w:rFonts w:asciiTheme="majorHAnsi" w:hAnsiTheme="majorHAnsi"/>
          <w:sz w:val="20"/>
          <w:szCs w:val="20"/>
          <w:lang w:val="es-CO"/>
        </w:rPr>
        <w:t xml:space="preserve">, dado que la ANEBRE no acreditó estar ante un escenario que amerite aplicar una flexibilización de los criterios </w:t>
      </w:r>
      <w:r w:rsidR="004038BC" w:rsidRPr="00F73AD0">
        <w:rPr>
          <w:rFonts w:asciiTheme="majorHAnsi" w:hAnsiTheme="majorHAnsi"/>
          <w:sz w:val="20"/>
          <w:szCs w:val="20"/>
          <w:lang w:val="es-CO"/>
        </w:rPr>
        <w:t>por una situación que dificulte la plena identificación de las presuntas víctimas</w:t>
      </w:r>
      <w:r w:rsidR="005E61FC" w:rsidRPr="00F73AD0">
        <w:rPr>
          <w:rFonts w:asciiTheme="majorHAnsi" w:hAnsiTheme="majorHAnsi"/>
          <w:sz w:val="20"/>
          <w:szCs w:val="20"/>
          <w:lang w:val="es-CO"/>
        </w:rPr>
        <w:t xml:space="preserve"> como en casos de masacres o ataques masivos</w:t>
      </w:r>
      <w:r w:rsidR="004038BC" w:rsidRPr="00F73AD0">
        <w:rPr>
          <w:rFonts w:asciiTheme="majorHAnsi" w:hAnsiTheme="majorHAnsi"/>
          <w:sz w:val="20"/>
          <w:szCs w:val="20"/>
          <w:lang w:val="es-CO"/>
        </w:rPr>
        <w:t>.</w:t>
      </w:r>
      <w:r w:rsidR="005E61FC" w:rsidRPr="00F73AD0">
        <w:rPr>
          <w:rFonts w:asciiTheme="majorHAnsi" w:hAnsiTheme="majorHAnsi"/>
          <w:sz w:val="20"/>
          <w:szCs w:val="20"/>
          <w:lang w:val="es-CO"/>
        </w:rPr>
        <w:t xml:space="preserve"> </w:t>
      </w:r>
      <w:r w:rsidR="0089242B" w:rsidRPr="00F73AD0">
        <w:rPr>
          <w:rFonts w:asciiTheme="majorHAnsi" w:hAnsiTheme="majorHAnsi"/>
          <w:sz w:val="20"/>
          <w:szCs w:val="20"/>
          <w:lang w:val="es-CO"/>
        </w:rPr>
        <w:t xml:space="preserve">Itera que esta identificación es una carga en cabeza de la parte peticionaria, y la consecuencia de su incumplimiento redunda en que el Estado no puede verificar </w:t>
      </w:r>
      <w:r w:rsidR="00167925" w:rsidRPr="00F73AD0">
        <w:rPr>
          <w:rFonts w:asciiTheme="majorHAnsi" w:hAnsiTheme="majorHAnsi"/>
          <w:sz w:val="20"/>
          <w:szCs w:val="20"/>
          <w:lang w:val="es-CO"/>
        </w:rPr>
        <w:t>que los afiliados de la ANEBRE que pretenden acudir a la Comisión Interamericana ha</w:t>
      </w:r>
      <w:r w:rsidR="00630820" w:rsidRPr="00F73AD0">
        <w:rPr>
          <w:rFonts w:asciiTheme="majorHAnsi" w:hAnsiTheme="majorHAnsi"/>
          <w:sz w:val="20"/>
          <w:szCs w:val="20"/>
          <w:lang w:val="es-CO"/>
        </w:rPr>
        <w:t>yan agotado los recursos internos.</w:t>
      </w:r>
      <w:r w:rsidR="001D3A1C" w:rsidRPr="00F73AD0">
        <w:rPr>
          <w:rFonts w:asciiTheme="majorHAnsi" w:hAnsiTheme="majorHAnsi"/>
          <w:sz w:val="20"/>
          <w:szCs w:val="20"/>
          <w:lang w:val="es-CO"/>
        </w:rPr>
        <w:t xml:space="preserve"> </w:t>
      </w:r>
      <w:r w:rsidR="0009040A" w:rsidRPr="00F73AD0">
        <w:rPr>
          <w:rFonts w:asciiTheme="majorHAnsi" w:hAnsiTheme="majorHAnsi"/>
          <w:sz w:val="20"/>
          <w:szCs w:val="20"/>
          <w:lang w:val="es-CO"/>
        </w:rPr>
        <w:t xml:space="preserve">Asimismo, </w:t>
      </w:r>
      <w:r w:rsidR="00C42510" w:rsidRPr="00F73AD0">
        <w:rPr>
          <w:rFonts w:asciiTheme="majorHAnsi" w:hAnsiTheme="majorHAnsi"/>
          <w:sz w:val="20"/>
          <w:szCs w:val="20"/>
          <w:lang w:val="es-CO"/>
        </w:rPr>
        <w:t xml:space="preserve">agrega que la CIDH carece de competencia para decidir sobre la alegada violación de los derechos a la libertad sindical </w:t>
      </w:r>
      <w:r w:rsidR="00B35CD8" w:rsidRPr="00F73AD0">
        <w:rPr>
          <w:rFonts w:asciiTheme="majorHAnsi" w:hAnsiTheme="majorHAnsi"/>
          <w:sz w:val="20"/>
          <w:szCs w:val="20"/>
          <w:lang w:val="es-CO"/>
        </w:rPr>
        <w:t>y a la seguridad social contenidos en los artículos 8.2 y 9 del Protocolo de San Salvador, de conformidad con lo dispuesto en el artículo 19</w:t>
      </w:r>
      <w:r w:rsidR="00F509EE" w:rsidRPr="00F73AD0">
        <w:rPr>
          <w:rFonts w:asciiTheme="majorHAnsi" w:hAnsiTheme="majorHAnsi"/>
          <w:sz w:val="20"/>
          <w:szCs w:val="20"/>
          <w:lang w:val="es-CO"/>
        </w:rPr>
        <w:t>.6 de mismo instrumento.</w:t>
      </w:r>
    </w:p>
    <w:p w14:paraId="14F1465A" w14:textId="4AB14CF7" w:rsidR="004038BC" w:rsidRPr="00F73AD0" w:rsidRDefault="00836293"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 xml:space="preserve">En segundo lugar, </w:t>
      </w:r>
      <w:r w:rsidR="002768A0" w:rsidRPr="00F73AD0">
        <w:rPr>
          <w:rFonts w:asciiTheme="majorHAnsi" w:hAnsiTheme="majorHAnsi"/>
          <w:bCs/>
          <w:sz w:val="20"/>
          <w:szCs w:val="20"/>
          <w:lang w:val="es-CO"/>
        </w:rPr>
        <w:t xml:space="preserve">Colombia plantea que la presente petición es inadmisible por incumplimiento del plazo de presentación de seis meses </w:t>
      </w:r>
      <w:r w:rsidR="006C0C5A" w:rsidRPr="00F73AD0">
        <w:rPr>
          <w:rFonts w:asciiTheme="majorHAnsi" w:hAnsiTheme="majorHAnsi"/>
          <w:bCs/>
          <w:sz w:val="20"/>
          <w:szCs w:val="20"/>
          <w:lang w:val="es-CO"/>
        </w:rPr>
        <w:t xml:space="preserve">desde la última decisión adoptada a nivel interno, de conformidad con el artículo 46.1.b) de la Convención Americana. </w:t>
      </w:r>
      <w:r w:rsidR="00812DC8" w:rsidRPr="00F73AD0">
        <w:rPr>
          <w:rFonts w:asciiTheme="majorHAnsi" w:hAnsiTheme="majorHAnsi"/>
          <w:bCs/>
          <w:sz w:val="20"/>
          <w:szCs w:val="20"/>
          <w:lang w:val="es-CO"/>
        </w:rPr>
        <w:t>Ello por cuan</w:t>
      </w:r>
      <w:r w:rsidR="000246F6" w:rsidRPr="00F73AD0">
        <w:rPr>
          <w:rFonts w:asciiTheme="majorHAnsi" w:hAnsiTheme="majorHAnsi"/>
          <w:bCs/>
          <w:sz w:val="20"/>
          <w:szCs w:val="20"/>
          <w:lang w:val="es-CO"/>
        </w:rPr>
        <w:t xml:space="preserve">to, en el caso de Álvaro Fernando Luna Apolinar, </w:t>
      </w:r>
      <w:r w:rsidR="008C0DCF" w:rsidRPr="00F73AD0">
        <w:rPr>
          <w:rFonts w:asciiTheme="majorHAnsi" w:hAnsiTheme="majorHAnsi"/>
          <w:bCs/>
          <w:sz w:val="20"/>
          <w:szCs w:val="20"/>
          <w:lang w:val="es-CO"/>
        </w:rPr>
        <w:t>el Tribunal Superior de Cúcuta emitió</w:t>
      </w:r>
      <w:r w:rsidR="000246F6" w:rsidRPr="00F73AD0">
        <w:rPr>
          <w:rFonts w:asciiTheme="majorHAnsi" w:hAnsiTheme="majorHAnsi"/>
          <w:bCs/>
          <w:sz w:val="20"/>
          <w:szCs w:val="20"/>
          <w:lang w:val="es-CO"/>
        </w:rPr>
        <w:t xml:space="preserve"> la decisión </w:t>
      </w:r>
      <w:r w:rsidR="008C0DCF" w:rsidRPr="00F73AD0">
        <w:rPr>
          <w:rFonts w:asciiTheme="majorHAnsi" w:hAnsiTheme="majorHAnsi"/>
          <w:bCs/>
          <w:sz w:val="20"/>
          <w:szCs w:val="20"/>
          <w:lang w:val="es-CO"/>
        </w:rPr>
        <w:t xml:space="preserve">de segunda instancia el 20 de febrero de 2015 y la petición ante la CIDH fue presentada </w:t>
      </w:r>
      <w:r w:rsidR="0072177A" w:rsidRPr="00F73AD0">
        <w:rPr>
          <w:rFonts w:asciiTheme="majorHAnsi" w:hAnsiTheme="majorHAnsi"/>
          <w:bCs/>
          <w:sz w:val="20"/>
          <w:szCs w:val="20"/>
          <w:lang w:val="es-CO"/>
        </w:rPr>
        <w:t xml:space="preserve">el 22 de septiembre de 2015, es decir siete meses </w:t>
      </w:r>
      <w:r w:rsidR="00ED4917" w:rsidRPr="00F73AD0">
        <w:rPr>
          <w:rFonts w:asciiTheme="majorHAnsi" w:hAnsiTheme="majorHAnsi"/>
          <w:bCs/>
          <w:sz w:val="20"/>
          <w:szCs w:val="20"/>
          <w:lang w:val="es-CO"/>
        </w:rPr>
        <w:t xml:space="preserve">después. En el caso de Mery Estela Aponte Mariño, reseña que la sentencia de segunda instancia </w:t>
      </w:r>
      <w:r w:rsidR="005B5786" w:rsidRPr="00F73AD0">
        <w:rPr>
          <w:rFonts w:asciiTheme="majorHAnsi" w:hAnsiTheme="majorHAnsi"/>
          <w:bCs/>
          <w:sz w:val="20"/>
          <w:szCs w:val="20"/>
          <w:lang w:val="es-CO"/>
        </w:rPr>
        <w:t xml:space="preserve">se profirió el 17 de febrero de 2015, y para Luis Raúl Vera </w:t>
      </w:r>
      <w:r w:rsidR="00E25315" w:rsidRPr="00F73AD0">
        <w:rPr>
          <w:rFonts w:asciiTheme="majorHAnsi" w:hAnsiTheme="majorHAnsi"/>
          <w:bCs/>
          <w:sz w:val="20"/>
          <w:szCs w:val="20"/>
          <w:lang w:val="es-CO"/>
        </w:rPr>
        <w:t>Castillo se emitió el 20 de febrero de 2015, ambos también siete meses después de la decisión que agotó lo recursos internos. Por ello, asegura que la petición es extemporánea.</w:t>
      </w:r>
    </w:p>
    <w:p w14:paraId="6F53A33C" w14:textId="547AC36B" w:rsidR="00E25315" w:rsidRPr="00F73AD0" w:rsidRDefault="00A577EB"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 xml:space="preserve">De manera subsidiaria, y en caso de que la Comisión no considere que la parte peticionaria se haya excedido en el plazo de presentación, el Estado </w:t>
      </w:r>
      <w:r w:rsidR="00FD45B0" w:rsidRPr="00F73AD0">
        <w:rPr>
          <w:rFonts w:asciiTheme="majorHAnsi" w:hAnsiTheme="majorHAnsi"/>
          <w:bCs/>
          <w:sz w:val="20"/>
          <w:szCs w:val="20"/>
          <w:lang w:val="es-CO"/>
        </w:rPr>
        <w:t xml:space="preserve">aduce que </w:t>
      </w:r>
      <w:r w:rsidR="00642909" w:rsidRPr="00F73AD0">
        <w:rPr>
          <w:rFonts w:asciiTheme="majorHAnsi" w:hAnsiTheme="majorHAnsi"/>
          <w:bCs/>
          <w:sz w:val="20"/>
          <w:szCs w:val="20"/>
          <w:lang w:val="es-CO"/>
        </w:rPr>
        <w:t xml:space="preserve">las presuntas víctimas no agotaron los recursos internos, en los términos del artículo 46.1.a) de la Convención. </w:t>
      </w:r>
      <w:r w:rsidR="00F81B0D" w:rsidRPr="00F73AD0">
        <w:rPr>
          <w:rFonts w:asciiTheme="majorHAnsi" w:hAnsiTheme="majorHAnsi"/>
          <w:bCs/>
          <w:sz w:val="20"/>
          <w:szCs w:val="20"/>
          <w:lang w:val="es-CO"/>
        </w:rPr>
        <w:t xml:space="preserve">Recuerda que </w:t>
      </w:r>
      <w:r w:rsidR="00D236FB" w:rsidRPr="00F73AD0">
        <w:rPr>
          <w:rFonts w:asciiTheme="majorHAnsi" w:hAnsiTheme="majorHAnsi"/>
          <w:bCs/>
          <w:sz w:val="20"/>
          <w:szCs w:val="20"/>
          <w:lang w:val="es-CO"/>
        </w:rPr>
        <w:t xml:space="preserve">el requisito de previo agotamiento se funda en el principio de subsidiariedad del Sistema Interamericano de Protección de Derechos Humanos, a fin de que los Estados tengan la oportunidad de resolver las alegadas violaciones a nivel interno y repararlas antes de tener que responder ante instancias internacionales. </w:t>
      </w:r>
      <w:r w:rsidR="00BB59AD" w:rsidRPr="00F73AD0">
        <w:rPr>
          <w:rFonts w:asciiTheme="majorHAnsi" w:hAnsiTheme="majorHAnsi"/>
          <w:bCs/>
          <w:sz w:val="20"/>
          <w:szCs w:val="20"/>
          <w:lang w:val="es-CO"/>
        </w:rPr>
        <w:t xml:space="preserve">En el caso concreto, Colombia </w:t>
      </w:r>
      <w:r w:rsidR="00BB6505" w:rsidRPr="00F73AD0">
        <w:rPr>
          <w:rFonts w:asciiTheme="majorHAnsi" w:hAnsiTheme="majorHAnsi"/>
          <w:bCs/>
          <w:sz w:val="20"/>
          <w:szCs w:val="20"/>
          <w:lang w:val="es-CO"/>
        </w:rPr>
        <w:t>argumenta</w:t>
      </w:r>
      <w:r w:rsidR="00BB59AD" w:rsidRPr="00F73AD0">
        <w:rPr>
          <w:rFonts w:asciiTheme="majorHAnsi" w:hAnsiTheme="majorHAnsi"/>
          <w:bCs/>
          <w:sz w:val="20"/>
          <w:szCs w:val="20"/>
          <w:lang w:val="es-CO"/>
        </w:rPr>
        <w:t xml:space="preserve"> que </w:t>
      </w:r>
      <w:r w:rsidR="00D1781E" w:rsidRPr="00F73AD0">
        <w:rPr>
          <w:rFonts w:asciiTheme="majorHAnsi" w:hAnsiTheme="majorHAnsi"/>
          <w:bCs/>
          <w:sz w:val="20"/>
          <w:szCs w:val="20"/>
          <w:lang w:val="es-CO"/>
        </w:rPr>
        <w:t xml:space="preserve">la acción de tutela y la demanda ante la jurisdicción laboral ordinaria son recursos adecuados y efectivos </w:t>
      </w:r>
      <w:r w:rsidR="00527B54" w:rsidRPr="00F73AD0">
        <w:rPr>
          <w:rFonts w:asciiTheme="majorHAnsi" w:hAnsiTheme="majorHAnsi"/>
          <w:bCs/>
          <w:sz w:val="20"/>
          <w:szCs w:val="20"/>
          <w:lang w:val="es-CO"/>
        </w:rPr>
        <w:t>para que las presuntas víctimas plantearan su reclamo de reconocimiento pensional en el ámbito doméstico.</w:t>
      </w:r>
      <w:r w:rsidR="00943EFD" w:rsidRPr="00F73AD0">
        <w:rPr>
          <w:rFonts w:asciiTheme="majorHAnsi" w:hAnsiTheme="majorHAnsi"/>
          <w:bCs/>
          <w:sz w:val="20"/>
          <w:szCs w:val="20"/>
          <w:lang w:val="es-CO"/>
        </w:rPr>
        <w:t xml:space="preserve"> Por ello, solicita a la CIDH declarar la inadmisibilidad de la petición respecto de todas las presuntas víctimas mencionadas sobre las cuales no se acredite que hayan acudido a alguno de estos mecanismo</w:t>
      </w:r>
      <w:r w:rsidR="00541A8C" w:rsidRPr="00F73AD0">
        <w:rPr>
          <w:rFonts w:asciiTheme="majorHAnsi" w:hAnsiTheme="majorHAnsi"/>
          <w:bCs/>
          <w:sz w:val="20"/>
          <w:szCs w:val="20"/>
          <w:lang w:val="es-CO"/>
        </w:rPr>
        <w:t>s</w:t>
      </w:r>
      <w:r w:rsidR="00943EFD" w:rsidRPr="00F73AD0">
        <w:rPr>
          <w:rFonts w:asciiTheme="majorHAnsi" w:hAnsiTheme="majorHAnsi"/>
          <w:bCs/>
          <w:sz w:val="20"/>
          <w:szCs w:val="20"/>
          <w:lang w:val="es-CO"/>
        </w:rPr>
        <w:t>.</w:t>
      </w:r>
      <w:r w:rsidR="00DA78D9" w:rsidRPr="00F73AD0">
        <w:rPr>
          <w:rFonts w:asciiTheme="majorHAnsi" w:hAnsiTheme="majorHAnsi"/>
          <w:bCs/>
          <w:sz w:val="20"/>
          <w:szCs w:val="20"/>
          <w:lang w:val="es-CO"/>
        </w:rPr>
        <w:t xml:space="preserve"> En particular, ejemplifica la efectividad de la demanda laboral ordinaria en una decisión </w:t>
      </w:r>
      <w:r w:rsidR="00E17637" w:rsidRPr="00F73AD0">
        <w:rPr>
          <w:rFonts w:asciiTheme="majorHAnsi" w:hAnsiTheme="majorHAnsi"/>
          <w:bCs/>
          <w:sz w:val="20"/>
          <w:szCs w:val="20"/>
          <w:lang w:val="es-CO"/>
        </w:rPr>
        <w:t xml:space="preserve">resuelta de manera favorable por la Corte Suprema de Justicia en un proceso de tutela a favor de Lucía Esperanza Romero, a quien le reconoció </w:t>
      </w:r>
      <w:r w:rsidR="00163B08" w:rsidRPr="00F73AD0">
        <w:rPr>
          <w:rFonts w:asciiTheme="majorHAnsi" w:hAnsiTheme="majorHAnsi"/>
          <w:bCs/>
          <w:sz w:val="20"/>
          <w:szCs w:val="20"/>
          <w:lang w:val="es-CO"/>
        </w:rPr>
        <w:t>la pensión convencional en los términos del pacto colectivo suscrito en 1997 entre la ANEBRE y el Banco de la República.</w:t>
      </w:r>
      <w:r w:rsidR="00884720" w:rsidRPr="00F73AD0">
        <w:rPr>
          <w:rFonts w:asciiTheme="majorHAnsi" w:hAnsiTheme="majorHAnsi"/>
          <w:bCs/>
          <w:sz w:val="20"/>
          <w:szCs w:val="20"/>
          <w:lang w:val="es-CO"/>
        </w:rPr>
        <w:t xml:space="preserve"> Aunque la parte peticionaria aclara que, con posterioridad a ello, la Corte Constitucional revocó dich</w:t>
      </w:r>
      <w:r w:rsidR="00122CB0" w:rsidRPr="00F73AD0">
        <w:rPr>
          <w:rFonts w:asciiTheme="majorHAnsi" w:hAnsiTheme="majorHAnsi"/>
          <w:bCs/>
          <w:sz w:val="20"/>
          <w:szCs w:val="20"/>
          <w:lang w:val="es-CO"/>
        </w:rPr>
        <w:t>o reconocimiento.</w:t>
      </w:r>
    </w:p>
    <w:p w14:paraId="56B2FC30" w14:textId="6945C668" w:rsidR="00957955" w:rsidRPr="00F73AD0" w:rsidRDefault="00DE5EBC"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 xml:space="preserve">En cuanto a la </w:t>
      </w:r>
      <w:r w:rsidR="00CE0013" w:rsidRPr="00F73AD0">
        <w:rPr>
          <w:rFonts w:asciiTheme="majorHAnsi" w:hAnsiTheme="majorHAnsi"/>
          <w:bCs/>
          <w:sz w:val="20"/>
          <w:szCs w:val="20"/>
          <w:lang w:val="es-CO"/>
        </w:rPr>
        <w:t xml:space="preserve">caracterización de los hechos denunciados como posibles violaciones de la Convención Americana, el Estado manifiesta que la petición incurre en la denominada </w:t>
      </w:r>
      <w:r w:rsidR="00B94F9D">
        <w:rPr>
          <w:rFonts w:asciiTheme="majorHAnsi" w:hAnsiTheme="majorHAnsi"/>
          <w:bCs/>
          <w:sz w:val="20"/>
          <w:szCs w:val="20"/>
          <w:lang w:val="es-CO"/>
        </w:rPr>
        <w:t>“</w:t>
      </w:r>
      <w:r w:rsidR="00CE0013" w:rsidRPr="00F73AD0">
        <w:rPr>
          <w:rFonts w:asciiTheme="majorHAnsi" w:hAnsiTheme="majorHAnsi"/>
          <w:bCs/>
          <w:sz w:val="20"/>
          <w:szCs w:val="20"/>
          <w:lang w:val="es-CO"/>
        </w:rPr>
        <w:t>fórmula de la cuarta instancia internacional</w:t>
      </w:r>
      <w:r w:rsidR="002377EE">
        <w:rPr>
          <w:rFonts w:asciiTheme="majorHAnsi" w:hAnsiTheme="majorHAnsi"/>
          <w:bCs/>
          <w:sz w:val="20"/>
          <w:szCs w:val="20"/>
          <w:lang w:val="es-CO"/>
        </w:rPr>
        <w:t>”</w:t>
      </w:r>
      <w:r w:rsidR="00CE0013" w:rsidRPr="00F73AD0">
        <w:rPr>
          <w:rFonts w:asciiTheme="majorHAnsi" w:hAnsiTheme="majorHAnsi"/>
          <w:bCs/>
          <w:sz w:val="20"/>
          <w:szCs w:val="20"/>
          <w:lang w:val="es-CO"/>
        </w:rPr>
        <w:t xml:space="preserve">, toda vez que </w:t>
      </w:r>
      <w:r w:rsidR="00383B06" w:rsidRPr="00F73AD0">
        <w:rPr>
          <w:rFonts w:asciiTheme="majorHAnsi" w:hAnsiTheme="majorHAnsi"/>
          <w:bCs/>
          <w:sz w:val="20"/>
          <w:szCs w:val="20"/>
          <w:lang w:val="es-CO"/>
        </w:rPr>
        <w:t>pretende que la CIDH revise las decisiones adoptadas por los tribunales internos, en el marco de sus competencias, sin que éstas const</w:t>
      </w:r>
      <w:r w:rsidR="00BB70ED" w:rsidRPr="00F73AD0">
        <w:rPr>
          <w:rFonts w:asciiTheme="majorHAnsi" w:hAnsiTheme="majorHAnsi"/>
          <w:bCs/>
          <w:sz w:val="20"/>
          <w:szCs w:val="20"/>
          <w:lang w:val="es-CO"/>
        </w:rPr>
        <w:t>ituyan violaciones a la Convención Americana.</w:t>
      </w:r>
      <w:r w:rsidR="00C7685E" w:rsidRPr="00F73AD0">
        <w:rPr>
          <w:rFonts w:asciiTheme="majorHAnsi" w:hAnsiTheme="majorHAnsi"/>
          <w:bCs/>
          <w:sz w:val="20"/>
          <w:szCs w:val="20"/>
          <w:lang w:val="es-CO"/>
        </w:rPr>
        <w:t xml:space="preserve"> A este respecto, </w:t>
      </w:r>
      <w:r w:rsidR="00D52D59" w:rsidRPr="00F73AD0">
        <w:rPr>
          <w:rFonts w:asciiTheme="majorHAnsi" w:hAnsiTheme="majorHAnsi"/>
          <w:bCs/>
          <w:sz w:val="20"/>
          <w:szCs w:val="20"/>
          <w:lang w:val="es-CO"/>
        </w:rPr>
        <w:t>aduce</w:t>
      </w:r>
      <w:r w:rsidR="00254B35" w:rsidRPr="00F73AD0">
        <w:rPr>
          <w:rFonts w:asciiTheme="majorHAnsi" w:hAnsiTheme="majorHAnsi"/>
          <w:bCs/>
          <w:sz w:val="20"/>
          <w:szCs w:val="20"/>
          <w:lang w:val="es-CO"/>
        </w:rPr>
        <w:t xml:space="preserve"> que la Comisión Interamericana no es un tribunal de alzada</w:t>
      </w:r>
      <w:r w:rsidR="006E0556" w:rsidRPr="00F73AD0">
        <w:rPr>
          <w:rFonts w:asciiTheme="majorHAnsi" w:hAnsiTheme="majorHAnsi"/>
          <w:bCs/>
          <w:sz w:val="20"/>
          <w:szCs w:val="20"/>
          <w:lang w:val="es-CO"/>
        </w:rPr>
        <w:t xml:space="preserve"> internacional</w:t>
      </w:r>
      <w:r w:rsidR="00254B35" w:rsidRPr="00F73AD0">
        <w:rPr>
          <w:rFonts w:asciiTheme="majorHAnsi" w:hAnsiTheme="majorHAnsi"/>
          <w:bCs/>
          <w:sz w:val="20"/>
          <w:szCs w:val="20"/>
          <w:lang w:val="es-CO"/>
        </w:rPr>
        <w:t xml:space="preserve">, </w:t>
      </w:r>
      <w:r w:rsidR="006E0556" w:rsidRPr="00F73AD0">
        <w:rPr>
          <w:rFonts w:asciiTheme="majorHAnsi" w:hAnsiTheme="majorHAnsi"/>
          <w:bCs/>
          <w:sz w:val="20"/>
          <w:szCs w:val="20"/>
          <w:lang w:val="es-CO"/>
        </w:rPr>
        <w:t>y</w:t>
      </w:r>
      <w:r w:rsidR="00D2498D" w:rsidRPr="00F73AD0">
        <w:rPr>
          <w:rFonts w:asciiTheme="majorHAnsi" w:hAnsiTheme="majorHAnsi"/>
          <w:bCs/>
          <w:sz w:val="20"/>
          <w:szCs w:val="20"/>
          <w:lang w:val="es-CO"/>
        </w:rPr>
        <w:t xml:space="preserve"> que</w:t>
      </w:r>
      <w:r w:rsidR="006E0556" w:rsidRPr="00F73AD0">
        <w:rPr>
          <w:rFonts w:asciiTheme="majorHAnsi" w:hAnsiTheme="majorHAnsi"/>
          <w:bCs/>
          <w:sz w:val="20"/>
          <w:szCs w:val="20"/>
          <w:lang w:val="es-CO"/>
        </w:rPr>
        <w:t xml:space="preserve"> </w:t>
      </w:r>
      <w:r w:rsidR="00E82DA2" w:rsidRPr="00F73AD0">
        <w:rPr>
          <w:rFonts w:asciiTheme="majorHAnsi" w:hAnsiTheme="majorHAnsi"/>
          <w:bCs/>
          <w:sz w:val="20"/>
          <w:szCs w:val="20"/>
          <w:lang w:val="es-CO"/>
        </w:rPr>
        <w:t xml:space="preserve">los peticionarios buscan que </w:t>
      </w:r>
      <w:r w:rsidR="00E60343" w:rsidRPr="00F73AD0">
        <w:rPr>
          <w:rFonts w:asciiTheme="majorHAnsi" w:hAnsiTheme="majorHAnsi"/>
          <w:bCs/>
          <w:sz w:val="20"/>
          <w:szCs w:val="20"/>
          <w:lang w:val="es-CO"/>
        </w:rPr>
        <w:t>decida acerca de</w:t>
      </w:r>
      <w:r w:rsidR="00E82DA2" w:rsidRPr="00F73AD0">
        <w:rPr>
          <w:rFonts w:asciiTheme="majorHAnsi" w:hAnsiTheme="majorHAnsi"/>
          <w:bCs/>
          <w:sz w:val="20"/>
          <w:szCs w:val="20"/>
          <w:lang w:val="es-CO"/>
        </w:rPr>
        <w:t xml:space="preserve"> la aplicación del derecho interno </w:t>
      </w:r>
      <w:r w:rsidR="00F93604" w:rsidRPr="00F73AD0">
        <w:rPr>
          <w:rFonts w:asciiTheme="majorHAnsi" w:hAnsiTheme="majorHAnsi"/>
          <w:bCs/>
          <w:sz w:val="20"/>
          <w:szCs w:val="20"/>
          <w:lang w:val="es-CO"/>
        </w:rPr>
        <w:t xml:space="preserve">sobre </w:t>
      </w:r>
      <w:r w:rsidR="00E82DA2" w:rsidRPr="00F73AD0">
        <w:rPr>
          <w:rFonts w:asciiTheme="majorHAnsi" w:hAnsiTheme="majorHAnsi"/>
          <w:bCs/>
          <w:sz w:val="20"/>
          <w:szCs w:val="20"/>
          <w:lang w:val="es-CO"/>
        </w:rPr>
        <w:t>los montos pensionales que le corresponden a cada presunta víctima, después de que la Corte Constitucional y los jueces internos determinaran que no existía vio</w:t>
      </w:r>
      <w:r w:rsidR="00C028CC" w:rsidRPr="00F73AD0">
        <w:rPr>
          <w:rFonts w:asciiTheme="majorHAnsi" w:hAnsiTheme="majorHAnsi"/>
          <w:bCs/>
          <w:sz w:val="20"/>
          <w:szCs w:val="20"/>
          <w:lang w:val="es-CO"/>
        </w:rPr>
        <w:t>laci</w:t>
      </w:r>
      <w:r w:rsidR="007965C9" w:rsidRPr="00F73AD0">
        <w:rPr>
          <w:rFonts w:asciiTheme="majorHAnsi" w:hAnsiTheme="majorHAnsi"/>
          <w:bCs/>
          <w:sz w:val="20"/>
          <w:szCs w:val="20"/>
          <w:lang w:val="es-CO"/>
        </w:rPr>
        <w:t>ón alguna</w:t>
      </w:r>
      <w:r w:rsidR="00C028CC" w:rsidRPr="00F73AD0">
        <w:rPr>
          <w:rFonts w:asciiTheme="majorHAnsi" w:hAnsiTheme="majorHAnsi"/>
          <w:bCs/>
          <w:sz w:val="20"/>
          <w:szCs w:val="20"/>
          <w:lang w:val="es-CO"/>
        </w:rPr>
        <w:t xml:space="preserve"> de sus derechos con la </w:t>
      </w:r>
      <w:r w:rsidR="0037290D" w:rsidRPr="00F73AD0">
        <w:rPr>
          <w:rFonts w:asciiTheme="majorHAnsi" w:hAnsiTheme="majorHAnsi"/>
          <w:bCs/>
          <w:sz w:val="20"/>
          <w:szCs w:val="20"/>
          <w:lang w:val="es-CO"/>
        </w:rPr>
        <w:t>vigencia del Acto Legislativo 01 de 2005.</w:t>
      </w:r>
    </w:p>
    <w:p w14:paraId="5D983687" w14:textId="644C9B7A" w:rsidR="00541A8C" w:rsidRPr="00F73AD0" w:rsidRDefault="00BA1B71"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lastRenderedPageBreak/>
        <w:t xml:space="preserve">Precisa que la Sentencia SU-555 de 2014 </w:t>
      </w:r>
      <w:r w:rsidR="00AB4224" w:rsidRPr="00F73AD0">
        <w:rPr>
          <w:rFonts w:asciiTheme="majorHAnsi" w:hAnsiTheme="majorHAnsi"/>
          <w:bCs/>
          <w:sz w:val="20"/>
          <w:szCs w:val="20"/>
          <w:lang w:val="es-CO"/>
        </w:rPr>
        <w:t>estableció que</w:t>
      </w:r>
      <w:r w:rsidR="00F4725B" w:rsidRPr="00F73AD0">
        <w:rPr>
          <w:rFonts w:asciiTheme="majorHAnsi" w:hAnsiTheme="majorHAnsi"/>
          <w:bCs/>
          <w:sz w:val="20"/>
          <w:szCs w:val="20"/>
          <w:lang w:val="es-CO"/>
        </w:rPr>
        <w:t xml:space="preserve"> la reforma constitucional respetaba los derechos adquiridos de las personas pensionadas, pero </w:t>
      </w:r>
      <w:r w:rsidR="00A15388" w:rsidRPr="00F73AD0">
        <w:rPr>
          <w:rFonts w:asciiTheme="majorHAnsi" w:hAnsiTheme="majorHAnsi"/>
          <w:bCs/>
          <w:sz w:val="20"/>
          <w:szCs w:val="20"/>
          <w:lang w:val="es-CO"/>
        </w:rPr>
        <w:t xml:space="preserve">limitó la aplicación de pactos, convenciones colectivas, laudos </w:t>
      </w:r>
      <w:r w:rsidR="00634814" w:rsidRPr="00F73AD0">
        <w:rPr>
          <w:rFonts w:asciiTheme="majorHAnsi" w:hAnsiTheme="majorHAnsi"/>
          <w:bCs/>
          <w:sz w:val="20"/>
          <w:szCs w:val="20"/>
          <w:lang w:val="es-CO"/>
        </w:rPr>
        <w:t>o cualquier instrumento jurídico que reconociera beneficios pensionales superiores a los 25 salarios mínimos mensuales vigentes como tope</w:t>
      </w:r>
      <w:r w:rsidR="00293C5F" w:rsidRPr="00F73AD0">
        <w:rPr>
          <w:rFonts w:asciiTheme="majorHAnsi" w:hAnsiTheme="majorHAnsi"/>
          <w:bCs/>
          <w:sz w:val="20"/>
          <w:szCs w:val="20"/>
          <w:lang w:val="es-CO"/>
        </w:rPr>
        <w:t xml:space="preserve"> a partir del 31 de julio de 2010</w:t>
      </w:r>
      <w:r w:rsidR="00634814" w:rsidRPr="00F73AD0">
        <w:rPr>
          <w:rFonts w:asciiTheme="majorHAnsi" w:hAnsiTheme="majorHAnsi"/>
          <w:bCs/>
          <w:sz w:val="20"/>
          <w:szCs w:val="20"/>
          <w:lang w:val="es-CO"/>
        </w:rPr>
        <w:t>.</w:t>
      </w:r>
      <w:r w:rsidR="00356027" w:rsidRPr="00F73AD0">
        <w:rPr>
          <w:rFonts w:asciiTheme="majorHAnsi" w:hAnsiTheme="majorHAnsi"/>
          <w:bCs/>
          <w:sz w:val="20"/>
          <w:szCs w:val="20"/>
          <w:lang w:val="es-CO"/>
        </w:rPr>
        <w:t xml:space="preserve"> Además, la Corte Constitucional también analizó las recomendaciones emitidas por la OIT y determinó que no c</w:t>
      </w:r>
      <w:r w:rsidR="00302EF8" w:rsidRPr="00F73AD0">
        <w:rPr>
          <w:rFonts w:asciiTheme="majorHAnsi" w:hAnsiTheme="majorHAnsi"/>
          <w:bCs/>
          <w:sz w:val="20"/>
          <w:szCs w:val="20"/>
          <w:lang w:val="es-CO"/>
        </w:rPr>
        <w:t>o</w:t>
      </w:r>
      <w:r w:rsidR="00356027" w:rsidRPr="00F73AD0">
        <w:rPr>
          <w:rFonts w:asciiTheme="majorHAnsi" w:hAnsiTheme="majorHAnsi"/>
          <w:bCs/>
          <w:sz w:val="20"/>
          <w:szCs w:val="20"/>
          <w:lang w:val="es-CO"/>
        </w:rPr>
        <w:t xml:space="preserve">bijaban a los trabajadores </w:t>
      </w:r>
      <w:r w:rsidR="00302EF8" w:rsidRPr="00F73AD0">
        <w:rPr>
          <w:rFonts w:asciiTheme="majorHAnsi" w:hAnsiTheme="majorHAnsi"/>
          <w:bCs/>
          <w:sz w:val="20"/>
          <w:szCs w:val="20"/>
          <w:lang w:val="es-CO"/>
        </w:rPr>
        <w:t>que solicitaran su pensión con base en nuevos pactos colectivos, ni a aquellos que cumplan los requisitos para acceder a la pensión con posterioridad al 31 de julio de 2010.</w:t>
      </w:r>
    </w:p>
    <w:p w14:paraId="458046BA" w14:textId="34D97693" w:rsidR="001B07B1" w:rsidRPr="00F73AD0" w:rsidRDefault="00BD3098"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Así, el Estado colombiano arguye que las presuntas víctimas tenían sólo meras expectativas sobre los montos pensionales que recibirían</w:t>
      </w:r>
      <w:r w:rsidR="00420640">
        <w:rPr>
          <w:rFonts w:asciiTheme="majorHAnsi" w:hAnsiTheme="majorHAnsi"/>
          <w:bCs/>
          <w:sz w:val="20"/>
          <w:szCs w:val="20"/>
          <w:lang w:val="es-CO"/>
        </w:rPr>
        <w:t>,</w:t>
      </w:r>
      <w:r w:rsidRPr="00F73AD0">
        <w:rPr>
          <w:rFonts w:asciiTheme="majorHAnsi" w:hAnsiTheme="majorHAnsi"/>
          <w:bCs/>
          <w:sz w:val="20"/>
          <w:szCs w:val="20"/>
          <w:lang w:val="es-CO"/>
        </w:rPr>
        <w:t xml:space="preserve"> </w:t>
      </w:r>
      <w:r w:rsidR="00116626" w:rsidRPr="00F73AD0">
        <w:rPr>
          <w:rFonts w:asciiTheme="majorHAnsi" w:hAnsiTheme="majorHAnsi"/>
          <w:bCs/>
          <w:sz w:val="20"/>
          <w:szCs w:val="20"/>
          <w:lang w:val="es-CO"/>
        </w:rPr>
        <w:t>mas</w:t>
      </w:r>
      <w:r w:rsidRPr="00F73AD0">
        <w:rPr>
          <w:rFonts w:asciiTheme="majorHAnsi" w:hAnsiTheme="majorHAnsi"/>
          <w:bCs/>
          <w:sz w:val="20"/>
          <w:szCs w:val="20"/>
          <w:lang w:val="es-CO"/>
        </w:rPr>
        <w:t xml:space="preserve"> no derechos adquiridos</w:t>
      </w:r>
      <w:r w:rsidR="00420640">
        <w:rPr>
          <w:rFonts w:asciiTheme="majorHAnsi" w:hAnsiTheme="majorHAnsi"/>
          <w:bCs/>
          <w:sz w:val="20"/>
          <w:szCs w:val="20"/>
          <w:lang w:val="es-CO"/>
        </w:rPr>
        <w:t>;</w:t>
      </w:r>
      <w:r w:rsidRPr="00F73AD0">
        <w:rPr>
          <w:rFonts w:asciiTheme="majorHAnsi" w:hAnsiTheme="majorHAnsi"/>
          <w:bCs/>
          <w:sz w:val="20"/>
          <w:szCs w:val="20"/>
          <w:lang w:val="es-CO"/>
        </w:rPr>
        <w:t xml:space="preserve"> </w:t>
      </w:r>
      <w:r w:rsidR="00C92B4F" w:rsidRPr="00F73AD0">
        <w:rPr>
          <w:rFonts w:asciiTheme="majorHAnsi" w:hAnsiTheme="majorHAnsi"/>
          <w:bCs/>
          <w:sz w:val="20"/>
          <w:szCs w:val="20"/>
          <w:lang w:val="es-CO"/>
        </w:rPr>
        <w:t xml:space="preserve">mientras que quienes ya estaban jubiladas bajo la convención colectiva de trabajo de 1997 </w:t>
      </w:r>
      <w:r w:rsidR="004C4EAE" w:rsidRPr="00F73AD0">
        <w:rPr>
          <w:rFonts w:asciiTheme="majorHAnsi" w:hAnsiTheme="majorHAnsi"/>
          <w:bCs/>
          <w:sz w:val="20"/>
          <w:szCs w:val="20"/>
          <w:lang w:val="es-CO"/>
        </w:rPr>
        <w:t xml:space="preserve">previo a esa fecha </w:t>
      </w:r>
      <w:r w:rsidR="00C92B4F" w:rsidRPr="00F73AD0">
        <w:rPr>
          <w:rFonts w:asciiTheme="majorHAnsi" w:hAnsiTheme="majorHAnsi"/>
          <w:bCs/>
          <w:sz w:val="20"/>
          <w:szCs w:val="20"/>
          <w:lang w:val="es-CO"/>
        </w:rPr>
        <w:t xml:space="preserve">continúan </w:t>
      </w:r>
      <w:r w:rsidR="004C4EAE" w:rsidRPr="00F73AD0">
        <w:rPr>
          <w:rFonts w:asciiTheme="majorHAnsi" w:hAnsiTheme="majorHAnsi"/>
          <w:bCs/>
          <w:sz w:val="20"/>
          <w:szCs w:val="20"/>
          <w:lang w:val="es-CO"/>
        </w:rPr>
        <w:t>percibiendo la mesada pactada.</w:t>
      </w:r>
      <w:r w:rsidR="00A63362" w:rsidRPr="00F73AD0">
        <w:rPr>
          <w:rFonts w:asciiTheme="majorHAnsi" w:hAnsiTheme="majorHAnsi"/>
          <w:bCs/>
          <w:sz w:val="20"/>
          <w:szCs w:val="20"/>
          <w:lang w:val="es-CO"/>
        </w:rPr>
        <w:t xml:space="preserve"> Frente a las meras expectativas, recalca que </w:t>
      </w:r>
      <w:r w:rsidR="00F60637" w:rsidRPr="00F73AD0">
        <w:rPr>
          <w:rFonts w:asciiTheme="majorHAnsi" w:hAnsiTheme="majorHAnsi"/>
          <w:bCs/>
          <w:sz w:val="20"/>
          <w:szCs w:val="20"/>
          <w:lang w:val="es-CO"/>
        </w:rPr>
        <w:t xml:space="preserve">éstas </w:t>
      </w:r>
      <w:r w:rsidR="00A63362" w:rsidRPr="00F73AD0">
        <w:rPr>
          <w:rFonts w:asciiTheme="majorHAnsi" w:hAnsiTheme="majorHAnsi"/>
          <w:bCs/>
          <w:sz w:val="20"/>
          <w:szCs w:val="20"/>
          <w:lang w:val="es-CO"/>
        </w:rPr>
        <w:t xml:space="preserve">no </w:t>
      </w:r>
      <w:r w:rsidR="00DE68DC" w:rsidRPr="00F73AD0">
        <w:rPr>
          <w:rFonts w:asciiTheme="majorHAnsi" w:hAnsiTheme="majorHAnsi"/>
          <w:bCs/>
          <w:sz w:val="20"/>
          <w:szCs w:val="20"/>
          <w:lang w:val="es-CO"/>
        </w:rPr>
        <w:t>constituyen derechos y generan vulneraciones a la Convención Americana</w:t>
      </w:r>
      <w:r w:rsidR="00E4708B" w:rsidRPr="00F73AD0">
        <w:rPr>
          <w:rFonts w:asciiTheme="majorHAnsi" w:hAnsiTheme="majorHAnsi"/>
          <w:bCs/>
          <w:sz w:val="20"/>
          <w:szCs w:val="20"/>
          <w:lang w:val="es-CO"/>
        </w:rPr>
        <w:t>.</w:t>
      </w:r>
      <w:r w:rsidR="00F60637" w:rsidRPr="00F73AD0">
        <w:rPr>
          <w:rFonts w:asciiTheme="majorHAnsi" w:hAnsiTheme="majorHAnsi"/>
          <w:bCs/>
          <w:sz w:val="20"/>
          <w:szCs w:val="20"/>
          <w:lang w:val="es-CO"/>
        </w:rPr>
        <w:t xml:space="preserve"> En vista de ello, solicita la declaratoria de inadmisibilidad de la presente petición con fundamento en el artículo 47.b) de la Convención Americana.</w:t>
      </w:r>
    </w:p>
    <w:p w14:paraId="5584955B" w14:textId="49E567BD" w:rsidR="00E4708B" w:rsidRPr="00F73AD0" w:rsidRDefault="00F60637"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Por otro lado,</w:t>
      </w:r>
      <w:r w:rsidR="00826B37" w:rsidRPr="00F73AD0">
        <w:rPr>
          <w:rFonts w:asciiTheme="majorHAnsi" w:hAnsiTheme="majorHAnsi"/>
          <w:bCs/>
          <w:sz w:val="20"/>
          <w:szCs w:val="20"/>
          <w:lang w:val="es-CO"/>
        </w:rPr>
        <w:t xml:space="preserve"> </w:t>
      </w:r>
      <w:r w:rsidR="00F34AF7" w:rsidRPr="00F73AD0">
        <w:rPr>
          <w:rFonts w:asciiTheme="majorHAnsi" w:hAnsiTheme="majorHAnsi"/>
          <w:bCs/>
          <w:sz w:val="20"/>
          <w:szCs w:val="20"/>
          <w:lang w:val="es-CO"/>
        </w:rPr>
        <w:t xml:space="preserve">propone la excepción de litispendencia internacional </w:t>
      </w:r>
      <w:r w:rsidR="00A41FD0" w:rsidRPr="00F73AD0">
        <w:rPr>
          <w:rFonts w:asciiTheme="majorHAnsi" w:hAnsiTheme="majorHAnsi"/>
          <w:bCs/>
          <w:sz w:val="20"/>
          <w:szCs w:val="20"/>
          <w:lang w:val="es-CO"/>
        </w:rPr>
        <w:t xml:space="preserve">en relación con los derechos a la libertad sindical y a la negociación colectiva, ya que los casos planteados ante la OIT guardan </w:t>
      </w:r>
      <w:r w:rsidR="004E58F9" w:rsidRPr="00F73AD0">
        <w:rPr>
          <w:rFonts w:asciiTheme="majorHAnsi" w:hAnsiTheme="majorHAnsi"/>
          <w:bCs/>
          <w:sz w:val="20"/>
          <w:szCs w:val="20"/>
          <w:lang w:val="es-CO"/>
        </w:rPr>
        <w:t>identidad de hechos, objeto y fundamento legal en este extremo de la petición.</w:t>
      </w:r>
      <w:r w:rsidR="00B510AF" w:rsidRPr="00F73AD0">
        <w:rPr>
          <w:rFonts w:asciiTheme="majorHAnsi" w:hAnsiTheme="majorHAnsi"/>
          <w:bCs/>
          <w:sz w:val="20"/>
          <w:szCs w:val="20"/>
          <w:lang w:val="es-CO"/>
        </w:rPr>
        <w:t xml:space="preserve"> Con ello, el artículo 8 del Protocolo de San Salvador debería ser inadmitido, de conformidad con lo dispuesto en el artículo 46.1.c) de la Convención.</w:t>
      </w:r>
    </w:p>
    <w:p w14:paraId="53160088" w14:textId="7BCBFA7F" w:rsidR="00B510AF" w:rsidRPr="00F73AD0" w:rsidRDefault="00DB5146" w:rsidP="00F73AD0">
      <w:pPr>
        <w:pStyle w:val="ListParagraph"/>
        <w:numPr>
          <w:ilvl w:val="0"/>
          <w:numId w:val="61"/>
        </w:numPr>
        <w:ind w:left="0" w:firstLine="720"/>
        <w:jc w:val="both"/>
        <w:rPr>
          <w:rFonts w:asciiTheme="majorHAnsi" w:hAnsiTheme="majorHAnsi"/>
          <w:bCs/>
          <w:sz w:val="20"/>
          <w:szCs w:val="20"/>
          <w:lang w:val="es-CO"/>
        </w:rPr>
      </w:pPr>
      <w:r w:rsidRPr="00F73AD0">
        <w:rPr>
          <w:rFonts w:asciiTheme="majorHAnsi" w:hAnsiTheme="majorHAnsi"/>
          <w:bCs/>
          <w:sz w:val="20"/>
          <w:szCs w:val="20"/>
          <w:lang w:val="es-CO"/>
        </w:rPr>
        <w:t>Finalmente</w:t>
      </w:r>
      <w:r w:rsidR="00B510AF" w:rsidRPr="00F73AD0">
        <w:rPr>
          <w:rFonts w:asciiTheme="majorHAnsi" w:hAnsiTheme="majorHAnsi"/>
          <w:bCs/>
          <w:sz w:val="20"/>
          <w:szCs w:val="20"/>
          <w:lang w:val="es-CO"/>
        </w:rPr>
        <w:t xml:space="preserve">, el Estado </w:t>
      </w:r>
      <w:r w:rsidR="007F3DC5" w:rsidRPr="00F73AD0">
        <w:rPr>
          <w:rFonts w:asciiTheme="majorHAnsi" w:hAnsiTheme="majorHAnsi"/>
          <w:bCs/>
          <w:sz w:val="20"/>
          <w:szCs w:val="20"/>
          <w:lang w:val="es-CO"/>
        </w:rPr>
        <w:t>alega</w:t>
      </w:r>
      <w:r w:rsidR="00626451" w:rsidRPr="00F73AD0">
        <w:rPr>
          <w:rFonts w:asciiTheme="majorHAnsi" w:hAnsiTheme="majorHAnsi"/>
          <w:bCs/>
          <w:sz w:val="20"/>
          <w:szCs w:val="20"/>
          <w:lang w:val="es-CO"/>
        </w:rPr>
        <w:t xml:space="preserve"> que existe duplicidad de esta petición con la</w:t>
      </w:r>
      <w:r w:rsidR="008002B0" w:rsidRPr="00F73AD0">
        <w:rPr>
          <w:rFonts w:asciiTheme="majorHAnsi" w:hAnsiTheme="majorHAnsi"/>
          <w:bCs/>
          <w:sz w:val="20"/>
          <w:szCs w:val="20"/>
          <w:lang w:val="es-CO"/>
        </w:rPr>
        <w:t xml:space="preserve"> Petición 1231-21 que se tramita en representación de Nancy Giraldo Briceño y otros, donde tres presuntas víctimas corresponden a </w:t>
      </w:r>
      <w:r w:rsidR="00A33526" w:rsidRPr="00F73AD0">
        <w:rPr>
          <w:rFonts w:asciiTheme="majorHAnsi" w:hAnsiTheme="majorHAnsi"/>
          <w:bCs/>
          <w:sz w:val="20"/>
          <w:szCs w:val="20"/>
          <w:lang w:val="es-CO"/>
        </w:rPr>
        <w:t xml:space="preserve">tres </w:t>
      </w:r>
      <w:r w:rsidR="008002B0" w:rsidRPr="00F73AD0">
        <w:rPr>
          <w:rFonts w:asciiTheme="majorHAnsi" w:hAnsiTheme="majorHAnsi"/>
          <w:bCs/>
          <w:sz w:val="20"/>
          <w:szCs w:val="20"/>
          <w:lang w:val="es-CO"/>
        </w:rPr>
        <w:t>de este asunto.</w:t>
      </w:r>
      <w:r w:rsidR="008E4447" w:rsidRPr="00F73AD0">
        <w:rPr>
          <w:rFonts w:asciiTheme="majorHAnsi" w:hAnsiTheme="majorHAnsi"/>
          <w:bCs/>
          <w:sz w:val="20"/>
          <w:szCs w:val="20"/>
          <w:lang w:val="es-CO"/>
        </w:rPr>
        <w:t xml:space="preserve"> En ese orden de ideas, aduce que los hechos objeto de análisis en el presente caso ya están siendo estudiados por la CIDH en otra petición, por lo que </w:t>
      </w:r>
      <w:r w:rsidR="00884226" w:rsidRPr="00F73AD0">
        <w:rPr>
          <w:rFonts w:asciiTheme="majorHAnsi" w:hAnsiTheme="majorHAnsi"/>
          <w:bCs/>
          <w:sz w:val="20"/>
          <w:szCs w:val="20"/>
          <w:lang w:val="es-CO"/>
        </w:rPr>
        <w:t xml:space="preserve">solicita </w:t>
      </w:r>
      <w:r w:rsidR="00193672" w:rsidRPr="00F73AD0">
        <w:rPr>
          <w:rFonts w:asciiTheme="majorHAnsi" w:hAnsiTheme="majorHAnsi"/>
          <w:bCs/>
          <w:sz w:val="20"/>
          <w:szCs w:val="20"/>
          <w:lang w:val="es-CO"/>
        </w:rPr>
        <w:t xml:space="preserve">la </w:t>
      </w:r>
      <w:r w:rsidR="00884226" w:rsidRPr="00F73AD0">
        <w:rPr>
          <w:rFonts w:asciiTheme="majorHAnsi" w:hAnsiTheme="majorHAnsi"/>
          <w:bCs/>
          <w:sz w:val="20"/>
          <w:szCs w:val="20"/>
          <w:lang w:val="es-CO"/>
        </w:rPr>
        <w:t>declaratoria de inadmisibilidad</w:t>
      </w:r>
      <w:r w:rsidR="00193672" w:rsidRPr="00F73AD0">
        <w:rPr>
          <w:rFonts w:asciiTheme="majorHAnsi" w:hAnsiTheme="majorHAnsi"/>
          <w:bCs/>
          <w:sz w:val="20"/>
          <w:szCs w:val="20"/>
          <w:lang w:val="es-CO"/>
        </w:rPr>
        <w:t xml:space="preserve"> de esta denuncia</w:t>
      </w:r>
      <w:r w:rsidR="00884226" w:rsidRPr="00F73AD0">
        <w:rPr>
          <w:rFonts w:asciiTheme="majorHAnsi" w:hAnsiTheme="majorHAnsi"/>
          <w:bCs/>
          <w:sz w:val="20"/>
          <w:szCs w:val="20"/>
          <w:lang w:val="es-CO"/>
        </w:rPr>
        <w:t>.</w:t>
      </w:r>
    </w:p>
    <w:p w14:paraId="7B03EE72" w14:textId="0A8FF689" w:rsidR="00C45054" w:rsidRPr="00F73AD0" w:rsidRDefault="003239B8" w:rsidP="00F73AD0">
      <w:pPr>
        <w:spacing w:before="240" w:after="240"/>
        <w:ind w:firstLine="720"/>
        <w:jc w:val="both"/>
        <w:rPr>
          <w:rFonts w:asciiTheme="majorHAnsi" w:eastAsia="Cambria" w:hAnsiTheme="majorHAnsi" w:cs="Cambria"/>
          <w:b/>
          <w:bCs/>
          <w:color w:val="000000"/>
          <w:sz w:val="20"/>
          <w:szCs w:val="20"/>
          <w:u w:color="000000"/>
          <w:lang w:val="es-ES" w:eastAsia="es-ES"/>
        </w:rPr>
      </w:pPr>
      <w:r w:rsidRPr="00F73AD0">
        <w:rPr>
          <w:rFonts w:asciiTheme="majorHAnsi" w:eastAsia="Cambria" w:hAnsiTheme="majorHAnsi" w:cs="Cambria"/>
          <w:b/>
          <w:bCs/>
          <w:color w:val="000000"/>
          <w:sz w:val="20"/>
          <w:szCs w:val="20"/>
          <w:u w:color="000000"/>
          <w:lang w:val="es-ES" w:eastAsia="es-ES"/>
        </w:rPr>
        <w:t>VI.</w:t>
      </w:r>
      <w:r w:rsidRPr="00F73AD0">
        <w:rPr>
          <w:rFonts w:asciiTheme="majorHAnsi" w:eastAsia="Cambria" w:hAnsiTheme="majorHAnsi" w:cs="Cambria"/>
          <w:b/>
          <w:bCs/>
          <w:color w:val="000000"/>
          <w:sz w:val="20"/>
          <w:szCs w:val="20"/>
          <w:u w:color="000000"/>
          <w:lang w:val="es-ES" w:eastAsia="es-ES"/>
        </w:rPr>
        <w:tab/>
      </w:r>
      <w:r w:rsidR="00C45054" w:rsidRPr="00F73AD0">
        <w:rPr>
          <w:rFonts w:asciiTheme="majorHAnsi" w:eastAsia="Cambria" w:hAnsiTheme="majorHAnsi" w:cs="Cambria"/>
          <w:b/>
          <w:bCs/>
          <w:color w:val="000000"/>
          <w:sz w:val="20"/>
          <w:szCs w:val="20"/>
          <w:u w:color="000000"/>
          <w:lang w:val="es-ES" w:eastAsia="es-ES"/>
        </w:rPr>
        <w:t xml:space="preserve">ANÁLISIS DE COMPETENCIA, DUPLICIDAD Y </w:t>
      </w:r>
      <w:r w:rsidR="00DD2AD0" w:rsidRPr="00F73AD0">
        <w:rPr>
          <w:rFonts w:asciiTheme="majorHAnsi" w:eastAsia="Cambria" w:hAnsiTheme="majorHAnsi" w:cs="Cambria"/>
          <w:b/>
          <w:bCs/>
          <w:color w:val="000000"/>
          <w:sz w:val="20"/>
          <w:szCs w:val="20"/>
          <w:u w:color="000000"/>
          <w:lang w:val="es-ES" w:eastAsia="es-ES"/>
        </w:rPr>
        <w:t xml:space="preserve">COSA JUZGADA </w:t>
      </w:r>
      <w:r w:rsidR="00C45054" w:rsidRPr="00F73AD0">
        <w:rPr>
          <w:rFonts w:asciiTheme="majorHAnsi" w:eastAsia="Cambria" w:hAnsiTheme="majorHAnsi" w:cs="Cambria"/>
          <w:b/>
          <w:bCs/>
          <w:color w:val="000000"/>
          <w:sz w:val="20"/>
          <w:szCs w:val="20"/>
          <w:u w:color="000000"/>
          <w:lang w:val="es-ES" w:eastAsia="es-ES"/>
        </w:rPr>
        <w:t>INTERNACIONAL</w:t>
      </w:r>
    </w:p>
    <w:p w14:paraId="4F2D7C79" w14:textId="15A6A35F" w:rsidR="003B3072" w:rsidRPr="00F73AD0" w:rsidRDefault="00AD58AB" w:rsidP="00F73AD0">
      <w:pPr>
        <w:pStyle w:val="ListParagraph"/>
        <w:numPr>
          <w:ilvl w:val="0"/>
          <w:numId w:val="61"/>
        </w:numPr>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En primer lugar, la Comisión se referirá a la competencia personal </w:t>
      </w:r>
      <w:r w:rsidR="004B3812" w:rsidRPr="00F73AD0">
        <w:rPr>
          <w:rFonts w:asciiTheme="majorHAnsi" w:hAnsiTheme="majorHAnsi"/>
          <w:sz w:val="20"/>
          <w:szCs w:val="20"/>
          <w:lang w:val="es-ES"/>
        </w:rPr>
        <w:t xml:space="preserve">para conocer la presente petición, los alegatos de que se trata de una petición en abstracto y la identificación de las presuntas víctimas. Enseguida, abordará </w:t>
      </w:r>
      <w:r w:rsidR="007777B6" w:rsidRPr="00F73AD0">
        <w:rPr>
          <w:rFonts w:asciiTheme="majorHAnsi" w:hAnsiTheme="majorHAnsi"/>
          <w:sz w:val="20"/>
          <w:szCs w:val="20"/>
          <w:lang w:val="es-ES"/>
        </w:rPr>
        <w:t xml:space="preserve">los argumentos relativos a la falta de competencia </w:t>
      </w:r>
      <w:r w:rsidR="00454BED" w:rsidRPr="00F73AD0">
        <w:rPr>
          <w:rFonts w:asciiTheme="majorHAnsi" w:hAnsiTheme="majorHAnsi"/>
          <w:sz w:val="20"/>
          <w:szCs w:val="20"/>
          <w:lang w:val="es-ES"/>
        </w:rPr>
        <w:t xml:space="preserve">en razón de la materia frente al Protocolo de San Salvador, la alegada litispendencia </w:t>
      </w:r>
      <w:r w:rsidR="00371489" w:rsidRPr="00F73AD0">
        <w:rPr>
          <w:rFonts w:asciiTheme="majorHAnsi" w:hAnsiTheme="majorHAnsi"/>
          <w:sz w:val="20"/>
          <w:szCs w:val="20"/>
          <w:lang w:val="es-ES"/>
        </w:rPr>
        <w:t xml:space="preserve">o cosa juzgada </w:t>
      </w:r>
      <w:r w:rsidR="00454BED" w:rsidRPr="00F73AD0">
        <w:rPr>
          <w:rFonts w:asciiTheme="majorHAnsi" w:hAnsiTheme="majorHAnsi"/>
          <w:sz w:val="20"/>
          <w:szCs w:val="20"/>
          <w:lang w:val="es-ES"/>
        </w:rPr>
        <w:t xml:space="preserve">internacional </w:t>
      </w:r>
      <w:r w:rsidR="007A4883" w:rsidRPr="00F73AD0">
        <w:rPr>
          <w:rFonts w:asciiTheme="majorHAnsi" w:hAnsiTheme="majorHAnsi"/>
          <w:sz w:val="20"/>
          <w:szCs w:val="20"/>
          <w:lang w:val="es-ES"/>
        </w:rPr>
        <w:t xml:space="preserve">sobre las decisiones de </w:t>
      </w:r>
      <w:r w:rsidR="00454BED" w:rsidRPr="00F73AD0">
        <w:rPr>
          <w:rFonts w:asciiTheme="majorHAnsi" w:hAnsiTheme="majorHAnsi"/>
          <w:sz w:val="20"/>
          <w:szCs w:val="20"/>
          <w:lang w:val="es-ES"/>
        </w:rPr>
        <w:t>la OIT y la duplicidad de peticiones.</w:t>
      </w:r>
    </w:p>
    <w:p w14:paraId="29B3B8EA" w14:textId="0AF699CD" w:rsidR="00454BED" w:rsidRPr="00F73AD0" w:rsidRDefault="005541F4" w:rsidP="00F73AD0">
      <w:pPr>
        <w:pStyle w:val="ListParagraph"/>
        <w:numPr>
          <w:ilvl w:val="0"/>
          <w:numId w:val="61"/>
        </w:numPr>
        <w:ind w:left="0" w:firstLine="720"/>
        <w:jc w:val="both"/>
        <w:rPr>
          <w:rFonts w:asciiTheme="majorHAnsi" w:hAnsiTheme="majorHAnsi"/>
          <w:sz w:val="20"/>
          <w:szCs w:val="20"/>
          <w:lang w:val="es-ES"/>
        </w:rPr>
      </w:pPr>
      <w:r w:rsidRPr="00F73AD0">
        <w:rPr>
          <w:rFonts w:asciiTheme="majorHAnsi" w:hAnsiTheme="majorHAnsi"/>
          <w:sz w:val="20"/>
          <w:szCs w:val="20"/>
          <w:lang w:val="es-ES_tradnl"/>
        </w:rPr>
        <w:t>La Comisión recuerda que por regla general el artículo 1.2 de la Convención Americana establece que sólo los seres humanos son titulares de los derechos en ella protegidos. Bajo ese entendido, la Comisión ha seguido el criterio de interpretación del artículo 44 de la Convención Americana requiriendo que</w:t>
      </w:r>
      <w:r w:rsidR="007C5B47" w:rsidRPr="00F73AD0">
        <w:rPr>
          <w:rFonts w:asciiTheme="majorHAnsi" w:hAnsiTheme="majorHAnsi"/>
          <w:sz w:val="20"/>
          <w:szCs w:val="20"/>
          <w:lang w:val="es-ES_tradnl"/>
        </w:rPr>
        <w:t>,</w:t>
      </w:r>
      <w:r w:rsidRPr="00F73AD0">
        <w:rPr>
          <w:rFonts w:asciiTheme="majorHAnsi" w:hAnsiTheme="majorHAnsi"/>
          <w:sz w:val="20"/>
          <w:szCs w:val="20"/>
          <w:lang w:val="es-ES_tradnl"/>
        </w:rPr>
        <w:t xml:space="preserve"> para que una petición sea admisible deben existir víctimas concretas, individualizadas y determinadas, o se refieran a un grupo de víctimas específico y definido compuesto de individuos determinables</w:t>
      </w:r>
      <w:r w:rsidRPr="00F73AD0">
        <w:rPr>
          <w:rStyle w:val="FootnoteReference"/>
          <w:rFonts w:asciiTheme="majorHAnsi" w:hAnsiTheme="majorHAnsi"/>
          <w:sz w:val="20"/>
          <w:szCs w:val="20"/>
          <w:lang w:val="es-ES_tradnl"/>
        </w:rPr>
        <w:footnoteReference w:id="7"/>
      </w:r>
      <w:r w:rsidRPr="00F73AD0">
        <w:rPr>
          <w:rFonts w:asciiTheme="majorHAnsi" w:hAnsiTheme="majorHAnsi"/>
          <w:sz w:val="20"/>
          <w:szCs w:val="20"/>
          <w:lang w:val="es-ES_tradnl"/>
        </w:rPr>
        <w:t>.</w:t>
      </w:r>
      <w:r w:rsidR="00624106" w:rsidRPr="00F73AD0">
        <w:rPr>
          <w:rFonts w:asciiTheme="majorHAnsi" w:hAnsiTheme="majorHAnsi"/>
          <w:sz w:val="20"/>
          <w:szCs w:val="20"/>
          <w:lang w:val="es-ES_tradnl"/>
        </w:rPr>
        <w:t xml:space="preserve"> Ello excluye </w:t>
      </w:r>
      <w:r w:rsidR="00501659" w:rsidRPr="00F73AD0">
        <w:rPr>
          <w:rFonts w:asciiTheme="majorHAnsi" w:hAnsiTheme="majorHAnsi"/>
          <w:sz w:val="20"/>
          <w:szCs w:val="20"/>
          <w:lang w:val="es-ES_tradnl"/>
        </w:rPr>
        <w:t>a</w:t>
      </w:r>
      <w:r w:rsidR="00624106" w:rsidRPr="00F73AD0">
        <w:rPr>
          <w:rFonts w:asciiTheme="majorHAnsi" w:hAnsiTheme="majorHAnsi"/>
          <w:sz w:val="20"/>
          <w:szCs w:val="20"/>
          <w:lang w:val="es-CO"/>
        </w:rPr>
        <w:t xml:space="preserve"> grupos de personas en abstracto o </w:t>
      </w:r>
      <w:r w:rsidR="00624106" w:rsidRPr="00F73AD0">
        <w:rPr>
          <w:rFonts w:asciiTheme="majorHAnsi" w:hAnsiTheme="majorHAnsi"/>
          <w:i/>
          <w:iCs/>
          <w:sz w:val="20"/>
          <w:szCs w:val="20"/>
          <w:lang w:val="es-CO"/>
        </w:rPr>
        <w:t>actio popularis</w:t>
      </w:r>
      <w:r w:rsidR="00624106" w:rsidRPr="00F73AD0">
        <w:rPr>
          <w:rFonts w:asciiTheme="majorHAnsi" w:hAnsiTheme="majorHAnsi"/>
          <w:sz w:val="20"/>
          <w:szCs w:val="20"/>
          <w:vertAlign w:val="superscript"/>
          <w:lang w:val="es-CO"/>
        </w:rPr>
        <w:footnoteReference w:id="8"/>
      </w:r>
      <w:r w:rsidR="00624106" w:rsidRPr="00F73AD0">
        <w:rPr>
          <w:rFonts w:asciiTheme="majorHAnsi" w:hAnsiTheme="majorHAnsi"/>
          <w:sz w:val="20"/>
          <w:szCs w:val="20"/>
          <w:lang w:val="es-CO"/>
        </w:rPr>
        <w:t>.</w:t>
      </w:r>
    </w:p>
    <w:p w14:paraId="4A7C79E2" w14:textId="77777777" w:rsidR="00327A11" w:rsidRPr="00F73AD0" w:rsidRDefault="001B5702" w:rsidP="00F73AD0">
      <w:pPr>
        <w:pStyle w:val="ListParagraph"/>
        <w:numPr>
          <w:ilvl w:val="0"/>
          <w:numId w:val="61"/>
        </w:numPr>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La CIDH toma nota de que la parte peticionaria remitió un listado de </w:t>
      </w:r>
      <w:r w:rsidR="00B763D9" w:rsidRPr="00F73AD0">
        <w:rPr>
          <w:rFonts w:asciiTheme="majorHAnsi" w:hAnsiTheme="majorHAnsi"/>
          <w:sz w:val="20"/>
          <w:szCs w:val="20"/>
          <w:lang w:val="es-ES"/>
        </w:rPr>
        <w:t>1.392 personas</w:t>
      </w:r>
      <w:r w:rsidR="00113FD4" w:rsidRPr="00F73AD0">
        <w:rPr>
          <w:rFonts w:asciiTheme="majorHAnsi" w:hAnsiTheme="majorHAnsi"/>
          <w:sz w:val="20"/>
          <w:szCs w:val="20"/>
          <w:lang w:val="es-ES"/>
        </w:rPr>
        <w:t xml:space="preserve"> identificadas conforme a la normativa </w:t>
      </w:r>
      <w:r w:rsidR="0036032A" w:rsidRPr="00F73AD0">
        <w:rPr>
          <w:rFonts w:asciiTheme="majorHAnsi" w:hAnsiTheme="majorHAnsi"/>
          <w:sz w:val="20"/>
          <w:szCs w:val="20"/>
          <w:lang w:val="es-ES"/>
        </w:rPr>
        <w:t xml:space="preserve">interna </w:t>
      </w:r>
      <w:r w:rsidR="00113FD4" w:rsidRPr="00F73AD0">
        <w:rPr>
          <w:rFonts w:asciiTheme="majorHAnsi" w:hAnsiTheme="majorHAnsi"/>
          <w:sz w:val="20"/>
          <w:szCs w:val="20"/>
          <w:lang w:val="es-ES"/>
        </w:rPr>
        <w:t xml:space="preserve">y de acuerdo con sus años de servicios prestados en el Banco de la República. </w:t>
      </w:r>
      <w:r w:rsidR="00733EBF" w:rsidRPr="00F73AD0">
        <w:rPr>
          <w:rFonts w:asciiTheme="majorHAnsi" w:hAnsiTheme="majorHAnsi"/>
          <w:sz w:val="20"/>
          <w:szCs w:val="20"/>
          <w:lang w:val="es-ES"/>
        </w:rPr>
        <w:t xml:space="preserve">De </w:t>
      </w:r>
      <w:r w:rsidR="0036032A" w:rsidRPr="00F73AD0">
        <w:rPr>
          <w:rFonts w:asciiTheme="majorHAnsi" w:hAnsiTheme="majorHAnsi"/>
          <w:sz w:val="20"/>
          <w:szCs w:val="20"/>
          <w:lang w:val="es-ES"/>
        </w:rPr>
        <w:t xml:space="preserve">esta </w:t>
      </w:r>
      <w:r w:rsidR="00733EBF" w:rsidRPr="00F73AD0">
        <w:rPr>
          <w:rFonts w:asciiTheme="majorHAnsi" w:hAnsiTheme="majorHAnsi"/>
          <w:sz w:val="20"/>
          <w:szCs w:val="20"/>
          <w:lang w:val="es-ES"/>
        </w:rPr>
        <w:t>manera</w:t>
      </w:r>
      <w:r w:rsidR="0036032A" w:rsidRPr="00F73AD0">
        <w:rPr>
          <w:rFonts w:asciiTheme="majorHAnsi" w:hAnsiTheme="majorHAnsi"/>
          <w:sz w:val="20"/>
          <w:szCs w:val="20"/>
          <w:lang w:val="es-ES"/>
        </w:rPr>
        <w:t>,</w:t>
      </w:r>
      <w:r w:rsidR="00733EBF" w:rsidRPr="00F73AD0">
        <w:rPr>
          <w:rFonts w:asciiTheme="majorHAnsi" w:hAnsiTheme="majorHAnsi"/>
          <w:sz w:val="20"/>
          <w:szCs w:val="20"/>
          <w:lang w:val="es-ES"/>
        </w:rPr>
        <w:t xml:space="preserve"> </w:t>
      </w:r>
      <w:r w:rsidR="0036032A" w:rsidRPr="00F73AD0">
        <w:rPr>
          <w:rFonts w:asciiTheme="majorHAnsi" w:hAnsiTheme="majorHAnsi"/>
          <w:sz w:val="20"/>
          <w:szCs w:val="20"/>
          <w:lang w:val="es-ES"/>
        </w:rPr>
        <w:t xml:space="preserve">reconoce que ha cumplido con </w:t>
      </w:r>
      <w:r w:rsidR="00D54DD4" w:rsidRPr="00F73AD0">
        <w:rPr>
          <w:rFonts w:asciiTheme="majorHAnsi" w:hAnsiTheme="majorHAnsi"/>
          <w:sz w:val="20"/>
          <w:szCs w:val="20"/>
          <w:lang w:val="es-ES"/>
        </w:rPr>
        <w:t>la carga procesal</w:t>
      </w:r>
      <w:r w:rsidR="0036032A" w:rsidRPr="00F73AD0">
        <w:rPr>
          <w:rFonts w:asciiTheme="majorHAnsi" w:hAnsiTheme="majorHAnsi"/>
          <w:sz w:val="20"/>
          <w:szCs w:val="20"/>
          <w:lang w:val="es-ES"/>
        </w:rPr>
        <w:t xml:space="preserve"> de </w:t>
      </w:r>
      <w:r w:rsidR="00B634D3" w:rsidRPr="00F73AD0">
        <w:rPr>
          <w:rFonts w:asciiTheme="majorHAnsi" w:hAnsiTheme="majorHAnsi"/>
          <w:sz w:val="20"/>
          <w:szCs w:val="20"/>
          <w:lang w:val="es-ES"/>
        </w:rPr>
        <w:t xml:space="preserve">presentar víctimas determinadas y afectadas por las violaciones alegadas. Por ello, la Comisión concluye que tiene competencia </w:t>
      </w:r>
      <w:r w:rsidR="00B634D3" w:rsidRPr="00F73AD0">
        <w:rPr>
          <w:rFonts w:asciiTheme="majorHAnsi" w:hAnsiTheme="majorHAnsi"/>
          <w:i/>
          <w:iCs/>
          <w:sz w:val="20"/>
          <w:szCs w:val="20"/>
          <w:lang w:val="es-ES"/>
        </w:rPr>
        <w:t>ratione personae</w:t>
      </w:r>
      <w:r w:rsidR="00B634D3" w:rsidRPr="00F73AD0">
        <w:rPr>
          <w:rFonts w:asciiTheme="majorHAnsi" w:hAnsiTheme="majorHAnsi"/>
          <w:sz w:val="20"/>
          <w:szCs w:val="20"/>
          <w:lang w:val="es-ES"/>
        </w:rPr>
        <w:t xml:space="preserve"> para conocer </w:t>
      </w:r>
      <w:r w:rsidR="008A7644" w:rsidRPr="00F73AD0">
        <w:rPr>
          <w:rFonts w:asciiTheme="majorHAnsi" w:hAnsiTheme="majorHAnsi"/>
          <w:sz w:val="20"/>
          <w:szCs w:val="20"/>
          <w:lang w:val="es-ES"/>
        </w:rPr>
        <w:t xml:space="preserve">esta petición respecto a las personas </w:t>
      </w:r>
      <w:r w:rsidR="00735571" w:rsidRPr="00F73AD0">
        <w:rPr>
          <w:rFonts w:asciiTheme="majorHAnsi" w:hAnsiTheme="majorHAnsi"/>
          <w:sz w:val="20"/>
          <w:szCs w:val="20"/>
          <w:lang w:val="es-ES"/>
        </w:rPr>
        <w:t>identificadas</w:t>
      </w:r>
      <w:r w:rsidR="008A7644" w:rsidRPr="00F73AD0">
        <w:rPr>
          <w:rFonts w:asciiTheme="majorHAnsi" w:hAnsiTheme="majorHAnsi"/>
          <w:sz w:val="20"/>
          <w:szCs w:val="20"/>
          <w:lang w:val="es-ES"/>
        </w:rPr>
        <w:t xml:space="preserve"> en </w:t>
      </w:r>
      <w:r w:rsidR="00735571" w:rsidRPr="00F73AD0">
        <w:rPr>
          <w:rFonts w:asciiTheme="majorHAnsi" w:hAnsiTheme="majorHAnsi"/>
          <w:sz w:val="20"/>
          <w:szCs w:val="20"/>
          <w:lang w:val="es-ES"/>
        </w:rPr>
        <w:t>ese</w:t>
      </w:r>
      <w:r w:rsidR="008A7644" w:rsidRPr="00F73AD0">
        <w:rPr>
          <w:rFonts w:asciiTheme="majorHAnsi" w:hAnsiTheme="majorHAnsi"/>
          <w:sz w:val="20"/>
          <w:szCs w:val="20"/>
          <w:lang w:val="es-ES"/>
        </w:rPr>
        <w:t xml:space="preserve"> listado</w:t>
      </w:r>
      <w:r w:rsidR="001A5B2B" w:rsidRPr="00F73AD0">
        <w:rPr>
          <w:rFonts w:asciiTheme="majorHAnsi" w:hAnsiTheme="majorHAnsi"/>
          <w:sz w:val="20"/>
          <w:szCs w:val="20"/>
          <w:lang w:val="es-ES"/>
        </w:rPr>
        <w:t>.</w:t>
      </w:r>
      <w:r w:rsidR="008A7644" w:rsidRPr="00F73AD0">
        <w:rPr>
          <w:rFonts w:asciiTheme="majorHAnsi" w:hAnsiTheme="majorHAnsi"/>
          <w:sz w:val="20"/>
          <w:szCs w:val="20"/>
          <w:lang w:val="es-ES"/>
        </w:rPr>
        <w:t xml:space="preserve"> </w:t>
      </w:r>
      <w:r w:rsidR="001A5B2B" w:rsidRPr="00F73AD0">
        <w:rPr>
          <w:rFonts w:asciiTheme="majorHAnsi" w:hAnsiTheme="majorHAnsi"/>
          <w:sz w:val="20"/>
          <w:szCs w:val="20"/>
          <w:lang w:val="es-ES"/>
        </w:rPr>
        <w:t>N</w:t>
      </w:r>
      <w:r w:rsidR="008A7644" w:rsidRPr="00F73AD0">
        <w:rPr>
          <w:rFonts w:asciiTheme="majorHAnsi" w:hAnsiTheme="majorHAnsi"/>
          <w:sz w:val="20"/>
          <w:szCs w:val="20"/>
          <w:lang w:val="es-ES"/>
        </w:rPr>
        <w:t xml:space="preserve">o obstante, </w:t>
      </w:r>
      <w:r w:rsidR="008A7644" w:rsidRPr="00F73AD0">
        <w:rPr>
          <w:rFonts w:asciiTheme="majorHAnsi" w:hAnsiTheme="majorHAnsi"/>
          <w:sz w:val="20"/>
          <w:szCs w:val="20"/>
          <w:lang w:val="es-ES"/>
        </w:rPr>
        <w:lastRenderedPageBreak/>
        <w:t xml:space="preserve">aclara que determinará en </w:t>
      </w:r>
      <w:r w:rsidR="003D2D3A" w:rsidRPr="00F73AD0">
        <w:rPr>
          <w:rFonts w:asciiTheme="majorHAnsi" w:hAnsiTheme="majorHAnsi"/>
          <w:sz w:val="20"/>
          <w:szCs w:val="20"/>
          <w:lang w:val="es-ES"/>
        </w:rPr>
        <w:t xml:space="preserve">su </w:t>
      </w:r>
      <w:r w:rsidR="008A7644" w:rsidRPr="00F73AD0">
        <w:rPr>
          <w:rFonts w:asciiTheme="majorHAnsi" w:hAnsiTheme="majorHAnsi"/>
          <w:sz w:val="20"/>
          <w:szCs w:val="20"/>
          <w:lang w:val="es-ES"/>
        </w:rPr>
        <w:t>análisis</w:t>
      </w:r>
      <w:r w:rsidR="003D2D3A" w:rsidRPr="00F73AD0">
        <w:rPr>
          <w:rFonts w:asciiTheme="majorHAnsi" w:hAnsiTheme="majorHAnsi"/>
          <w:sz w:val="20"/>
          <w:szCs w:val="20"/>
          <w:lang w:val="es-ES"/>
        </w:rPr>
        <w:t xml:space="preserve"> de agotamiento </w:t>
      </w:r>
      <w:r w:rsidR="00F033DB" w:rsidRPr="00F73AD0">
        <w:rPr>
          <w:rFonts w:asciiTheme="majorHAnsi" w:hAnsiTheme="majorHAnsi"/>
          <w:sz w:val="20"/>
          <w:szCs w:val="20"/>
          <w:lang w:val="es-ES"/>
        </w:rPr>
        <w:t>quiénes</w:t>
      </w:r>
      <w:r w:rsidR="003D2D3A" w:rsidRPr="00F73AD0">
        <w:rPr>
          <w:rFonts w:asciiTheme="majorHAnsi" w:hAnsiTheme="majorHAnsi"/>
          <w:sz w:val="20"/>
          <w:szCs w:val="20"/>
          <w:lang w:val="es-ES"/>
        </w:rPr>
        <w:t xml:space="preserve"> de este universo de víctimas cumplirían </w:t>
      </w:r>
      <w:r w:rsidR="00327A11" w:rsidRPr="00F73AD0">
        <w:rPr>
          <w:rFonts w:asciiTheme="majorHAnsi" w:hAnsiTheme="majorHAnsi"/>
          <w:sz w:val="20"/>
          <w:szCs w:val="20"/>
          <w:lang w:val="es-ES"/>
        </w:rPr>
        <w:t>con</w:t>
      </w:r>
      <w:r w:rsidR="003D2D3A" w:rsidRPr="00F73AD0">
        <w:rPr>
          <w:rFonts w:asciiTheme="majorHAnsi" w:hAnsiTheme="majorHAnsi"/>
          <w:sz w:val="20"/>
          <w:szCs w:val="20"/>
          <w:lang w:val="es-ES"/>
        </w:rPr>
        <w:t xml:space="preserve"> el </w:t>
      </w:r>
      <w:r w:rsidR="007C26FD" w:rsidRPr="00F73AD0">
        <w:rPr>
          <w:rFonts w:asciiTheme="majorHAnsi" w:hAnsiTheme="majorHAnsi"/>
          <w:sz w:val="20"/>
          <w:szCs w:val="20"/>
          <w:lang w:val="es-ES"/>
        </w:rPr>
        <w:t>requisito dispuesto en el artículo 46.1.a) de la Convención a fin de admitirlas o no dentro del presente caso.</w:t>
      </w:r>
    </w:p>
    <w:p w14:paraId="21E2E519" w14:textId="1996D52A" w:rsidR="00CE25B6" w:rsidRPr="00F73AD0" w:rsidRDefault="00353497" w:rsidP="00F73AD0">
      <w:pPr>
        <w:pStyle w:val="ListParagraph"/>
        <w:numPr>
          <w:ilvl w:val="0"/>
          <w:numId w:val="61"/>
        </w:numPr>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Ahora bien, en cuanto a la competencia </w:t>
      </w:r>
      <w:r w:rsidRPr="00F73AD0">
        <w:rPr>
          <w:rFonts w:asciiTheme="majorHAnsi" w:hAnsiTheme="majorHAnsi"/>
          <w:i/>
          <w:iCs/>
          <w:sz w:val="20"/>
          <w:szCs w:val="20"/>
          <w:lang w:val="es-ES"/>
        </w:rPr>
        <w:t>ratione materiae</w:t>
      </w:r>
      <w:r w:rsidRPr="00F73AD0">
        <w:rPr>
          <w:rFonts w:asciiTheme="majorHAnsi" w:hAnsiTheme="majorHAnsi"/>
          <w:sz w:val="20"/>
          <w:szCs w:val="20"/>
          <w:lang w:val="es-ES"/>
        </w:rPr>
        <w:t xml:space="preserve"> para conocer </w:t>
      </w:r>
      <w:r w:rsidR="00A817CD" w:rsidRPr="00F73AD0">
        <w:rPr>
          <w:rFonts w:asciiTheme="majorHAnsi" w:hAnsiTheme="majorHAnsi"/>
          <w:sz w:val="20"/>
          <w:szCs w:val="20"/>
          <w:lang w:val="es-ES"/>
        </w:rPr>
        <w:t xml:space="preserve">eventuales violaciones a los artículos 8 y 9 del Protocolo de San Salvador, la Comisión recuerda que </w:t>
      </w:r>
      <w:r w:rsidR="00DC310F" w:rsidRPr="00F73AD0">
        <w:rPr>
          <w:rFonts w:asciiTheme="majorHAnsi" w:hAnsiTheme="majorHAnsi"/>
          <w:sz w:val="20"/>
          <w:szCs w:val="20"/>
          <w:lang w:val="es-ES"/>
        </w:rPr>
        <w:t xml:space="preserve">la competencia prevista en los términos del artículo 19.6 de dicho tratado para establecer violaciones en el contexto de un caso individual se limita a los artículos 8 y 13. Respecto a los demás artículos, de conformidad con el artículo 29 de la Convención Americana, la Comisión los puede tomar en cuenta para interpretar y aplicar la Convención Americana y otros instrumentos aplicables. Sin embargo, </w:t>
      </w:r>
      <w:r w:rsidR="00CE25B6" w:rsidRPr="00F73AD0">
        <w:rPr>
          <w:rFonts w:asciiTheme="majorHAnsi" w:hAnsiTheme="majorHAnsi"/>
          <w:bCs/>
          <w:sz w:val="20"/>
          <w:szCs w:val="20"/>
          <w:lang w:val="es-ES_tradnl"/>
        </w:rPr>
        <w:t>esto no incide sobre la competencia de la Comisión para conocer la petición en lo que pudiera estar relacionado con el artículo 26 de la Convención Americana. Tal y como ha sido señalado por la Corte I</w:t>
      </w:r>
      <w:r w:rsidR="00D615A0" w:rsidRPr="00F73AD0">
        <w:rPr>
          <w:rFonts w:asciiTheme="majorHAnsi" w:hAnsiTheme="majorHAnsi"/>
          <w:bCs/>
          <w:sz w:val="20"/>
          <w:szCs w:val="20"/>
          <w:lang w:val="es-ES_tradnl"/>
        </w:rPr>
        <w:t>nteramericana de Derechos Humanos (en adelante “la Corte Interamericana”, “la Corte IDH” o “la Corte”)</w:t>
      </w:r>
      <w:r w:rsidR="00CE25B6" w:rsidRPr="00F73AD0">
        <w:rPr>
          <w:rFonts w:asciiTheme="majorHAnsi" w:hAnsiTheme="majorHAnsi"/>
          <w:bCs/>
          <w:sz w:val="20"/>
          <w:szCs w:val="20"/>
          <w:lang w:val="es-ES_tradnl"/>
        </w:rPr>
        <w:t>, el artículo 26 de la Convención “</w:t>
      </w:r>
      <w:r w:rsidR="00CE25B6" w:rsidRPr="00F73AD0">
        <w:rPr>
          <w:rFonts w:asciiTheme="majorHAnsi" w:hAnsiTheme="majorHAnsi"/>
          <w:i/>
          <w:iCs/>
          <w:sz w:val="20"/>
          <w:szCs w:val="20"/>
          <w:lang w:val="es-ES_tradnl"/>
        </w:rPr>
        <w:t>está sujeto a las obligaciones generales contenidas en los artículos 1.1 y 2 señalados en el capítulo I (titulado ‘Enumeración de Deberes’), así como lo están los artículos 3 al 25 señalados en el capítulo II (titulado ‘Derechos Civiles y Políticos’)</w:t>
      </w:r>
      <w:r w:rsidR="00CE25B6" w:rsidRPr="00F73AD0">
        <w:rPr>
          <w:rFonts w:asciiTheme="majorHAnsi" w:hAnsiTheme="majorHAnsi"/>
          <w:sz w:val="20"/>
          <w:szCs w:val="20"/>
          <w:lang w:val="es-ES_tradnl"/>
        </w:rPr>
        <w:t>”</w:t>
      </w:r>
      <w:r w:rsidR="00CE25B6" w:rsidRPr="00F73AD0">
        <w:rPr>
          <w:rStyle w:val="FootnoteReference"/>
          <w:rFonts w:asciiTheme="majorHAnsi" w:hAnsiTheme="majorHAnsi"/>
          <w:sz w:val="20"/>
          <w:szCs w:val="20"/>
          <w:lang w:val="es-ES_tradnl"/>
        </w:rPr>
        <w:footnoteReference w:id="9"/>
      </w:r>
      <w:r w:rsidR="00CE25B6" w:rsidRPr="00F73AD0">
        <w:rPr>
          <w:rFonts w:asciiTheme="majorHAnsi" w:hAnsiTheme="majorHAnsi"/>
          <w:sz w:val="20"/>
          <w:szCs w:val="20"/>
          <w:lang w:val="es-ES_tradnl"/>
        </w:rPr>
        <w:t>.</w:t>
      </w:r>
    </w:p>
    <w:p w14:paraId="6EBB880E" w14:textId="1A6E196D" w:rsidR="00CA07F3" w:rsidRPr="00F73AD0" w:rsidRDefault="002F7625" w:rsidP="00F73AD0">
      <w:pPr>
        <w:pStyle w:val="ListParagraph"/>
        <w:numPr>
          <w:ilvl w:val="0"/>
          <w:numId w:val="61"/>
        </w:numPr>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Con respecto al planteamiento del Estado sobre litispendencia </w:t>
      </w:r>
      <w:r w:rsidR="00CA07F3" w:rsidRPr="00F73AD0">
        <w:rPr>
          <w:rFonts w:asciiTheme="majorHAnsi" w:hAnsiTheme="majorHAnsi"/>
          <w:sz w:val="20"/>
          <w:szCs w:val="20"/>
          <w:lang w:val="es-ES"/>
        </w:rPr>
        <w:t xml:space="preserve">y/o cosa juzgada internacional </w:t>
      </w:r>
      <w:r w:rsidRPr="00F73AD0">
        <w:rPr>
          <w:rFonts w:asciiTheme="majorHAnsi" w:hAnsiTheme="majorHAnsi"/>
          <w:sz w:val="20"/>
          <w:szCs w:val="20"/>
          <w:lang w:val="es-ES"/>
        </w:rPr>
        <w:t xml:space="preserve">por las decisiones emitidas por el Comité de Libertad Sindical de la OIT frente a algunas presuntas víctimas del caso, </w:t>
      </w:r>
      <w:r w:rsidR="00CA07F3" w:rsidRPr="00F73AD0">
        <w:rPr>
          <w:rFonts w:asciiTheme="majorHAnsi" w:hAnsiTheme="majorHAnsi"/>
          <w:sz w:val="20"/>
          <w:szCs w:val="20"/>
          <w:lang w:val="es-CO"/>
        </w:rPr>
        <w:t xml:space="preserve">la CIDH </w:t>
      </w:r>
      <w:r w:rsidR="00F400B1" w:rsidRPr="00F73AD0">
        <w:rPr>
          <w:rFonts w:asciiTheme="majorHAnsi" w:hAnsiTheme="majorHAnsi"/>
          <w:sz w:val="20"/>
          <w:szCs w:val="20"/>
          <w:lang w:val="es-CO"/>
        </w:rPr>
        <w:t>reitera</w:t>
      </w:r>
      <w:r w:rsidR="00CA07F3" w:rsidRPr="00F73AD0">
        <w:rPr>
          <w:rFonts w:asciiTheme="majorHAnsi" w:hAnsiTheme="majorHAnsi"/>
          <w:sz w:val="20"/>
          <w:szCs w:val="20"/>
          <w:lang w:val="es-CO"/>
        </w:rPr>
        <w:t xml:space="preserve"> que el artículo 47.d) de la Convención establece que la Comisión declarará inadmisible una petición que “</w:t>
      </w:r>
      <w:r w:rsidR="00CA07F3" w:rsidRPr="00F73AD0">
        <w:rPr>
          <w:rFonts w:asciiTheme="majorHAnsi" w:hAnsiTheme="majorHAnsi"/>
          <w:i/>
          <w:iCs/>
          <w:sz w:val="20"/>
          <w:szCs w:val="20"/>
          <w:lang w:val="es-CO"/>
        </w:rPr>
        <w:t>sea sustancialmente la reproducción de petición o comunicación anterior ya examinada por la Comisión u otro organismo internacional</w:t>
      </w:r>
      <w:r w:rsidR="00CA07F3" w:rsidRPr="00F73AD0">
        <w:rPr>
          <w:rFonts w:asciiTheme="majorHAnsi" w:hAnsiTheme="majorHAnsi"/>
          <w:sz w:val="20"/>
          <w:szCs w:val="20"/>
          <w:lang w:val="es-CO"/>
        </w:rPr>
        <w:t>”. No obstante, la CIDH ha determinado que las posibilidades de arreglo internacional que ofrece el Comité de Libertad Sindical de la OIT no son equivalentes a las del Sistema Interamericano de Derechos Humanos</w:t>
      </w:r>
      <w:r w:rsidR="00CA07F3" w:rsidRPr="00F73AD0">
        <w:rPr>
          <w:rFonts w:asciiTheme="majorHAnsi" w:hAnsiTheme="majorHAnsi"/>
          <w:sz w:val="20"/>
          <w:szCs w:val="20"/>
          <w:vertAlign w:val="superscript"/>
          <w:lang w:val="es-CO"/>
        </w:rPr>
        <w:footnoteReference w:id="10"/>
      </w:r>
      <w:r w:rsidR="00CA07F3" w:rsidRPr="00F73AD0">
        <w:rPr>
          <w:rFonts w:asciiTheme="majorHAnsi" w:hAnsiTheme="majorHAnsi"/>
          <w:sz w:val="20"/>
          <w:szCs w:val="20"/>
          <w:lang w:val="es-CO"/>
        </w:rPr>
        <w:t>, toda vez que no tienen un efecto jurídico vinculante, ni pecuniario-restitutivo, o de carácter indemnizatorio y sus pronunciamientos no se refieren a la eventual vulneración de otros derechos que escapan a la competencia de ese organismo sobre los cuales sí tienen competencia los órganos del Sistema Interamericano</w:t>
      </w:r>
      <w:r w:rsidR="00CA07F3" w:rsidRPr="00F73AD0">
        <w:rPr>
          <w:rFonts w:asciiTheme="majorHAnsi" w:hAnsiTheme="majorHAnsi"/>
          <w:sz w:val="20"/>
          <w:szCs w:val="20"/>
          <w:vertAlign w:val="superscript"/>
          <w:lang w:val="es-CO"/>
        </w:rPr>
        <w:footnoteReference w:id="11"/>
      </w:r>
      <w:r w:rsidR="00CA07F3" w:rsidRPr="00F73AD0">
        <w:rPr>
          <w:rFonts w:asciiTheme="majorHAnsi" w:hAnsiTheme="majorHAnsi"/>
          <w:sz w:val="20"/>
          <w:szCs w:val="20"/>
          <w:lang w:val="es-CO"/>
        </w:rPr>
        <w:t xml:space="preserve">. Por consiguiente, la Comisión Interamericana concluye que </w:t>
      </w:r>
      <w:r w:rsidR="00026335" w:rsidRPr="00F73AD0">
        <w:rPr>
          <w:rFonts w:asciiTheme="majorHAnsi" w:hAnsiTheme="majorHAnsi"/>
          <w:sz w:val="20"/>
          <w:szCs w:val="20"/>
          <w:lang w:val="es-CO"/>
        </w:rPr>
        <w:t>no se configura la</w:t>
      </w:r>
      <w:r w:rsidR="00CA07F3" w:rsidRPr="00F73AD0">
        <w:rPr>
          <w:rFonts w:asciiTheme="majorHAnsi" w:hAnsiTheme="majorHAnsi"/>
          <w:sz w:val="20"/>
          <w:szCs w:val="20"/>
          <w:lang w:val="es-CO"/>
        </w:rPr>
        <w:t xml:space="preserve"> cosa juzgada internacional </w:t>
      </w:r>
      <w:r w:rsidR="00026335" w:rsidRPr="00F73AD0">
        <w:rPr>
          <w:rFonts w:asciiTheme="majorHAnsi" w:hAnsiTheme="majorHAnsi"/>
          <w:sz w:val="20"/>
          <w:szCs w:val="20"/>
          <w:lang w:val="es-CO"/>
        </w:rPr>
        <w:t xml:space="preserve">como </w:t>
      </w:r>
      <w:r w:rsidR="00B145FF" w:rsidRPr="00F73AD0">
        <w:rPr>
          <w:rFonts w:asciiTheme="majorHAnsi" w:hAnsiTheme="majorHAnsi"/>
          <w:sz w:val="20"/>
          <w:szCs w:val="20"/>
          <w:lang w:val="es-CO"/>
        </w:rPr>
        <w:t xml:space="preserve">causal de inadmisibilidad </w:t>
      </w:r>
      <w:r w:rsidR="00CA07F3" w:rsidRPr="00F73AD0">
        <w:rPr>
          <w:rFonts w:asciiTheme="majorHAnsi" w:hAnsiTheme="majorHAnsi"/>
          <w:sz w:val="20"/>
          <w:szCs w:val="20"/>
          <w:lang w:val="es-CO"/>
        </w:rPr>
        <w:t xml:space="preserve">en el presente </w:t>
      </w:r>
      <w:r w:rsidR="00B145FF" w:rsidRPr="00F73AD0">
        <w:rPr>
          <w:rFonts w:asciiTheme="majorHAnsi" w:hAnsiTheme="majorHAnsi"/>
          <w:sz w:val="20"/>
          <w:szCs w:val="20"/>
          <w:lang w:val="es-CO"/>
        </w:rPr>
        <w:t>asunto</w:t>
      </w:r>
      <w:r w:rsidR="00CA07F3" w:rsidRPr="00F73AD0">
        <w:rPr>
          <w:rFonts w:asciiTheme="majorHAnsi" w:hAnsiTheme="majorHAnsi"/>
          <w:sz w:val="20"/>
          <w:szCs w:val="20"/>
          <w:lang w:val="es-CO"/>
        </w:rPr>
        <w:t>.</w:t>
      </w:r>
    </w:p>
    <w:p w14:paraId="569CC537" w14:textId="450CDC62" w:rsidR="00301F9F" w:rsidRPr="00F73AD0" w:rsidRDefault="00126F5D" w:rsidP="00F73AD0">
      <w:pPr>
        <w:pStyle w:val="ListParagraph"/>
        <w:numPr>
          <w:ilvl w:val="0"/>
          <w:numId w:val="61"/>
        </w:numPr>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Por último, </w:t>
      </w:r>
      <w:r w:rsidR="00966A8F" w:rsidRPr="00F73AD0">
        <w:rPr>
          <w:rFonts w:asciiTheme="majorHAnsi" w:hAnsiTheme="majorHAnsi"/>
          <w:sz w:val="20"/>
          <w:szCs w:val="20"/>
          <w:lang w:val="es-ES"/>
        </w:rPr>
        <w:t xml:space="preserve">respecto de la duplicidad </w:t>
      </w:r>
      <w:r w:rsidR="006E1F40" w:rsidRPr="00F73AD0">
        <w:rPr>
          <w:rFonts w:asciiTheme="majorHAnsi" w:hAnsiTheme="majorHAnsi"/>
          <w:sz w:val="20"/>
          <w:szCs w:val="20"/>
          <w:lang w:val="es-ES"/>
        </w:rPr>
        <w:t>alegada por el Estado frente a la Petici</w:t>
      </w:r>
      <w:r w:rsidR="00747F8D" w:rsidRPr="00F73AD0">
        <w:rPr>
          <w:rFonts w:asciiTheme="majorHAnsi" w:hAnsiTheme="majorHAnsi"/>
          <w:sz w:val="20"/>
          <w:szCs w:val="20"/>
          <w:lang w:val="es-ES"/>
        </w:rPr>
        <w:t>ón</w:t>
      </w:r>
      <w:r w:rsidR="006E1F40" w:rsidRPr="00F73AD0">
        <w:rPr>
          <w:rFonts w:asciiTheme="majorHAnsi" w:hAnsiTheme="majorHAnsi"/>
          <w:sz w:val="20"/>
          <w:szCs w:val="20"/>
          <w:lang w:val="es-ES"/>
        </w:rPr>
        <w:t xml:space="preserve"> 1231-21</w:t>
      </w:r>
      <w:r w:rsidR="00747F8D" w:rsidRPr="00F73AD0">
        <w:rPr>
          <w:rFonts w:asciiTheme="majorHAnsi" w:hAnsiTheme="majorHAnsi"/>
          <w:sz w:val="20"/>
          <w:szCs w:val="20"/>
          <w:lang w:val="es-ES"/>
        </w:rPr>
        <w:t>,</w:t>
      </w:r>
      <w:r w:rsidR="0009399D" w:rsidRPr="00F73AD0">
        <w:rPr>
          <w:rFonts w:asciiTheme="majorHAnsi" w:hAnsiTheme="majorHAnsi"/>
          <w:sz w:val="20"/>
          <w:szCs w:val="20"/>
          <w:lang w:val="es-ES"/>
        </w:rPr>
        <w:t xml:space="preserve"> la Comisión advierte que dicha denuncia es posterior </w:t>
      </w:r>
      <w:r w:rsidR="001F58F1" w:rsidRPr="00F73AD0">
        <w:rPr>
          <w:rFonts w:asciiTheme="majorHAnsi" w:hAnsiTheme="majorHAnsi"/>
          <w:sz w:val="20"/>
          <w:szCs w:val="20"/>
          <w:lang w:val="es-ES"/>
        </w:rPr>
        <w:t>a la que analiza en este trámite</w:t>
      </w:r>
      <w:r w:rsidR="004A2C2D">
        <w:rPr>
          <w:rFonts w:asciiTheme="majorHAnsi" w:hAnsiTheme="majorHAnsi"/>
          <w:sz w:val="20"/>
          <w:szCs w:val="20"/>
          <w:lang w:val="es-ES"/>
        </w:rPr>
        <w:t>;</w:t>
      </w:r>
      <w:r w:rsidR="001F58F1" w:rsidRPr="00F73AD0">
        <w:rPr>
          <w:rFonts w:asciiTheme="majorHAnsi" w:hAnsiTheme="majorHAnsi"/>
          <w:sz w:val="20"/>
          <w:szCs w:val="20"/>
          <w:lang w:val="es-ES"/>
        </w:rPr>
        <w:t xml:space="preserve"> por lo tanto</w:t>
      </w:r>
      <w:r w:rsidR="0095559F">
        <w:rPr>
          <w:rFonts w:asciiTheme="majorHAnsi" w:hAnsiTheme="majorHAnsi"/>
          <w:sz w:val="20"/>
          <w:szCs w:val="20"/>
          <w:lang w:val="es-ES"/>
        </w:rPr>
        <w:t>,</w:t>
      </w:r>
      <w:r w:rsidR="001F58F1" w:rsidRPr="00F73AD0">
        <w:rPr>
          <w:rFonts w:asciiTheme="majorHAnsi" w:hAnsiTheme="majorHAnsi"/>
          <w:sz w:val="20"/>
          <w:szCs w:val="20"/>
          <w:lang w:val="es-ES"/>
        </w:rPr>
        <w:t xml:space="preserve"> </w:t>
      </w:r>
      <w:r w:rsidR="00C415AE" w:rsidRPr="00F73AD0">
        <w:rPr>
          <w:rFonts w:asciiTheme="majorHAnsi" w:hAnsiTheme="majorHAnsi"/>
          <w:sz w:val="20"/>
          <w:szCs w:val="20"/>
          <w:lang w:val="es-CO"/>
        </w:rPr>
        <w:t xml:space="preserve">continuará con el estudio de </w:t>
      </w:r>
      <w:r w:rsidR="00B145FF" w:rsidRPr="00F73AD0">
        <w:rPr>
          <w:rFonts w:asciiTheme="majorHAnsi" w:hAnsiTheme="majorHAnsi"/>
          <w:sz w:val="20"/>
          <w:szCs w:val="20"/>
          <w:lang w:val="es-CO"/>
        </w:rPr>
        <w:t>esta petición</w:t>
      </w:r>
      <w:r w:rsidR="00C36EE4" w:rsidRPr="00F73AD0">
        <w:rPr>
          <w:rFonts w:asciiTheme="majorHAnsi" w:hAnsiTheme="majorHAnsi"/>
          <w:sz w:val="20"/>
          <w:szCs w:val="20"/>
          <w:lang w:val="es-CO"/>
        </w:rPr>
        <w:t xml:space="preserve"> en razón al criterio cronológico de presentación de las peticiones. Así,</w:t>
      </w:r>
      <w:r w:rsidR="00C415AE" w:rsidRPr="00F73AD0">
        <w:rPr>
          <w:rFonts w:asciiTheme="majorHAnsi" w:hAnsiTheme="majorHAnsi"/>
          <w:sz w:val="20"/>
          <w:szCs w:val="20"/>
          <w:lang w:val="es-CO"/>
        </w:rPr>
        <w:t xml:space="preserve"> a efectos de garantizar el cumplimiento del artículo 47.d</w:t>
      </w:r>
      <w:r w:rsidR="00C36EE4" w:rsidRPr="00F73AD0">
        <w:rPr>
          <w:rFonts w:asciiTheme="majorHAnsi" w:hAnsiTheme="majorHAnsi"/>
          <w:sz w:val="20"/>
          <w:szCs w:val="20"/>
          <w:lang w:val="es-CO"/>
        </w:rPr>
        <w:t>)</w:t>
      </w:r>
      <w:r w:rsidR="00C415AE" w:rsidRPr="00F73AD0">
        <w:rPr>
          <w:rFonts w:asciiTheme="majorHAnsi" w:hAnsiTheme="majorHAnsi"/>
          <w:sz w:val="20"/>
          <w:szCs w:val="20"/>
          <w:lang w:val="es-CO"/>
        </w:rPr>
        <w:t xml:space="preserve"> de la Convención</w:t>
      </w:r>
      <w:r w:rsidR="00403291" w:rsidRPr="00F73AD0">
        <w:rPr>
          <w:rFonts w:asciiTheme="majorHAnsi" w:hAnsiTheme="majorHAnsi"/>
          <w:sz w:val="20"/>
          <w:szCs w:val="20"/>
          <w:lang w:val="es-CO"/>
        </w:rPr>
        <w:t>, conforme a su práctica</w:t>
      </w:r>
      <w:r w:rsidR="00403291" w:rsidRPr="00F73AD0">
        <w:rPr>
          <w:rStyle w:val="FootnoteReference"/>
          <w:rFonts w:asciiTheme="majorHAnsi" w:hAnsiTheme="majorHAnsi"/>
          <w:sz w:val="20"/>
          <w:szCs w:val="20"/>
          <w:lang w:val="es-CO"/>
        </w:rPr>
        <w:footnoteReference w:id="12"/>
      </w:r>
      <w:r w:rsidR="00C36EE4" w:rsidRPr="00F73AD0">
        <w:rPr>
          <w:rFonts w:asciiTheme="majorHAnsi" w:hAnsiTheme="majorHAnsi"/>
          <w:sz w:val="20"/>
          <w:szCs w:val="20"/>
          <w:lang w:val="es-CO"/>
        </w:rPr>
        <w:t>,</w:t>
      </w:r>
      <w:r w:rsidR="00C415AE" w:rsidRPr="00F73AD0">
        <w:rPr>
          <w:rFonts w:asciiTheme="majorHAnsi" w:hAnsiTheme="majorHAnsi"/>
          <w:sz w:val="20"/>
          <w:szCs w:val="20"/>
          <w:lang w:val="es-CO"/>
        </w:rPr>
        <w:t xml:space="preserve"> la Comisión excluirá a las citadas presuntas víctimas de la </w:t>
      </w:r>
      <w:r w:rsidR="0095559F">
        <w:rPr>
          <w:rFonts w:asciiTheme="majorHAnsi" w:hAnsiTheme="majorHAnsi"/>
          <w:sz w:val="20"/>
          <w:szCs w:val="20"/>
          <w:lang w:val="es-CO"/>
        </w:rPr>
        <w:t>P</w:t>
      </w:r>
      <w:r w:rsidR="00C415AE" w:rsidRPr="00F73AD0">
        <w:rPr>
          <w:rFonts w:asciiTheme="majorHAnsi" w:hAnsiTheme="majorHAnsi"/>
          <w:sz w:val="20"/>
          <w:szCs w:val="20"/>
          <w:lang w:val="es-CO"/>
        </w:rPr>
        <w:t xml:space="preserve">etición </w:t>
      </w:r>
      <w:r w:rsidR="00C36EE4" w:rsidRPr="00F73AD0">
        <w:rPr>
          <w:rFonts w:asciiTheme="majorHAnsi" w:hAnsiTheme="majorHAnsi"/>
          <w:sz w:val="20"/>
          <w:szCs w:val="20"/>
          <w:lang w:val="es-CO"/>
        </w:rPr>
        <w:t>1231-21</w:t>
      </w:r>
      <w:r w:rsidR="00C415AE" w:rsidRPr="00F73AD0">
        <w:rPr>
          <w:rFonts w:asciiTheme="majorHAnsi" w:hAnsiTheme="majorHAnsi"/>
          <w:sz w:val="20"/>
          <w:szCs w:val="20"/>
          <w:lang w:val="es-CO"/>
        </w:rPr>
        <w:t>.</w:t>
      </w:r>
    </w:p>
    <w:p w14:paraId="51F68C92" w14:textId="1AF4E8AE" w:rsidR="003239B8" w:rsidRPr="00F73AD0" w:rsidRDefault="00C45054" w:rsidP="00F73AD0">
      <w:pPr>
        <w:spacing w:before="240" w:after="240"/>
        <w:ind w:firstLine="720"/>
        <w:jc w:val="both"/>
        <w:rPr>
          <w:rFonts w:asciiTheme="majorHAnsi" w:hAnsiTheme="majorHAnsi"/>
          <w:sz w:val="20"/>
          <w:szCs w:val="20"/>
          <w:lang w:val="es-UY"/>
        </w:rPr>
      </w:pPr>
      <w:r w:rsidRPr="00F73AD0">
        <w:rPr>
          <w:rFonts w:asciiTheme="majorHAnsi" w:eastAsia="Cambria" w:hAnsiTheme="majorHAnsi" w:cs="Cambria"/>
          <w:b/>
          <w:bCs/>
          <w:color w:val="000000"/>
          <w:sz w:val="20"/>
          <w:szCs w:val="20"/>
          <w:u w:color="000000"/>
          <w:lang w:val="es-ES" w:eastAsia="es-ES"/>
        </w:rPr>
        <w:t>VII.</w:t>
      </w:r>
      <w:r w:rsidRPr="00F73AD0">
        <w:rPr>
          <w:rFonts w:asciiTheme="majorHAnsi" w:eastAsia="Cambria" w:hAnsiTheme="majorHAnsi" w:cs="Cambria"/>
          <w:b/>
          <w:bCs/>
          <w:color w:val="000000"/>
          <w:sz w:val="20"/>
          <w:szCs w:val="20"/>
          <w:u w:color="000000"/>
          <w:lang w:val="es-ES" w:eastAsia="es-ES"/>
        </w:rPr>
        <w:tab/>
      </w:r>
      <w:r w:rsidR="004A6A54" w:rsidRPr="00F73AD0">
        <w:rPr>
          <w:rFonts w:asciiTheme="majorHAnsi" w:hAnsiTheme="majorHAnsi"/>
          <w:b/>
          <w:bCs/>
          <w:sz w:val="20"/>
          <w:szCs w:val="20"/>
          <w:lang w:val="es-ES_tradnl"/>
        </w:rPr>
        <w:t xml:space="preserve">ANÁLISIS DE </w:t>
      </w:r>
      <w:r w:rsidR="00C21FEF" w:rsidRPr="00F73AD0">
        <w:rPr>
          <w:rFonts w:asciiTheme="majorHAnsi" w:hAnsiTheme="majorHAnsi"/>
          <w:b/>
          <w:sz w:val="20"/>
          <w:szCs w:val="20"/>
          <w:lang w:val="es-ES"/>
        </w:rPr>
        <w:t>AGOTAMIENTO DE LOS RECURSOS INTERNOS Y PLAZO DE PRESENTACIÓN</w:t>
      </w:r>
      <w:r w:rsidR="00C21FEF" w:rsidRPr="00F73AD0">
        <w:rPr>
          <w:rFonts w:asciiTheme="majorHAnsi" w:eastAsia="Cambria" w:hAnsiTheme="majorHAnsi" w:cs="Cambria"/>
          <w:b/>
          <w:bCs/>
          <w:color w:val="000000"/>
          <w:sz w:val="20"/>
          <w:szCs w:val="20"/>
          <w:u w:color="000000"/>
          <w:lang w:val="es-ES" w:eastAsia="es-ES"/>
        </w:rPr>
        <w:t xml:space="preserve"> </w:t>
      </w:r>
    </w:p>
    <w:p w14:paraId="7A7BA3C3" w14:textId="486756F4" w:rsidR="006C0ECF" w:rsidRPr="00F73AD0" w:rsidRDefault="00F70B63"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_tradnl"/>
        </w:rPr>
        <w:t>La Comisión recuerda que el artículo 46.1.a) de la Convención Americana dispone que</w:t>
      </w:r>
      <w:r w:rsidR="0095559F">
        <w:rPr>
          <w:rFonts w:asciiTheme="majorHAnsi" w:hAnsiTheme="majorHAnsi"/>
          <w:sz w:val="20"/>
          <w:szCs w:val="20"/>
          <w:lang w:val="es-ES_tradnl"/>
        </w:rPr>
        <w:t>,</w:t>
      </w:r>
      <w:r w:rsidRPr="00F73AD0">
        <w:rPr>
          <w:rFonts w:asciiTheme="majorHAnsi" w:hAnsiTheme="majorHAnsi"/>
          <w:sz w:val="20"/>
          <w:szCs w:val="20"/>
          <w:lang w:val="es-ES_tradnl"/>
        </w:rPr>
        <w:t xml:space="preserve"> para que una petición sea admitida</w:t>
      </w:r>
      <w:r w:rsidR="0095559F">
        <w:rPr>
          <w:rFonts w:asciiTheme="majorHAnsi" w:hAnsiTheme="majorHAnsi"/>
          <w:sz w:val="20"/>
          <w:szCs w:val="20"/>
          <w:lang w:val="es-ES_tradnl"/>
        </w:rPr>
        <w:t>,</w:t>
      </w:r>
      <w:r w:rsidRPr="00F73AD0">
        <w:rPr>
          <w:rFonts w:asciiTheme="majorHAnsi" w:hAnsiTheme="majorHAnsi"/>
          <w:sz w:val="20"/>
          <w:szCs w:val="20"/>
          <w:lang w:val="es-ES_tradnl"/>
        </w:rPr>
        <w:t xml:space="preserve"> se requiere que se hayan interpuesto y agotado los recursos de jurisdicción interna, conforme a los principios del Derecho Internacional generalmente reconocidos. Para efectos de realizar el análisis de agotamiento de los recursos internos, es necesario evaluar la idoneidad de los recursos disponibles en el ordenamiento nacional.</w:t>
      </w:r>
    </w:p>
    <w:p w14:paraId="712A389A" w14:textId="04FAAE37" w:rsidR="00921EA4" w:rsidRPr="00F73AD0" w:rsidRDefault="00921EA4"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_tradnl"/>
        </w:rPr>
        <w:t xml:space="preserve">En el presente caso la parte peticionaria </w:t>
      </w:r>
      <w:r w:rsidR="0071457A" w:rsidRPr="00F73AD0">
        <w:rPr>
          <w:rFonts w:asciiTheme="majorHAnsi" w:hAnsiTheme="majorHAnsi"/>
          <w:sz w:val="20"/>
          <w:szCs w:val="20"/>
          <w:lang w:val="es-ES_tradnl"/>
        </w:rPr>
        <w:t xml:space="preserve">menciona tres mecanismos ejercidos a nivel interno a fin de obtener el cumplimiento </w:t>
      </w:r>
      <w:r w:rsidR="003A78E2" w:rsidRPr="00F73AD0">
        <w:rPr>
          <w:rFonts w:asciiTheme="majorHAnsi" w:hAnsiTheme="majorHAnsi"/>
          <w:sz w:val="20"/>
          <w:szCs w:val="20"/>
          <w:lang w:val="es-ES_tradnl"/>
        </w:rPr>
        <w:t xml:space="preserve">de la convención colectiva de trabajo suscrita entre la ANEBRE y el Banco de la República, a saber: la acción de constitucionalidad, </w:t>
      </w:r>
      <w:r w:rsidR="00695898" w:rsidRPr="00F73AD0">
        <w:rPr>
          <w:rFonts w:asciiTheme="majorHAnsi" w:hAnsiTheme="majorHAnsi"/>
          <w:sz w:val="20"/>
          <w:szCs w:val="20"/>
          <w:lang w:val="es-ES_tradnl"/>
        </w:rPr>
        <w:t>la acción</w:t>
      </w:r>
      <w:r w:rsidR="003A78E2" w:rsidRPr="00F73AD0">
        <w:rPr>
          <w:rFonts w:asciiTheme="majorHAnsi" w:hAnsiTheme="majorHAnsi"/>
          <w:sz w:val="20"/>
          <w:szCs w:val="20"/>
          <w:lang w:val="es-ES_tradnl"/>
        </w:rPr>
        <w:t xml:space="preserve"> de tutela y </w:t>
      </w:r>
      <w:r w:rsidR="00695898" w:rsidRPr="00F73AD0">
        <w:rPr>
          <w:rFonts w:asciiTheme="majorHAnsi" w:hAnsiTheme="majorHAnsi"/>
          <w:sz w:val="20"/>
          <w:szCs w:val="20"/>
          <w:lang w:val="es-ES_tradnl"/>
        </w:rPr>
        <w:t xml:space="preserve">la </w:t>
      </w:r>
      <w:r w:rsidR="00691801" w:rsidRPr="00F73AD0">
        <w:rPr>
          <w:rFonts w:asciiTheme="majorHAnsi" w:hAnsiTheme="majorHAnsi"/>
          <w:sz w:val="20"/>
          <w:szCs w:val="20"/>
          <w:lang w:val="es-ES_tradnl"/>
        </w:rPr>
        <w:t>demand</w:t>
      </w:r>
      <w:r w:rsidR="00695898" w:rsidRPr="00F73AD0">
        <w:rPr>
          <w:rFonts w:asciiTheme="majorHAnsi" w:hAnsiTheme="majorHAnsi"/>
          <w:sz w:val="20"/>
          <w:szCs w:val="20"/>
          <w:lang w:val="es-ES_tradnl"/>
        </w:rPr>
        <w:t>a</w:t>
      </w:r>
      <w:r w:rsidR="00691801" w:rsidRPr="00F73AD0">
        <w:rPr>
          <w:rFonts w:asciiTheme="majorHAnsi" w:hAnsiTheme="majorHAnsi"/>
          <w:sz w:val="20"/>
          <w:szCs w:val="20"/>
          <w:lang w:val="es-ES_tradnl"/>
        </w:rPr>
        <w:t xml:space="preserve"> laboral ordinaria. No obstante, los peticionarios invocan la excepción al agotamiento de los recursos internos de inexistencia de recursos adecuados y efectivos, debido a que </w:t>
      </w:r>
      <w:r w:rsidR="00C66C64" w:rsidRPr="00F73AD0">
        <w:rPr>
          <w:rFonts w:asciiTheme="majorHAnsi" w:hAnsiTheme="majorHAnsi"/>
          <w:sz w:val="20"/>
          <w:szCs w:val="20"/>
          <w:lang w:val="es-ES_tradnl"/>
        </w:rPr>
        <w:t xml:space="preserve">no </w:t>
      </w:r>
      <w:r w:rsidR="00A127E4" w:rsidRPr="00F73AD0">
        <w:rPr>
          <w:rFonts w:asciiTheme="majorHAnsi" w:hAnsiTheme="majorHAnsi"/>
          <w:sz w:val="20"/>
          <w:szCs w:val="20"/>
          <w:lang w:val="es-ES_tradnl"/>
        </w:rPr>
        <w:t>había</w:t>
      </w:r>
      <w:r w:rsidR="00C66C64" w:rsidRPr="00F73AD0">
        <w:rPr>
          <w:rFonts w:asciiTheme="majorHAnsi" w:hAnsiTheme="majorHAnsi"/>
          <w:sz w:val="20"/>
          <w:szCs w:val="20"/>
          <w:lang w:val="es-ES_tradnl"/>
        </w:rPr>
        <w:t xml:space="preserve"> probabilidad de éxito en el uso de estas diferentes acciones judiciales a nivel interno. El Estado colombiano replica que </w:t>
      </w:r>
      <w:r w:rsidR="00A57C4E" w:rsidRPr="00F73AD0">
        <w:rPr>
          <w:rFonts w:asciiTheme="majorHAnsi" w:hAnsiTheme="majorHAnsi"/>
          <w:sz w:val="20"/>
          <w:szCs w:val="20"/>
          <w:lang w:val="es-ES_tradnl"/>
        </w:rPr>
        <w:t xml:space="preserve">la parte peticionaria sólo proveyó </w:t>
      </w:r>
      <w:r w:rsidR="00A57C4E" w:rsidRPr="00F73AD0">
        <w:rPr>
          <w:rFonts w:asciiTheme="majorHAnsi" w:hAnsiTheme="majorHAnsi"/>
          <w:sz w:val="20"/>
          <w:szCs w:val="20"/>
          <w:lang w:val="es-ES_tradnl"/>
        </w:rPr>
        <w:lastRenderedPageBreak/>
        <w:t>información sobre el agotamiento de recursos internos de las tres presuntas víctimas iniciales</w:t>
      </w:r>
      <w:r w:rsidR="00DC3523" w:rsidRPr="00F73AD0">
        <w:rPr>
          <w:rFonts w:asciiTheme="majorHAnsi" w:hAnsiTheme="majorHAnsi"/>
          <w:sz w:val="20"/>
          <w:szCs w:val="20"/>
          <w:lang w:val="es-ES_tradnl"/>
        </w:rPr>
        <w:t xml:space="preserve">, por lo que </w:t>
      </w:r>
      <w:r w:rsidR="00251275" w:rsidRPr="00F73AD0">
        <w:rPr>
          <w:rFonts w:asciiTheme="majorHAnsi" w:hAnsiTheme="majorHAnsi"/>
          <w:sz w:val="20"/>
          <w:szCs w:val="20"/>
          <w:lang w:val="es-ES_tradnl"/>
        </w:rPr>
        <w:t xml:space="preserve">las demás </w:t>
      </w:r>
      <w:r w:rsidR="00DC3523" w:rsidRPr="00F73AD0">
        <w:rPr>
          <w:rFonts w:asciiTheme="majorHAnsi" w:hAnsiTheme="majorHAnsi"/>
          <w:sz w:val="20"/>
          <w:szCs w:val="20"/>
          <w:lang w:val="es-ES_tradnl"/>
        </w:rPr>
        <w:t xml:space="preserve">no habrían cumplido con este requisito. También </w:t>
      </w:r>
      <w:r w:rsidR="00EB546D" w:rsidRPr="00F73AD0">
        <w:rPr>
          <w:rFonts w:asciiTheme="majorHAnsi" w:hAnsiTheme="majorHAnsi"/>
          <w:sz w:val="20"/>
          <w:szCs w:val="20"/>
          <w:lang w:val="es-ES_tradnl"/>
        </w:rPr>
        <w:t>sostiene</w:t>
      </w:r>
      <w:r w:rsidR="00DC3523" w:rsidRPr="00F73AD0">
        <w:rPr>
          <w:rFonts w:asciiTheme="majorHAnsi" w:hAnsiTheme="majorHAnsi"/>
          <w:sz w:val="20"/>
          <w:szCs w:val="20"/>
          <w:lang w:val="es-ES_tradnl"/>
        </w:rPr>
        <w:t xml:space="preserve"> que la acción de tutela y la demanda laboral ordinaria sí </w:t>
      </w:r>
      <w:r w:rsidR="00B63DF8" w:rsidRPr="00F73AD0">
        <w:rPr>
          <w:rFonts w:asciiTheme="majorHAnsi" w:hAnsiTheme="majorHAnsi"/>
          <w:sz w:val="20"/>
          <w:szCs w:val="20"/>
          <w:lang w:val="es-ES_tradnl"/>
        </w:rPr>
        <w:t xml:space="preserve">son mecanismos idóneos y efectivos, puesto que </w:t>
      </w:r>
      <w:r w:rsidR="006A51BB" w:rsidRPr="00F73AD0">
        <w:rPr>
          <w:rFonts w:asciiTheme="majorHAnsi" w:hAnsiTheme="majorHAnsi"/>
          <w:sz w:val="20"/>
          <w:szCs w:val="20"/>
          <w:lang w:val="es-ES_tradnl"/>
        </w:rPr>
        <w:t xml:space="preserve">tienen </w:t>
      </w:r>
      <w:r w:rsidR="00362F40" w:rsidRPr="00F73AD0">
        <w:rPr>
          <w:rFonts w:asciiTheme="majorHAnsi" w:hAnsiTheme="majorHAnsi"/>
          <w:sz w:val="20"/>
          <w:szCs w:val="20"/>
          <w:lang w:val="es-ES_tradnl"/>
        </w:rPr>
        <w:t>el potencial</w:t>
      </w:r>
      <w:r w:rsidR="006A51BB" w:rsidRPr="00F73AD0">
        <w:rPr>
          <w:rFonts w:asciiTheme="majorHAnsi" w:hAnsiTheme="majorHAnsi"/>
          <w:sz w:val="20"/>
          <w:szCs w:val="20"/>
          <w:lang w:val="es-ES_tradnl"/>
        </w:rPr>
        <w:t xml:space="preserve"> de permitir el reconocimiento de la pensión extralegal</w:t>
      </w:r>
      <w:r w:rsidR="007836AC" w:rsidRPr="00F73AD0">
        <w:rPr>
          <w:rFonts w:asciiTheme="majorHAnsi" w:hAnsiTheme="majorHAnsi"/>
          <w:sz w:val="20"/>
          <w:szCs w:val="20"/>
          <w:lang w:val="es-ES_tradnl"/>
        </w:rPr>
        <w:t xml:space="preserve"> reclamada</w:t>
      </w:r>
      <w:r w:rsidR="006A51BB" w:rsidRPr="00F73AD0">
        <w:rPr>
          <w:rFonts w:asciiTheme="majorHAnsi" w:hAnsiTheme="majorHAnsi"/>
          <w:sz w:val="20"/>
          <w:szCs w:val="20"/>
          <w:lang w:val="es-ES_tradnl"/>
        </w:rPr>
        <w:t>, a</w:t>
      </w:r>
      <w:r w:rsidR="007836AC" w:rsidRPr="00F73AD0">
        <w:rPr>
          <w:rFonts w:asciiTheme="majorHAnsi" w:hAnsiTheme="majorHAnsi"/>
          <w:sz w:val="20"/>
          <w:szCs w:val="20"/>
          <w:lang w:val="es-ES_tradnl"/>
        </w:rPr>
        <w:t>u</w:t>
      </w:r>
      <w:r w:rsidR="006A51BB" w:rsidRPr="00F73AD0">
        <w:rPr>
          <w:rFonts w:asciiTheme="majorHAnsi" w:hAnsiTheme="majorHAnsi"/>
          <w:sz w:val="20"/>
          <w:szCs w:val="20"/>
          <w:lang w:val="es-ES_tradnl"/>
        </w:rPr>
        <w:t xml:space="preserve">n cuando en la mayoría de </w:t>
      </w:r>
      <w:r w:rsidR="00376881" w:rsidRPr="00F73AD0">
        <w:rPr>
          <w:rFonts w:asciiTheme="majorHAnsi" w:hAnsiTheme="majorHAnsi"/>
          <w:sz w:val="20"/>
          <w:szCs w:val="20"/>
          <w:lang w:val="es-ES_tradnl"/>
        </w:rPr>
        <w:t>los casos</w:t>
      </w:r>
      <w:r w:rsidR="006A51BB" w:rsidRPr="00F73AD0">
        <w:rPr>
          <w:rFonts w:asciiTheme="majorHAnsi" w:hAnsiTheme="majorHAnsi"/>
          <w:sz w:val="20"/>
          <w:szCs w:val="20"/>
          <w:lang w:val="es-ES_tradnl"/>
        </w:rPr>
        <w:t>, las solicitudes fueron rechazadas, pues en uno</w:t>
      </w:r>
      <w:r w:rsidR="00376881" w:rsidRPr="00F73AD0">
        <w:rPr>
          <w:rFonts w:asciiTheme="majorHAnsi" w:hAnsiTheme="majorHAnsi"/>
          <w:sz w:val="20"/>
          <w:szCs w:val="20"/>
          <w:lang w:val="es-ES_tradnl"/>
        </w:rPr>
        <w:t xml:space="preserve"> de ellos</w:t>
      </w:r>
      <w:r w:rsidR="006A51BB" w:rsidRPr="00F73AD0">
        <w:rPr>
          <w:rFonts w:asciiTheme="majorHAnsi" w:hAnsiTheme="majorHAnsi"/>
          <w:sz w:val="20"/>
          <w:szCs w:val="20"/>
          <w:lang w:val="es-ES_tradnl"/>
        </w:rPr>
        <w:t>, las pretensiones fueron acogidas.</w:t>
      </w:r>
    </w:p>
    <w:p w14:paraId="74C636F1" w14:textId="068ACE0D" w:rsidR="00821A8F" w:rsidRPr="00F73AD0" w:rsidRDefault="00CC2961"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A este respecto, </w:t>
      </w:r>
      <w:r w:rsidR="005A746B" w:rsidRPr="00F73AD0">
        <w:rPr>
          <w:rFonts w:asciiTheme="majorHAnsi" w:hAnsiTheme="majorHAnsi"/>
          <w:sz w:val="20"/>
          <w:szCs w:val="20"/>
          <w:lang w:val="es-CO"/>
        </w:rPr>
        <w:t>la efectividad de los recursos internos no se evalúa en función de una eventual resolución favorable a los intereses de la presunta víctima</w:t>
      </w:r>
      <w:r w:rsidR="005A746B" w:rsidRPr="00F73AD0">
        <w:rPr>
          <w:rStyle w:val="FootnoteReference"/>
          <w:rFonts w:asciiTheme="majorHAnsi" w:hAnsiTheme="majorHAnsi"/>
          <w:sz w:val="20"/>
          <w:szCs w:val="20"/>
          <w:lang w:val="es-CO"/>
        </w:rPr>
        <w:footnoteReference w:id="13"/>
      </w:r>
      <w:r w:rsidR="005A746B" w:rsidRPr="00F73AD0">
        <w:rPr>
          <w:rFonts w:asciiTheme="majorHAnsi" w:hAnsiTheme="majorHAnsi"/>
          <w:sz w:val="20"/>
          <w:szCs w:val="20"/>
          <w:lang w:val="es-CO"/>
        </w:rPr>
        <w:t xml:space="preserve">. </w:t>
      </w:r>
      <w:r w:rsidR="00185C1F" w:rsidRPr="00F73AD0">
        <w:rPr>
          <w:rFonts w:asciiTheme="majorHAnsi" w:hAnsiTheme="majorHAnsi"/>
          <w:sz w:val="20"/>
          <w:szCs w:val="20"/>
          <w:lang w:val="es-CO"/>
        </w:rPr>
        <w:t>De hecho</w:t>
      </w:r>
      <w:r w:rsidR="0012146D" w:rsidRPr="00F73AD0">
        <w:rPr>
          <w:rFonts w:asciiTheme="majorHAnsi" w:hAnsiTheme="majorHAnsi"/>
          <w:sz w:val="20"/>
          <w:szCs w:val="20"/>
          <w:lang w:val="es-CO"/>
        </w:rPr>
        <w:t xml:space="preserve">, </w:t>
      </w:r>
      <w:r w:rsidR="00CB0FFA" w:rsidRPr="00F73AD0">
        <w:rPr>
          <w:rFonts w:asciiTheme="majorHAnsi" w:hAnsiTheme="majorHAnsi"/>
          <w:sz w:val="20"/>
          <w:szCs w:val="20"/>
          <w:lang w:val="es-ES_tradnl"/>
        </w:rPr>
        <w:t xml:space="preserve">el análisis de la efectividad del recurso </w:t>
      </w:r>
      <w:r w:rsidR="00185C1F" w:rsidRPr="00F73AD0">
        <w:rPr>
          <w:rFonts w:asciiTheme="majorHAnsi" w:hAnsiTheme="majorHAnsi"/>
          <w:sz w:val="20"/>
          <w:szCs w:val="20"/>
          <w:lang w:val="es-ES_tradnl"/>
        </w:rPr>
        <w:t xml:space="preserve">consiste en verificar </w:t>
      </w:r>
      <w:r w:rsidR="00CB0FFA" w:rsidRPr="00F73AD0">
        <w:rPr>
          <w:rFonts w:asciiTheme="majorHAnsi" w:hAnsiTheme="majorHAnsi"/>
          <w:sz w:val="20"/>
          <w:szCs w:val="20"/>
          <w:lang w:val="es-ES_tradnl"/>
        </w:rPr>
        <w:t>que exista “</w:t>
      </w:r>
      <w:r w:rsidR="00CB0FFA" w:rsidRPr="00F73AD0">
        <w:rPr>
          <w:rFonts w:asciiTheme="majorHAnsi" w:hAnsiTheme="majorHAnsi"/>
          <w:i/>
          <w:iCs/>
          <w:sz w:val="20"/>
          <w:szCs w:val="20"/>
          <w:lang w:val="es-ES_tradnl"/>
        </w:rPr>
        <w:t xml:space="preserve">una autoridad competente y capaz de emitir una decisión vinculante </w:t>
      </w:r>
      <w:r w:rsidR="00C227E6" w:rsidRPr="00F73AD0">
        <w:rPr>
          <w:rFonts w:asciiTheme="majorHAnsi" w:hAnsiTheme="majorHAnsi"/>
          <w:i/>
          <w:iCs/>
          <w:sz w:val="20"/>
          <w:szCs w:val="20"/>
          <w:lang w:val="es-ES_tradnl"/>
        </w:rPr>
        <w:t xml:space="preserve">que </w:t>
      </w:r>
      <w:r w:rsidR="00CB0FFA" w:rsidRPr="00F73AD0">
        <w:rPr>
          <w:rFonts w:asciiTheme="majorHAnsi" w:hAnsiTheme="majorHAnsi"/>
          <w:i/>
          <w:iCs/>
          <w:sz w:val="20"/>
          <w:szCs w:val="20"/>
          <w:lang w:val="es-ES_tradnl"/>
        </w:rPr>
        <w:t>determine si ha habido o no una violación a algún derecho que la persona que reclama y estima tener</w:t>
      </w:r>
      <w:r w:rsidR="00CB0FFA" w:rsidRPr="00F73AD0">
        <w:rPr>
          <w:rFonts w:asciiTheme="majorHAnsi" w:hAnsiTheme="majorHAnsi"/>
          <w:sz w:val="20"/>
          <w:szCs w:val="20"/>
          <w:lang w:val="es-ES_tradnl"/>
        </w:rPr>
        <w:t>”</w:t>
      </w:r>
      <w:r w:rsidR="00CB0FFA" w:rsidRPr="00F73AD0">
        <w:rPr>
          <w:rStyle w:val="FootnoteReference"/>
          <w:rFonts w:asciiTheme="majorHAnsi" w:hAnsiTheme="majorHAnsi"/>
          <w:sz w:val="20"/>
          <w:szCs w:val="20"/>
          <w:lang w:val="es-ES_tradnl"/>
        </w:rPr>
        <w:footnoteReference w:id="14"/>
      </w:r>
      <w:r w:rsidR="00CB0FFA" w:rsidRPr="00F73AD0">
        <w:rPr>
          <w:rFonts w:asciiTheme="majorHAnsi" w:hAnsiTheme="majorHAnsi"/>
          <w:sz w:val="20"/>
          <w:szCs w:val="20"/>
          <w:lang w:val="es-ES_tradnl"/>
        </w:rPr>
        <w:t>.</w:t>
      </w:r>
    </w:p>
    <w:p w14:paraId="3EC0B70F" w14:textId="2191AF1C" w:rsidR="006A51BB" w:rsidRPr="00F73AD0" w:rsidRDefault="00BD4A10"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_tradnl"/>
        </w:rPr>
        <w:t xml:space="preserve">Bajo este entendido, el Estado </w:t>
      </w:r>
      <w:r w:rsidR="00D90F36" w:rsidRPr="00F73AD0">
        <w:rPr>
          <w:rFonts w:asciiTheme="majorHAnsi" w:hAnsiTheme="majorHAnsi"/>
          <w:sz w:val="20"/>
          <w:szCs w:val="20"/>
          <w:lang w:val="es-ES_tradnl"/>
        </w:rPr>
        <w:t xml:space="preserve">sostiene que la demanda laboral ordinaria y la acción de tutela son recursos que permiten a las presuntas víctimas reclamar el pago de la pensión convencional, </w:t>
      </w:r>
      <w:r w:rsidR="000667AD" w:rsidRPr="00F73AD0">
        <w:rPr>
          <w:rFonts w:asciiTheme="majorHAnsi" w:hAnsiTheme="majorHAnsi"/>
          <w:sz w:val="20"/>
          <w:szCs w:val="20"/>
          <w:lang w:val="es-ES_tradnl"/>
        </w:rPr>
        <w:t xml:space="preserve">si consideran que la eliminación de los regímenes especiales constituye una violación de sus derechos. </w:t>
      </w:r>
      <w:r w:rsidR="008263DA" w:rsidRPr="00F73AD0">
        <w:rPr>
          <w:rFonts w:asciiTheme="majorHAnsi" w:hAnsiTheme="majorHAnsi"/>
          <w:sz w:val="20"/>
          <w:szCs w:val="20"/>
          <w:lang w:val="es-ES_tradnl"/>
        </w:rPr>
        <w:t>En contraste, l</w:t>
      </w:r>
      <w:r w:rsidR="00D7357E" w:rsidRPr="00F73AD0">
        <w:rPr>
          <w:rFonts w:asciiTheme="majorHAnsi" w:hAnsiTheme="majorHAnsi"/>
          <w:sz w:val="20"/>
          <w:szCs w:val="20"/>
          <w:lang w:val="es-ES_tradnl"/>
        </w:rPr>
        <w:t xml:space="preserve">a parte peticionaria no ha </w:t>
      </w:r>
      <w:r w:rsidR="002C3650" w:rsidRPr="00F73AD0">
        <w:rPr>
          <w:rFonts w:asciiTheme="majorHAnsi" w:hAnsiTheme="majorHAnsi"/>
          <w:sz w:val="20"/>
          <w:szCs w:val="20"/>
          <w:lang w:val="es-ES_tradnl"/>
        </w:rPr>
        <w:t xml:space="preserve">ofrecido sustento suficiente para </w:t>
      </w:r>
      <w:r w:rsidR="00DD2037" w:rsidRPr="00F73AD0">
        <w:rPr>
          <w:rFonts w:asciiTheme="majorHAnsi" w:hAnsiTheme="majorHAnsi"/>
          <w:sz w:val="20"/>
          <w:szCs w:val="20"/>
          <w:lang w:val="es-ES_tradnl"/>
        </w:rPr>
        <w:t>determina</w:t>
      </w:r>
      <w:r w:rsidR="002C3650" w:rsidRPr="00F73AD0">
        <w:rPr>
          <w:rFonts w:asciiTheme="majorHAnsi" w:hAnsiTheme="majorHAnsi"/>
          <w:sz w:val="20"/>
          <w:szCs w:val="20"/>
          <w:lang w:val="es-ES_tradnl"/>
        </w:rPr>
        <w:t xml:space="preserve">r que estos mecanismos no permitieron el estudio de la alegada violación de los derechos de </w:t>
      </w:r>
      <w:r w:rsidR="002F3AF6" w:rsidRPr="00F73AD0">
        <w:rPr>
          <w:rFonts w:asciiTheme="majorHAnsi" w:hAnsiTheme="majorHAnsi"/>
          <w:sz w:val="20"/>
          <w:szCs w:val="20"/>
          <w:lang w:val="es-ES_tradnl"/>
        </w:rPr>
        <w:t>los afiliados de la ANEBRE</w:t>
      </w:r>
      <w:r w:rsidR="008263DA" w:rsidRPr="00F73AD0">
        <w:rPr>
          <w:rFonts w:asciiTheme="majorHAnsi" w:hAnsiTheme="majorHAnsi"/>
          <w:sz w:val="20"/>
          <w:szCs w:val="20"/>
          <w:lang w:val="es-ES_tradnl"/>
        </w:rPr>
        <w:t xml:space="preserve">, </w:t>
      </w:r>
      <w:r w:rsidR="006E77BD" w:rsidRPr="00F73AD0">
        <w:rPr>
          <w:rFonts w:asciiTheme="majorHAnsi" w:hAnsiTheme="majorHAnsi"/>
          <w:sz w:val="20"/>
          <w:szCs w:val="20"/>
          <w:lang w:val="es-ES_tradnl"/>
        </w:rPr>
        <w:t xml:space="preserve">limitándose a </w:t>
      </w:r>
      <w:r w:rsidR="008263DA" w:rsidRPr="00F73AD0">
        <w:rPr>
          <w:rFonts w:asciiTheme="majorHAnsi" w:hAnsiTheme="majorHAnsi"/>
          <w:sz w:val="20"/>
          <w:szCs w:val="20"/>
          <w:lang w:val="es-ES_tradnl"/>
        </w:rPr>
        <w:t>señalar que el resultado de los mismos sería desfavorable a las presuntas víctimas</w:t>
      </w:r>
      <w:r w:rsidR="002C3650" w:rsidRPr="00F73AD0">
        <w:rPr>
          <w:rFonts w:asciiTheme="majorHAnsi" w:hAnsiTheme="majorHAnsi"/>
          <w:sz w:val="20"/>
          <w:szCs w:val="20"/>
          <w:lang w:val="es-ES_tradnl"/>
        </w:rPr>
        <w:t>.</w:t>
      </w:r>
      <w:r w:rsidR="006E77BD" w:rsidRPr="00F73AD0">
        <w:rPr>
          <w:rFonts w:asciiTheme="majorHAnsi" w:hAnsiTheme="majorHAnsi"/>
          <w:sz w:val="20"/>
          <w:szCs w:val="20"/>
          <w:lang w:val="es-ES_tradnl"/>
        </w:rPr>
        <w:t xml:space="preserve"> Por consiguiente, la Comisión desestima la excepción al agotamiento de los recursos internos invocada por la parte peticionaria, en la medida en que no logr</w:t>
      </w:r>
      <w:r w:rsidR="00795536" w:rsidRPr="00F73AD0">
        <w:rPr>
          <w:rFonts w:asciiTheme="majorHAnsi" w:hAnsiTheme="majorHAnsi"/>
          <w:sz w:val="20"/>
          <w:szCs w:val="20"/>
          <w:lang w:val="es-ES_tradnl"/>
        </w:rPr>
        <w:t>ó</w:t>
      </w:r>
      <w:r w:rsidR="006E77BD" w:rsidRPr="00F73AD0">
        <w:rPr>
          <w:rFonts w:asciiTheme="majorHAnsi" w:hAnsiTheme="majorHAnsi"/>
          <w:sz w:val="20"/>
          <w:szCs w:val="20"/>
          <w:lang w:val="es-ES_tradnl"/>
        </w:rPr>
        <w:t xml:space="preserve"> desvirtuar que </w:t>
      </w:r>
      <w:r w:rsidR="008E597D" w:rsidRPr="00F73AD0">
        <w:rPr>
          <w:rFonts w:asciiTheme="majorHAnsi" w:hAnsiTheme="majorHAnsi"/>
          <w:sz w:val="20"/>
          <w:szCs w:val="20"/>
          <w:lang w:val="es-ES_tradnl"/>
        </w:rPr>
        <w:t xml:space="preserve">la demanda laboral ordinaria y la acción de tutela </w:t>
      </w:r>
      <w:r w:rsidR="00D8312A" w:rsidRPr="00F73AD0">
        <w:rPr>
          <w:rFonts w:asciiTheme="majorHAnsi" w:hAnsiTheme="majorHAnsi"/>
          <w:sz w:val="20"/>
          <w:szCs w:val="20"/>
          <w:lang w:val="es-ES_tradnl"/>
        </w:rPr>
        <w:t>fuer</w:t>
      </w:r>
      <w:r w:rsidR="008E597D" w:rsidRPr="00F73AD0">
        <w:rPr>
          <w:rFonts w:asciiTheme="majorHAnsi" w:hAnsiTheme="majorHAnsi"/>
          <w:sz w:val="20"/>
          <w:szCs w:val="20"/>
          <w:lang w:val="es-ES_tradnl"/>
        </w:rPr>
        <w:t>an recursos adecuados y efectivos para analizar las violaciones alegadas</w:t>
      </w:r>
      <w:r w:rsidR="003E1407" w:rsidRPr="00F73AD0">
        <w:rPr>
          <w:rFonts w:asciiTheme="majorHAnsi" w:hAnsiTheme="majorHAnsi"/>
          <w:sz w:val="20"/>
          <w:szCs w:val="20"/>
          <w:lang w:val="es-ES_tradnl"/>
        </w:rPr>
        <w:t xml:space="preserve"> a nivel interno</w:t>
      </w:r>
      <w:r w:rsidR="008E597D" w:rsidRPr="00F73AD0">
        <w:rPr>
          <w:rFonts w:asciiTheme="majorHAnsi" w:hAnsiTheme="majorHAnsi"/>
          <w:sz w:val="20"/>
          <w:szCs w:val="20"/>
          <w:lang w:val="es-ES_tradnl"/>
        </w:rPr>
        <w:t>.</w:t>
      </w:r>
    </w:p>
    <w:p w14:paraId="7446712A" w14:textId="44B77278" w:rsidR="00ED5E10" w:rsidRPr="00F73AD0" w:rsidRDefault="009A0489"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Ahora, dado que la Comisión sólo tiene información sobre el agotamiento de recursos internos </w:t>
      </w:r>
      <w:r w:rsidR="00570AF4" w:rsidRPr="00F73AD0">
        <w:rPr>
          <w:rFonts w:asciiTheme="majorHAnsi" w:hAnsiTheme="majorHAnsi"/>
          <w:sz w:val="20"/>
          <w:szCs w:val="20"/>
          <w:lang w:val="es-ES"/>
        </w:rPr>
        <w:t>respecto de</w:t>
      </w:r>
      <w:r w:rsidRPr="00F73AD0">
        <w:rPr>
          <w:rFonts w:asciiTheme="majorHAnsi" w:hAnsiTheme="majorHAnsi"/>
          <w:sz w:val="20"/>
          <w:szCs w:val="20"/>
          <w:lang w:val="es-ES"/>
        </w:rPr>
        <w:t xml:space="preserve"> </w:t>
      </w:r>
      <w:r w:rsidR="003D2D3A" w:rsidRPr="00F73AD0">
        <w:rPr>
          <w:rFonts w:asciiTheme="majorHAnsi" w:hAnsiTheme="majorHAnsi"/>
          <w:sz w:val="20"/>
          <w:szCs w:val="20"/>
          <w:lang w:val="es-ES"/>
        </w:rPr>
        <w:t>4</w:t>
      </w:r>
      <w:r w:rsidR="00814409" w:rsidRPr="00F73AD0">
        <w:rPr>
          <w:rFonts w:asciiTheme="majorHAnsi" w:hAnsiTheme="majorHAnsi"/>
          <w:sz w:val="20"/>
          <w:szCs w:val="20"/>
          <w:lang w:val="es-ES"/>
        </w:rPr>
        <w:t>6</w:t>
      </w:r>
      <w:r w:rsidR="003D2D3A" w:rsidRPr="00F73AD0">
        <w:rPr>
          <w:rFonts w:asciiTheme="majorHAnsi" w:hAnsiTheme="majorHAnsi"/>
          <w:sz w:val="20"/>
          <w:szCs w:val="20"/>
          <w:lang w:val="es-ES"/>
        </w:rPr>
        <w:t xml:space="preserve"> </w:t>
      </w:r>
      <w:r w:rsidRPr="00F73AD0">
        <w:rPr>
          <w:rFonts w:asciiTheme="majorHAnsi" w:hAnsiTheme="majorHAnsi"/>
          <w:sz w:val="20"/>
          <w:szCs w:val="20"/>
          <w:lang w:val="es-ES"/>
        </w:rPr>
        <w:t xml:space="preserve">de las </w:t>
      </w:r>
      <w:r w:rsidR="003D2D3A" w:rsidRPr="00F73AD0">
        <w:rPr>
          <w:rFonts w:asciiTheme="majorHAnsi" w:hAnsiTheme="majorHAnsi"/>
          <w:sz w:val="20"/>
          <w:szCs w:val="20"/>
          <w:lang w:val="es-ES"/>
        </w:rPr>
        <w:t>presuntas víctimas</w:t>
      </w:r>
      <w:r w:rsidR="00CC6457" w:rsidRPr="00F73AD0">
        <w:rPr>
          <w:rFonts w:asciiTheme="majorHAnsi" w:hAnsiTheme="majorHAnsi"/>
          <w:sz w:val="20"/>
          <w:szCs w:val="20"/>
          <w:lang w:val="es-ES"/>
        </w:rPr>
        <w:t xml:space="preserve"> de esta petición, </w:t>
      </w:r>
      <w:r w:rsidR="004E51C5" w:rsidRPr="00F73AD0">
        <w:rPr>
          <w:rFonts w:asciiTheme="majorHAnsi" w:hAnsiTheme="majorHAnsi"/>
          <w:sz w:val="20"/>
          <w:szCs w:val="20"/>
          <w:lang w:val="es-ES"/>
        </w:rPr>
        <w:t xml:space="preserve">reseñada en la tabla </w:t>
      </w:r>
      <w:r w:rsidR="00CC6457" w:rsidRPr="00F73AD0">
        <w:rPr>
          <w:rFonts w:asciiTheme="majorHAnsi" w:hAnsiTheme="majorHAnsi"/>
          <w:i/>
          <w:iCs/>
          <w:sz w:val="20"/>
          <w:szCs w:val="20"/>
          <w:lang w:val="es-ES"/>
        </w:rPr>
        <w:t>supra</w:t>
      </w:r>
      <w:r w:rsidR="004E51C5" w:rsidRPr="00F73AD0">
        <w:rPr>
          <w:rFonts w:asciiTheme="majorHAnsi" w:hAnsiTheme="majorHAnsi"/>
          <w:i/>
          <w:iCs/>
          <w:sz w:val="20"/>
          <w:szCs w:val="20"/>
          <w:lang w:val="es-ES"/>
        </w:rPr>
        <w:t xml:space="preserve"> </w:t>
      </w:r>
      <w:r w:rsidR="004E51C5" w:rsidRPr="00F73AD0">
        <w:rPr>
          <w:rFonts w:asciiTheme="majorHAnsi" w:hAnsiTheme="majorHAnsi"/>
          <w:sz w:val="20"/>
          <w:szCs w:val="20"/>
          <w:lang w:val="es-ES"/>
        </w:rPr>
        <w:t>párr.</w:t>
      </w:r>
      <w:r w:rsidR="004C642F" w:rsidRPr="00F73AD0">
        <w:rPr>
          <w:rFonts w:asciiTheme="majorHAnsi" w:hAnsiTheme="majorHAnsi"/>
          <w:sz w:val="20"/>
          <w:szCs w:val="20"/>
          <w:lang w:val="es-ES"/>
        </w:rPr>
        <w:t xml:space="preserve"> 6</w:t>
      </w:r>
      <w:r w:rsidR="00CC6457" w:rsidRPr="00F73AD0">
        <w:rPr>
          <w:rFonts w:asciiTheme="majorHAnsi" w:hAnsiTheme="majorHAnsi"/>
          <w:sz w:val="20"/>
          <w:szCs w:val="20"/>
          <w:lang w:val="es-ES"/>
        </w:rPr>
        <w:t xml:space="preserve">; declarará la inadmisibilidad con respecto a </w:t>
      </w:r>
      <w:r w:rsidR="004C642F" w:rsidRPr="00F73AD0">
        <w:rPr>
          <w:rFonts w:asciiTheme="majorHAnsi" w:hAnsiTheme="majorHAnsi"/>
          <w:sz w:val="20"/>
          <w:szCs w:val="20"/>
          <w:lang w:val="es-ES"/>
        </w:rPr>
        <w:t xml:space="preserve">las </w:t>
      </w:r>
      <w:r w:rsidR="000F7258" w:rsidRPr="00F73AD0">
        <w:rPr>
          <w:rFonts w:asciiTheme="majorHAnsi" w:hAnsiTheme="majorHAnsi"/>
          <w:sz w:val="20"/>
          <w:szCs w:val="20"/>
          <w:lang w:val="es-ES"/>
        </w:rPr>
        <w:t>1.3</w:t>
      </w:r>
      <w:r w:rsidR="004C642F" w:rsidRPr="00F73AD0">
        <w:rPr>
          <w:rFonts w:asciiTheme="majorHAnsi" w:hAnsiTheme="majorHAnsi"/>
          <w:sz w:val="20"/>
          <w:szCs w:val="20"/>
          <w:lang w:val="es-ES"/>
        </w:rPr>
        <w:t>4</w:t>
      </w:r>
      <w:r w:rsidR="00814409" w:rsidRPr="00F73AD0">
        <w:rPr>
          <w:rFonts w:asciiTheme="majorHAnsi" w:hAnsiTheme="majorHAnsi"/>
          <w:sz w:val="20"/>
          <w:szCs w:val="20"/>
          <w:lang w:val="es-ES"/>
        </w:rPr>
        <w:t>6</w:t>
      </w:r>
      <w:r w:rsidR="004C642F" w:rsidRPr="00F73AD0">
        <w:rPr>
          <w:rFonts w:asciiTheme="majorHAnsi" w:hAnsiTheme="majorHAnsi"/>
          <w:sz w:val="20"/>
          <w:szCs w:val="20"/>
          <w:lang w:val="es-ES"/>
        </w:rPr>
        <w:t xml:space="preserve"> personas</w:t>
      </w:r>
      <w:r w:rsidR="009A07F9" w:rsidRPr="00F73AD0">
        <w:rPr>
          <w:rFonts w:asciiTheme="majorHAnsi" w:hAnsiTheme="majorHAnsi"/>
          <w:sz w:val="20"/>
          <w:szCs w:val="20"/>
          <w:lang w:val="es-ES"/>
        </w:rPr>
        <w:t xml:space="preserve"> de la lista anexada por la parte peticionaria que no estén contenidas en la tabla</w:t>
      </w:r>
      <w:r w:rsidR="003D2D3A" w:rsidRPr="00F73AD0">
        <w:rPr>
          <w:rFonts w:asciiTheme="majorHAnsi" w:hAnsiTheme="majorHAnsi"/>
          <w:sz w:val="20"/>
          <w:szCs w:val="20"/>
          <w:lang w:val="es-ES"/>
        </w:rPr>
        <w:t>.</w:t>
      </w:r>
    </w:p>
    <w:p w14:paraId="44254AA2" w14:textId="2CDDD6C5" w:rsidR="00326D23" w:rsidRPr="00F73AD0" w:rsidRDefault="00C57635"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
        </w:rPr>
        <w:t>En cuanto</w:t>
      </w:r>
      <w:r w:rsidR="000F7954" w:rsidRPr="00F73AD0">
        <w:rPr>
          <w:rFonts w:asciiTheme="majorHAnsi" w:hAnsiTheme="majorHAnsi"/>
          <w:sz w:val="20"/>
          <w:szCs w:val="20"/>
          <w:lang w:val="es-ES"/>
        </w:rPr>
        <w:t xml:space="preserve"> a</w:t>
      </w:r>
      <w:r w:rsidRPr="00F73AD0">
        <w:rPr>
          <w:rFonts w:asciiTheme="majorHAnsi" w:hAnsiTheme="majorHAnsi"/>
          <w:sz w:val="20"/>
          <w:szCs w:val="20"/>
          <w:lang w:val="es-ES"/>
        </w:rPr>
        <w:t xml:space="preserve"> los recursos que la CIDH tomará en consideración dentro del agotamiento,</w:t>
      </w:r>
      <w:r w:rsidR="00A82A23">
        <w:rPr>
          <w:rFonts w:asciiTheme="majorHAnsi" w:hAnsiTheme="majorHAnsi"/>
          <w:sz w:val="20"/>
          <w:szCs w:val="20"/>
          <w:lang w:val="es-ES"/>
        </w:rPr>
        <w:t xml:space="preserve"> </w:t>
      </w:r>
      <w:r w:rsidR="00307BF9">
        <w:rPr>
          <w:rFonts w:asciiTheme="majorHAnsi" w:hAnsiTheme="majorHAnsi"/>
          <w:sz w:val="20"/>
          <w:szCs w:val="20"/>
          <w:lang w:val="es-ES"/>
        </w:rPr>
        <w:t>es importante recordar</w:t>
      </w:r>
      <w:r w:rsidRPr="00F73AD0">
        <w:rPr>
          <w:rFonts w:asciiTheme="majorHAnsi" w:hAnsiTheme="majorHAnsi"/>
          <w:sz w:val="20"/>
          <w:szCs w:val="20"/>
          <w:lang w:val="es-ES"/>
        </w:rPr>
        <w:t xml:space="preserve"> </w:t>
      </w:r>
      <w:r w:rsidR="00314428" w:rsidRPr="00F73AD0">
        <w:rPr>
          <w:rFonts w:asciiTheme="majorHAnsi" w:hAnsiTheme="majorHAnsi" w:cs="Calibri"/>
          <w:sz w:val="20"/>
          <w:szCs w:val="20"/>
          <w:lang w:val="es-ES_tradnl"/>
        </w:rPr>
        <w:t>que el requisito de agotamiento de los recursos internos no significa que las presuntas víctimas tengan necesariamente la obligación de agotar todos los recursos que tengan disponibles. En consecuencia, si la presunta víctima planteó la cuestión por alguna de las alternativas válidas y adecuadas según el ordenamiento jurídico interno y el Estado tuvo la oportunidad de remediar la cuestión en su jurisdicción, la finalidad de la norma internacional está cumplida</w:t>
      </w:r>
      <w:r w:rsidR="00314428" w:rsidRPr="00F73AD0">
        <w:rPr>
          <w:rStyle w:val="FootnoteReference"/>
          <w:rFonts w:asciiTheme="majorHAnsi" w:hAnsiTheme="majorHAnsi" w:cs="Calibri"/>
          <w:sz w:val="20"/>
          <w:szCs w:val="20"/>
          <w:lang w:val="es-ES_tradnl"/>
        </w:rPr>
        <w:footnoteReference w:id="15"/>
      </w:r>
      <w:r w:rsidR="00314428" w:rsidRPr="00F73AD0">
        <w:rPr>
          <w:rFonts w:asciiTheme="majorHAnsi" w:hAnsiTheme="majorHAnsi" w:cs="Calibri"/>
          <w:sz w:val="20"/>
          <w:szCs w:val="20"/>
          <w:lang w:val="es-ES_tradnl"/>
        </w:rPr>
        <w:t>. En el mismo sentido, la Corte I</w:t>
      </w:r>
      <w:r w:rsidR="00764097" w:rsidRPr="00F73AD0">
        <w:rPr>
          <w:rFonts w:asciiTheme="majorHAnsi" w:hAnsiTheme="majorHAnsi" w:cs="Calibri"/>
          <w:sz w:val="20"/>
          <w:szCs w:val="20"/>
          <w:lang w:val="es-ES_tradnl"/>
        </w:rPr>
        <w:t>nteramericana</w:t>
      </w:r>
      <w:r w:rsidR="00314428" w:rsidRPr="00F73AD0">
        <w:rPr>
          <w:rFonts w:asciiTheme="majorHAnsi" w:hAnsiTheme="majorHAnsi" w:cs="Calibri"/>
          <w:sz w:val="20"/>
          <w:szCs w:val="20"/>
          <w:lang w:val="es-ES_tradnl"/>
        </w:rPr>
        <w:t xml:space="preserve"> ha establecido que “</w:t>
      </w:r>
      <w:r w:rsidR="00314428" w:rsidRPr="00F73AD0">
        <w:rPr>
          <w:rFonts w:asciiTheme="majorHAnsi" w:hAnsiTheme="majorHAnsi" w:cs="Calibri"/>
          <w:i/>
          <w:iCs/>
          <w:sz w:val="20"/>
          <w:szCs w:val="20"/>
          <w:lang w:val="es-ES_tradnl"/>
        </w:rPr>
        <w:t>no es necesario el agotamiento de la vía interna respecto de todos o cualquiera de los recursos disponibles sino que</w:t>
      </w:r>
      <w:r w:rsidR="00314428" w:rsidRPr="00F73AD0">
        <w:rPr>
          <w:rFonts w:asciiTheme="majorHAnsi" w:hAnsiTheme="majorHAnsi" w:cs="Calibri"/>
          <w:sz w:val="20"/>
          <w:szCs w:val="20"/>
          <w:lang w:val="es-ES_tradnl"/>
        </w:rPr>
        <w:t xml:space="preserve"> […] </w:t>
      </w:r>
      <w:r w:rsidR="00314428" w:rsidRPr="00F73AD0">
        <w:rPr>
          <w:rFonts w:asciiTheme="majorHAnsi" w:hAnsiTheme="majorHAnsi" w:cs="Calibri"/>
          <w:i/>
          <w:iCs/>
          <w:sz w:val="20"/>
          <w:szCs w:val="20"/>
          <w:lang w:val="es-ES_tradnl"/>
        </w:rPr>
        <w:t>los recursos que deben ser agotados son aquellos que resultan adecuados en la situación particular de la violación de derechos humanos alegada</w:t>
      </w:r>
      <w:r w:rsidR="00314428" w:rsidRPr="00F73AD0">
        <w:rPr>
          <w:rFonts w:asciiTheme="majorHAnsi" w:hAnsiTheme="majorHAnsi" w:cs="Calibri"/>
          <w:sz w:val="20"/>
          <w:szCs w:val="20"/>
          <w:lang w:val="es-ES_tradnl"/>
        </w:rPr>
        <w:t>”</w:t>
      </w:r>
      <w:r w:rsidR="00314428" w:rsidRPr="00F73AD0">
        <w:rPr>
          <w:rStyle w:val="FootnoteReference"/>
          <w:rFonts w:asciiTheme="majorHAnsi" w:hAnsiTheme="majorHAnsi" w:cs="Calibri"/>
          <w:sz w:val="20"/>
          <w:szCs w:val="20"/>
          <w:lang w:val="es-ES_tradnl"/>
        </w:rPr>
        <w:footnoteReference w:id="16"/>
      </w:r>
      <w:r w:rsidR="00314428" w:rsidRPr="00F73AD0">
        <w:rPr>
          <w:rFonts w:asciiTheme="majorHAnsi" w:hAnsiTheme="majorHAnsi" w:cs="Calibri"/>
          <w:sz w:val="20"/>
          <w:szCs w:val="20"/>
          <w:lang w:val="es-ES_tradnl"/>
        </w:rPr>
        <w:t>.</w:t>
      </w:r>
    </w:p>
    <w:p w14:paraId="790F4BBB" w14:textId="66012532" w:rsidR="00C85280" w:rsidRPr="00BC3961" w:rsidRDefault="009328D8"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cs="Calibri"/>
          <w:sz w:val="20"/>
          <w:szCs w:val="20"/>
          <w:lang w:val="es-ES_tradnl"/>
        </w:rPr>
        <w:t xml:space="preserve">Por ello, la Comisión estudiará la acción de constitucionalidad, las acciones de tutela y las demandas ordinarias laborales </w:t>
      </w:r>
      <w:r w:rsidR="00A931AF" w:rsidRPr="00F73AD0">
        <w:rPr>
          <w:rFonts w:asciiTheme="majorHAnsi" w:hAnsiTheme="majorHAnsi" w:cs="Calibri"/>
          <w:sz w:val="20"/>
          <w:szCs w:val="20"/>
          <w:lang w:val="es-ES_tradnl"/>
        </w:rPr>
        <w:t>a fin de verificar si cumplen con el plazo de seis meses de presentación</w:t>
      </w:r>
      <w:r w:rsidR="000B2A67" w:rsidRPr="00F73AD0">
        <w:rPr>
          <w:rFonts w:asciiTheme="majorHAnsi" w:hAnsiTheme="majorHAnsi" w:cs="Calibri"/>
          <w:sz w:val="20"/>
          <w:szCs w:val="20"/>
          <w:lang w:val="es-ES_tradnl"/>
        </w:rPr>
        <w:t xml:space="preserve"> de la petición</w:t>
      </w:r>
      <w:r w:rsidR="00A931AF" w:rsidRPr="00F73AD0">
        <w:rPr>
          <w:rFonts w:asciiTheme="majorHAnsi" w:hAnsiTheme="majorHAnsi" w:cs="Calibri"/>
          <w:sz w:val="20"/>
          <w:szCs w:val="20"/>
          <w:lang w:val="es-ES_tradnl"/>
        </w:rPr>
        <w:t xml:space="preserve">, contemplado en el artículo 46.1.b) de la Convención Americana, </w:t>
      </w:r>
      <w:r w:rsidR="009E2D14" w:rsidRPr="00F73AD0">
        <w:rPr>
          <w:rFonts w:asciiTheme="majorHAnsi" w:hAnsiTheme="majorHAnsi" w:cs="Calibri"/>
          <w:sz w:val="20"/>
          <w:szCs w:val="20"/>
          <w:lang w:val="es-ES_tradnl"/>
        </w:rPr>
        <w:t>y determinar si los reclamos allí planteados son admisibles.</w:t>
      </w:r>
    </w:p>
    <w:p w14:paraId="33F380A8" w14:textId="77777777" w:rsidR="00BC3961" w:rsidRPr="00F73AD0" w:rsidRDefault="00BC3961" w:rsidP="00BC3961">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
        </w:rPr>
      </w:pPr>
    </w:p>
    <w:p w14:paraId="52435203" w14:textId="50FC68D7" w:rsidR="009E2D14" w:rsidRPr="00F73AD0" w:rsidRDefault="009E2D14"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cs="Calibri"/>
          <w:sz w:val="20"/>
          <w:szCs w:val="20"/>
          <w:lang w:val="es-ES_tradnl"/>
        </w:rPr>
        <w:lastRenderedPageBreak/>
        <w:t>En primer lugar, la CIDH nota que</w:t>
      </w:r>
      <w:r w:rsidR="00307BF9">
        <w:rPr>
          <w:rFonts w:asciiTheme="majorHAnsi" w:hAnsiTheme="majorHAnsi" w:cs="Calibri"/>
          <w:sz w:val="20"/>
          <w:szCs w:val="20"/>
          <w:lang w:val="es-ES_tradnl"/>
        </w:rPr>
        <w:t>,</w:t>
      </w:r>
      <w:r w:rsidR="00855FD2" w:rsidRPr="00F73AD0">
        <w:rPr>
          <w:rFonts w:asciiTheme="majorHAnsi" w:hAnsiTheme="majorHAnsi" w:cs="Calibri"/>
          <w:sz w:val="20"/>
          <w:szCs w:val="20"/>
          <w:lang w:val="es-ES_tradnl"/>
        </w:rPr>
        <w:t xml:space="preserve"> de acuerdo con la información suministrada por la parte peticionaria</w:t>
      </w:r>
      <w:r w:rsidR="000873EE">
        <w:rPr>
          <w:rFonts w:asciiTheme="majorHAnsi" w:hAnsiTheme="majorHAnsi" w:cs="Calibri"/>
          <w:sz w:val="20"/>
          <w:szCs w:val="20"/>
          <w:lang w:val="es-ES_tradnl"/>
        </w:rPr>
        <w:t>,</w:t>
      </w:r>
      <w:r w:rsidR="00855FD2" w:rsidRPr="00F73AD0">
        <w:rPr>
          <w:rFonts w:asciiTheme="majorHAnsi" w:hAnsiTheme="majorHAnsi" w:cs="Calibri"/>
          <w:sz w:val="20"/>
          <w:szCs w:val="20"/>
          <w:lang w:val="es-ES_tradnl"/>
        </w:rPr>
        <w:t xml:space="preserve"> la última demanda de constitucionalidad fue resuelta por la Corte Constitucional el </w:t>
      </w:r>
      <w:r w:rsidR="0009498D" w:rsidRPr="00F73AD0">
        <w:rPr>
          <w:rFonts w:asciiTheme="majorHAnsi" w:hAnsiTheme="majorHAnsi" w:cs="Calibri"/>
          <w:sz w:val="20"/>
          <w:szCs w:val="20"/>
          <w:lang w:val="es-ES_tradnl"/>
        </w:rPr>
        <w:t>3 de mayo de 2007</w:t>
      </w:r>
      <w:r w:rsidR="00463503" w:rsidRPr="00F73AD0">
        <w:rPr>
          <w:rFonts w:asciiTheme="majorHAnsi" w:hAnsiTheme="majorHAnsi" w:cs="Calibri"/>
          <w:sz w:val="20"/>
          <w:szCs w:val="20"/>
          <w:lang w:val="es-ES_tradnl"/>
        </w:rPr>
        <w:t>. Dado que la petición fue presentada el 22 de septiembre de 2015,</w:t>
      </w:r>
      <w:r w:rsidR="00F67067" w:rsidRPr="00F73AD0">
        <w:rPr>
          <w:rFonts w:asciiTheme="majorHAnsi" w:hAnsiTheme="majorHAnsi" w:cs="Calibri"/>
          <w:sz w:val="20"/>
          <w:szCs w:val="20"/>
          <w:lang w:val="es-ES_tradnl"/>
        </w:rPr>
        <w:t xml:space="preserve"> más de ocho años después de la sentencia referida, </w:t>
      </w:r>
      <w:r w:rsidR="00E20539" w:rsidRPr="00F73AD0">
        <w:rPr>
          <w:rFonts w:asciiTheme="majorHAnsi" w:hAnsiTheme="majorHAnsi" w:cs="Calibri"/>
          <w:sz w:val="20"/>
          <w:szCs w:val="20"/>
          <w:lang w:val="es-ES_tradnl"/>
        </w:rPr>
        <w:t>el trámite surtido respecto de este</w:t>
      </w:r>
      <w:r w:rsidR="00463503" w:rsidRPr="00F73AD0">
        <w:rPr>
          <w:rFonts w:asciiTheme="majorHAnsi" w:hAnsiTheme="majorHAnsi" w:cs="Calibri"/>
          <w:sz w:val="20"/>
          <w:szCs w:val="20"/>
          <w:lang w:val="es-ES_tradnl"/>
        </w:rPr>
        <w:t xml:space="preserve"> recurso no cumple con el requisito de </w:t>
      </w:r>
      <w:r w:rsidR="00BC185C" w:rsidRPr="00F73AD0">
        <w:rPr>
          <w:rFonts w:asciiTheme="majorHAnsi" w:hAnsiTheme="majorHAnsi" w:cs="Calibri"/>
          <w:sz w:val="20"/>
          <w:szCs w:val="20"/>
          <w:lang w:val="es-ES_tradnl"/>
        </w:rPr>
        <w:t xml:space="preserve">presentación </w:t>
      </w:r>
      <w:r w:rsidR="00463503" w:rsidRPr="00F73AD0">
        <w:rPr>
          <w:rFonts w:asciiTheme="majorHAnsi" w:hAnsiTheme="majorHAnsi" w:cs="Calibri"/>
          <w:sz w:val="20"/>
          <w:szCs w:val="20"/>
          <w:lang w:val="es-ES_tradnl"/>
        </w:rPr>
        <w:t>dentro del término de seis meses de la última decisión.</w:t>
      </w:r>
    </w:p>
    <w:p w14:paraId="034C12E8" w14:textId="37B8A901" w:rsidR="00BC185C" w:rsidRPr="00F73AD0" w:rsidRDefault="00BC185C"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cs="Calibri"/>
          <w:sz w:val="20"/>
          <w:szCs w:val="20"/>
          <w:lang w:val="es-ES_tradnl"/>
        </w:rPr>
        <w:t xml:space="preserve">En segundo lugar, las </w:t>
      </w:r>
      <w:r w:rsidR="00183E0B" w:rsidRPr="00F73AD0">
        <w:rPr>
          <w:rFonts w:asciiTheme="majorHAnsi" w:hAnsiTheme="majorHAnsi" w:cs="Calibri"/>
          <w:sz w:val="20"/>
          <w:szCs w:val="20"/>
          <w:lang w:val="es-ES_tradnl"/>
        </w:rPr>
        <w:t xml:space="preserve">32 </w:t>
      </w:r>
      <w:r w:rsidRPr="00F73AD0">
        <w:rPr>
          <w:rFonts w:asciiTheme="majorHAnsi" w:hAnsiTheme="majorHAnsi" w:cs="Calibri"/>
          <w:sz w:val="20"/>
          <w:szCs w:val="20"/>
          <w:lang w:val="es-ES_tradnl"/>
        </w:rPr>
        <w:t>acciones de tutela que reseñan los peticionarios culminaron con la emisión de la Sentencia SU-555 de</w:t>
      </w:r>
      <w:r w:rsidR="00183E0B" w:rsidRPr="00F73AD0">
        <w:rPr>
          <w:rFonts w:asciiTheme="majorHAnsi" w:hAnsiTheme="majorHAnsi" w:cs="Calibri"/>
          <w:sz w:val="20"/>
          <w:szCs w:val="20"/>
          <w:lang w:val="es-ES_tradnl"/>
        </w:rPr>
        <w:t xml:space="preserve"> 24 de julio de 2014 tampoco cumplen con este requisito, pues la petición fue presentada </w:t>
      </w:r>
      <w:r w:rsidR="007350A8" w:rsidRPr="00F73AD0">
        <w:rPr>
          <w:rFonts w:asciiTheme="majorHAnsi" w:hAnsiTheme="majorHAnsi" w:cs="Calibri"/>
          <w:sz w:val="20"/>
          <w:szCs w:val="20"/>
          <w:lang w:val="es-ES_tradnl"/>
        </w:rPr>
        <w:t xml:space="preserve">más de un año después, por lo que también deviene extemporánea </w:t>
      </w:r>
      <w:r w:rsidR="00670F10" w:rsidRPr="00F73AD0">
        <w:rPr>
          <w:rFonts w:asciiTheme="majorHAnsi" w:hAnsiTheme="majorHAnsi" w:cs="Calibri"/>
          <w:sz w:val="20"/>
          <w:szCs w:val="20"/>
          <w:lang w:val="es-ES_tradnl"/>
        </w:rPr>
        <w:t>en este extremo</w:t>
      </w:r>
      <w:r w:rsidR="007350A8" w:rsidRPr="00F73AD0">
        <w:rPr>
          <w:rFonts w:asciiTheme="majorHAnsi" w:hAnsiTheme="majorHAnsi" w:cs="Calibri"/>
          <w:sz w:val="20"/>
          <w:szCs w:val="20"/>
          <w:lang w:val="es-ES_tradnl"/>
        </w:rPr>
        <w:t>.</w:t>
      </w:r>
    </w:p>
    <w:p w14:paraId="550022DB" w14:textId="47E09207" w:rsidR="00A841AD" w:rsidRPr="00F73AD0" w:rsidRDefault="00670F10"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cs="Calibri"/>
          <w:sz w:val="20"/>
          <w:szCs w:val="20"/>
          <w:lang w:val="es-ES"/>
        </w:rPr>
        <w:t>Finalmente,</w:t>
      </w:r>
      <w:r w:rsidR="004474DE" w:rsidRPr="00F73AD0">
        <w:rPr>
          <w:rFonts w:asciiTheme="majorHAnsi" w:hAnsiTheme="majorHAnsi" w:cs="Calibri"/>
          <w:sz w:val="20"/>
          <w:szCs w:val="20"/>
          <w:lang w:val="es-ES"/>
        </w:rPr>
        <w:t xml:space="preserve"> la CIDH constata que</w:t>
      </w:r>
      <w:r w:rsidRPr="00F73AD0">
        <w:rPr>
          <w:rFonts w:asciiTheme="majorHAnsi" w:hAnsiTheme="majorHAnsi" w:cs="Calibri"/>
          <w:sz w:val="20"/>
          <w:szCs w:val="20"/>
          <w:lang w:val="es-ES"/>
        </w:rPr>
        <w:t xml:space="preserve"> </w:t>
      </w:r>
      <w:r w:rsidR="00C87F89" w:rsidRPr="00F73AD0">
        <w:rPr>
          <w:rFonts w:asciiTheme="majorHAnsi" w:hAnsiTheme="majorHAnsi" w:cs="Calibri"/>
          <w:sz w:val="20"/>
          <w:szCs w:val="20"/>
          <w:lang w:val="es-ES"/>
        </w:rPr>
        <w:t xml:space="preserve">las demandas ordinarias </w:t>
      </w:r>
      <w:r w:rsidR="002A4DE6" w:rsidRPr="00F73AD0">
        <w:rPr>
          <w:rFonts w:asciiTheme="majorHAnsi" w:hAnsiTheme="majorHAnsi" w:cs="Calibri"/>
          <w:sz w:val="20"/>
          <w:szCs w:val="20"/>
          <w:lang w:val="es-ES"/>
        </w:rPr>
        <w:t>interpuest</w:t>
      </w:r>
      <w:r w:rsidR="00C87F89" w:rsidRPr="00F73AD0">
        <w:rPr>
          <w:rFonts w:asciiTheme="majorHAnsi" w:hAnsiTheme="majorHAnsi" w:cs="Calibri"/>
          <w:sz w:val="20"/>
          <w:szCs w:val="20"/>
          <w:lang w:val="es-ES"/>
        </w:rPr>
        <w:t xml:space="preserve">as por </w:t>
      </w:r>
      <w:r w:rsidR="00E34C69" w:rsidRPr="00F73AD0">
        <w:rPr>
          <w:rFonts w:asciiTheme="majorHAnsi" w:hAnsiTheme="majorHAnsi" w:cs="Calibri"/>
          <w:sz w:val="20"/>
          <w:szCs w:val="20"/>
          <w:lang w:val="es-ES"/>
        </w:rPr>
        <w:t>las 4</w:t>
      </w:r>
      <w:r w:rsidR="00E36297" w:rsidRPr="00F73AD0">
        <w:rPr>
          <w:rFonts w:asciiTheme="majorHAnsi" w:hAnsiTheme="majorHAnsi" w:cs="Calibri"/>
          <w:sz w:val="20"/>
          <w:szCs w:val="20"/>
          <w:lang w:val="es-ES"/>
        </w:rPr>
        <w:t>6</w:t>
      </w:r>
      <w:r w:rsidR="00E34C69" w:rsidRPr="00F73AD0">
        <w:rPr>
          <w:rFonts w:asciiTheme="majorHAnsi" w:hAnsiTheme="majorHAnsi" w:cs="Calibri"/>
          <w:sz w:val="20"/>
          <w:szCs w:val="20"/>
          <w:lang w:val="es-ES"/>
        </w:rPr>
        <w:t xml:space="preserve"> presuntas víctimas </w:t>
      </w:r>
      <w:r w:rsidR="00044C63" w:rsidRPr="00F73AD0">
        <w:rPr>
          <w:rFonts w:asciiTheme="majorHAnsi" w:hAnsiTheme="majorHAnsi" w:cs="Calibri"/>
          <w:sz w:val="20"/>
          <w:szCs w:val="20"/>
          <w:lang w:val="es-ES"/>
        </w:rPr>
        <w:t xml:space="preserve">tuvieron su última decisión </w:t>
      </w:r>
      <w:r w:rsidR="00BC5B86" w:rsidRPr="00F73AD0">
        <w:rPr>
          <w:rFonts w:asciiTheme="majorHAnsi" w:hAnsiTheme="majorHAnsi" w:cs="Calibri"/>
          <w:sz w:val="20"/>
          <w:szCs w:val="20"/>
          <w:lang w:val="es-ES"/>
        </w:rPr>
        <w:t xml:space="preserve">mediante recurso extraordinario de casación o acción de tutela entre febrero de 2016 y enero de 2024, con excepción de </w:t>
      </w:r>
      <w:r w:rsidR="002A4DE6" w:rsidRPr="00F73AD0">
        <w:rPr>
          <w:rFonts w:asciiTheme="majorHAnsi" w:hAnsiTheme="majorHAnsi" w:cs="Calibri"/>
          <w:sz w:val="20"/>
          <w:szCs w:val="20"/>
          <w:lang w:val="es-ES"/>
        </w:rPr>
        <w:t xml:space="preserve">los procesos promovidos por Nancy Rodríguez Moreno, </w:t>
      </w:r>
      <w:r w:rsidR="00BD0D29" w:rsidRPr="00F73AD0">
        <w:rPr>
          <w:rFonts w:asciiTheme="majorHAnsi" w:hAnsiTheme="majorHAnsi" w:cs="Calibri"/>
          <w:sz w:val="20"/>
          <w:szCs w:val="20"/>
          <w:lang w:val="es-ES"/>
        </w:rPr>
        <w:t xml:space="preserve">cuyo proceso está en trámite de recurso de apelación; </w:t>
      </w:r>
      <w:r w:rsidR="007B77EF" w:rsidRPr="00F73AD0">
        <w:rPr>
          <w:rFonts w:asciiTheme="majorHAnsi" w:hAnsiTheme="majorHAnsi" w:cs="Calibri"/>
          <w:sz w:val="20"/>
          <w:szCs w:val="20"/>
          <w:lang w:val="es-ES"/>
        </w:rPr>
        <w:t xml:space="preserve">y Héctor Salazar Salazar, </w:t>
      </w:r>
      <w:r w:rsidR="007B77EF" w:rsidRPr="00F73AD0">
        <w:rPr>
          <w:rFonts w:asciiTheme="majorHAnsi" w:hAnsiTheme="majorHAnsi"/>
          <w:bCs/>
          <w:sz w:val="20"/>
          <w:szCs w:val="20"/>
          <w:lang w:val="es-CO"/>
        </w:rPr>
        <w:t xml:space="preserve">Jesús María Reyes, José Joaquín Suárez, Ricardo Gómez Morales, Alejandro Rodríguez Romero, Juan Jaimes Mantilla y Nancy Otálora González, quienes interpusieron un recurso de casación, pero la parte peticionaria no informa si fue decidido o </w:t>
      </w:r>
      <w:r w:rsidR="00F311DC" w:rsidRPr="00F73AD0">
        <w:rPr>
          <w:rFonts w:asciiTheme="majorHAnsi" w:hAnsiTheme="majorHAnsi"/>
          <w:bCs/>
          <w:sz w:val="20"/>
          <w:szCs w:val="20"/>
          <w:lang w:val="es-CO"/>
        </w:rPr>
        <w:t>si no ha culminado.</w:t>
      </w:r>
      <w:r w:rsidR="00F23E4B" w:rsidRPr="00F73AD0">
        <w:rPr>
          <w:rFonts w:asciiTheme="majorHAnsi" w:hAnsiTheme="majorHAnsi"/>
          <w:bCs/>
          <w:sz w:val="20"/>
          <w:szCs w:val="20"/>
          <w:lang w:val="es-CO"/>
        </w:rPr>
        <w:t xml:space="preserve"> Respecto de </w:t>
      </w:r>
      <w:r w:rsidR="000D5652" w:rsidRPr="00F73AD0">
        <w:rPr>
          <w:rFonts w:asciiTheme="majorHAnsi" w:hAnsiTheme="majorHAnsi"/>
          <w:bCs/>
          <w:sz w:val="20"/>
          <w:szCs w:val="20"/>
          <w:lang w:val="es-CO"/>
        </w:rPr>
        <w:t xml:space="preserve">los primeros, la Comisión da por satisfecho el cumplimiento de los requisitos contenidos en los artículos 46.1.a) y b) de la Convención Americana; mientras </w:t>
      </w:r>
      <w:r w:rsidR="00763B6E" w:rsidRPr="00F73AD0">
        <w:rPr>
          <w:rFonts w:asciiTheme="majorHAnsi" w:hAnsiTheme="majorHAnsi"/>
          <w:bCs/>
          <w:sz w:val="20"/>
          <w:szCs w:val="20"/>
          <w:lang w:val="es-CO"/>
        </w:rPr>
        <w:t>que,</w:t>
      </w:r>
      <w:r w:rsidR="000D5652" w:rsidRPr="00F73AD0">
        <w:rPr>
          <w:rFonts w:asciiTheme="majorHAnsi" w:hAnsiTheme="majorHAnsi"/>
          <w:bCs/>
          <w:sz w:val="20"/>
          <w:szCs w:val="20"/>
          <w:lang w:val="es-CO"/>
        </w:rPr>
        <w:t xml:space="preserve"> para l</w:t>
      </w:r>
      <w:r w:rsidR="00F23E4B" w:rsidRPr="00F73AD0">
        <w:rPr>
          <w:rFonts w:asciiTheme="majorHAnsi" w:hAnsiTheme="majorHAnsi"/>
          <w:bCs/>
          <w:sz w:val="20"/>
          <w:szCs w:val="20"/>
          <w:lang w:val="es-CO"/>
        </w:rPr>
        <w:t>os últimos, estima que no cumplen el requisito de previo agotamiento de los recursos internos</w:t>
      </w:r>
      <w:r w:rsidR="00F42BF5" w:rsidRPr="00F73AD0">
        <w:rPr>
          <w:rFonts w:asciiTheme="majorHAnsi" w:hAnsiTheme="majorHAnsi"/>
          <w:bCs/>
          <w:sz w:val="20"/>
          <w:szCs w:val="20"/>
          <w:lang w:val="es-CO"/>
        </w:rPr>
        <w:t xml:space="preserve"> establecido en el citado </w:t>
      </w:r>
      <w:r w:rsidR="009E0B3B" w:rsidRPr="00F73AD0">
        <w:rPr>
          <w:rFonts w:asciiTheme="majorHAnsi" w:hAnsiTheme="majorHAnsi"/>
          <w:bCs/>
          <w:sz w:val="20"/>
          <w:szCs w:val="20"/>
          <w:lang w:val="es-CO"/>
        </w:rPr>
        <w:t>46.1.a)</w:t>
      </w:r>
      <w:r w:rsidR="00A841AD" w:rsidRPr="00F73AD0">
        <w:rPr>
          <w:rFonts w:asciiTheme="majorHAnsi" w:hAnsiTheme="majorHAnsi"/>
          <w:bCs/>
          <w:sz w:val="20"/>
          <w:szCs w:val="20"/>
          <w:lang w:val="es-CO"/>
        </w:rPr>
        <w:t>.</w:t>
      </w:r>
    </w:p>
    <w:p w14:paraId="673598AF" w14:textId="7B633714" w:rsidR="003239B8" w:rsidRPr="00F73AD0" w:rsidRDefault="003239B8" w:rsidP="00F73AD0">
      <w:pPr>
        <w:pStyle w:val="ListParagraph"/>
        <w:numPr>
          <w:ilvl w:val="0"/>
          <w:numId w:val="0"/>
        </w:numPr>
        <w:ind w:left="720"/>
        <w:jc w:val="both"/>
        <w:rPr>
          <w:rFonts w:asciiTheme="majorHAnsi" w:hAnsiTheme="majorHAnsi"/>
          <w:b/>
          <w:bCs/>
          <w:sz w:val="20"/>
          <w:szCs w:val="20"/>
          <w:lang w:val="es-UY"/>
        </w:rPr>
      </w:pPr>
      <w:r w:rsidRPr="00F73AD0">
        <w:rPr>
          <w:rFonts w:asciiTheme="majorHAnsi" w:hAnsiTheme="majorHAnsi"/>
          <w:b/>
          <w:bCs/>
          <w:sz w:val="20"/>
          <w:szCs w:val="20"/>
          <w:lang w:val="es-ES"/>
        </w:rPr>
        <w:t>VII</w:t>
      </w:r>
      <w:r w:rsidR="00C45054" w:rsidRPr="00F73AD0">
        <w:rPr>
          <w:rFonts w:asciiTheme="majorHAnsi" w:hAnsiTheme="majorHAnsi"/>
          <w:b/>
          <w:bCs/>
          <w:sz w:val="20"/>
          <w:szCs w:val="20"/>
          <w:lang w:val="es-ES"/>
        </w:rPr>
        <w:t>I</w:t>
      </w:r>
      <w:r w:rsidRPr="00F73AD0">
        <w:rPr>
          <w:rFonts w:asciiTheme="majorHAnsi" w:hAnsiTheme="majorHAnsi"/>
          <w:b/>
          <w:bCs/>
          <w:sz w:val="20"/>
          <w:szCs w:val="20"/>
          <w:lang w:val="es-ES"/>
        </w:rPr>
        <w:t>.</w:t>
      </w:r>
      <w:r w:rsidRPr="00F73AD0">
        <w:rPr>
          <w:rFonts w:asciiTheme="majorHAnsi" w:hAnsiTheme="majorHAnsi"/>
          <w:b/>
          <w:bCs/>
          <w:sz w:val="20"/>
          <w:szCs w:val="20"/>
          <w:lang w:val="es-ES"/>
        </w:rPr>
        <w:tab/>
      </w:r>
      <w:r w:rsidR="004A6A54" w:rsidRPr="00F73AD0">
        <w:rPr>
          <w:rFonts w:asciiTheme="majorHAnsi" w:hAnsiTheme="majorHAnsi"/>
          <w:b/>
          <w:bCs/>
          <w:sz w:val="20"/>
          <w:szCs w:val="20"/>
          <w:lang w:val="es-ES_tradnl"/>
        </w:rPr>
        <w:t xml:space="preserve">ANÁLISIS DE </w:t>
      </w:r>
      <w:r w:rsidR="00C21FEF" w:rsidRPr="00F73AD0">
        <w:rPr>
          <w:rFonts w:asciiTheme="majorHAnsi" w:hAnsiTheme="majorHAnsi"/>
          <w:b/>
          <w:bCs/>
          <w:sz w:val="20"/>
          <w:szCs w:val="20"/>
          <w:lang w:val="es-ES"/>
        </w:rPr>
        <w:t xml:space="preserve">CARACTERIZACIÓN </w:t>
      </w:r>
      <w:r w:rsidR="00C21FEF" w:rsidRPr="00F73AD0">
        <w:rPr>
          <w:rFonts w:asciiTheme="majorHAnsi" w:hAnsiTheme="majorHAnsi"/>
          <w:b/>
          <w:bCs/>
          <w:sz w:val="20"/>
          <w:szCs w:val="20"/>
          <w:lang w:val="es-UY"/>
        </w:rPr>
        <w:t>DE LOS HECHOS ALEGADOS</w:t>
      </w:r>
    </w:p>
    <w:p w14:paraId="7A4986C5" w14:textId="39073BE2" w:rsidR="00F07181" w:rsidRPr="00F73AD0" w:rsidRDefault="00F07181"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La Comisión observa que la presente petición incluye alegatos con respecto al incumplimiento y derogación del </w:t>
      </w:r>
      <w:r w:rsidR="000C7913" w:rsidRPr="00F73AD0">
        <w:rPr>
          <w:rFonts w:asciiTheme="majorHAnsi" w:hAnsiTheme="majorHAnsi"/>
          <w:sz w:val="20"/>
          <w:szCs w:val="20"/>
          <w:lang w:val="es-ES"/>
        </w:rPr>
        <w:t xml:space="preserve">régimen pensional contenido en la convención colectiva de trabajo pactada entre la ANEBRE y el Banco de la República en 1997. </w:t>
      </w:r>
      <w:r w:rsidR="006B6C43" w:rsidRPr="00F73AD0">
        <w:rPr>
          <w:rFonts w:asciiTheme="majorHAnsi" w:hAnsiTheme="majorHAnsi"/>
          <w:sz w:val="20"/>
          <w:szCs w:val="20"/>
          <w:lang w:val="es-ES"/>
        </w:rPr>
        <w:t xml:space="preserve">Por su parte, el Estado asevera que esta petición incurre en la denominada fórmula de la cuarta instancia internacional, pues no expone violaciones de los derechos </w:t>
      </w:r>
      <w:r w:rsidR="00883DD1" w:rsidRPr="00F73AD0">
        <w:rPr>
          <w:rFonts w:asciiTheme="majorHAnsi" w:hAnsiTheme="majorHAnsi"/>
          <w:sz w:val="20"/>
          <w:szCs w:val="20"/>
          <w:lang w:val="es-ES"/>
        </w:rPr>
        <w:t>consagrados en la Convención Americana, sino que consiste en un mero desacuerdo de los peticionarios con las decisiones adoptadas a nivel interno.</w:t>
      </w:r>
    </w:p>
    <w:p w14:paraId="6618E98B" w14:textId="6D0C8E80" w:rsidR="00170F43" w:rsidRPr="00F73AD0" w:rsidRDefault="00132621"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D92229">
        <w:rPr>
          <w:rFonts w:asciiTheme="majorHAnsi" w:hAnsiTheme="majorHAnsi"/>
          <w:i/>
          <w:iCs/>
          <w:sz w:val="20"/>
          <w:szCs w:val="20"/>
          <w:lang w:val="es-ES"/>
        </w:rPr>
        <w:t>prima facie</w:t>
      </w:r>
      <w:r w:rsidRPr="00F73AD0">
        <w:rPr>
          <w:rFonts w:asciiTheme="majorHAnsi" w:hAnsiTheme="majorHAnsi"/>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0D195EFA" w14:textId="62B75035" w:rsidR="00170F43" w:rsidRPr="00F73AD0" w:rsidRDefault="00360B72" w:rsidP="00F73AD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
        </w:rPr>
        <w:t>La CIDH recuerda que</w:t>
      </w:r>
      <w:r w:rsidR="004F7893" w:rsidRPr="00F73AD0">
        <w:rPr>
          <w:rFonts w:asciiTheme="majorHAnsi" w:hAnsiTheme="majorHAnsi"/>
          <w:sz w:val="20"/>
          <w:szCs w:val="20"/>
          <w:lang w:val="es-ES"/>
        </w:rPr>
        <w:t xml:space="preserve"> ya</w:t>
      </w:r>
      <w:r w:rsidRPr="00F73AD0">
        <w:rPr>
          <w:rFonts w:asciiTheme="majorHAnsi" w:hAnsiTheme="majorHAnsi"/>
          <w:sz w:val="20"/>
          <w:szCs w:val="20"/>
          <w:lang w:val="es-ES"/>
        </w:rPr>
        <w:t xml:space="preserve"> en casos similares </w:t>
      </w:r>
      <w:r w:rsidR="00315336" w:rsidRPr="00F73AD0">
        <w:rPr>
          <w:rFonts w:asciiTheme="majorHAnsi" w:hAnsiTheme="majorHAnsi"/>
          <w:sz w:val="20"/>
          <w:szCs w:val="20"/>
          <w:lang w:val="es-ES"/>
        </w:rPr>
        <w:t xml:space="preserve">tramitados contra una de las sentencias que impuso un tope a </w:t>
      </w:r>
      <w:r w:rsidRPr="00F73AD0">
        <w:rPr>
          <w:rFonts w:asciiTheme="majorHAnsi" w:hAnsiTheme="majorHAnsi"/>
          <w:sz w:val="20"/>
          <w:szCs w:val="20"/>
          <w:lang w:val="es-ES"/>
        </w:rPr>
        <w:t>las llamadas</w:t>
      </w:r>
      <w:r w:rsidR="00D03C03" w:rsidRPr="00F73AD0">
        <w:rPr>
          <w:rFonts w:asciiTheme="majorHAnsi" w:hAnsiTheme="majorHAnsi"/>
          <w:sz w:val="20"/>
          <w:szCs w:val="20"/>
          <w:lang w:val="es-ES"/>
        </w:rPr>
        <w:t xml:space="preserve"> </w:t>
      </w:r>
      <w:r w:rsidR="00CB65D7">
        <w:rPr>
          <w:rFonts w:asciiTheme="majorHAnsi" w:hAnsiTheme="majorHAnsi"/>
          <w:sz w:val="20"/>
          <w:szCs w:val="20"/>
          <w:lang w:val="es-ES"/>
        </w:rPr>
        <w:t>“</w:t>
      </w:r>
      <w:r w:rsidR="00D03C03" w:rsidRPr="00F73AD0">
        <w:rPr>
          <w:rFonts w:asciiTheme="majorHAnsi" w:hAnsiTheme="majorHAnsi"/>
          <w:sz w:val="20"/>
          <w:szCs w:val="20"/>
          <w:lang w:val="es-ES"/>
        </w:rPr>
        <w:t>megapensiones</w:t>
      </w:r>
      <w:r w:rsidR="00605F6D">
        <w:rPr>
          <w:rFonts w:asciiTheme="majorHAnsi" w:hAnsiTheme="majorHAnsi"/>
          <w:sz w:val="20"/>
          <w:szCs w:val="20"/>
          <w:lang w:val="es-ES"/>
        </w:rPr>
        <w:t>”</w:t>
      </w:r>
      <w:r w:rsidR="0052420E" w:rsidRPr="00F73AD0">
        <w:rPr>
          <w:rFonts w:asciiTheme="majorHAnsi" w:hAnsiTheme="majorHAnsi"/>
          <w:sz w:val="20"/>
          <w:szCs w:val="20"/>
          <w:lang w:val="es-ES"/>
        </w:rPr>
        <w:t>, ha de</w:t>
      </w:r>
      <w:r w:rsidR="001E15A0" w:rsidRPr="00F73AD0">
        <w:rPr>
          <w:rFonts w:asciiTheme="majorHAnsi" w:hAnsiTheme="majorHAnsi"/>
          <w:sz w:val="20"/>
          <w:szCs w:val="20"/>
          <w:lang w:val="es-ES"/>
        </w:rPr>
        <w:t>clar</w:t>
      </w:r>
      <w:r w:rsidR="0052420E" w:rsidRPr="00F73AD0">
        <w:rPr>
          <w:rFonts w:asciiTheme="majorHAnsi" w:hAnsiTheme="majorHAnsi"/>
          <w:sz w:val="20"/>
          <w:szCs w:val="20"/>
          <w:lang w:val="es-ES"/>
        </w:rPr>
        <w:t xml:space="preserve">ado </w:t>
      </w:r>
      <w:r w:rsidR="00817018" w:rsidRPr="00F73AD0">
        <w:rPr>
          <w:rFonts w:asciiTheme="majorHAnsi" w:hAnsiTheme="majorHAnsi"/>
          <w:sz w:val="20"/>
          <w:szCs w:val="20"/>
          <w:lang w:val="es-ES"/>
        </w:rPr>
        <w:t xml:space="preserve">la </w:t>
      </w:r>
      <w:r w:rsidR="001E15A0" w:rsidRPr="00F73AD0">
        <w:rPr>
          <w:rFonts w:asciiTheme="majorHAnsi" w:hAnsiTheme="majorHAnsi"/>
          <w:sz w:val="20"/>
          <w:szCs w:val="20"/>
          <w:lang w:val="es-ES"/>
        </w:rPr>
        <w:t xml:space="preserve">inadmisibilidad </w:t>
      </w:r>
      <w:r w:rsidR="006557F7" w:rsidRPr="00F73AD0">
        <w:rPr>
          <w:rFonts w:asciiTheme="majorHAnsi" w:hAnsiTheme="majorHAnsi"/>
          <w:sz w:val="20"/>
          <w:szCs w:val="20"/>
          <w:lang w:val="es-ES"/>
        </w:rPr>
        <w:t xml:space="preserve">porque </w:t>
      </w:r>
      <w:r w:rsidR="001E15A0" w:rsidRPr="00F73AD0">
        <w:rPr>
          <w:rFonts w:asciiTheme="majorHAnsi" w:hAnsiTheme="majorHAnsi"/>
          <w:sz w:val="20"/>
          <w:szCs w:val="20"/>
          <w:lang w:val="es-ES"/>
        </w:rPr>
        <w:t xml:space="preserve">la parte peticionaria </w:t>
      </w:r>
      <w:r w:rsidR="006557F7" w:rsidRPr="00F73AD0">
        <w:rPr>
          <w:rFonts w:asciiTheme="majorHAnsi" w:hAnsiTheme="majorHAnsi"/>
          <w:sz w:val="20"/>
          <w:szCs w:val="20"/>
          <w:lang w:val="es-ES"/>
        </w:rPr>
        <w:t>no ha</w:t>
      </w:r>
      <w:r w:rsidR="001E15A0" w:rsidRPr="00F73AD0">
        <w:rPr>
          <w:rFonts w:asciiTheme="majorHAnsi" w:hAnsiTheme="majorHAnsi"/>
          <w:sz w:val="20"/>
          <w:szCs w:val="20"/>
          <w:lang w:val="es-ES"/>
        </w:rPr>
        <w:t>bría</w:t>
      </w:r>
      <w:r w:rsidR="006557F7" w:rsidRPr="00F73AD0">
        <w:rPr>
          <w:rFonts w:asciiTheme="majorHAnsi" w:hAnsiTheme="majorHAnsi"/>
          <w:sz w:val="20"/>
          <w:szCs w:val="20"/>
          <w:lang w:val="es-ES"/>
        </w:rPr>
        <w:t xml:space="preserve"> </w:t>
      </w:r>
      <w:r w:rsidR="001E15A0" w:rsidRPr="00F73AD0">
        <w:rPr>
          <w:rFonts w:asciiTheme="majorHAnsi" w:hAnsiTheme="majorHAnsi"/>
          <w:sz w:val="20"/>
          <w:szCs w:val="20"/>
          <w:lang w:val="es-ES"/>
        </w:rPr>
        <w:t>“</w:t>
      </w:r>
      <w:r w:rsidR="006557F7" w:rsidRPr="00F73AD0">
        <w:rPr>
          <w:rFonts w:asciiTheme="majorHAnsi" w:hAnsiTheme="majorHAnsi"/>
          <w:i/>
          <w:iCs/>
          <w:sz w:val="20"/>
          <w:szCs w:val="20"/>
          <w:lang w:val="es-ES"/>
        </w:rPr>
        <w:t>satisfecho la carga argumentativa mínima requerida para que en ella se caractericen, en forma siquiera preliminar, potenciales violaciones</w:t>
      </w:r>
      <w:r w:rsidR="001E15A0" w:rsidRPr="00F73AD0">
        <w:rPr>
          <w:rFonts w:asciiTheme="majorHAnsi" w:hAnsiTheme="majorHAnsi"/>
          <w:sz w:val="20"/>
          <w:szCs w:val="20"/>
          <w:lang w:val="es-ES"/>
        </w:rPr>
        <w:t>”</w:t>
      </w:r>
      <w:r w:rsidR="008C525B" w:rsidRPr="00F73AD0">
        <w:rPr>
          <w:rStyle w:val="FootnoteReference"/>
          <w:rFonts w:asciiTheme="majorHAnsi" w:hAnsiTheme="majorHAnsi"/>
          <w:sz w:val="20"/>
          <w:szCs w:val="20"/>
          <w:lang w:val="es-ES"/>
        </w:rPr>
        <w:footnoteReference w:id="17"/>
      </w:r>
      <w:r w:rsidR="001E15A0" w:rsidRPr="00F73AD0">
        <w:rPr>
          <w:rFonts w:asciiTheme="majorHAnsi" w:hAnsiTheme="majorHAnsi"/>
          <w:sz w:val="20"/>
          <w:szCs w:val="20"/>
          <w:lang w:val="es-ES"/>
        </w:rPr>
        <w:t>.</w:t>
      </w:r>
      <w:r w:rsidR="00817018" w:rsidRPr="00F73AD0">
        <w:rPr>
          <w:rFonts w:asciiTheme="majorHAnsi" w:hAnsiTheme="majorHAnsi"/>
          <w:sz w:val="20"/>
          <w:szCs w:val="20"/>
          <w:lang w:val="es-ES"/>
        </w:rPr>
        <w:t xml:space="preserve"> En el presente caso, </w:t>
      </w:r>
      <w:r w:rsidR="007739C2" w:rsidRPr="00F73AD0">
        <w:rPr>
          <w:rFonts w:asciiTheme="majorHAnsi" w:hAnsiTheme="majorHAnsi"/>
          <w:sz w:val="20"/>
          <w:szCs w:val="20"/>
          <w:lang w:val="es-ES"/>
        </w:rPr>
        <w:t xml:space="preserve">la parte peticionaria alega la violación </w:t>
      </w:r>
      <w:r w:rsidR="00BC650C" w:rsidRPr="00F73AD0">
        <w:rPr>
          <w:rFonts w:asciiTheme="majorHAnsi" w:hAnsiTheme="majorHAnsi"/>
          <w:sz w:val="20"/>
          <w:szCs w:val="20"/>
          <w:lang w:val="es-ES"/>
        </w:rPr>
        <w:t>de los derechos a la libertad de asociación</w:t>
      </w:r>
      <w:r w:rsidR="009257AA" w:rsidRPr="00F73AD0">
        <w:rPr>
          <w:rFonts w:asciiTheme="majorHAnsi" w:hAnsiTheme="majorHAnsi"/>
          <w:sz w:val="20"/>
          <w:szCs w:val="20"/>
          <w:lang w:val="es-ES"/>
        </w:rPr>
        <w:t xml:space="preserve"> y</w:t>
      </w:r>
      <w:r w:rsidR="00BC650C" w:rsidRPr="00F73AD0">
        <w:rPr>
          <w:rFonts w:asciiTheme="majorHAnsi" w:hAnsiTheme="majorHAnsi"/>
          <w:sz w:val="20"/>
          <w:szCs w:val="20"/>
          <w:lang w:val="es-ES"/>
        </w:rPr>
        <w:t xml:space="preserve"> a la negociación colectiva de las presuntas víctimas </w:t>
      </w:r>
      <w:r w:rsidR="008618B1" w:rsidRPr="00F73AD0">
        <w:rPr>
          <w:rFonts w:asciiTheme="majorHAnsi" w:hAnsiTheme="majorHAnsi"/>
          <w:sz w:val="20"/>
          <w:szCs w:val="20"/>
          <w:lang w:val="es-ES"/>
        </w:rPr>
        <w:t>como consecuencia de la derogación legal de</w:t>
      </w:r>
      <w:r w:rsidR="00CD2B23" w:rsidRPr="00F73AD0">
        <w:rPr>
          <w:rFonts w:asciiTheme="majorHAnsi" w:hAnsiTheme="majorHAnsi"/>
          <w:sz w:val="20"/>
          <w:szCs w:val="20"/>
          <w:lang w:val="es-ES"/>
        </w:rPr>
        <w:t>l régimen</w:t>
      </w:r>
      <w:r w:rsidR="008618B1" w:rsidRPr="00F73AD0">
        <w:rPr>
          <w:rFonts w:asciiTheme="majorHAnsi" w:hAnsiTheme="majorHAnsi"/>
          <w:sz w:val="20"/>
          <w:szCs w:val="20"/>
          <w:lang w:val="es-ES"/>
        </w:rPr>
        <w:t xml:space="preserve"> </w:t>
      </w:r>
      <w:r w:rsidR="00CD2B23" w:rsidRPr="00F73AD0">
        <w:rPr>
          <w:rFonts w:asciiTheme="majorHAnsi" w:hAnsiTheme="majorHAnsi"/>
          <w:sz w:val="20"/>
          <w:szCs w:val="20"/>
          <w:lang w:val="es-ES"/>
        </w:rPr>
        <w:t xml:space="preserve">pensional previsto en </w:t>
      </w:r>
      <w:r w:rsidR="008618B1" w:rsidRPr="00F73AD0">
        <w:rPr>
          <w:rFonts w:asciiTheme="majorHAnsi" w:hAnsiTheme="majorHAnsi"/>
          <w:sz w:val="20"/>
          <w:szCs w:val="20"/>
          <w:lang w:val="es-ES"/>
        </w:rPr>
        <w:t>una convención colectiva suscrita en 1997.</w:t>
      </w:r>
    </w:p>
    <w:p w14:paraId="6EB7ACE2" w14:textId="09085D65" w:rsidR="00697949" w:rsidRDefault="003007D2" w:rsidP="00F73AD0">
      <w:pPr>
        <w:pStyle w:val="ListParagraph"/>
        <w:numPr>
          <w:ilvl w:val="0"/>
          <w:numId w:val="61"/>
        </w:numP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Así, luego de analizar en detalle la extensa información aportada por </w:t>
      </w:r>
      <w:r w:rsidR="00D6180A" w:rsidRPr="00F73AD0">
        <w:rPr>
          <w:rFonts w:asciiTheme="majorHAnsi" w:hAnsiTheme="majorHAnsi"/>
          <w:sz w:val="20"/>
          <w:szCs w:val="20"/>
          <w:lang w:val="es-ES"/>
        </w:rPr>
        <w:t>ambos actores</w:t>
      </w:r>
      <w:r w:rsidRPr="00F73AD0">
        <w:rPr>
          <w:rFonts w:asciiTheme="majorHAnsi" w:hAnsiTheme="majorHAnsi"/>
          <w:sz w:val="20"/>
          <w:szCs w:val="20"/>
          <w:lang w:val="es-ES"/>
        </w:rPr>
        <w:t>, l</w:t>
      </w:r>
      <w:r w:rsidR="005A00D5" w:rsidRPr="00F73AD0">
        <w:rPr>
          <w:rFonts w:asciiTheme="majorHAnsi" w:hAnsiTheme="majorHAnsi"/>
          <w:sz w:val="20"/>
          <w:szCs w:val="20"/>
          <w:lang w:val="es-ES"/>
        </w:rPr>
        <w:t xml:space="preserve">a Comisión encuentra que la parte peticionaria no ha ofrecido suficiente sustento sobre cómo </w:t>
      </w:r>
      <w:r w:rsidR="00A90FE4" w:rsidRPr="00F73AD0">
        <w:rPr>
          <w:rFonts w:asciiTheme="majorHAnsi" w:hAnsiTheme="majorHAnsi"/>
          <w:sz w:val="20"/>
          <w:szCs w:val="20"/>
          <w:lang w:val="es-ES"/>
        </w:rPr>
        <w:t>la derogatoria de la convención colectiva de 1997 violaría</w:t>
      </w:r>
      <w:r w:rsidR="005A00D5" w:rsidRPr="00F73AD0">
        <w:rPr>
          <w:rFonts w:asciiTheme="majorHAnsi" w:hAnsiTheme="majorHAnsi"/>
          <w:sz w:val="20"/>
          <w:szCs w:val="20"/>
          <w:lang w:val="es-ES"/>
        </w:rPr>
        <w:t xml:space="preserve"> la libertad de </w:t>
      </w:r>
      <w:r w:rsidR="002471AF" w:rsidRPr="00F73AD0">
        <w:rPr>
          <w:rFonts w:asciiTheme="majorHAnsi" w:hAnsiTheme="majorHAnsi"/>
          <w:sz w:val="20"/>
          <w:szCs w:val="20"/>
          <w:lang w:val="es-ES"/>
        </w:rPr>
        <w:t xml:space="preserve">asociarse a un sindicato de cada presunta víctima </w:t>
      </w:r>
      <w:r w:rsidR="005A00D5" w:rsidRPr="00F73AD0">
        <w:rPr>
          <w:rFonts w:asciiTheme="majorHAnsi" w:hAnsiTheme="majorHAnsi"/>
          <w:sz w:val="20"/>
          <w:szCs w:val="20"/>
          <w:lang w:val="es-ES"/>
        </w:rPr>
        <w:t xml:space="preserve">y la capacidad de </w:t>
      </w:r>
      <w:r w:rsidR="008A2BA7" w:rsidRPr="00F73AD0">
        <w:rPr>
          <w:rFonts w:asciiTheme="majorHAnsi" w:hAnsiTheme="majorHAnsi"/>
          <w:sz w:val="20"/>
          <w:szCs w:val="20"/>
          <w:lang w:val="es-ES"/>
        </w:rPr>
        <w:t>realizar negociaciones colectivas con las entidades públicas.</w:t>
      </w:r>
      <w:r w:rsidR="002471AF" w:rsidRPr="00F73AD0">
        <w:rPr>
          <w:rFonts w:asciiTheme="majorHAnsi" w:hAnsiTheme="majorHAnsi"/>
          <w:sz w:val="20"/>
          <w:szCs w:val="20"/>
          <w:lang w:val="es-ES"/>
        </w:rPr>
        <w:t xml:space="preserve"> </w:t>
      </w:r>
      <w:r w:rsidR="008A2BA7" w:rsidRPr="00F73AD0">
        <w:rPr>
          <w:rFonts w:asciiTheme="majorHAnsi" w:hAnsiTheme="majorHAnsi"/>
          <w:sz w:val="20"/>
          <w:szCs w:val="20"/>
          <w:lang w:val="es-ES"/>
        </w:rPr>
        <w:t xml:space="preserve">No obstante, salta a la vista que </w:t>
      </w:r>
      <w:r w:rsidR="00F43535" w:rsidRPr="00F73AD0">
        <w:rPr>
          <w:rFonts w:asciiTheme="majorHAnsi" w:hAnsiTheme="majorHAnsi"/>
          <w:sz w:val="20"/>
          <w:szCs w:val="20"/>
          <w:lang w:val="es-ES"/>
        </w:rPr>
        <w:t xml:space="preserve">el Acto Legislativo 01 de 2005 limita la capacidad de los sindicatos de negociar </w:t>
      </w:r>
      <w:r w:rsidR="002471AF" w:rsidRPr="00F73AD0">
        <w:rPr>
          <w:rFonts w:asciiTheme="majorHAnsi" w:hAnsiTheme="majorHAnsi"/>
          <w:sz w:val="20"/>
          <w:szCs w:val="20"/>
          <w:lang w:val="es-ES"/>
        </w:rPr>
        <w:t xml:space="preserve">a futuro </w:t>
      </w:r>
      <w:r w:rsidR="00F43535" w:rsidRPr="00F73AD0">
        <w:rPr>
          <w:rFonts w:asciiTheme="majorHAnsi" w:hAnsiTheme="majorHAnsi"/>
          <w:sz w:val="20"/>
          <w:szCs w:val="20"/>
          <w:lang w:val="es-ES"/>
        </w:rPr>
        <w:t>respecto de las pensiones</w:t>
      </w:r>
      <w:r w:rsidR="002471AF" w:rsidRPr="00F73AD0">
        <w:rPr>
          <w:rFonts w:asciiTheme="majorHAnsi" w:hAnsiTheme="majorHAnsi"/>
          <w:sz w:val="20"/>
          <w:szCs w:val="20"/>
          <w:lang w:val="es-ES"/>
        </w:rPr>
        <w:t xml:space="preserve"> </w:t>
      </w:r>
      <w:r w:rsidR="00636B35" w:rsidRPr="00F73AD0">
        <w:rPr>
          <w:rFonts w:asciiTheme="majorHAnsi" w:hAnsiTheme="majorHAnsi"/>
          <w:sz w:val="20"/>
          <w:szCs w:val="20"/>
          <w:lang w:val="es-ES"/>
        </w:rPr>
        <w:lastRenderedPageBreak/>
        <w:t>de los trabajadores de entidades públicas</w:t>
      </w:r>
      <w:r w:rsidR="00766E5C" w:rsidRPr="00F73AD0">
        <w:rPr>
          <w:rFonts w:asciiTheme="majorHAnsi" w:hAnsiTheme="majorHAnsi"/>
          <w:sz w:val="20"/>
          <w:szCs w:val="20"/>
          <w:lang w:val="es-ES"/>
        </w:rPr>
        <w:t>.</w:t>
      </w:r>
      <w:r w:rsidR="00377CF1" w:rsidRPr="00F73AD0">
        <w:rPr>
          <w:rFonts w:asciiTheme="majorHAnsi" w:hAnsiTheme="majorHAnsi"/>
          <w:sz w:val="20"/>
          <w:szCs w:val="20"/>
          <w:lang w:val="es-ES"/>
        </w:rPr>
        <w:t xml:space="preserve"> Ahora bien, </w:t>
      </w:r>
      <w:r w:rsidR="006F06B1" w:rsidRPr="00F73AD0">
        <w:rPr>
          <w:rFonts w:asciiTheme="majorHAnsi" w:hAnsiTheme="majorHAnsi"/>
          <w:sz w:val="20"/>
          <w:szCs w:val="20"/>
          <w:lang w:val="es-ES"/>
        </w:rPr>
        <w:t xml:space="preserve">esta limitación </w:t>
      </w:r>
      <w:r w:rsidR="008B1F78" w:rsidRPr="00F73AD0">
        <w:rPr>
          <w:rFonts w:asciiTheme="majorHAnsi" w:hAnsiTheme="majorHAnsi"/>
          <w:sz w:val="20"/>
          <w:szCs w:val="20"/>
          <w:lang w:val="es-ES"/>
        </w:rPr>
        <w:t xml:space="preserve">no afectaría directamente </w:t>
      </w:r>
      <w:r w:rsidR="001D0A39" w:rsidRPr="00F73AD0">
        <w:rPr>
          <w:rFonts w:asciiTheme="majorHAnsi" w:hAnsiTheme="majorHAnsi"/>
          <w:sz w:val="20"/>
          <w:szCs w:val="20"/>
          <w:lang w:val="es-ES"/>
        </w:rPr>
        <w:t>a las presuntas víctimas de esta petición en la medida en que</w:t>
      </w:r>
      <w:r w:rsidR="00060417" w:rsidRPr="00F73AD0">
        <w:rPr>
          <w:rFonts w:asciiTheme="majorHAnsi" w:hAnsiTheme="majorHAnsi"/>
          <w:sz w:val="20"/>
          <w:szCs w:val="20"/>
          <w:lang w:val="es-ES"/>
        </w:rPr>
        <w:t xml:space="preserve">, conforme a la argumentación del Estado, tenían meras expectativas sobre los montos pensionales que iban a percibir, mas no derechos adquiridos, pues no cumplieron los requisitos para obtener la jubilación antes del 31 de julio de 2010, fecha en que empezó a regir esta </w:t>
      </w:r>
      <w:r w:rsidR="002321EF" w:rsidRPr="00F73AD0">
        <w:rPr>
          <w:rFonts w:asciiTheme="majorHAnsi" w:hAnsiTheme="majorHAnsi"/>
          <w:sz w:val="20"/>
          <w:szCs w:val="20"/>
          <w:lang w:val="es-ES"/>
        </w:rPr>
        <w:t xml:space="preserve">reforma que derogó </w:t>
      </w:r>
      <w:r w:rsidR="006322B7" w:rsidRPr="00F73AD0">
        <w:rPr>
          <w:rFonts w:asciiTheme="majorHAnsi" w:hAnsiTheme="majorHAnsi"/>
          <w:sz w:val="20"/>
          <w:szCs w:val="20"/>
          <w:lang w:val="es-ES"/>
        </w:rPr>
        <w:t>la convención colectiva de 1997</w:t>
      </w:r>
      <w:r w:rsidR="002321EF" w:rsidRPr="00F73AD0">
        <w:rPr>
          <w:rFonts w:asciiTheme="majorHAnsi" w:hAnsiTheme="majorHAnsi"/>
          <w:sz w:val="20"/>
          <w:szCs w:val="20"/>
          <w:lang w:val="es-ES"/>
        </w:rPr>
        <w:t>.</w:t>
      </w:r>
      <w:r w:rsidR="004E69DF">
        <w:rPr>
          <w:rFonts w:asciiTheme="majorHAnsi" w:hAnsiTheme="majorHAnsi"/>
          <w:sz w:val="20"/>
          <w:szCs w:val="20"/>
          <w:lang w:val="es-ES"/>
        </w:rPr>
        <w:t xml:space="preserve"> A este respecto, los tribunales internos determinaron lo siguiente:</w:t>
      </w:r>
    </w:p>
    <w:p w14:paraId="77F719B9" w14:textId="614E84DC" w:rsidR="004E69DF" w:rsidRDefault="004E69DF" w:rsidP="00CD01B8">
      <w:pPr>
        <w:pStyle w:val="ListParagraph"/>
        <w:numPr>
          <w:ilvl w:val="0"/>
          <w:numId w:val="0"/>
        </w:numPr>
        <w:suppressAutoHyphens/>
        <w:ind w:left="720" w:right="720"/>
        <w:jc w:val="both"/>
        <w:rPr>
          <w:rFonts w:asciiTheme="majorHAnsi" w:hAnsiTheme="majorHAnsi"/>
          <w:sz w:val="18"/>
          <w:szCs w:val="18"/>
          <w:lang w:val="es-ES"/>
        </w:rPr>
      </w:pPr>
      <w:r w:rsidRPr="001E7B91">
        <w:rPr>
          <w:rFonts w:asciiTheme="majorHAnsi" w:hAnsiTheme="majorHAnsi"/>
          <w:sz w:val="18"/>
          <w:szCs w:val="18"/>
          <w:lang w:val="es-ES"/>
        </w:rPr>
        <w:t>Así las cosas, del análisis concreto se permite concluir que el accionante no cuenta con un derecho adquirido o con una expectativa legítima para acceder a la pensión de jubilación convencional, en la medida</w:t>
      </w:r>
      <w:r w:rsidR="00FA04E6" w:rsidRPr="001E7B91">
        <w:rPr>
          <w:rFonts w:asciiTheme="majorHAnsi" w:hAnsiTheme="majorHAnsi"/>
          <w:sz w:val="18"/>
          <w:szCs w:val="18"/>
          <w:lang w:val="es-ES"/>
        </w:rPr>
        <w:t xml:space="preserve"> que la misma, al momento en que el petente cumplió los requisitos, ya no se encontraba vigente, </w:t>
      </w:r>
      <w:r w:rsidR="001E7B91" w:rsidRPr="001E7B91">
        <w:rPr>
          <w:rFonts w:asciiTheme="majorHAnsi" w:hAnsiTheme="majorHAnsi"/>
          <w:sz w:val="18"/>
          <w:szCs w:val="18"/>
          <w:lang w:val="es-ES"/>
        </w:rPr>
        <w:t>de conformidad con las nuevas reglas constitucionales […]</w:t>
      </w:r>
      <w:r w:rsidR="001E7B91">
        <w:rPr>
          <w:rStyle w:val="FootnoteReference"/>
          <w:rFonts w:asciiTheme="majorHAnsi" w:hAnsiTheme="majorHAnsi"/>
          <w:sz w:val="18"/>
          <w:szCs w:val="18"/>
          <w:lang w:val="es-ES"/>
        </w:rPr>
        <w:footnoteReference w:id="18"/>
      </w:r>
      <w:r w:rsidR="00A96E95">
        <w:rPr>
          <w:rFonts w:asciiTheme="majorHAnsi" w:hAnsiTheme="majorHAnsi"/>
          <w:sz w:val="18"/>
          <w:szCs w:val="18"/>
          <w:lang w:val="es-ES"/>
        </w:rPr>
        <w:t>.</w:t>
      </w:r>
    </w:p>
    <w:p w14:paraId="2D61B3E2" w14:textId="27CD08ED" w:rsidR="000977C4" w:rsidRPr="001E7B91" w:rsidRDefault="000977C4" w:rsidP="00CD01B8">
      <w:pPr>
        <w:pStyle w:val="ListParagraph"/>
        <w:numPr>
          <w:ilvl w:val="0"/>
          <w:numId w:val="0"/>
        </w:numPr>
        <w:suppressAutoHyphens/>
        <w:ind w:left="720" w:right="720"/>
        <w:jc w:val="both"/>
        <w:rPr>
          <w:rFonts w:asciiTheme="majorHAnsi" w:hAnsiTheme="majorHAnsi"/>
          <w:sz w:val="18"/>
          <w:szCs w:val="18"/>
          <w:lang w:val="es-ES"/>
        </w:rPr>
      </w:pPr>
      <w:r>
        <w:rPr>
          <w:rFonts w:asciiTheme="majorHAnsi" w:hAnsiTheme="majorHAnsi"/>
          <w:sz w:val="18"/>
          <w:szCs w:val="18"/>
          <w:lang w:val="es-ES"/>
        </w:rPr>
        <w:t xml:space="preserve">[…] </w:t>
      </w:r>
      <w:r w:rsidR="00E929E3">
        <w:rPr>
          <w:rFonts w:asciiTheme="majorHAnsi" w:hAnsiTheme="majorHAnsi"/>
          <w:sz w:val="18"/>
          <w:szCs w:val="18"/>
          <w:lang w:val="es-ES"/>
        </w:rPr>
        <w:t xml:space="preserve">Al respecto, el juez natural de segunda instancia, al revocar el fallo impugnado le advirtió a la interesada que </w:t>
      </w:r>
      <w:r w:rsidR="00384675">
        <w:rPr>
          <w:rFonts w:asciiTheme="majorHAnsi" w:hAnsiTheme="majorHAnsi"/>
          <w:sz w:val="18"/>
          <w:szCs w:val="18"/>
          <w:lang w:val="es-ES"/>
        </w:rPr>
        <w:t xml:space="preserve">la convención colectiva de la que reclama aplicación para el reconocimiento de la pensión de </w:t>
      </w:r>
      <w:r w:rsidR="00FE72AA">
        <w:rPr>
          <w:rFonts w:asciiTheme="majorHAnsi" w:hAnsiTheme="majorHAnsi"/>
          <w:sz w:val="18"/>
          <w:szCs w:val="18"/>
          <w:lang w:val="es-ES"/>
        </w:rPr>
        <w:t>jubilación</w:t>
      </w:r>
      <w:r w:rsidR="00384675">
        <w:rPr>
          <w:rFonts w:asciiTheme="majorHAnsi" w:hAnsiTheme="majorHAnsi"/>
          <w:sz w:val="18"/>
          <w:szCs w:val="18"/>
          <w:lang w:val="es-ES"/>
        </w:rPr>
        <w:t xml:space="preserve"> perdió vigencia </w:t>
      </w:r>
      <w:r w:rsidR="00FE72AA">
        <w:rPr>
          <w:rFonts w:asciiTheme="majorHAnsi" w:hAnsiTheme="majorHAnsi"/>
          <w:sz w:val="18"/>
          <w:szCs w:val="18"/>
          <w:lang w:val="es-ES"/>
        </w:rPr>
        <w:t>en virtud de lo dispuesto en el Acto Legislativo No. 001 de 2005, sin que le resulte aplicable, de cara a la jurisprudencia constitucional en la materia, específicamente, en la sentencia SU-555 de 2014</w:t>
      </w:r>
      <w:r w:rsidR="00E929E3">
        <w:rPr>
          <w:rFonts w:asciiTheme="majorHAnsi" w:hAnsiTheme="majorHAnsi"/>
          <w:sz w:val="18"/>
          <w:szCs w:val="18"/>
          <w:lang w:val="es-ES"/>
        </w:rPr>
        <w:t>.</w:t>
      </w:r>
      <w:r w:rsidR="009D055C">
        <w:rPr>
          <w:rFonts w:asciiTheme="majorHAnsi" w:hAnsiTheme="majorHAnsi"/>
          <w:sz w:val="18"/>
          <w:szCs w:val="18"/>
          <w:lang w:val="es-ES"/>
        </w:rPr>
        <w:t xml:space="preserve"> Adujo que conforme a normatividad pensional, no cumplió los requisitos exigidos, dado que para el 31 de julio de 2010 aún no tenía cumplidos 25 años de servicios al Banco demandado</w:t>
      </w:r>
      <w:r w:rsidR="003800E3">
        <w:rPr>
          <w:rStyle w:val="FootnoteReference"/>
          <w:rFonts w:asciiTheme="majorHAnsi" w:hAnsiTheme="majorHAnsi"/>
          <w:sz w:val="18"/>
          <w:szCs w:val="18"/>
          <w:lang w:val="es-ES"/>
        </w:rPr>
        <w:footnoteReference w:id="19"/>
      </w:r>
      <w:r w:rsidR="00CD01B8">
        <w:rPr>
          <w:rFonts w:asciiTheme="majorHAnsi" w:hAnsiTheme="majorHAnsi"/>
          <w:sz w:val="18"/>
          <w:szCs w:val="18"/>
          <w:lang w:val="es-ES"/>
        </w:rPr>
        <w:t>.</w:t>
      </w:r>
    </w:p>
    <w:p w14:paraId="167C539B" w14:textId="0FDAB81A" w:rsidR="00D92229" w:rsidRPr="007C5AEC" w:rsidRDefault="002471AF" w:rsidP="007C5AEC">
      <w:pPr>
        <w:pStyle w:val="ListParagraph"/>
        <w:numPr>
          <w:ilvl w:val="0"/>
          <w:numId w:val="61"/>
        </w:numPr>
        <w:suppressAutoHyphens/>
        <w:ind w:left="0" w:firstLine="720"/>
        <w:jc w:val="both"/>
        <w:rPr>
          <w:rFonts w:asciiTheme="majorHAnsi" w:hAnsiTheme="majorHAnsi"/>
          <w:sz w:val="20"/>
          <w:szCs w:val="20"/>
          <w:lang w:val="es-CO"/>
        </w:rPr>
      </w:pPr>
      <w:r w:rsidRPr="00F73AD0">
        <w:rPr>
          <w:rFonts w:asciiTheme="majorHAnsi" w:hAnsiTheme="majorHAnsi"/>
          <w:sz w:val="20"/>
          <w:szCs w:val="20"/>
          <w:lang w:val="es-ES"/>
        </w:rPr>
        <w:t>Así, es claro que</w:t>
      </w:r>
      <w:r w:rsidR="007F539B" w:rsidRPr="00F73AD0">
        <w:rPr>
          <w:rFonts w:asciiTheme="majorHAnsi" w:hAnsiTheme="majorHAnsi"/>
          <w:sz w:val="20"/>
          <w:szCs w:val="20"/>
          <w:lang w:val="es-ES"/>
        </w:rPr>
        <w:t xml:space="preserve"> cada presunta víctima </w:t>
      </w:r>
      <w:r w:rsidR="003035A4" w:rsidRPr="00F73AD0">
        <w:rPr>
          <w:rFonts w:asciiTheme="majorHAnsi" w:hAnsiTheme="majorHAnsi"/>
          <w:sz w:val="20"/>
          <w:szCs w:val="20"/>
          <w:lang w:val="es-ES"/>
        </w:rPr>
        <w:t xml:space="preserve">obtuvo el reconocimiento de su pensión de jubilación, de conformidad con los parámetros establecidos en la legislación interna, </w:t>
      </w:r>
      <w:r w:rsidR="008B3CE2" w:rsidRPr="00F73AD0">
        <w:rPr>
          <w:rFonts w:asciiTheme="majorHAnsi" w:hAnsiTheme="majorHAnsi"/>
          <w:sz w:val="20"/>
          <w:szCs w:val="20"/>
          <w:lang w:val="es-ES"/>
        </w:rPr>
        <w:t xml:space="preserve">cuya reforma </w:t>
      </w:r>
      <w:r w:rsidR="00DB28B4" w:rsidRPr="00F73AD0">
        <w:rPr>
          <w:rFonts w:asciiTheme="majorHAnsi" w:hAnsiTheme="majorHAnsi"/>
          <w:sz w:val="20"/>
          <w:szCs w:val="20"/>
          <w:lang w:val="es-ES"/>
        </w:rPr>
        <w:t xml:space="preserve">constitucional </w:t>
      </w:r>
      <w:r w:rsidR="008B3CE2" w:rsidRPr="00F73AD0">
        <w:rPr>
          <w:rFonts w:asciiTheme="majorHAnsi" w:hAnsiTheme="majorHAnsi"/>
          <w:sz w:val="20"/>
          <w:szCs w:val="20"/>
          <w:lang w:val="es-ES"/>
        </w:rPr>
        <w:t xml:space="preserve">derogó un régimen especial sobre el cual tenían meras expectativas de </w:t>
      </w:r>
      <w:r w:rsidR="00DB28B4" w:rsidRPr="00F73AD0">
        <w:rPr>
          <w:rFonts w:asciiTheme="majorHAnsi" w:hAnsiTheme="majorHAnsi"/>
          <w:sz w:val="20"/>
          <w:szCs w:val="20"/>
          <w:lang w:val="es-ES"/>
        </w:rPr>
        <w:t xml:space="preserve">alcanzar. </w:t>
      </w:r>
      <w:r w:rsidR="001426CA">
        <w:rPr>
          <w:rFonts w:asciiTheme="majorHAnsi" w:hAnsiTheme="majorHAnsi"/>
          <w:sz w:val="20"/>
          <w:szCs w:val="20"/>
          <w:lang w:val="es-ES"/>
        </w:rPr>
        <w:t>Aunado a ello</w:t>
      </w:r>
      <w:r w:rsidR="00DB28B4" w:rsidRPr="00F73AD0">
        <w:rPr>
          <w:rFonts w:asciiTheme="majorHAnsi" w:hAnsiTheme="majorHAnsi"/>
          <w:sz w:val="20"/>
          <w:szCs w:val="20"/>
          <w:lang w:val="es-ES"/>
        </w:rPr>
        <w:t xml:space="preserve">, </w:t>
      </w:r>
      <w:r w:rsidR="001F3E3C" w:rsidRPr="00F73AD0">
        <w:rPr>
          <w:rFonts w:asciiTheme="majorHAnsi" w:hAnsiTheme="majorHAnsi"/>
          <w:sz w:val="20"/>
          <w:szCs w:val="20"/>
          <w:lang w:val="es-ES"/>
        </w:rPr>
        <w:t xml:space="preserve">dicha reforma obedeció a un fin legítimo dentro del Estado consistente en </w:t>
      </w:r>
      <w:r w:rsidR="00CB16D8" w:rsidRPr="00F73AD0">
        <w:rPr>
          <w:rFonts w:asciiTheme="majorHAnsi" w:hAnsiTheme="majorHAnsi"/>
          <w:sz w:val="20"/>
          <w:szCs w:val="20"/>
          <w:lang w:val="es-ES"/>
        </w:rPr>
        <w:t>mantener la sostenibilidad financiera del sistema de seguridad social, y</w:t>
      </w:r>
      <w:r w:rsidR="00BD4D70" w:rsidRPr="00F73AD0">
        <w:rPr>
          <w:rFonts w:asciiTheme="majorHAnsi" w:hAnsiTheme="majorHAnsi"/>
          <w:sz w:val="20"/>
          <w:szCs w:val="20"/>
          <w:lang w:val="es-ES"/>
        </w:rPr>
        <w:t xml:space="preserve"> resultó ser necesaria, razonable y proporcional mediante la </w:t>
      </w:r>
      <w:r w:rsidR="00FD6D07" w:rsidRPr="00F73AD0">
        <w:rPr>
          <w:rFonts w:asciiTheme="majorHAnsi" w:hAnsiTheme="majorHAnsi"/>
          <w:sz w:val="20"/>
          <w:szCs w:val="20"/>
          <w:lang w:val="es-ES"/>
        </w:rPr>
        <w:t xml:space="preserve">restricción a ciertos regímenes </w:t>
      </w:r>
      <w:r w:rsidR="00EB03A7" w:rsidRPr="00F73AD0">
        <w:rPr>
          <w:rFonts w:asciiTheme="majorHAnsi" w:hAnsiTheme="majorHAnsi"/>
          <w:sz w:val="20"/>
          <w:szCs w:val="20"/>
          <w:lang w:val="es-ES"/>
        </w:rPr>
        <w:t xml:space="preserve">especiales </w:t>
      </w:r>
      <w:r w:rsidR="00FD6D07" w:rsidRPr="00F73AD0">
        <w:rPr>
          <w:rFonts w:asciiTheme="majorHAnsi" w:hAnsiTheme="majorHAnsi"/>
          <w:sz w:val="20"/>
          <w:szCs w:val="20"/>
          <w:lang w:val="es-ES"/>
        </w:rPr>
        <w:t xml:space="preserve">y la </w:t>
      </w:r>
      <w:r w:rsidR="00BD4D70" w:rsidRPr="00F73AD0">
        <w:rPr>
          <w:rFonts w:asciiTheme="majorHAnsi" w:hAnsiTheme="majorHAnsi"/>
          <w:sz w:val="20"/>
          <w:szCs w:val="20"/>
          <w:lang w:val="es-ES"/>
        </w:rPr>
        <w:t xml:space="preserve">imposición de límites a las denominadas </w:t>
      </w:r>
      <w:r w:rsidR="00226511">
        <w:rPr>
          <w:rFonts w:asciiTheme="majorHAnsi" w:hAnsiTheme="majorHAnsi"/>
          <w:sz w:val="20"/>
          <w:szCs w:val="20"/>
          <w:lang w:val="es-ES"/>
        </w:rPr>
        <w:t>“</w:t>
      </w:r>
      <w:r w:rsidR="00BD4D70" w:rsidRPr="00F73AD0">
        <w:rPr>
          <w:rFonts w:asciiTheme="majorHAnsi" w:hAnsiTheme="majorHAnsi"/>
          <w:sz w:val="20"/>
          <w:szCs w:val="20"/>
          <w:lang w:val="es-ES"/>
        </w:rPr>
        <w:t>megapensiones</w:t>
      </w:r>
      <w:r w:rsidR="00226511">
        <w:rPr>
          <w:rFonts w:asciiTheme="majorHAnsi" w:hAnsiTheme="majorHAnsi"/>
          <w:sz w:val="20"/>
          <w:szCs w:val="20"/>
          <w:lang w:val="es-ES"/>
        </w:rPr>
        <w:t>”</w:t>
      </w:r>
      <w:r w:rsidR="00FD6D07" w:rsidRPr="00F73AD0">
        <w:rPr>
          <w:rFonts w:asciiTheme="majorHAnsi" w:hAnsiTheme="majorHAnsi"/>
          <w:sz w:val="20"/>
          <w:szCs w:val="20"/>
          <w:lang w:val="es-ES"/>
        </w:rPr>
        <w:t>.</w:t>
      </w:r>
    </w:p>
    <w:p w14:paraId="3F6C7E32" w14:textId="2529D208" w:rsidR="00522E8F" w:rsidRPr="00F73AD0" w:rsidRDefault="00EB03A7" w:rsidP="00F73AD0">
      <w:pPr>
        <w:pStyle w:val="ListParagraph"/>
        <w:numPr>
          <w:ilvl w:val="0"/>
          <w:numId w:val="61"/>
        </w:numPr>
        <w:suppressAutoHyphens/>
        <w:ind w:left="0" w:firstLine="720"/>
        <w:jc w:val="both"/>
        <w:rPr>
          <w:rFonts w:asciiTheme="majorHAnsi" w:hAnsiTheme="majorHAnsi"/>
          <w:sz w:val="20"/>
          <w:szCs w:val="20"/>
          <w:lang w:val="es-CO"/>
        </w:rPr>
      </w:pPr>
      <w:r w:rsidRPr="00F73AD0">
        <w:rPr>
          <w:rFonts w:asciiTheme="majorHAnsi" w:hAnsiTheme="majorHAnsi"/>
          <w:sz w:val="20"/>
          <w:szCs w:val="20"/>
          <w:lang w:val="es-ES"/>
        </w:rPr>
        <w:t xml:space="preserve">En esa medida, </w:t>
      </w:r>
      <w:r w:rsidR="00141647" w:rsidRPr="00F73AD0">
        <w:rPr>
          <w:rFonts w:asciiTheme="majorHAnsi" w:hAnsiTheme="majorHAnsi"/>
          <w:sz w:val="20"/>
          <w:szCs w:val="20"/>
          <w:lang w:val="es-ES"/>
        </w:rPr>
        <w:t xml:space="preserve">y siempre desde el enfoque </w:t>
      </w:r>
      <w:r w:rsidR="00141647" w:rsidRPr="00F73AD0">
        <w:rPr>
          <w:rFonts w:asciiTheme="majorHAnsi" w:hAnsiTheme="majorHAnsi"/>
          <w:i/>
          <w:iCs/>
          <w:sz w:val="20"/>
          <w:szCs w:val="20"/>
          <w:lang w:val="es-ES"/>
        </w:rPr>
        <w:t>prima facie</w:t>
      </w:r>
      <w:r w:rsidR="00141647" w:rsidRPr="00F73AD0">
        <w:rPr>
          <w:rFonts w:asciiTheme="majorHAnsi" w:hAnsiTheme="majorHAnsi"/>
          <w:sz w:val="20"/>
          <w:szCs w:val="20"/>
          <w:lang w:val="es-ES"/>
        </w:rPr>
        <w:t xml:space="preserve">, </w:t>
      </w:r>
      <w:r w:rsidR="00685F73" w:rsidRPr="00F73AD0">
        <w:rPr>
          <w:rFonts w:asciiTheme="majorHAnsi" w:hAnsiTheme="majorHAnsi"/>
          <w:sz w:val="20"/>
          <w:szCs w:val="20"/>
          <w:lang w:val="es-ES"/>
        </w:rPr>
        <w:t>la CIDH reitera que,</w:t>
      </w:r>
      <w:r w:rsidR="00522E8F" w:rsidRPr="00F73AD0">
        <w:rPr>
          <w:rFonts w:asciiTheme="majorHAnsi" w:hAnsiTheme="majorHAnsi"/>
          <w:sz w:val="20"/>
          <w:szCs w:val="20"/>
          <w:lang w:val="es-ES"/>
        </w:rPr>
        <w:t xml:space="preserve"> cuando una petición se dirige contra el contenido, la valoración probatoria o el razonamiento judicial plasmados en una sentencia en firme, adoptada con respeto por el debido proceso y las demás garantías plasmadas en la Convención, la CIDH carece de competencia</w:t>
      </w:r>
      <w:r w:rsidR="005A5D54" w:rsidRPr="00F73AD0">
        <w:rPr>
          <w:rFonts w:asciiTheme="majorHAnsi" w:hAnsiTheme="majorHAnsi"/>
          <w:sz w:val="20"/>
          <w:szCs w:val="20"/>
          <w:lang w:val="es-ES"/>
        </w:rPr>
        <w:t xml:space="preserve"> para revisarla</w:t>
      </w:r>
      <w:r w:rsidR="00522E8F" w:rsidRPr="00F73AD0">
        <w:rPr>
          <w:rFonts w:asciiTheme="majorHAnsi" w:hAnsiTheme="majorHAnsi"/>
          <w:sz w:val="20"/>
          <w:szCs w:val="20"/>
          <w:lang w:val="es-ES"/>
        </w:rPr>
        <w:t>, pues no está llamada a efectuar un nuevo examen, en sede interamericana, de lo resuelto a nivel doméstico por los jueces nacionales en ejercicio de sus atribuciones legítimas y dentro de la esfera de su propia jurisdicción</w:t>
      </w:r>
      <w:r w:rsidR="00522E8F" w:rsidRPr="00F73AD0">
        <w:rPr>
          <w:rFonts w:asciiTheme="majorHAnsi" w:hAnsiTheme="majorHAnsi"/>
          <w:sz w:val="20"/>
          <w:szCs w:val="20"/>
          <w:vertAlign w:val="superscript"/>
          <w:lang w:val="es-US"/>
        </w:rPr>
        <w:footnoteReference w:id="20"/>
      </w:r>
      <w:r w:rsidR="00522E8F" w:rsidRPr="00F73AD0">
        <w:rPr>
          <w:rFonts w:asciiTheme="majorHAnsi" w:hAnsiTheme="majorHAnsi"/>
          <w:sz w:val="20"/>
          <w:szCs w:val="20"/>
          <w:lang w:val="es-US"/>
        </w:rPr>
        <w:t>.</w:t>
      </w:r>
    </w:p>
    <w:p w14:paraId="16EF18C7" w14:textId="056AA0F1" w:rsidR="002471AF" w:rsidRPr="00F73AD0" w:rsidRDefault="00884F7F" w:rsidP="00F73AD0">
      <w:pPr>
        <w:pStyle w:val="ListParagraph"/>
        <w:numPr>
          <w:ilvl w:val="0"/>
          <w:numId w:val="61"/>
        </w:numPr>
        <w:suppressAutoHyphens/>
        <w:ind w:left="0" w:firstLine="720"/>
        <w:jc w:val="both"/>
        <w:rPr>
          <w:rFonts w:asciiTheme="majorHAnsi" w:hAnsiTheme="majorHAnsi"/>
          <w:sz w:val="20"/>
          <w:szCs w:val="20"/>
          <w:lang w:val="es-ES"/>
        </w:rPr>
      </w:pPr>
      <w:r w:rsidRPr="00F73AD0">
        <w:rPr>
          <w:rFonts w:asciiTheme="majorHAnsi" w:hAnsiTheme="majorHAnsi"/>
          <w:sz w:val="20"/>
          <w:szCs w:val="20"/>
          <w:lang w:val="es-ES"/>
        </w:rPr>
        <w:t xml:space="preserve">En atención a estas consideraciones, y luego de analizar la información aportada por las partes, por las razones que se acaban de exponer, la Comisión concluye que los alegatos de la parte peticionaria no contienen elementos que </w:t>
      </w:r>
      <w:r w:rsidRPr="00F73AD0">
        <w:rPr>
          <w:rFonts w:asciiTheme="majorHAnsi" w:hAnsiTheme="majorHAnsi"/>
          <w:i/>
          <w:sz w:val="20"/>
          <w:szCs w:val="20"/>
          <w:lang w:val="es-ES"/>
        </w:rPr>
        <w:t>prima facie</w:t>
      </w:r>
      <w:r w:rsidRPr="00F73AD0">
        <w:rPr>
          <w:rFonts w:asciiTheme="majorHAnsi" w:hAnsiTheme="majorHAnsi"/>
          <w:sz w:val="20"/>
          <w:szCs w:val="20"/>
          <w:lang w:val="es-ES"/>
        </w:rPr>
        <w:t xml:space="preserve"> caractericen posibles violaciones de la Convención Americana en los términos del artículo 47.b de dicho instrumento.</w:t>
      </w:r>
    </w:p>
    <w:p w14:paraId="445BF42E" w14:textId="69C8183F" w:rsidR="003239B8" w:rsidRPr="00F73AD0" w:rsidRDefault="003239B8" w:rsidP="00F73AD0">
      <w:pPr>
        <w:pStyle w:val="ListParagraph"/>
        <w:numPr>
          <w:ilvl w:val="0"/>
          <w:numId w:val="0"/>
        </w:numPr>
        <w:ind w:left="720"/>
        <w:jc w:val="both"/>
        <w:rPr>
          <w:rFonts w:asciiTheme="majorHAnsi" w:hAnsiTheme="majorHAnsi"/>
          <w:b/>
          <w:bCs/>
          <w:sz w:val="20"/>
          <w:szCs w:val="20"/>
          <w:lang w:val="es-ES"/>
        </w:rPr>
      </w:pPr>
      <w:r w:rsidRPr="00F73AD0">
        <w:rPr>
          <w:rFonts w:asciiTheme="majorHAnsi" w:hAnsiTheme="majorHAnsi"/>
          <w:b/>
          <w:bCs/>
          <w:sz w:val="20"/>
          <w:szCs w:val="20"/>
          <w:lang w:val="es-ES"/>
        </w:rPr>
        <w:t>I</w:t>
      </w:r>
      <w:r w:rsidR="00300AC6" w:rsidRPr="00F73AD0">
        <w:rPr>
          <w:rFonts w:asciiTheme="majorHAnsi" w:hAnsiTheme="majorHAnsi"/>
          <w:b/>
          <w:bCs/>
          <w:sz w:val="20"/>
          <w:szCs w:val="20"/>
          <w:lang w:val="es-ES"/>
        </w:rPr>
        <w:t>X</w:t>
      </w:r>
      <w:r w:rsidRPr="00F73AD0">
        <w:rPr>
          <w:rFonts w:asciiTheme="majorHAnsi" w:hAnsiTheme="majorHAnsi"/>
          <w:b/>
          <w:bCs/>
          <w:sz w:val="20"/>
          <w:szCs w:val="20"/>
          <w:lang w:val="es-ES"/>
        </w:rPr>
        <w:t xml:space="preserve">. </w:t>
      </w:r>
      <w:r w:rsidRPr="00F73AD0">
        <w:rPr>
          <w:rFonts w:asciiTheme="majorHAnsi" w:hAnsiTheme="majorHAnsi"/>
          <w:b/>
          <w:bCs/>
          <w:sz w:val="20"/>
          <w:szCs w:val="20"/>
          <w:lang w:val="es-ES"/>
        </w:rPr>
        <w:tab/>
        <w:t>DECISIÓN</w:t>
      </w:r>
    </w:p>
    <w:p w14:paraId="16B36F97" w14:textId="19C5FC25" w:rsidR="003239B8" w:rsidRPr="00F73AD0" w:rsidRDefault="003239B8" w:rsidP="00F73AD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F73AD0">
        <w:rPr>
          <w:rFonts w:asciiTheme="majorHAnsi" w:hAnsiTheme="majorHAnsi"/>
          <w:sz w:val="20"/>
          <w:szCs w:val="20"/>
          <w:lang w:val="es-ES"/>
        </w:rPr>
        <w:t xml:space="preserve">Declarar </w:t>
      </w:r>
      <w:r w:rsidR="0023439D" w:rsidRPr="00F73AD0">
        <w:rPr>
          <w:rFonts w:asciiTheme="majorHAnsi" w:hAnsiTheme="majorHAnsi"/>
          <w:sz w:val="20"/>
          <w:szCs w:val="20"/>
          <w:lang w:val="es-ES"/>
        </w:rPr>
        <w:t>in</w:t>
      </w:r>
      <w:r w:rsidRPr="00F73AD0">
        <w:rPr>
          <w:rFonts w:asciiTheme="majorHAnsi" w:hAnsiTheme="majorHAnsi"/>
          <w:sz w:val="20"/>
          <w:szCs w:val="20"/>
          <w:lang w:val="es-ES"/>
        </w:rPr>
        <w:t>admisible la presente petición</w:t>
      </w:r>
      <w:r w:rsidR="00A758AA" w:rsidRPr="00F73AD0">
        <w:rPr>
          <w:rFonts w:asciiTheme="majorHAnsi" w:hAnsiTheme="majorHAnsi"/>
          <w:sz w:val="20"/>
          <w:szCs w:val="20"/>
          <w:lang w:val="es-ES"/>
        </w:rPr>
        <w:t>;</w:t>
      </w:r>
      <w:r w:rsidR="007B76D3" w:rsidRPr="00F73AD0">
        <w:rPr>
          <w:rFonts w:asciiTheme="majorHAnsi" w:hAnsiTheme="majorHAnsi"/>
          <w:sz w:val="20"/>
          <w:szCs w:val="20"/>
          <w:lang w:val="es-ES"/>
        </w:rPr>
        <w:t xml:space="preserve"> y</w:t>
      </w:r>
    </w:p>
    <w:p w14:paraId="02C904B2" w14:textId="7A87BC8D" w:rsidR="009A56CE" w:rsidRDefault="004A6A54" w:rsidP="00F73AD0">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F73AD0">
        <w:rPr>
          <w:rFonts w:asciiTheme="majorHAnsi" w:hAnsiTheme="majorHAnsi"/>
          <w:sz w:val="20"/>
          <w:szCs w:val="20"/>
          <w:lang w:val="es-ES"/>
        </w:rPr>
        <w:t>Notificar a las partes la presente decisión; y publicar esta decisión e incluirla en su Informe Anual a la Asamb</w:t>
      </w:r>
      <w:r w:rsidRPr="0023439D">
        <w:rPr>
          <w:rFonts w:asciiTheme="majorHAnsi" w:hAnsiTheme="majorHAnsi"/>
          <w:sz w:val="20"/>
          <w:szCs w:val="20"/>
          <w:lang w:val="es-ES"/>
        </w:rPr>
        <w:t>lea General de la Organización de los Estados Americanos.</w:t>
      </w:r>
    </w:p>
    <w:p w14:paraId="2B72779E" w14:textId="77777777" w:rsidR="00BC3961" w:rsidRDefault="00BC3961" w:rsidP="00BC39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p>
    <w:p w14:paraId="21CC84B0" w14:textId="77777777" w:rsidR="00BC3961" w:rsidRDefault="00BC3961" w:rsidP="00BC39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p>
    <w:p w14:paraId="4D77E202" w14:textId="45C0505B" w:rsidR="00BC3961" w:rsidRPr="00DD6D85" w:rsidRDefault="006C3071" w:rsidP="00DD6D85">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Aprobado por la Comisión Interamericana de Dere</w:t>
      </w:r>
      <w:r w:rsidRPr="004D2988">
        <w:rPr>
          <w:rStyle w:val="normaltextrun"/>
          <w:rFonts w:ascii="Cambria" w:hAnsi="Cambria" w:cs="Segoe UI"/>
          <w:sz w:val="20"/>
          <w:szCs w:val="20"/>
          <w:lang w:val="es-CL"/>
        </w:rPr>
        <w:t xml:space="preserve">chos Humanos a los 27 días del mes de diciembre de 2025.  (Firmado): José Luis Caballero Ochoa, Presidente; Andrea Pochak, Primera Vicepresidenta; Roberta Clarke y Gloria Monique de Mees, </w:t>
      </w:r>
      <w:r w:rsidR="00DD6D85">
        <w:rPr>
          <w:rStyle w:val="normaltextrun"/>
          <w:rFonts w:ascii="Cambria" w:hAnsi="Cambria" w:cs="Segoe UI"/>
          <w:sz w:val="20"/>
          <w:szCs w:val="20"/>
          <w:lang w:val="es-CL"/>
        </w:rPr>
        <w:t>m</w:t>
      </w:r>
      <w:r w:rsidRPr="004D2988">
        <w:rPr>
          <w:rStyle w:val="normaltextrun"/>
          <w:rFonts w:ascii="Cambria" w:hAnsi="Cambria" w:cs="Segoe UI"/>
          <w:sz w:val="20"/>
          <w:szCs w:val="20"/>
          <w:lang w:val="es-CL"/>
        </w:rPr>
        <w:t>iembros de la Comisión.</w:t>
      </w:r>
    </w:p>
    <w:sectPr w:rsidR="00BC3961" w:rsidRPr="00DD6D8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BDAF" w14:textId="77777777" w:rsidR="0016757F" w:rsidRDefault="0016757F">
      <w:r>
        <w:separator/>
      </w:r>
    </w:p>
  </w:endnote>
  <w:endnote w:type="continuationSeparator" w:id="0">
    <w:p w14:paraId="6C3FC70C" w14:textId="77777777" w:rsidR="0016757F" w:rsidRDefault="0016757F">
      <w:r>
        <w:continuationSeparator/>
      </w:r>
    </w:p>
  </w:endnote>
  <w:endnote w:type="continuationNotice" w:id="1">
    <w:p w14:paraId="2DF9CA5F" w14:textId="77777777" w:rsidR="0016757F" w:rsidRDefault="00167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666B" w14:textId="77777777" w:rsidR="0016757F" w:rsidRPr="000F35ED" w:rsidRDefault="0016757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0672FFF" w14:textId="77777777" w:rsidR="0016757F" w:rsidRPr="000F35ED" w:rsidRDefault="0016757F" w:rsidP="000F35ED">
      <w:pPr>
        <w:rPr>
          <w:rFonts w:asciiTheme="majorHAnsi" w:hAnsiTheme="majorHAnsi"/>
          <w:sz w:val="16"/>
          <w:szCs w:val="16"/>
        </w:rPr>
      </w:pPr>
      <w:r w:rsidRPr="000F35ED">
        <w:rPr>
          <w:rFonts w:asciiTheme="majorHAnsi" w:hAnsiTheme="majorHAnsi"/>
          <w:sz w:val="16"/>
          <w:szCs w:val="16"/>
        </w:rPr>
        <w:separator/>
      </w:r>
    </w:p>
    <w:p w14:paraId="11A905CF" w14:textId="77777777" w:rsidR="0016757F" w:rsidRPr="000F35ED" w:rsidRDefault="0016757F"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7ECBB54" w14:textId="77777777" w:rsidR="0016757F" w:rsidRPr="000F35ED" w:rsidRDefault="0016757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5589443B" w14:textId="54D56DA0" w:rsidR="00D50C6F" w:rsidRPr="00D50C6F" w:rsidRDefault="00D50C6F" w:rsidP="00D50C6F">
      <w:pPr>
        <w:pStyle w:val="Notasalpie"/>
      </w:pPr>
      <w:r>
        <w:rPr>
          <w:rStyle w:val="FootnoteReference"/>
        </w:rPr>
        <w:footnoteRef/>
      </w:r>
      <w:r w:rsidRPr="00D50C6F">
        <w:t xml:space="preserve"> </w:t>
      </w:r>
      <w:r w:rsidR="004612F8">
        <w:t>L</w:t>
      </w:r>
      <w:r w:rsidR="00B44B1D">
        <w:t xml:space="preserve">a parte peticionaria </w:t>
      </w:r>
      <w:r w:rsidR="001F51B9">
        <w:t xml:space="preserve">remite </w:t>
      </w:r>
      <w:r w:rsidR="004612F8">
        <w:t>un listado anexo</w:t>
      </w:r>
      <w:r w:rsidR="00F7186C">
        <w:t xml:space="preserve"> a su comunicación de </w:t>
      </w:r>
      <w:r w:rsidR="0008322E">
        <w:t>30 de mayo de 2024</w:t>
      </w:r>
      <w:r w:rsidR="001164E6">
        <w:t xml:space="preserve"> de 1.392 personas identificadas como presuntas víctimas</w:t>
      </w:r>
      <w:r w:rsidR="008D76F3">
        <w:t>.</w:t>
      </w:r>
      <w:r w:rsidR="00531AC1">
        <w:t xml:space="preserve"> Sin embargo, las personas referidas en este cuadro son </w:t>
      </w:r>
      <w:r w:rsidR="00DF1165">
        <w:t>aquell</w:t>
      </w:r>
      <w:r w:rsidR="007B024B">
        <w:t>a</w:t>
      </w:r>
      <w:r w:rsidR="00DF1165">
        <w:t>s respecto de</w:t>
      </w:r>
      <w:r w:rsidR="00531AC1">
        <w:t xml:space="preserve"> quienes la CIDH tiene información específica de los hechos y el agotamiento de los recursos internos.</w:t>
      </w:r>
    </w:p>
  </w:footnote>
  <w:footnote w:id="3">
    <w:p w14:paraId="66E930B8" w14:textId="22899BDE"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E74734">
        <w:t>Carlos Bernal Pulido</w:t>
      </w:r>
      <w:r w:rsidRPr="00306F33">
        <w:t xml:space="preserve">, de nacionalidad </w:t>
      </w:r>
      <w:r w:rsidR="00E74734">
        <w:t>colombiana</w:t>
      </w:r>
      <w:r w:rsidRPr="00306F33">
        <w:t>, no participó en el debate ni en la decisión del presente asunto.</w:t>
      </w:r>
    </w:p>
  </w:footnote>
  <w:footnote w:id="4">
    <w:p w14:paraId="627C2574" w14:textId="7C62D8EC" w:rsidR="00911A60" w:rsidRPr="0096689B" w:rsidRDefault="00911A60" w:rsidP="00911A60">
      <w:pPr>
        <w:pStyle w:val="FootnoteText"/>
        <w:ind w:firstLine="720"/>
        <w:jc w:val="both"/>
        <w:rPr>
          <w:rFonts w:ascii="Cambria" w:hAnsi="Cambria"/>
          <w:sz w:val="16"/>
          <w:szCs w:val="16"/>
          <w:lang w:val="es-419"/>
        </w:rPr>
      </w:pPr>
      <w:r w:rsidRPr="00AE4154">
        <w:rPr>
          <w:rStyle w:val="FootnoteReference"/>
          <w:rFonts w:ascii="Cambria" w:hAnsi="Cambria"/>
          <w:sz w:val="16"/>
          <w:szCs w:val="16"/>
        </w:rPr>
        <w:footnoteRef/>
      </w:r>
      <w:r w:rsidRPr="00AE4154">
        <w:rPr>
          <w:rFonts w:ascii="Cambria" w:hAnsi="Cambria"/>
          <w:sz w:val="16"/>
          <w:szCs w:val="16"/>
          <w:lang w:val="es-419"/>
        </w:rPr>
        <w:t xml:space="preserve"> En adelante </w:t>
      </w:r>
      <w:r>
        <w:rPr>
          <w:rFonts w:ascii="Cambria" w:hAnsi="Cambria"/>
          <w:sz w:val="16"/>
          <w:szCs w:val="16"/>
          <w:lang w:val="es-419"/>
        </w:rPr>
        <w:t>“</w:t>
      </w:r>
      <w:r w:rsidRPr="00B91776">
        <w:rPr>
          <w:rFonts w:ascii="Cambria" w:hAnsi="Cambria"/>
          <w:sz w:val="16"/>
          <w:szCs w:val="16"/>
          <w:lang w:val="es-419"/>
        </w:rPr>
        <w:t>la Convención</w:t>
      </w:r>
      <w:r>
        <w:rPr>
          <w:rFonts w:ascii="Cambria" w:hAnsi="Cambria"/>
          <w:sz w:val="16"/>
          <w:szCs w:val="16"/>
          <w:lang w:val="es-419"/>
        </w:rPr>
        <w:t xml:space="preserve"> Americana”</w:t>
      </w:r>
      <w:r w:rsidRPr="00B91776">
        <w:rPr>
          <w:rFonts w:ascii="Cambria" w:hAnsi="Cambria"/>
          <w:sz w:val="16"/>
          <w:szCs w:val="16"/>
          <w:lang w:val="es-419"/>
        </w:rPr>
        <w:t xml:space="preserve"> o </w:t>
      </w:r>
      <w:r>
        <w:rPr>
          <w:rFonts w:ascii="Cambria" w:hAnsi="Cambria"/>
          <w:sz w:val="16"/>
          <w:szCs w:val="16"/>
          <w:lang w:val="es-419"/>
        </w:rPr>
        <w:t xml:space="preserve">“la </w:t>
      </w:r>
      <w:r w:rsidRPr="00B91776">
        <w:rPr>
          <w:rFonts w:ascii="Cambria" w:hAnsi="Cambria"/>
          <w:sz w:val="16"/>
          <w:szCs w:val="16"/>
          <w:lang w:val="es-419"/>
        </w:rPr>
        <w:t>Convención</w:t>
      </w:r>
      <w:r>
        <w:rPr>
          <w:rFonts w:ascii="Cambria" w:hAnsi="Cambria"/>
          <w:sz w:val="16"/>
          <w:szCs w:val="16"/>
          <w:lang w:val="es-419"/>
        </w:rPr>
        <w:t>”</w:t>
      </w:r>
      <w:r w:rsidRPr="0096689B">
        <w:rPr>
          <w:rFonts w:ascii="Cambria" w:hAnsi="Cambria"/>
          <w:sz w:val="16"/>
          <w:szCs w:val="16"/>
          <w:lang w:val="es-419"/>
        </w:rPr>
        <w:t>.</w:t>
      </w:r>
    </w:p>
  </w:footnote>
  <w:footnote w:id="5">
    <w:p w14:paraId="1AFEF3B0" w14:textId="5D10B2BD" w:rsidR="008E3BFE" w:rsidRPr="00306F33" w:rsidRDefault="008E3BFE" w:rsidP="00306F33">
      <w:pPr>
        <w:pStyle w:val="FootnoteText"/>
        <w:ind w:firstLine="720"/>
        <w:jc w:val="both"/>
        <w:rPr>
          <w:rFonts w:asciiTheme="majorHAnsi" w:hAnsiTheme="majorHAnsi"/>
          <w:sz w:val="16"/>
          <w:szCs w:val="16"/>
          <w:lang w:val="es-ES"/>
        </w:rPr>
      </w:pPr>
      <w:r w:rsidRPr="00AC5B4B">
        <w:rPr>
          <w:rStyle w:val="FootnoteReference"/>
          <w:rFonts w:asciiTheme="majorHAnsi" w:hAnsiTheme="majorHAnsi"/>
          <w:sz w:val="16"/>
          <w:szCs w:val="16"/>
        </w:rPr>
        <w:footnoteRef/>
      </w:r>
      <w:r w:rsidRPr="00AC5B4B">
        <w:rPr>
          <w:rFonts w:asciiTheme="majorHAnsi" w:hAnsiTheme="majorHAnsi"/>
          <w:sz w:val="16"/>
          <w:szCs w:val="16"/>
          <w:lang w:val="es-ES"/>
        </w:rPr>
        <w:t xml:space="preserve"> Las observaciones de cada parte fueron debidamente trasladadas a la parte contraria.</w:t>
      </w:r>
      <w:r w:rsidR="009A56CE">
        <w:rPr>
          <w:rFonts w:asciiTheme="majorHAnsi" w:hAnsiTheme="majorHAnsi"/>
          <w:sz w:val="16"/>
          <w:szCs w:val="16"/>
          <w:lang w:val="es-ES"/>
        </w:rPr>
        <w:t xml:space="preserve"> </w:t>
      </w:r>
    </w:p>
  </w:footnote>
  <w:footnote w:id="6">
    <w:p w14:paraId="5A744063" w14:textId="779F4B9E" w:rsidR="00C50555" w:rsidRPr="00C50555" w:rsidRDefault="00C50555" w:rsidP="00C50555">
      <w:pPr>
        <w:pStyle w:val="Notasalpie"/>
        <w:rPr>
          <w:lang w:val="es-CO"/>
        </w:rPr>
      </w:pPr>
      <w:r>
        <w:rPr>
          <w:rStyle w:val="FootnoteReference"/>
        </w:rPr>
        <w:footnoteRef/>
      </w:r>
      <w:r>
        <w:t xml:space="preserve"> </w:t>
      </w:r>
      <w:r w:rsidR="00CC7447">
        <w:t>Parágrafo</w:t>
      </w:r>
      <w:r>
        <w:t xml:space="preserve"> </w:t>
      </w:r>
      <w:r w:rsidR="007D0E50">
        <w:t>3</w:t>
      </w:r>
      <w:r w:rsidR="00CC7447">
        <w:t>°</w:t>
      </w:r>
      <w:r w:rsidR="007D0E50">
        <w:t xml:space="preserve"> transitorio</w:t>
      </w:r>
      <w:r>
        <w:t xml:space="preserve"> del artículo 1 del Acto Legislativo 01 de 2005</w:t>
      </w:r>
      <w:r w:rsidR="008F6785">
        <w:t>, p</w:t>
      </w:r>
      <w:r w:rsidR="008F6785" w:rsidRPr="008F6785">
        <w:t xml:space="preserve">ublicado en el Diario Oficial </w:t>
      </w:r>
      <w:r w:rsidR="00935F14">
        <w:t xml:space="preserve">No. </w:t>
      </w:r>
      <w:r w:rsidR="008F6785" w:rsidRPr="008F6785">
        <w:t>45980 de julio 25 de 2005</w:t>
      </w:r>
      <w:r w:rsidR="008F6785">
        <w:t>.</w:t>
      </w:r>
    </w:p>
  </w:footnote>
  <w:footnote w:id="7">
    <w:p w14:paraId="150E9E9D" w14:textId="1EA95160" w:rsidR="005541F4" w:rsidRPr="00D92229" w:rsidRDefault="005541F4" w:rsidP="005541F4">
      <w:pPr>
        <w:pStyle w:val="FootnoteText"/>
        <w:ind w:firstLine="720"/>
        <w:jc w:val="both"/>
        <w:rPr>
          <w:rFonts w:asciiTheme="majorHAnsi" w:hAnsiTheme="majorHAnsi"/>
          <w:lang w:val="es-CO"/>
        </w:rPr>
      </w:pPr>
      <w:r w:rsidRPr="00E314AA">
        <w:rPr>
          <w:rStyle w:val="FootnoteReference"/>
          <w:rFonts w:asciiTheme="majorHAnsi" w:hAnsiTheme="majorHAnsi"/>
          <w:sz w:val="16"/>
          <w:szCs w:val="16"/>
        </w:rPr>
        <w:footnoteRef/>
      </w:r>
      <w:r w:rsidRPr="00F15D41">
        <w:rPr>
          <w:rFonts w:asciiTheme="majorHAnsi" w:hAnsiTheme="majorHAnsi"/>
          <w:sz w:val="16"/>
          <w:szCs w:val="16"/>
          <w:lang w:val="es-CO"/>
        </w:rPr>
        <w:t xml:space="preserve"> CIDH, </w:t>
      </w:r>
      <w:r w:rsidR="00A71ACA" w:rsidRPr="00A71ACA">
        <w:rPr>
          <w:rFonts w:asciiTheme="majorHAnsi" w:hAnsiTheme="majorHAnsi"/>
          <w:sz w:val="16"/>
          <w:szCs w:val="16"/>
          <w:lang w:val="es-CO"/>
        </w:rPr>
        <w:t>Informe No. 234/24</w:t>
      </w:r>
      <w:r w:rsidR="00AB3D88">
        <w:rPr>
          <w:rFonts w:asciiTheme="majorHAnsi" w:hAnsiTheme="majorHAnsi"/>
          <w:sz w:val="16"/>
          <w:szCs w:val="16"/>
          <w:lang w:val="es-CO"/>
        </w:rPr>
        <w:t>,</w:t>
      </w:r>
      <w:r w:rsidR="00A71ACA" w:rsidRPr="00A71ACA">
        <w:rPr>
          <w:rFonts w:asciiTheme="majorHAnsi" w:hAnsiTheme="majorHAnsi"/>
          <w:sz w:val="16"/>
          <w:szCs w:val="16"/>
          <w:lang w:val="es-CO"/>
        </w:rPr>
        <w:t xml:space="preserve"> Petición 749-15</w:t>
      </w:r>
      <w:r w:rsidR="00AB3D88">
        <w:rPr>
          <w:rFonts w:asciiTheme="majorHAnsi" w:hAnsiTheme="majorHAnsi"/>
          <w:sz w:val="16"/>
          <w:szCs w:val="16"/>
          <w:lang w:val="es-CO"/>
        </w:rPr>
        <w:t>,</w:t>
      </w:r>
      <w:r w:rsidR="00A71ACA" w:rsidRPr="00A71ACA">
        <w:rPr>
          <w:rFonts w:asciiTheme="majorHAnsi" w:hAnsiTheme="majorHAnsi"/>
          <w:sz w:val="16"/>
          <w:szCs w:val="16"/>
          <w:lang w:val="es-CO"/>
        </w:rPr>
        <w:t xml:space="preserve"> Inadmisibilidad</w:t>
      </w:r>
      <w:r w:rsidR="00AB3D88">
        <w:rPr>
          <w:rFonts w:asciiTheme="majorHAnsi" w:hAnsiTheme="majorHAnsi"/>
          <w:sz w:val="16"/>
          <w:szCs w:val="16"/>
          <w:lang w:val="es-CO"/>
        </w:rPr>
        <w:t>,</w:t>
      </w:r>
      <w:r w:rsidR="00A71ACA" w:rsidRPr="00A71ACA">
        <w:rPr>
          <w:rFonts w:asciiTheme="majorHAnsi" w:hAnsiTheme="majorHAnsi"/>
          <w:sz w:val="16"/>
          <w:szCs w:val="16"/>
          <w:lang w:val="es-CO"/>
        </w:rPr>
        <w:t xml:space="preserve"> Funtierra Rehabilitación S.A.S.</w:t>
      </w:r>
      <w:r w:rsidR="00322A51">
        <w:rPr>
          <w:rFonts w:asciiTheme="majorHAnsi" w:hAnsiTheme="majorHAnsi"/>
          <w:sz w:val="16"/>
          <w:szCs w:val="16"/>
          <w:lang w:val="es-CO"/>
        </w:rPr>
        <w:t>,</w:t>
      </w:r>
      <w:r w:rsidR="00A71ACA" w:rsidRPr="00A71ACA">
        <w:rPr>
          <w:rFonts w:asciiTheme="majorHAnsi" w:hAnsiTheme="majorHAnsi"/>
          <w:sz w:val="16"/>
          <w:szCs w:val="16"/>
          <w:lang w:val="es-CO"/>
        </w:rPr>
        <w:t xml:space="preserve"> Colombia</w:t>
      </w:r>
      <w:r w:rsidR="00322A51">
        <w:rPr>
          <w:rFonts w:asciiTheme="majorHAnsi" w:hAnsiTheme="majorHAnsi"/>
          <w:sz w:val="16"/>
          <w:szCs w:val="16"/>
          <w:lang w:val="es-CO"/>
        </w:rPr>
        <w:t>,</w:t>
      </w:r>
      <w:r w:rsidR="00A71ACA" w:rsidRPr="00A71ACA">
        <w:rPr>
          <w:rFonts w:asciiTheme="majorHAnsi" w:hAnsiTheme="majorHAnsi"/>
          <w:sz w:val="16"/>
          <w:szCs w:val="16"/>
          <w:lang w:val="es-CO"/>
        </w:rPr>
        <w:t xml:space="preserve"> </w:t>
      </w:r>
      <w:r w:rsidR="00A71ACA" w:rsidRPr="005E7F3F">
        <w:rPr>
          <w:rFonts w:asciiTheme="majorHAnsi" w:hAnsiTheme="majorHAnsi"/>
          <w:sz w:val="16"/>
          <w:szCs w:val="16"/>
          <w:lang w:val="es-CO"/>
        </w:rPr>
        <w:t xml:space="preserve">10 de diciembre de 2024, párr. </w:t>
      </w:r>
      <w:r w:rsidR="00386C4F" w:rsidRPr="005E7F3F">
        <w:rPr>
          <w:rFonts w:asciiTheme="majorHAnsi" w:hAnsiTheme="majorHAnsi"/>
          <w:sz w:val="16"/>
          <w:szCs w:val="16"/>
          <w:lang w:val="es-CO"/>
        </w:rPr>
        <w:t xml:space="preserve">22; </w:t>
      </w:r>
      <w:r w:rsidR="005E7F3F" w:rsidRPr="005E7F3F">
        <w:rPr>
          <w:rFonts w:asciiTheme="majorHAnsi" w:hAnsiTheme="majorHAnsi"/>
          <w:sz w:val="16"/>
          <w:szCs w:val="16"/>
          <w:lang w:val="es-CO"/>
        </w:rPr>
        <w:t>Informe No. 326/22</w:t>
      </w:r>
      <w:r w:rsidR="00322A51">
        <w:rPr>
          <w:rFonts w:asciiTheme="majorHAnsi" w:hAnsiTheme="majorHAnsi"/>
          <w:sz w:val="16"/>
          <w:szCs w:val="16"/>
          <w:lang w:val="es-CO"/>
        </w:rPr>
        <w:t>,</w:t>
      </w:r>
      <w:r w:rsidR="005E7F3F" w:rsidRPr="005E7F3F">
        <w:rPr>
          <w:rFonts w:asciiTheme="majorHAnsi" w:hAnsiTheme="majorHAnsi"/>
          <w:sz w:val="16"/>
          <w:szCs w:val="16"/>
          <w:lang w:val="es-CO"/>
        </w:rPr>
        <w:t xml:space="preserve"> Petición 1319-10</w:t>
      </w:r>
      <w:r w:rsidR="00322A51">
        <w:rPr>
          <w:rFonts w:asciiTheme="majorHAnsi" w:hAnsiTheme="majorHAnsi"/>
          <w:sz w:val="16"/>
          <w:szCs w:val="16"/>
          <w:lang w:val="es-CO"/>
        </w:rPr>
        <w:t>,</w:t>
      </w:r>
      <w:r w:rsidR="005E7F3F" w:rsidRPr="005E7F3F">
        <w:rPr>
          <w:rFonts w:asciiTheme="majorHAnsi" w:hAnsiTheme="majorHAnsi"/>
          <w:sz w:val="16"/>
          <w:szCs w:val="16"/>
          <w:lang w:val="es-CO"/>
        </w:rPr>
        <w:t xml:space="preserve"> Inadmisibilidad</w:t>
      </w:r>
      <w:r w:rsidR="00322A51">
        <w:rPr>
          <w:rFonts w:asciiTheme="majorHAnsi" w:hAnsiTheme="majorHAnsi"/>
          <w:sz w:val="16"/>
          <w:szCs w:val="16"/>
          <w:lang w:val="es-CO"/>
        </w:rPr>
        <w:t>,</w:t>
      </w:r>
      <w:r w:rsidR="005E7F3F" w:rsidRPr="005E7F3F">
        <w:rPr>
          <w:rFonts w:asciiTheme="majorHAnsi" w:hAnsiTheme="majorHAnsi"/>
          <w:sz w:val="16"/>
          <w:szCs w:val="16"/>
          <w:lang w:val="es-CO"/>
        </w:rPr>
        <w:t xml:space="preserve"> Marcial Rubio y otros (Comunidad Universitaria de la Pontificia Universidad Católica del Perú)</w:t>
      </w:r>
      <w:r w:rsidR="00322A51">
        <w:rPr>
          <w:rFonts w:asciiTheme="majorHAnsi" w:hAnsiTheme="majorHAnsi"/>
          <w:sz w:val="16"/>
          <w:szCs w:val="16"/>
          <w:lang w:val="es-CO"/>
        </w:rPr>
        <w:t>,</w:t>
      </w:r>
      <w:r w:rsidR="005E7F3F" w:rsidRPr="005E7F3F">
        <w:rPr>
          <w:rFonts w:asciiTheme="majorHAnsi" w:hAnsiTheme="majorHAnsi"/>
          <w:sz w:val="16"/>
          <w:szCs w:val="16"/>
          <w:lang w:val="es-CO"/>
        </w:rPr>
        <w:t xml:space="preserve"> </w:t>
      </w:r>
      <w:r w:rsidR="005E7F3F" w:rsidRPr="003C24F7">
        <w:rPr>
          <w:rFonts w:asciiTheme="majorHAnsi" w:hAnsiTheme="majorHAnsi"/>
          <w:sz w:val="16"/>
          <w:szCs w:val="16"/>
          <w:lang w:val="es-ES"/>
        </w:rPr>
        <w:t>Perú</w:t>
      </w:r>
      <w:r w:rsidR="00322A51">
        <w:rPr>
          <w:rFonts w:asciiTheme="majorHAnsi" w:hAnsiTheme="majorHAnsi"/>
          <w:sz w:val="16"/>
          <w:szCs w:val="16"/>
          <w:lang w:val="es-ES"/>
        </w:rPr>
        <w:t>,</w:t>
      </w:r>
      <w:r w:rsidR="005E7F3F" w:rsidRPr="003C24F7">
        <w:rPr>
          <w:rFonts w:asciiTheme="majorHAnsi" w:hAnsiTheme="majorHAnsi"/>
          <w:sz w:val="16"/>
          <w:szCs w:val="16"/>
          <w:lang w:val="es-ES"/>
        </w:rPr>
        <w:t xml:space="preserve"> 29 de noviembre de 2022, párr.</w:t>
      </w:r>
      <w:r w:rsidR="005329D9">
        <w:rPr>
          <w:rFonts w:asciiTheme="majorHAnsi" w:hAnsiTheme="majorHAnsi"/>
          <w:sz w:val="16"/>
          <w:szCs w:val="16"/>
          <w:lang w:val="es-ES"/>
        </w:rPr>
        <w:t xml:space="preserve"> </w:t>
      </w:r>
      <w:r w:rsidR="005E7F3F" w:rsidRPr="003C24F7">
        <w:rPr>
          <w:rFonts w:asciiTheme="majorHAnsi" w:hAnsiTheme="majorHAnsi"/>
          <w:sz w:val="16"/>
          <w:szCs w:val="16"/>
          <w:lang w:val="es-ES"/>
        </w:rPr>
        <w:t xml:space="preserve">36; </w:t>
      </w:r>
      <w:r w:rsidR="00386C4F" w:rsidRPr="003C24F7">
        <w:rPr>
          <w:rFonts w:asciiTheme="majorHAnsi" w:hAnsiTheme="majorHAnsi"/>
          <w:sz w:val="16"/>
          <w:szCs w:val="16"/>
          <w:lang w:val="es-ES"/>
        </w:rPr>
        <w:t xml:space="preserve">e, </w:t>
      </w:r>
      <w:r w:rsidRPr="00F15D41">
        <w:rPr>
          <w:rFonts w:asciiTheme="majorHAnsi" w:hAnsiTheme="majorHAnsi"/>
          <w:sz w:val="16"/>
          <w:szCs w:val="16"/>
          <w:lang w:val="es-CO"/>
        </w:rPr>
        <w:t>Informe No. 57/08, Petición 283-06</w:t>
      </w:r>
      <w:r w:rsidR="00322A51">
        <w:rPr>
          <w:rFonts w:asciiTheme="majorHAnsi" w:hAnsiTheme="majorHAnsi"/>
          <w:sz w:val="16"/>
          <w:szCs w:val="16"/>
          <w:lang w:val="es-CO"/>
        </w:rPr>
        <w:t>,</w:t>
      </w:r>
      <w:r w:rsidRPr="00F15D41">
        <w:rPr>
          <w:rFonts w:asciiTheme="majorHAnsi" w:hAnsiTheme="majorHAnsi"/>
          <w:sz w:val="16"/>
          <w:szCs w:val="16"/>
          <w:lang w:val="es-CO"/>
        </w:rPr>
        <w:t xml:space="preserve"> Inadmisibilidad</w:t>
      </w:r>
      <w:r w:rsidR="00322A51">
        <w:rPr>
          <w:rFonts w:asciiTheme="majorHAnsi" w:hAnsiTheme="majorHAnsi"/>
          <w:sz w:val="16"/>
          <w:szCs w:val="16"/>
          <w:lang w:val="es-CO"/>
        </w:rPr>
        <w:t>,</w:t>
      </w:r>
      <w:r w:rsidRPr="00F15D41">
        <w:rPr>
          <w:rFonts w:asciiTheme="majorHAnsi" w:hAnsiTheme="majorHAnsi"/>
          <w:sz w:val="16"/>
          <w:szCs w:val="16"/>
          <w:lang w:val="es-CO"/>
        </w:rPr>
        <w:t xml:space="preserve"> </w:t>
      </w:r>
      <w:r w:rsidRPr="00322A51">
        <w:rPr>
          <w:rFonts w:asciiTheme="majorHAnsi" w:hAnsiTheme="majorHAnsi"/>
          <w:sz w:val="16"/>
          <w:szCs w:val="16"/>
          <w:lang w:val="es-ES"/>
        </w:rPr>
        <w:t>Mario Roberto Chang Bravo</w:t>
      </w:r>
      <w:r w:rsidR="00322A51">
        <w:rPr>
          <w:rFonts w:asciiTheme="majorHAnsi" w:hAnsiTheme="majorHAnsi"/>
          <w:sz w:val="16"/>
          <w:szCs w:val="16"/>
          <w:lang w:val="es-ES"/>
        </w:rPr>
        <w:t>,</w:t>
      </w:r>
      <w:r w:rsidRPr="00322A51">
        <w:rPr>
          <w:rFonts w:asciiTheme="majorHAnsi" w:hAnsiTheme="majorHAnsi"/>
          <w:sz w:val="16"/>
          <w:szCs w:val="16"/>
          <w:lang w:val="es-ES"/>
        </w:rPr>
        <w:t xml:space="preserve"> Guatemala</w:t>
      </w:r>
      <w:r w:rsidR="00322A51">
        <w:rPr>
          <w:rFonts w:asciiTheme="majorHAnsi" w:hAnsiTheme="majorHAnsi"/>
          <w:sz w:val="16"/>
          <w:szCs w:val="16"/>
          <w:lang w:val="es-ES"/>
        </w:rPr>
        <w:t>,</w:t>
      </w:r>
      <w:r w:rsidRPr="00322A51">
        <w:rPr>
          <w:rFonts w:asciiTheme="majorHAnsi" w:hAnsiTheme="majorHAnsi"/>
          <w:sz w:val="16"/>
          <w:szCs w:val="16"/>
          <w:lang w:val="es-ES"/>
        </w:rPr>
        <w:t xml:space="preserve"> 24 de julio de 2008, párr. </w:t>
      </w:r>
      <w:r w:rsidRPr="00D92229">
        <w:rPr>
          <w:rFonts w:asciiTheme="majorHAnsi" w:hAnsiTheme="majorHAnsi"/>
          <w:sz w:val="16"/>
          <w:szCs w:val="16"/>
          <w:lang w:val="es-CO"/>
        </w:rPr>
        <w:t>38.</w:t>
      </w:r>
    </w:p>
  </w:footnote>
  <w:footnote w:id="8">
    <w:p w14:paraId="0D2C1283" w14:textId="05A269BF" w:rsidR="00624106" w:rsidRPr="000508B1" w:rsidRDefault="00624106" w:rsidP="00624106">
      <w:pPr>
        <w:pStyle w:val="FootnoteText"/>
        <w:ind w:firstLine="720"/>
        <w:jc w:val="both"/>
        <w:rPr>
          <w:rFonts w:asciiTheme="majorHAnsi" w:hAnsiTheme="majorHAnsi"/>
          <w:lang w:val="es-CO"/>
        </w:rPr>
      </w:pPr>
      <w:r w:rsidRPr="000508B1">
        <w:rPr>
          <w:rStyle w:val="FootnoteReference"/>
          <w:rFonts w:asciiTheme="majorHAnsi" w:hAnsiTheme="majorHAnsi"/>
          <w:sz w:val="16"/>
          <w:szCs w:val="16"/>
        </w:rPr>
        <w:footnoteRef/>
      </w:r>
      <w:r w:rsidRPr="00D92229">
        <w:rPr>
          <w:rFonts w:asciiTheme="majorHAnsi" w:hAnsiTheme="majorHAnsi"/>
          <w:sz w:val="16"/>
          <w:szCs w:val="16"/>
          <w:lang w:val="es-CO"/>
        </w:rPr>
        <w:t xml:space="preserve"> CIDH, Informe No. 326/22</w:t>
      </w:r>
      <w:r w:rsidR="00B74C71">
        <w:rPr>
          <w:rFonts w:asciiTheme="majorHAnsi" w:hAnsiTheme="majorHAnsi"/>
          <w:sz w:val="16"/>
          <w:szCs w:val="16"/>
          <w:lang w:val="es-CO"/>
        </w:rPr>
        <w:t>,</w:t>
      </w:r>
      <w:r w:rsidRPr="00D92229">
        <w:rPr>
          <w:rFonts w:asciiTheme="majorHAnsi" w:hAnsiTheme="majorHAnsi"/>
          <w:sz w:val="16"/>
          <w:szCs w:val="16"/>
          <w:lang w:val="es-CO"/>
        </w:rPr>
        <w:t xml:space="preserve"> </w:t>
      </w:r>
      <w:r w:rsidRPr="005E7F3F">
        <w:rPr>
          <w:rFonts w:asciiTheme="majorHAnsi" w:hAnsiTheme="majorHAnsi"/>
          <w:sz w:val="16"/>
          <w:szCs w:val="16"/>
          <w:lang w:val="es-CO"/>
        </w:rPr>
        <w:t>Petición 1319-10</w:t>
      </w:r>
      <w:r w:rsidR="00B74C71">
        <w:rPr>
          <w:rFonts w:asciiTheme="majorHAnsi" w:hAnsiTheme="majorHAnsi"/>
          <w:sz w:val="16"/>
          <w:szCs w:val="16"/>
          <w:lang w:val="es-CO"/>
        </w:rPr>
        <w:t>,</w:t>
      </w:r>
      <w:r w:rsidRPr="005E7F3F">
        <w:rPr>
          <w:rFonts w:asciiTheme="majorHAnsi" w:hAnsiTheme="majorHAnsi"/>
          <w:sz w:val="16"/>
          <w:szCs w:val="16"/>
          <w:lang w:val="es-CO"/>
        </w:rPr>
        <w:t xml:space="preserve"> Inadmisibilidad. Marcial Rubio y otros (Comunidad Universitaria de la Pontificia Universidad Católica del Perú)</w:t>
      </w:r>
      <w:r w:rsidR="00B74C71">
        <w:rPr>
          <w:rFonts w:asciiTheme="majorHAnsi" w:hAnsiTheme="majorHAnsi"/>
          <w:sz w:val="16"/>
          <w:szCs w:val="16"/>
          <w:lang w:val="es-CO"/>
        </w:rPr>
        <w:t>,</w:t>
      </w:r>
      <w:r w:rsidRPr="005E7F3F">
        <w:rPr>
          <w:rFonts w:asciiTheme="majorHAnsi" w:hAnsiTheme="majorHAnsi"/>
          <w:sz w:val="16"/>
          <w:szCs w:val="16"/>
          <w:lang w:val="es-CO"/>
        </w:rPr>
        <w:t xml:space="preserve"> </w:t>
      </w:r>
      <w:r w:rsidRPr="003C24F7">
        <w:rPr>
          <w:rFonts w:asciiTheme="majorHAnsi" w:hAnsiTheme="majorHAnsi"/>
          <w:sz w:val="16"/>
          <w:szCs w:val="16"/>
          <w:lang w:val="es-ES"/>
        </w:rPr>
        <w:t>Perú</w:t>
      </w:r>
      <w:r w:rsidR="00B74C71">
        <w:rPr>
          <w:rFonts w:asciiTheme="majorHAnsi" w:hAnsiTheme="majorHAnsi"/>
          <w:sz w:val="16"/>
          <w:szCs w:val="16"/>
          <w:lang w:val="es-ES"/>
        </w:rPr>
        <w:t>,</w:t>
      </w:r>
      <w:r w:rsidRPr="003C24F7">
        <w:rPr>
          <w:rFonts w:asciiTheme="majorHAnsi" w:hAnsiTheme="majorHAnsi"/>
          <w:sz w:val="16"/>
          <w:szCs w:val="16"/>
          <w:lang w:val="es-ES"/>
        </w:rPr>
        <w:t xml:space="preserve"> 29 de noviembre de 2022, párr.</w:t>
      </w:r>
      <w:r w:rsidR="00B74C71">
        <w:rPr>
          <w:rFonts w:asciiTheme="majorHAnsi" w:hAnsiTheme="majorHAnsi"/>
          <w:sz w:val="16"/>
          <w:szCs w:val="16"/>
          <w:lang w:val="es-ES"/>
        </w:rPr>
        <w:t xml:space="preserve"> </w:t>
      </w:r>
      <w:r w:rsidRPr="003C24F7">
        <w:rPr>
          <w:rFonts w:asciiTheme="majorHAnsi" w:hAnsiTheme="majorHAnsi"/>
          <w:sz w:val="16"/>
          <w:szCs w:val="16"/>
          <w:lang w:val="es-ES"/>
        </w:rPr>
        <w:t xml:space="preserve">36; e, </w:t>
      </w:r>
      <w:r w:rsidRPr="0034013E">
        <w:rPr>
          <w:rFonts w:asciiTheme="majorHAnsi" w:hAnsiTheme="majorHAnsi"/>
          <w:sz w:val="16"/>
          <w:szCs w:val="16"/>
          <w:lang w:val="es-CO"/>
        </w:rPr>
        <w:t>Informe No. 79/12, Petición 342-07</w:t>
      </w:r>
      <w:r w:rsidR="00B74C71">
        <w:rPr>
          <w:rFonts w:asciiTheme="majorHAnsi" w:hAnsiTheme="majorHAnsi"/>
          <w:sz w:val="16"/>
          <w:szCs w:val="16"/>
          <w:lang w:val="es-CO"/>
        </w:rPr>
        <w:t>,</w:t>
      </w:r>
      <w:r w:rsidRPr="0034013E">
        <w:rPr>
          <w:rFonts w:asciiTheme="majorHAnsi" w:hAnsiTheme="majorHAnsi"/>
          <w:sz w:val="16"/>
          <w:szCs w:val="16"/>
          <w:lang w:val="es-CO"/>
        </w:rPr>
        <w:t xml:space="preserve"> Admisibilidad</w:t>
      </w:r>
      <w:r w:rsidR="00A55E24">
        <w:rPr>
          <w:rFonts w:asciiTheme="majorHAnsi" w:hAnsiTheme="majorHAnsi"/>
          <w:sz w:val="16"/>
          <w:szCs w:val="16"/>
          <w:lang w:val="es-CO"/>
        </w:rPr>
        <w:t>,</w:t>
      </w:r>
      <w:r w:rsidRPr="0034013E">
        <w:rPr>
          <w:rFonts w:asciiTheme="majorHAnsi" w:hAnsiTheme="majorHAnsi"/>
          <w:sz w:val="16"/>
          <w:szCs w:val="16"/>
          <w:lang w:val="es-CO"/>
        </w:rPr>
        <w:t xml:space="preserve"> Ivete Jordani Demeneck y otros</w:t>
      </w:r>
      <w:r w:rsidR="00A55E24">
        <w:rPr>
          <w:rFonts w:asciiTheme="majorHAnsi" w:hAnsiTheme="majorHAnsi"/>
          <w:sz w:val="16"/>
          <w:szCs w:val="16"/>
          <w:lang w:val="es-CO"/>
        </w:rPr>
        <w:t>,</w:t>
      </w:r>
      <w:r w:rsidRPr="0034013E">
        <w:rPr>
          <w:rFonts w:asciiTheme="majorHAnsi" w:hAnsiTheme="majorHAnsi"/>
          <w:sz w:val="16"/>
          <w:szCs w:val="16"/>
          <w:lang w:val="es-CO"/>
        </w:rPr>
        <w:t xml:space="preserve"> </w:t>
      </w:r>
      <w:r w:rsidRPr="00E01FBC">
        <w:rPr>
          <w:rFonts w:asciiTheme="majorHAnsi" w:hAnsiTheme="majorHAnsi"/>
          <w:sz w:val="16"/>
          <w:szCs w:val="16"/>
          <w:lang w:val="es-CO"/>
        </w:rPr>
        <w:t>Brasil</w:t>
      </w:r>
      <w:r w:rsidR="00A55E24">
        <w:rPr>
          <w:rFonts w:asciiTheme="majorHAnsi" w:hAnsiTheme="majorHAnsi"/>
          <w:sz w:val="16"/>
          <w:szCs w:val="16"/>
          <w:lang w:val="es-CO"/>
        </w:rPr>
        <w:t>,</w:t>
      </w:r>
      <w:r w:rsidRPr="00E01FBC">
        <w:rPr>
          <w:rFonts w:asciiTheme="majorHAnsi" w:hAnsiTheme="majorHAnsi"/>
          <w:sz w:val="16"/>
          <w:szCs w:val="16"/>
          <w:lang w:val="es-CO"/>
        </w:rPr>
        <w:t xml:space="preserve"> 8 de noviembre de 2012, párr. 20.</w:t>
      </w:r>
    </w:p>
  </w:footnote>
  <w:footnote w:id="9">
    <w:p w14:paraId="5BF922B4" w14:textId="77777777" w:rsidR="00CE25B6" w:rsidRPr="00A11B3B" w:rsidRDefault="00CE25B6" w:rsidP="00CE25B6">
      <w:pPr>
        <w:pStyle w:val="FootnoteText"/>
        <w:ind w:firstLine="720"/>
        <w:jc w:val="both"/>
        <w:rPr>
          <w:rFonts w:ascii="Cambria" w:hAnsi="Cambria"/>
          <w:sz w:val="16"/>
          <w:szCs w:val="16"/>
          <w:lang w:val="es-PA"/>
        </w:rPr>
      </w:pPr>
      <w:r w:rsidRPr="00A11B3B">
        <w:rPr>
          <w:rStyle w:val="FootnoteReference"/>
          <w:rFonts w:ascii="Cambria" w:hAnsi="Cambria"/>
          <w:sz w:val="16"/>
          <w:szCs w:val="16"/>
        </w:rPr>
        <w:footnoteRef/>
      </w:r>
      <w:r w:rsidRPr="00A11B3B">
        <w:rPr>
          <w:rFonts w:ascii="Cambria" w:hAnsi="Cambria"/>
          <w:sz w:val="16"/>
          <w:szCs w:val="16"/>
          <w:lang w:val="es-PA"/>
        </w:rPr>
        <w:t xml:space="preserve"> Corte IDH, Caso Acevedo Buendía y Otros (“Cesantes y Jubilados de la Contraloría”) vs. Perú. Excepción Preliminar, Fondo, Reparaciones y Costas. Sentencia del 1 de julio de 2009, párr. 100. </w:t>
      </w:r>
    </w:p>
  </w:footnote>
  <w:footnote w:id="10">
    <w:p w14:paraId="3D66FA9F" w14:textId="77777777" w:rsidR="00CA07F3" w:rsidRPr="0099123F" w:rsidRDefault="00CA07F3" w:rsidP="00403291">
      <w:pPr>
        <w:pStyle w:val="Notasalpie"/>
      </w:pPr>
      <w:r>
        <w:rPr>
          <w:rStyle w:val="FootnoteReference"/>
        </w:rPr>
        <w:footnoteRef/>
      </w:r>
      <w:r w:rsidRPr="007F042A">
        <w:t xml:space="preserve"> </w:t>
      </w:r>
      <w:r w:rsidRPr="0099123F">
        <w:t>CIDH, Informe No. 103/18. Petición 703-07. Admisibilidad. Trabajadores de SINTRAISA, SINTRAISAGEN y SINTRACHIVOR. Colombia. 20 de septiembre de 2018</w:t>
      </w:r>
      <w:r>
        <w:t>, párr. 18.</w:t>
      </w:r>
    </w:p>
  </w:footnote>
  <w:footnote w:id="11">
    <w:p w14:paraId="32A97D0E" w14:textId="0A55DDBE" w:rsidR="00CA07F3" w:rsidRPr="00A54518" w:rsidRDefault="00CA07F3" w:rsidP="00403291">
      <w:pPr>
        <w:pStyle w:val="Notasalpie"/>
      </w:pPr>
      <w:r>
        <w:rPr>
          <w:rStyle w:val="FootnoteReference"/>
        </w:rPr>
        <w:footnoteRef/>
      </w:r>
      <w:r w:rsidRPr="00221C89">
        <w:t xml:space="preserve"> CIDH, </w:t>
      </w:r>
      <w:r w:rsidRPr="006E5F8B">
        <w:t>Informe No. 41/16</w:t>
      </w:r>
      <w:r w:rsidR="007256C8">
        <w:t>,</w:t>
      </w:r>
      <w:r w:rsidRPr="006E5F8B">
        <w:t xml:space="preserve"> Petición 142-04</w:t>
      </w:r>
      <w:r w:rsidR="007256C8">
        <w:t>,</w:t>
      </w:r>
      <w:r w:rsidRPr="006E5F8B">
        <w:t xml:space="preserve"> Admisibilidad</w:t>
      </w:r>
      <w:r w:rsidR="007256C8">
        <w:t>,</w:t>
      </w:r>
      <w:r w:rsidRPr="006E5F8B">
        <w:t xml:space="preserve"> José Tomás Tenorio Morales y Otros (Sindicato de Profesionales de la Educación Superior “Ervin Abarca Jiménez” de la Universidad Nacional de Ingeniería)</w:t>
      </w:r>
      <w:r w:rsidR="0088089B">
        <w:t>,</w:t>
      </w:r>
      <w:r w:rsidRPr="006E5F8B">
        <w:t xml:space="preserve"> </w:t>
      </w:r>
      <w:r w:rsidRPr="00221C89">
        <w:t>Nicaragua, párr. 53.</w:t>
      </w:r>
    </w:p>
  </w:footnote>
  <w:footnote w:id="12">
    <w:p w14:paraId="5FA331B3" w14:textId="2E274D89" w:rsidR="00403291" w:rsidRPr="00F65EB6" w:rsidRDefault="00403291" w:rsidP="00403291">
      <w:pPr>
        <w:pStyle w:val="Notasalpie"/>
      </w:pPr>
      <w:r>
        <w:rPr>
          <w:rStyle w:val="FootnoteReference"/>
        </w:rPr>
        <w:footnoteRef/>
      </w:r>
      <w:r w:rsidRPr="00F65EB6">
        <w:t xml:space="preserve"> CIDH, Informe No. 124/17, Petición 21-08</w:t>
      </w:r>
      <w:r w:rsidR="0088089B">
        <w:t>,</w:t>
      </w:r>
      <w:r w:rsidRPr="00F65EB6">
        <w:t xml:space="preserve"> Admisibilidad</w:t>
      </w:r>
      <w:r w:rsidR="0088089B">
        <w:t>,</w:t>
      </w:r>
      <w:r w:rsidRPr="00F65EB6">
        <w:t xml:space="preserve"> Fernanda López Medina y otros</w:t>
      </w:r>
      <w:r w:rsidR="0088089B">
        <w:t>,</w:t>
      </w:r>
      <w:r w:rsidRPr="00F65EB6">
        <w:t xml:space="preserve"> Perú</w:t>
      </w:r>
      <w:r w:rsidR="0088089B">
        <w:t>,</w:t>
      </w:r>
      <w:r w:rsidRPr="00F65EB6">
        <w:t xml:space="preserve"> 7 de septiembre de 2017, párrs. 12 y 13</w:t>
      </w:r>
      <w:r>
        <w:t>.</w:t>
      </w:r>
    </w:p>
  </w:footnote>
  <w:footnote w:id="13">
    <w:p w14:paraId="54FBC32E" w14:textId="53C0FDAA" w:rsidR="005A746B" w:rsidRPr="00524F71" w:rsidRDefault="005A746B" w:rsidP="009339B9">
      <w:pPr>
        <w:pStyle w:val="Notasalpie"/>
      </w:pPr>
      <w:r>
        <w:rPr>
          <w:rStyle w:val="FootnoteReference"/>
        </w:rPr>
        <w:footnoteRef/>
      </w:r>
      <w:r w:rsidRPr="00A36AC5">
        <w:t xml:space="preserve"> Corte IDH</w:t>
      </w:r>
      <w:r w:rsidR="000873EE">
        <w:t>,</w:t>
      </w:r>
      <w:r w:rsidRPr="00A36AC5">
        <w:t xml:space="preserve"> Caso Cajahuanca Vásquez Vs. Perú</w:t>
      </w:r>
      <w:r w:rsidR="000873EE">
        <w:t>,</w:t>
      </w:r>
      <w:r w:rsidRPr="00A36AC5">
        <w:t xml:space="preserve"> Excepciones Preliminares y Fondo</w:t>
      </w:r>
      <w:r w:rsidR="000873EE">
        <w:t>,</w:t>
      </w:r>
      <w:r w:rsidRPr="00A36AC5">
        <w:t xml:space="preserve"> </w:t>
      </w:r>
      <w:r w:rsidRPr="007B56B6">
        <w:t>Sentencia de 27 de noviembre de 2023</w:t>
      </w:r>
      <w:r w:rsidR="000873EE">
        <w:t>,</w:t>
      </w:r>
      <w:r w:rsidRPr="007B56B6">
        <w:t xml:space="preserve"> Serie C No. 509, párr. 124; Caso Ramírez Escobar y otros Vs. Guatemala</w:t>
      </w:r>
      <w:r w:rsidR="000873EE">
        <w:t>,</w:t>
      </w:r>
      <w:r w:rsidRPr="007B56B6">
        <w:t xml:space="preserve"> Fondo, Reparaciones y Costas</w:t>
      </w:r>
      <w:r w:rsidR="000873EE">
        <w:t>,</w:t>
      </w:r>
      <w:r w:rsidRPr="007B56B6">
        <w:t xml:space="preserve"> Sentencia de 9 de marzo de 2018</w:t>
      </w:r>
      <w:r w:rsidR="00F62980">
        <w:t>,</w:t>
      </w:r>
      <w:r w:rsidRPr="007B56B6">
        <w:t xml:space="preserve"> Serie C No. 351, párr. 252</w:t>
      </w:r>
      <w:r w:rsidR="00F62980">
        <w:t>;</w:t>
      </w:r>
      <w:r w:rsidRPr="007B56B6">
        <w:t xml:space="preserve"> y Caso María y otros Vs. Argentina</w:t>
      </w:r>
      <w:r w:rsidR="00F62980">
        <w:t>,</w:t>
      </w:r>
      <w:r w:rsidRPr="007B56B6">
        <w:t xml:space="preserve"> Fondo, Reparaciones y Costas</w:t>
      </w:r>
      <w:r w:rsidR="00F62980">
        <w:t>,</w:t>
      </w:r>
      <w:r w:rsidRPr="007B56B6">
        <w:t xml:space="preserve"> Sentencia de 22 de agosto de 2023</w:t>
      </w:r>
      <w:r w:rsidR="00F62980">
        <w:t>,</w:t>
      </w:r>
      <w:r w:rsidRPr="007B56B6">
        <w:t xml:space="preserve"> </w:t>
      </w:r>
      <w:r w:rsidRPr="00524F71">
        <w:t>Serie C No. 494, párr. 151.</w:t>
      </w:r>
    </w:p>
  </w:footnote>
  <w:footnote w:id="14">
    <w:p w14:paraId="09F3614A" w14:textId="12C0F0A9" w:rsidR="00CB0FFA" w:rsidRPr="00497A9B" w:rsidRDefault="00CB0FFA" w:rsidP="00FF6959">
      <w:pPr>
        <w:pStyle w:val="Notasalpie"/>
      </w:pPr>
      <w:r w:rsidRPr="00497A9B">
        <w:rPr>
          <w:rStyle w:val="FootnoteReference"/>
          <w:rFonts w:ascii="Cambria" w:hAnsi="Cambria"/>
          <w:color w:val="auto"/>
        </w:rPr>
        <w:footnoteRef/>
      </w:r>
      <w:r w:rsidRPr="00DD6D85">
        <w:rPr>
          <w:lang w:val="pt-PT"/>
        </w:rPr>
        <w:t xml:space="preserve"> Corte IDH</w:t>
      </w:r>
      <w:r w:rsidR="00F62980" w:rsidRPr="00DD6D85">
        <w:rPr>
          <w:lang w:val="pt-PT"/>
        </w:rPr>
        <w:t>,</w:t>
      </w:r>
      <w:r w:rsidRPr="00DD6D85">
        <w:rPr>
          <w:lang w:val="pt-PT"/>
        </w:rPr>
        <w:t xml:space="preserve"> Caso Nissen Pessolani Vs. </w:t>
      </w:r>
      <w:r w:rsidRPr="00CB0FFA">
        <w:t>Paraguay</w:t>
      </w:r>
      <w:r w:rsidR="00F62980">
        <w:t>,</w:t>
      </w:r>
      <w:r w:rsidRPr="00CB0FFA">
        <w:t xml:space="preserve"> </w:t>
      </w:r>
      <w:r w:rsidRPr="00497A9B">
        <w:t>Fondo, Reparaciones y Costas</w:t>
      </w:r>
      <w:r w:rsidR="002C0BDE">
        <w:t>,</w:t>
      </w:r>
      <w:r w:rsidRPr="00497A9B">
        <w:t xml:space="preserve"> Sentencia de 21 de noviembre de 2022</w:t>
      </w:r>
      <w:r w:rsidR="002C0BDE">
        <w:t>,</w:t>
      </w:r>
      <w:r w:rsidRPr="00497A9B">
        <w:t xml:space="preserve"> Serie C No. 477, párr. 148; y Caso Pavez Pavez Vs. Chile</w:t>
      </w:r>
      <w:r w:rsidR="002C0BDE">
        <w:t>,</w:t>
      </w:r>
      <w:r w:rsidRPr="00497A9B">
        <w:t xml:space="preserve"> Fondo, Reparaciones y Costas</w:t>
      </w:r>
      <w:r w:rsidR="002C0BDE">
        <w:t>,</w:t>
      </w:r>
      <w:r w:rsidRPr="00497A9B">
        <w:t xml:space="preserve"> Sentencia de 4 de febrero de 2022</w:t>
      </w:r>
      <w:r w:rsidR="002C0BDE">
        <w:t>,</w:t>
      </w:r>
      <w:r w:rsidRPr="00497A9B">
        <w:t xml:space="preserve"> Serie C No. 449, párr. 157.</w:t>
      </w:r>
    </w:p>
  </w:footnote>
  <w:footnote w:id="15">
    <w:p w14:paraId="2A67A928" w14:textId="262C4538" w:rsidR="00314428" w:rsidRPr="00C1452B" w:rsidRDefault="00314428" w:rsidP="00314428">
      <w:pPr>
        <w:pStyle w:val="FootnoteText"/>
        <w:jc w:val="both"/>
        <w:rPr>
          <w:rFonts w:ascii="Cambria" w:hAnsi="Cambria"/>
          <w:sz w:val="16"/>
          <w:szCs w:val="16"/>
          <w:lang w:val="es-ES"/>
        </w:rPr>
      </w:pPr>
      <w:r w:rsidRPr="00F752CD">
        <w:rPr>
          <w:rFonts w:ascii="Cambria" w:hAnsi="Cambria"/>
          <w:sz w:val="16"/>
          <w:szCs w:val="16"/>
          <w:lang w:val="es-ES"/>
        </w:rPr>
        <w:tab/>
      </w:r>
      <w:r w:rsidRPr="00C1452B">
        <w:rPr>
          <w:rStyle w:val="FootnoteReference"/>
          <w:rFonts w:ascii="Cambria" w:hAnsi="Cambria"/>
          <w:sz w:val="16"/>
          <w:szCs w:val="16"/>
        </w:rPr>
        <w:footnoteRef/>
      </w:r>
      <w:r w:rsidRPr="00C1452B">
        <w:rPr>
          <w:rFonts w:ascii="Cambria" w:hAnsi="Cambria"/>
          <w:sz w:val="16"/>
          <w:szCs w:val="16"/>
          <w:lang w:val="es-ES"/>
        </w:rPr>
        <w:t xml:space="preserve"> CIDH, Informe No. 16/18, Petición 884-07</w:t>
      </w:r>
      <w:r w:rsidR="002C0BDE">
        <w:rPr>
          <w:rFonts w:ascii="Cambria" w:hAnsi="Cambria"/>
          <w:sz w:val="16"/>
          <w:szCs w:val="16"/>
          <w:lang w:val="es-ES"/>
        </w:rPr>
        <w:t>,</w:t>
      </w:r>
      <w:r w:rsidRPr="00C1452B">
        <w:rPr>
          <w:rFonts w:ascii="Cambria" w:hAnsi="Cambria"/>
          <w:sz w:val="16"/>
          <w:szCs w:val="16"/>
          <w:lang w:val="es-ES"/>
        </w:rPr>
        <w:t xml:space="preserve"> Admisibilidad</w:t>
      </w:r>
      <w:r w:rsidR="002C0BDE">
        <w:rPr>
          <w:rFonts w:ascii="Cambria" w:hAnsi="Cambria"/>
          <w:sz w:val="16"/>
          <w:szCs w:val="16"/>
          <w:lang w:val="es-ES"/>
        </w:rPr>
        <w:t>,</w:t>
      </w:r>
      <w:r w:rsidRPr="00C1452B">
        <w:rPr>
          <w:rFonts w:ascii="Cambria" w:hAnsi="Cambria"/>
          <w:sz w:val="16"/>
          <w:szCs w:val="16"/>
          <w:lang w:val="es-ES"/>
        </w:rPr>
        <w:t xml:space="preserve"> Victoria Piedad Palacios Tejada de Saavedra</w:t>
      </w:r>
      <w:r w:rsidR="002C0BDE">
        <w:rPr>
          <w:rFonts w:ascii="Cambria" w:hAnsi="Cambria"/>
          <w:sz w:val="16"/>
          <w:szCs w:val="16"/>
          <w:lang w:val="es-ES"/>
        </w:rPr>
        <w:t>,</w:t>
      </w:r>
      <w:r w:rsidRPr="00C1452B">
        <w:rPr>
          <w:rFonts w:ascii="Cambria" w:hAnsi="Cambria"/>
          <w:sz w:val="16"/>
          <w:szCs w:val="16"/>
          <w:lang w:val="es-ES"/>
        </w:rPr>
        <w:t xml:space="preserve"> Perú</w:t>
      </w:r>
      <w:r w:rsidR="002C0BDE">
        <w:rPr>
          <w:rFonts w:ascii="Cambria" w:hAnsi="Cambria"/>
          <w:sz w:val="16"/>
          <w:szCs w:val="16"/>
          <w:lang w:val="es-ES"/>
        </w:rPr>
        <w:t>,</w:t>
      </w:r>
      <w:r w:rsidRPr="00C1452B">
        <w:rPr>
          <w:rFonts w:ascii="Cambria" w:hAnsi="Cambria"/>
          <w:sz w:val="16"/>
          <w:szCs w:val="16"/>
          <w:lang w:val="es-ES"/>
        </w:rPr>
        <w:t xml:space="preserve"> 24 de febrero de 2018, párr. 12.</w:t>
      </w:r>
    </w:p>
  </w:footnote>
  <w:footnote w:id="16">
    <w:p w14:paraId="65D13606" w14:textId="2ECB2CE7" w:rsidR="00314428" w:rsidRPr="00524F71" w:rsidRDefault="00314428" w:rsidP="00314428">
      <w:pPr>
        <w:pStyle w:val="FootnoteText"/>
        <w:ind w:firstLine="720"/>
        <w:jc w:val="both"/>
        <w:rPr>
          <w:rFonts w:ascii="Cambria" w:hAnsi="Cambria"/>
          <w:color w:val="000000" w:themeColor="text1"/>
          <w:sz w:val="16"/>
          <w:szCs w:val="16"/>
          <w:lang w:val="es-ES"/>
        </w:rPr>
      </w:pPr>
      <w:r w:rsidRPr="00524F71">
        <w:rPr>
          <w:rStyle w:val="FootnoteReference"/>
          <w:rFonts w:ascii="Cambria" w:hAnsi="Cambria"/>
          <w:color w:val="000000" w:themeColor="text1"/>
          <w:sz w:val="16"/>
          <w:szCs w:val="16"/>
        </w:rPr>
        <w:footnoteRef/>
      </w:r>
      <w:r w:rsidRPr="00DD6D85">
        <w:rPr>
          <w:rFonts w:ascii="Cambria" w:hAnsi="Cambria"/>
          <w:color w:val="000000" w:themeColor="text1"/>
          <w:sz w:val="16"/>
          <w:szCs w:val="16"/>
          <w:lang w:val="pt-PT"/>
        </w:rPr>
        <w:t xml:space="preserve"> Corte IDH</w:t>
      </w:r>
      <w:r w:rsidR="002C0BDE" w:rsidRPr="00DD6D85">
        <w:rPr>
          <w:rFonts w:ascii="Cambria" w:hAnsi="Cambria"/>
          <w:color w:val="000000" w:themeColor="text1"/>
          <w:sz w:val="16"/>
          <w:szCs w:val="16"/>
          <w:lang w:val="pt-PT"/>
        </w:rPr>
        <w:t>,</w:t>
      </w:r>
      <w:r w:rsidRPr="00DD6D85">
        <w:rPr>
          <w:rFonts w:ascii="Cambria" w:hAnsi="Cambria"/>
          <w:color w:val="000000" w:themeColor="text1"/>
          <w:sz w:val="16"/>
          <w:szCs w:val="16"/>
          <w:lang w:val="pt-PT"/>
        </w:rPr>
        <w:t xml:space="preserve"> Caso Olivera Fuentes Vs. </w:t>
      </w:r>
      <w:r w:rsidRPr="00524F71">
        <w:rPr>
          <w:rFonts w:ascii="Cambria" w:hAnsi="Cambria"/>
          <w:color w:val="000000" w:themeColor="text1"/>
          <w:sz w:val="16"/>
          <w:szCs w:val="16"/>
          <w:lang w:val="es-ES"/>
        </w:rPr>
        <w:t>Perú</w:t>
      </w:r>
      <w:r w:rsidR="00B6363A" w:rsidRPr="00524F71">
        <w:rPr>
          <w:rFonts w:ascii="Cambria" w:hAnsi="Cambria"/>
          <w:color w:val="000000" w:themeColor="text1"/>
          <w:sz w:val="16"/>
          <w:szCs w:val="16"/>
          <w:lang w:val="es-ES"/>
        </w:rPr>
        <w:t>,</w:t>
      </w:r>
      <w:r w:rsidRPr="00524F71">
        <w:rPr>
          <w:rFonts w:ascii="Cambria" w:hAnsi="Cambria"/>
          <w:color w:val="000000" w:themeColor="text1"/>
          <w:sz w:val="16"/>
          <w:szCs w:val="16"/>
          <w:lang w:val="es-ES"/>
        </w:rPr>
        <w:t xml:space="preserve"> Excepciones Preliminares, Fondo, Reparaciones y Costas</w:t>
      </w:r>
      <w:r w:rsidR="00B6363A" w:rsidRPr="00524F71">
        <w:rPr>
          <w:rFonts w:ascii="Cambria" w:hAnsi="Cambria"/>
          <w:color w:val="000000" w:themeColor="text1"/>
          <w:sz w:val="16"/>
          <w:szCs w:val="16"/>
          <w:lang w:val="es-ES"/>
        </w:rPr>
        <w:t>,</w:t>
      </w:r>
      <w:r w:rsidRPr="00524F71">
        <w:rPr>
          <w:rFonts w:ascii="Cambria" w:hAnsi="Cambria"/>
          <w:color w:val="000000" w:themeColor="text1"/>
          <w:sz w:val="16"/>
          <w:szCs w:val="16"/>
          <w:lang w:val="es-ES"/>
        </w:rPr>
        <w:t xml:space="preserve"> Sentencia de 4 de febrero de 2023</w:t>
      </w:r>
      <w:r w:rsidR="00B6363A" w:rsidRPr="00524F71">
        <w:rPr>
          <w:rFonts w:ascii="Cambria" w:hAnsi="Cambria"/>
          <w:color w:val="000000" w:themeColor="text1"/>
          <w:sz w:val="16"/>
          <w:szCs w:val="16"/>
          <w:lang w:val="es-ES"/>
        </w:rPr>
        <w:t>,</w:t>
      </w:r>
      <w:r w:rsidRPr="00524F71">
        <w:rPr>
          <w:rFonts w:ascii="Cambria" w:hAnsi="Cambria"/>
          <w:color w:val="000000" w:themeColor="text1"/>
          <w:sz w:val="16"/>
          <w:szCs w:val="16"/>
          <w:lang w:val="es-ES"/>
        </w:rPr>
        <w:t xml:space="preserve"> Serie C No. 484, párr. 25; </w:t>
      </w:r>
      <w:r w:rsidRPr="00524F71">
        <w:rPr>
          <w:rFonts w:ascii="Cambria" w:hAnsi="Cambria" w:cs="Open Sans"/>
          <w:color w:val="000000" w:themeColor="text1"/>
          <w:sz w:val="16"/>
          <w:szCs w:val="16"/>
          <w:shd w:val="clear" w:color="auto" w:fill="FFFFFF"/>
          <w:lang w:val="es-ES"/>
        </w:rPr>
        <w:t>Caso Cortez Espinoza Vs. Ecuador</w:t>
      </w:r>
      <w:r w:rsidR="00B6363A" w:rsidRPr="00524F71">
        <w:rPr>
          <w:rFonts w:ascii="Cambria" w:hAnsi="Cambria" w:cs="Open Sans"/>
          <w:color w:val="000000" w:themeColor="text1"/>
          <w:sz w:val="16"/>
          <w:szCs w:val="16"/>
          <w:shd w:val="clear" w:color="auto" w:fill="FFFFFF"/>
          <w:lang w:val="es-ES"/>
        </w:rPr>
        <w:t>,</w:t>
      </w:r>
      <w:r w:rsidRPr="00524F71">
        <w:rPr>
          <w:rFonts w:ascii="Cambria" w:hAnsi="Cambria" w:cs="Open Sans"/>
          <w:color w:val="000000" w:themeColor="text1"/>
          <w:sz w:val="16"/>
          <w:szCs w:val="16"/>
          <w:shd w:val="clear" w:color="auto" w:fill="FFFFFF"/>
          <w:lang w:val="es-ES"/>
        </w:rPr>
        <w:t xml:space="preserve"> Excepciones Preliminares, Fondo, Reparaciones y Costas</w:t>
      </w:r>
      <w:r w:rsidR="00B6363A" w:rsidRPr="00524F71">
        <w:rPr>
          <w:rFonts w:ascii="Cambria" w:hAnsi="Cambria" w:cs="Open Sans"/>
          <w:color w:val="000000" w:themeColor="text1"/>
          <w:sz w:val="16"/>
          <w:szCs w:val="16"/>
          <w:shd w:val="clear" w:color="auto" w:fill="FFFFFF"/>
          <w:lang w:val="es-ES"/>
        </w:rPr>
        <w:t>,</w:t>
      </w:r>
      <w:r w:rsidRPr="00524F71">
        <w:rPr>
          <w:rFonts w:ascii="Cambria" w:hAnsi="Cambria" w:cs="Open Sans"/>
          <w:color w:val="000000" w:themeColor="text1"/>
          <w:sz w:val="16"/>
          <w:szCs w:val="16"/>
          <w:shd w:val="clear" w:color="auto" w:fill="FFFFFF"/>
          <w:lang w:val="es-ES"/>
        </w:rPr>
        <w:t xml:space="preserve"> Sentencia de 18 de octubre de 2022</w:t>
      </w:r>
      <w:r w:rsidR="00B6363A">
        <w:rPr>
          <w:rFonts w:ascii="Cambria" w:hAnsi="Cambria" w:cs="Open Sans"/>
          <w:color w:val="000000" w:themeColor="text1"/>
          <w:sz w:val="16"/>
          <w:szCs w:val="16"/>
          <w:shd w:val="clear" w:color="auto" w:fill="FFFFFF"/>
          <w:lang w:val="es-ES"/>
        </w:rPr>
        <w:t>,</w:t>
      </w:r>
      <w:r w:rsidRPr="00524F71">
        <w:rPr>
          <w:rFonts w:ascii="Cambria" w:hAnsi="Cambria" w:cs="Open Sans"/>
          <w:color w:val="000000" w:themeColor="text1"/>
          <w:sz w:val="16"/>
          <w:szCs w:val="16"/>
          <w:shd w:val="clear" w:color="auto" w:fill="FFFFFF"/>
          <w:lang w:val="es-ES"/>
        </w:rPr>
        <w:t xml:space="preserve"> Serie C No. 468, párr. 24; y</w:t>
      </w:r>
      <w:r w:rsidRPr="00524F71">
        <w:rPr>
          <w:rFonts w:ascii="Cambria" w:hAnsi="Cambria"/>
          <w:color w:val="000000" w:themeColor="text1"/>
          <w:sz w:val="16"/>
          <w:szCs w:val="16"/>
          <w:lang w:val="es-ES"/>
        </w:rPr>
        <w:t xml:space="preserve"> Caso Escher y otros Vs. Brasil</w:t>
      </w:r>
      <w:r w:rsidR="0062794D">
        <w:rPr>
          <w:rFonts w:ascii="Cambria" w:hAnsi="Cambria"/>
          <w:color w:val="000000" w:themeColor="text1"/>
          <w:sz w:val="16"/>
          <w:szCs w:val="16"/>
          <w:lang w:val="es-ES"/>
        </w:rPr>
        <w:t>,</w:t>
      </w:r>
      <w:r w:rsidRPr="00524F71">
        <w:rPr>
          <w:rFonts w:ascii="Cambria" w:hAnsi="Cambria"/>
          <w:color w:val="000000" w:themeColor="text1"/>
          <w:sz w:val="16"/>
          <w:szCs w:val="16"/>
          <w:lang w:val="es-ES"/>
        </w:rPr>
        <w:t xml:space="preserve"> Excepciones Preliminares, Fondo, Reparaciones y Costas</w:t>
      </w:r>
      <w:r w:rsidR="0062794D">
        <w:rPr>
          <w:rFonts w:ascii="Cambria" w:hAnsi="Cambria"/>
          <w:color w:val="000000" w:themeColor="text1"/>
          <w:sz w:val="16"/>
          <w:szCs w:val="16"/>
          <w:lang w:val="es-ES"/>
        </w:rPr>
        <w:t>,</w:t>
      </w:r>
      <w:r w:rsidRPr="00524F71">
        <w:rPr>
          <w:rFonts w:ascii="Cambria" w:hAnsi="Cambria"/>
          <w:color w:val="000000" w:themeColor="text1"/>
          <w:sz w:val="16"/>
          <w:szCs w:val="16"/>
          <w:lang w:val="es-ES"/>
        </w:rPr>
        <w:t xml:space="preserve"> Sentencia de 6 de julio de 2009</w:t>
      </w:r>
      <w:r w:rsidR="0062794D">
        <w:rPr>
          <w:rFonts w:ascii="Cambria" w:hAnsi="Cambria"/>
          <w:color w:val="000000" w:themeColor="text1"/>
          <w:sz w:val="16"/>
          <w:szCs w:val="16"/>
          <w:lang w:val="es-ES"/>
        </w:rPr>
        <w:t>,</w:t>
      </w:r>
      <w:r w:rsidRPr="00524F71">
        <w:rPr>
          <w:rFonts w:ascii="Cambria" w:hAnsi="Cambria"/>
          <w:color w:val="000000" w:themeColor="text1"/>
          <w:sz w:val="16"/>
          <w:szCs w:val="16"/>
          <w:lang w:val="es-ES"/>
        </w:rPr>
        <w:t xml:space="preserve"> Serie C No. 200, párr. 38.</w:t>
      </w:r>
    </w:p>
  </w:footnote>
  <w:footnote w:id="17">
    <w:p w14:paraId="750E80C2" w14:textId="2AE173F8" w:rsidR="008C525B" w:rsidRPr="008C525B" w:rsidRDefault="008C525B" w:rsidP="00C300E2">
      <w:pPr>
        <w:pStyle w:val="Notasalpie"/>
        <w:rPr>
          <w:lang w:val="es-CO"/>
        </w:rPr>
      </w:pPr>
      <w:r>
        <w:rPr>
          <w:rStyle w:val="FootnoteReference"/>
        </w:rPr>
        <w:footnoteRef/>
      </w:r>
      <w:r>
        <w:t xml:space="preserve"> </w:t>
      </w:r>
      <w:r w:rsidR="00C300E2">
        <w:t>CIDH, Informe No. 93/21</w:t>
      </w:r>
      <w:r w:rsidR="0040650F">
        <w:t>,</w:t>
      </w:r>
      <w:r w:rsidR="00C300E2">
        <w:t xml:space="preserve"> Petición 2106-13</w:t>
      </w:r>
      <w:r w:rsidR="0040650F">
        <w:t>,</w:t>
      </w:r>
      <w:r w:rsidR="00C300E2">
        <w:t xml:space="preserve"> Inadmisibilidad</w:t>
      </w:r>
      <w:r w:rsidR="00A96E95">
        <w:t>,</w:t>
      </w:r>
      <w:r w:rsidR="00C300E2">
        <w:t xml:space="preserve"> Bertha Lucía Ramírez de Páez</w:t>
      </w:r>
      <w:r w:rsidR="00411EAB">
        <w:t>,</w:t>
      </w:r>
      <w:r w:rsidR="00C300E2">
        <w:t xml:space="preserve"> Colombia</w:t>
      </w:r>
      <w:r w:rsidR="00411EAB">
        <w:t>,</w:t>
      </w:r>
      <w:r w:rsidR="00C300E2">
        <w:t xml:space="preserve"> 29 de abril de 2021, párr. 16; </w:t>
      </w:r>
      <w:r w:rsidR="00625A9E" w:rsidRPr="00625A9E">
        <w:rPr>
          <w:lang w:val="es-CO"/>
        </w:rPr>
        <w:t>Informe No. 92/21</w:t>
      </w:r>
      <w:r w:rsidR="00411EAB">
        <w:rPr>
          <w:lang w:val="es-CO"/>
        </w:rPr>
        <w:t>,</w:t>
      </w:r>
      <w:r w:rsidR="00625A9E" w:rsidRPr="00625A9E">
        <w:rPr>
          <w:lang w:val="es-CO"/>
        </w:rPr>
        <w:t xml:space="preserve"> Petición 2098-13</w:t>
      </w:r>
      <w:r w:rsidR="00411EAB">
        <w:rPr>
          <w:lang w:val="es-CO"/>
        </w:rPr>
        <w:t>,</w:t>
      </w:r>
      <w:r w:rsidR="00625A9E" w:rsidRPr="00625A9E">
        <w:rPr>
          <w:lang w:val="es-CO"/>
        </w:rPr>
        <w:t xml:space="preserve"> Inadmisibilidad</w:t>
      </w:r>
      <w:r w:rsidR="0040650F">
        <w:rPr>
          <w:lang w:val="es-CO"/>
        </w:rPr>
        <w:t>,</w:t>
      </w:r>
      <w:r w:rsidR="00625A9E" w:rsidRPr="00625A9E">
        <w:rPr>
          <w:lang w:val="es-CO"/>
        </w:rPr>
        <w:t xml:space="preserve"> Jesús María Lemos Bustamante y otra. </w:t>
      </w:r>
      <w:r w:rsidR="00625A9E" w:rsidRPr="00562750">
        <w:rPr>
          <w:lang w:val="es-CO"/>
        </w:rPr>
        <w:t>Colombia</w:t>
      </w:r>
      <w:r w:rsidR="00411EAB">
        <w:rPr>
          <w:lang w:val="es-CO"/>
        </w:rPr>
        <w:t>,</w:t>
      </w:r>
      <w:r w:rsidR="00625A9E" w:rsidRPr="00562750">
        <w:rPr>
          <w:lang w:val="es-CO"/>
        </w:rPr>
        <w:t xml:space="preserve"> 29 de abril de 2021, párr. </w:t>
      </w:r>
      <w:r w:rsidR="00562750" w:rsidRPr="00562750">
        <w:rPr>
          <w:lang w:val="es-CO"/>
        </w:rPr>
        <w:t xml:space="preserve">18; </w:t>
      </w:r>
      <w:r w:rsidR="00411EAB">
        <w:rPr>
          <w:lang w:val="es-CO"/>
        </w:rPr>
        <w:t>y</w:t>
      </w:r>
      <w:r w:rsidR="00562750" w:rsidRPr="00562750">
        <w:rPr>
          <w:lang w:val="es-CO"/>
        </w:rPr>
        <w:t xml:space="preserve"> CIDH, Informe No. 30/21</w:t>
      </w:r>
      <w:r w:rsidR="0040650F">
        <w:rPr>
          <w:lang w:val="es-CO"/>
        </w:rPr>
        <w:t>,</w:t>
      </w:r>
      <w:r w:rsidR="00562750" w:rsidRPr="00562750">
        <w:rPr>
          <w:lang w:val="es-CO"/>
        </w:rPr>
        <w:t xml:space="preserve"> Petición 2016-13</w:t>
      </w:r>
      <w:r w:rsidR="00A96E95">
        <w:rPr>
          <w:lang w:val="es-CO"/>
        </w:rPr>
        <w:t>,</w:t>
      </w:r>
      <w:r w:rsidR="00562750" w:rsidRPr="00562750">
        <w:rPr>
          <w:lang w:val="es-CO"/>
        </w:rPr>
        <w:t xml:space="preserve"> Inadmisibilidad</w:t>
      </w:r>
      <w:r w:rsidR="0040650F">
        <w:rPr>
          <w:lang w:val="es-CO"/>
        </w:rPr>
        <w:t>,</w:t>
      </w:r>
      <w:r w:rsidR="00562750" w:rsidRPr="00562750">
        <w:rPr>
          <w:lang w:val="es-CO"/>
        </w:rPr>
        <w:t xml:space="preserve"> Fernando Vásquez Botero y otros</w:t>
      </w:r>
      <w:r w:rsidR="00411EAB">
        <w:rPr>
          <w:lang w:val="es-CO"/>
        </w:rPr>
        <w:t>,</w:t>
      </w:r>
      <w:r w:rsidR="00562750" w:rsidRPr="00562750">
        <w:rPr>
          <w:lang w:val="es-CO"/>
        </w:rPr>
        <w:t xml:space="preserve"> </w:t>
      </w:r>
      <w:r w:rsidR="00562750" w:rsidRPr="003C24F7">
        <w:t>Colombia</w:t>
      </w:r>
      <w:r w:rsidR="00A96E95">
        <w:t>,</w:t>
      </w:r>
      <w:r w:rsidR="00562750" w:rsidRPr="003C24F7">
        <w:t xml:space="preserve"> 1º de marzo de 2021, párr. 17.</w:t>
      </w:r>
    </w:p>
  </w:footnote>
  <w:footnote w:id="18">
    <w:p w14:paraId="17D76967" w14:textId="7AB04968" w:rsidR="001E7B91" w:rsidRPr="00277007" w:rsidRDefault="001E7B91" w:rsidP="003800E3">
      <w:pPr>
        <w:pStyle w:val="Notasalpie"/>
        <w:rPr>
          <w:lang w:val="es-CO"/>
        </w:rPr>
      </w:pPr>
      <w:r>
        <w:rPr>
          <w:rStyle w:val="FootnoteReference"/>
        </w:rPr>
        <w:footnoteRef/>
      </w:r>
      <w:r w:rsidRPr="00277007">
        <w:rPr>
          <w:lang w:val="es-CO"/>
        </w:rPr>
        <w:t xml:space="preserve"> </w:t>
      </w:r>
      <w:r w:rsidR="00160BD7" w:rsidRPr="00277007">
        <w:rPr>
          <w:lang w:val="es-CO"/>
        </w:rPr>
        <w:t xml:space="preserve">Sala de Casación Laboral de la Corte Suprema de Justicia, </w:t>
      </w:r>
      <w:r w:rsidR="00277007" w:rsidRPr="00277007">
        <w:rPr>
          <w:lang w:val="es-CO"/>
        </w:rPr>
        <w:t>sentencia de 17 de febrero de 2016 en</w:t>
      </w:r>
      <w:r w:rsidR="00277007">
        <w:rPr>
          <w:lang w:val="es-CO"/>
        </w:rPr>
        <w:t xml:space="preserve"> el expediente STL2269-2016.</w:t>
      </w:r>
    </w:p>
  </w:footnote>
  <w:footnote w:id="19">
    <w:p w14:paraId="4ACFD8B3" w14:textId="40109D9D" w:rsidR="003800E3" w:rsidRPr="003800E3" w:rsidRDefault="003800E3" w:rsidP="003800E3">
      <w:pPr>
        <w:pStyle w:val="Notasalpie"/>
        <w:rPr>
          <w:lang w:val="es-CO"/>
        </w:rPr>
      </w:pPr>
      <w:r>
        <w:rPr>
          <w:rStyle w:val="FootnoteReference"/>
        </w:rPr>
        <w:footnoteRef/>
      </w:r>
      <w:r>
        <w:t xml:space="preserve"> </w:t>
      </w:r>
      <w:r w:rsidRPr="00277007">
        <w:rPr>
          <w:lang w:val="es-CO"/>
        </w:rPr>
        <w:t xml:space="preserve">Sala de Casación Laboral de la Corte Suprema de Justicia, sentencia de </w:t>
      </w:r>
      <w:r>
        <w:rPr>
          <w:lang w:val="es-CO"/>
        </w:rPr>
        <w:t>tutela de 3</w:t>
      </w:r>
      <w:r w:rsidRPr="00277007">
        <w:rPr>
          <w:lang w:val="es-CO"/>
        </w:rPr>
        <w:t xml:space="preserve"> de </w:t>
      </w:r>
      <w:r>
        <w:rPr>
          <w:lang w:val="es-CO"/>
        </w:rPr>
        <w:t xml:space="preserve">mayo </w:t>
      </w:r>
      <w:r w:rsidRPr="00277007">
        <w:rPr>
          <w:lang w:val="es-CO"/>
        </w:rPr>
        <w:t>de 2016 en</w:t>
      </w:r>
      <w:r>
        <w:rPr>
          <w:lang w:val="es-CO"/>
        </w:rPr>
        <w:t xml:space="preserve"> el expediente ST</w:t>
      </w:r>
      <w:r w:rsidR="00A148C5">
        <w:rPr>
          <w:lang w:val="es-CO"/>
        </w:rPr>
        <w:t>P5</w:t>
      </w:r>
      <w:r>
        <w:rPr>
          <w:lang w:val="es-CO"/>
        </w:rPr>
        <w:t>9</w:t>
      </w:r>
      <w:r w:rsidR="00A148C5">
        <w:rPr>
          <w:lang w:val="es-CO"/>
        </w:rPr>
        <w:t>13</w:t>
      </w:r>
      <w:r>
        <w:rPr>
          <w:lang w:val="es-CO"/>
        </w:rPr>
        <w:t>-2016.</w:t>
      </w:r>
    </w:p>
  </w:footnote>
  <w:footnote w:id="20">
    <w:p w14:paraId="5FDAE555" w14:textId="3465E435" w:rsidR="00522E8F" w:rsidRDefault="00522E8F" w:rsidP="003800E3">
      <w:pPr>
        <w:pStyle w:val="FootnoteText"/>
        <w:ind w:firstLine="720"/>
        <w:jc w:val="both"/>
        <w:rPr>
          <w:lang w:val="es-CO"/>
        </w:rPr>
      </w:pPr>
      <w:r>
        <w:rPr>
          <w:rStyle w:val="FootnoteReference"/>
          <w:rFonts w:asciiTheme="majorHAnsi" w:hAnsiTheme="majorHAnsi"/>
          <w:sz w:val="16"/>
          <w:szCs w:val="16"/>
        </w:rPr>
        <w:footnoteRef/>
      </w:r>
      <w:r w:rsidRPr="00277007">
        <w:rPr>
          <w:rFonts w:asciiTheme="majorHAnsi" w:hAnsiTheme="majorHAnsi"/>
          <w:sz w:val="16"/>
          <w:szCs w:val="16"/>
          <w:lang w:val="es-CO"/>
        </w:rPr>
        <w:t xml:space="preserve"> CIDH,</w:t>
      </w:r>
      <w:r w:rsidR="005A5D54" w:rsidRPr="00277007">
        <w:rPr>
          <w:rFonts w:ascii="Times New Roman" w:eastAsia="Arial Unicode MS" w:hAnsi="Times New Roman" w:cs="Times New Roman"/>
          <w:color w:val="auto"/>
          <w:sz w:val="24"/>
          <w:szCs w:val="24"/>
          <w:lang w:val="es-CO" w:eastAsia="en-US"/>
        </w:rPr>
        <w:t xml:space="preserve"> </w:t>
      </w:r>
      <w:r w:rsidR="005A5D54" w:rsidRPr="00277007">
        <w:rPr>
          <w:rFonts w:asciiTheme="majorHAnsi" w:hAnsiTheme="majorHAnsi"/>
          <w:sz w:val="16"/>
          <w:szCs w:val="16"/>
          <w:lang w:val="es-CO"/>
        </w:rPr>
        <w:t>Informe No. 93/21</w:t>
      </w:r>
      <w:r w:rsidR="00226511">
        <w:rPr>
          <w:rFonts w:asciiTheme="majorHAnsi" w:hAnsiTheme="majorHAnsi"/>
          <w:sz w:val="16"/>
          <w:szCs w:val="16"/>
          <w:lang w:val="es-CO"/>
        </w:rPr>
        <w:t>,</w:t>
      </w:r>
      <w:r w:rsidR="005A5D54" w:rsidRPr="00277007">
        <w:rPr>
          <w:rFonts w:asciiTheme="majorHAnsi" w:hAnsiTheme="majorHAnsi"/>
          <w:sz w:val="16"/>
          <w:szCs w:val="16"/>
          <w:lang w:val="es-CO"/>
        </w:rPr>
        <w:t xml:space="preserve"> </w:t>
      </w:r>
      <w:r w:rsidR="005A5D54" w:rsidRPr="005A5D54">
        <w:rPr>
          <w:rFonts w:asciiTheme="majorHAnsi" w:hAnsiTheme="majorHAnsi"/>
          <w:sz w:val="16"/>
          <w:szCs w:val="16"/>
          <w:lang w:val="es-CO"/>
        </w:rPr>
        <w:t>Petición 2106-13</w:t>
      </w:r>
      <w:r w:rsidR="006B7FB2">
        <w:rPr>
          <w:rFonts w:asciiTheme="majorHAnsi" w:hAnsiTheme="majorHAnsi"/>
          <w:sz w:val="16"/>
          <w:szCs w:val="16"/>
          <w:lang w:val="es-CO"/>
        </w:rPr>
        <w:t>,</w:t>
      </w:r>
      <w:r w:rsidR="005A5D54" w:rsidRPr="005A5D54">
        <w:rPr>
          <w:rFonts w:asciiTheme="majorHAnsi" w:hAnsiTheme="majorHAnsi"/>
          <w:sz w:val="16"/>
          <w:szCs w:val="16"/>
          <w:lang w:val="es-CO"/>
        </w:rPr>
        <w:t xml:space="preserve"> Inadmisibilidad</w:t>
      </w:r>
      <w:r w:rsidR="006B7FB2">
        <w:rPr>
          <w:rFonts w:asciiTheme="majorHAnsi" w:hAnsiTheme="majorHAnsi"/>
          <w:sz w:val="16"/>
          <w:szCs w:val="16"/>
          <w:lang w:val="es-CO"/>
        </w:rPr>
        <w:t>,</w:t>
      </w:r>
      <w:r w:rsidR="005A5D54" w:rsidRPr="005A5D54">
        <w:rPr>
          <w:rFonts w:asciiTheme="majorHAnsi" w:hAnsiTheme="majorHAnsi"/>
          <w:sz w:val="16"/>
          <w:szCs w:val="16"/>
          <w:lang w:val="es-CO"/>
        </w:rPr>
        <w:t xml:space="preserve"> Bertha Lucía Ramírez de Páez</w:t>
      </w:r>
      <w:r w:rsidR="006B7FB2">
        <w:rPr>
          <w:rFonts w:asciiTheme="majorHAnsi" w:hAnsiTheme="majorHAnsi"/>
          <w:sz w:val="16"/>
          <w:szCs w:val="16"/>
          <w:lang w:val="es-CO"/>
        </w:rPr>
        <w:t>,</w:t>
      </w:r>
      <w:r w:rsidR="005A5D54" w:rsidRPr="005A5D54">
        <w:rPr>
          <w:rFonts w:asciiTheme="majorHAnsi" w:hAnsiTheme="majorHAnsi"/>
          <w:sz w:val="16"/>
          <w:szCs w:val="16"/>
          <w:lang w:val="es-CO"/>
        </w:rPr>
        <w:t xml:space="preserve"> Colombia</w:t>
      </w:r>
      <w:r w:rsidR="006B7FB2">
        <w:rPr>
          <w:rFonts w:asciiTheme="majorHAnsi" w:hAnsiTheme="majorHAnsi"/>
          <w:sz w:val="16"/>
          <w:szCs w:val="16"/>
          <w:lang w:val="es-CO"/>
        </w:rPr>
        <w:t>,</w:t>
      </w:r>
      <w:r w:rsidR="005A5D54" w:rsidRPr="005A5D54">
        <w:rPr>
          <w:rFonts w:asciiTheme="majorHAnsi" w:hAnsiTheme="majorHAnsi"/>
          <w:sz w:val="16"/>
          <w:szCs w:val="16"/>
          <w:lang w:val="es-CO"/>
        </w:rPr>
        <w:t xml:space="preserve"> 29 de abril de 2021, párr. 1</w:t>
      </w:r>
      <w:r w:rsidR="00AC582E">
        <w:rPr>
          <w:rFonts w:asciiTheme="majorHAnsi" w:hAnsiTheme="majorHAnsi"/>
          <w:sz w:val="16"/>
          <w:szCs w:val="16"/>
          <w:lang w:val="es-CO"/>
        </w:rPr>
        <w:t>4</w:t>
      </w:r>
      <w:r w:rsidR="005A5D54" w:rsidRPr="005A5D54">
        <w:rPr>
          <w:rFonts w:asciiTheme="majorHAnsi" w:hAnsiTheme="majorHAnsi"/>
          <w:sz w:val="16"/>
          <w:szCs w:val="16"/>
          <w:lang w:val="es-CO"/>
        </w:rPr>
        <w:t>; Informe No. 92/21</w:t>
      </w:r>
      <w:r w:rsidR="006B7FB2">
        <w:rPr>
          <w:rFonts w:asciiTheme="majorHAnsi" w:hAnsiTheme="majorHAnsi"/>
          <w:sz w:val="16"/>
          <w:szCs w:val="16"/>
          <w:lang w:val="es-CO"/>
        </w:rPr>
        <w:t>,</w:t>
      </w:r>
      <w:r w:rsidR="005A5D54" w:rsidRPr="005A5D54">
        <w:rPr>
          <w:rFonts w:asciiTheme="majorHAnsi" w:hAnsiTheme="majorHAnsi"/>
          <w:sz w:val="16"/>
          <w:szCs w:val="16"/>
          <w:lang w:val="es-CO"/>
        </w:rPr>
        <w:t xml:space="preserve"> Petición 2098-13. Inadmisibilidad</w:t>
      </w:r>
      <w:r w:rsidR="006B7FB2">
        <w:rPr>
          <w:rFonts w:asciiTheme="majorHAnsi" w:hAnsiTheme="majorHAnsi"/>
          <w:sz w:val="16"/>
          <w:szCs w:val="16"/>
          <w:lang w:val="es-CO"/>
        </w:rPr>
        <w:t>,</w:t>
      </w:r>
      <w:r w:rsidR="005A5D54" w:rsidRPr="005A5D54">
        <w:rPr>
          <w:rFonts w:asciiTheme="majorHAnsi" w:hAnsiTheme="majorHAnsi"/>
          <w:sz w:val="16"/>
          <w:szCs w:val="16"/>
          <w:lang w:val="es-CO"/>
        </w:rPr>
        <w:t xml:space="preserve"> Jesús María Lemos Bustamante y otra</w:t>
      </w:r>
      <w:r w:rsidR="006B7FB2">
        <w:rPr>
          <w:rFonts w:asciiTheme="majorHAnsi" w:hAnsiTheme="majorHAnsi"/>
          <w:sz w:val="16"/>
          <w:szCs w:val="16"/>
          <w:lang w:val="es-CO"/>
        </w:rPr>
        <w:t>,</w:t>
      </w:r>
      <w:r w:rsidR="005A5D54" w:rsidRPr="005A5D54">
        <w:rPr>
          <w:rFonts w:asciiTheme="majorHAnsi" w:hAnsiTheme="majorHAnsi"/>
          <w:sz w:val="16"/>
          <w:szCs w:val="16"/>
          <w:lang w:val="es-CO"/>
        </w:rPr>
        <w:t xml:space="preserve"> Colombia</w:t>
      </w:r>
      <w:r w:rsidR="006B7FB2">
        <w:rPr>
          <w:rFonts w:asciiTheme="majorHAnsi" w:hAnsiTheme="majorHAnsi"/>
          <w:sz w:val="16"/>
          <w:szCs w:val="16"/>
          <w:lang w:val="es-CO"/>
        </w:rPr>
        <w:t>,</w:t>
      </w:r>
      <w:r w:rsidR="005A5D54" w:rsidRPr="005A5D54">
        <w:rPr>
          <w:rFonts w:asciiTheme="majorHAnsi" w:hAnsiTheme="majorHAnsi"/>
          <w:sz w:val="16"/>
          <w:szCs w:val="16"/>
          <w:lang w:val="es-CO"/>
        </w:rPr>
        <w:t xml:space="preserve"> 29 de abril de 2021, párr. 1</w:t>
      </w:r>
      <w:r w:rsidR="00AC582E">
        <w:rPr>
          <w:rFonts w:asciiTheme="majorHAnsi" w:hAnsiTheme="majorHAnsi"/>
          <w:sz w:val="16"/>
          <w:szCs w:val="16"/>
          <w:lang w:val="es-CO"/>
        </w:rPr>
        <w:t>6</w:t>
      </w:r>
      <w:r w:rsidR="005A5D54" w:rsidRPr="005A5D54">
        <w:rPr>
          <w:rFonts w:asciiTheme="majorHAnsi" w:hAnsiTheme="majorHAnsi"/>
          <w:sz w:val="16"/>
          <w:szCs w:val="16"/>
          <w:lang w:val="es-CO"/>
        </w:rPr>
        <w:t>; CIDH, Informe No. 30/21</w:t>
      </w:r>
      <w:r w:rsidR="003E3537">
        <w:rPr>
          <w:rFonts w:asciiTheme="majorHAnsi" w:hAnsiTheme="majorHAnsi"/>
          <w:sz w:val="16"/>
          <w:szCs w:val="16"/>
          <w:lang w:val="es-CO"/>
        </w:rPr>
        <w:t>,</w:t>
      </w:r>
      <w:r w:rsidR="005A5D54" w:rsidRPr="005A5D54">
        <w:rPr>
          <w:rFonts w:asciiTheme="majorHAnsi" w:hAnsiTheme="majorHAnsi"/>
          <w:sz w:val="16"/>
          <w:szCs w:val="16"/>
          <w:lang w:val="es-CO"/>
        </w:rPr>
        <w:t xml:space="preserve"> Petición 2016-13</w:t>
      </w:r>
      <w:r w:rsidR="006D5E1E">
        <w:rPr>
          <w:rFonts w:asciiTheme="majorHAnsi" w:hAnsiTheme="majorHAnsi"/>
          <w:sz w:val="16"/>
          <w:szCs w:val="16"/>
          <w:lang w:val="es-CO"/>
        </w:rPr>
        <w:t>,</w:t>
      </w:r>
      <w:r w:rsidR="005A5D54" w:rsidRPr="005A5D54">
        <w:rPr>
          <w:rFonts w:asciiTheme="majorHAnsi" w:hAnsiTheme="majorHAnsi"/>
          <w:sz w:val="16"/>
          <w:szCs w:val="16"/>
          <w:lang w:val="es-CO"/>
        </w:rPr>
        <w:t xml:space="preserve"> Inadmisibilidad</w:t>
      </w:r>
      <w:r w:rsidR="006D5E1E">
        <w:rPr>
          <w:rFonts w:asciiTheme="majorHAnsi" w:hAnsiTheme="majorHAnsi"/>
          <w:sz w:val="16"/>
          <w:szCs w:val="16"/>
          <w:lang w:val="es-CO"/>
        </w:rPr>
        <w:t>,</w:t>
      </w:r>
      <w:r w:rsidR="005A5D54" w:rsidRPr="005A5D54">
        <w:rPr>
          <w:rFonts w:asciiTheme="majorHAnsi" w:hAnsiTheme="majorHAnsi"/>
          <w:sz w:val="16"/>
          <w:szCs w:val="16"/>
          <w:lang w:val="es-CO"/>
        </w:rPr>
        <w:t xml:space="preserve"> Fernando Vásquez Botero y otros</w:t>
      </w:r>
      <w:r w:rsidR="00EB4C05">
        <w:rPr>
          <w:rFonts w:asciiTheme="majorHAnsi" w:hAnsiTheme="majorHAnsi"/>
          <w:sz w:val="16"/>
          <w:szCs w:val="16"/>
          <w:lang w:val="es-CO"/>
        </w:rPr>
        <w:t>,</w:t>
      </w:r>
      <w:r w:rsidR="005A5D54" w:rsidRPr="005A5D54">
        <w:rPr>
          <w:rFonts w:asciiTheme="majorHAnsi" w:hAnsiTheme="majorHAnsi"/>
          <w:sz w:val="16"/>
          <w:szCs w:val="16"/>
          <w:lang w:val="es-CO"/>
        </w:rPr>
        <w:t xml:space="preserve"> </w:t>
      </w:r>
      <w:r w:rsidR="005A5D54" w:rsidRPr="003C24F7">
        <w:rPr>
          <w:rFonts w:asciiTheme="majorHAnsi" w:hAnsiTheme="majorHAnsi"/>
          <w:sz w:val="16"/>
          <w:szCs w:val="16"/>
          <w:lang w:val="es-ES"/>
        </w:rPr>
        <w:t>Colombia</w:t>
      </w:r>
      <w:r w:rsidR="006B7FB2">
        <w:rPr>
          <w:rFonts w:asciiTheme="majorHAnsi" w:hAnsiTheme="majorHAnsi"/>
          <w:sz w:val="16"/>
          <w:szCs w:val="16"/>
          <w:lang w:val="es-ES"/>
        </w:rPr>
        <w:t>,</w:t>
      </w:r>
      <w:r w:rsidR="005A5D54" w:rsidRPr="003C24F7">
        <w:rPr>
          <w:rFonts w:asciiTheme="majorHAnsi" w:hAnsiTheme="majorHAnsi"/>
          <w:sz w:val="16"/>
          <w:szCs w:val="16"/>
          <w:lang w:val="es-ES"/>
        </w:rPr>
        <w:t xml:space="preserve"> 1º de marzo de 2021, párr. 1</w:t>
      </w:r>
      <w:r w:rsidR="00AC582E" w:rsidRPr="003C24F7">
        <w:rPr>
          <w:rFonts w:asciiTheme="majorHAnsi" w:hAnsiTheme="majorHAnsi"/>
          <w:sz w:val="16"/>
          <w:szCs w:val="16"/>
          <w:lang w:val="es-ES"/>
        </w:rPr>
        <w:t>5</w:t>
      </w:r>
      <w:r w:rsidR="003E3537">
        <w:rPr>
          <w:rFonts w:asciiTheme="majorHAnsi" w:hAnsiTheme="majorHAnsi"/>
          <w:sz w:val="16"/>
          <w:szCs w:val="16"/>
          <w:lang w:val="es-ES"/>
        </w:rPr>
        <w:t>;</w:t>
      </w:r>
      <w:r>
        <w:rPr>
          <w:rFonts w:asciiTheme="majorHAnsi" w:hAnsiTheme="majorHAnsi"/>
          <w:sz w:val="16"/>
          <w:szCs w:val="16"/>
          <w:lang w:val="es-CO"/>
        </w:rPr>
        <w:t xml:space="preserve"> Informe No. 122/19</w:t>
      </w:r>
      <w:r w:rsidR="003E3537">
        <w:rPr>
          <w:rFonts w:asciiTheme="majorHAnsi" w:hAnsiTheme="majorHAnsi"/>
          <w:sz w:val="16"/>
          <w:szCs w:val="16"/>
          <w:lang w:val="es-CO"/>
        </w:rPr>
        <w:t>,</w:t>
      </w:r>
      <w:r>
        <w:rPr>
          <w:rFonts w:asciiTheme="majorHAnsi" w:hAnsiTheme="majorHAnsi"/>
          <w:sz w:val="16"/>
          <w:szCs w:val="16"/>
          <w:lang w:val="es-CO"/>
        </w:rPr>
        <w:t xml:space="preserve"> Petición 1442-09</w:t>
      </w:r>
      <w:r w:rsidR="003E3537">
        <w:rPr>
          <w:rFonts w:asciiTheme="majorHAnsi" w:hAnsiTheme="majorHAnsi"/>
          <w:sz w:val="16"/>
          <w:szCs w:val="16"/>
          <w:lang w:val="es-CO"/>
        </w:rPr>
        <w:t>,</w:t>
      </w:r>
      <w:r>
        <w:rPr>
          <w:rFonts w:asciiTheme="majorHAnsi" w:hAnsiTheme="majorHAnsi"/>
          <w:sz w:val="16"/>
          <w:szCs w:val="16"/>
          <w:lang w:val="es-CO"/>
        </w:rPr>
        <w:t xml:space="preserve"> Admisibilidad</w:t>
      </w:r>
      <w:r w:rsidR="003E3537">
        <w:rPr>
          <w:rFonts w:asciiTheme="majorHAnsi" w:hAnsiTheme="majorHAnsi"/>
          <w:sz w:val="16"/>
          <w:szCs w:val="16"/>
          <w:lang w:val="es-CO"/>
        </w:rPr>
        <w:t>,</w:t>
      </w:r>
      <w:r>
        <w:rPr>
          <w:rFonts w:asciiTheme="majorHAnsi" w:hAnsiTheme="majorHAnsi"/>
          <w:sz w:val="16"/>
          <w:szCs w:val="16"/>
          <w:lang w:val="es-CO"/>
        </w:rPr>
        <w:t xml:space="preserve"> Luis Fernando Hernández Carvajal y otros</w:t>
      </w:r>
      <w:r w:rsidR="00EB4C05">
        <w:rPr>
          <w:rFonts w:asciiTheme="majorHAnsi" w:hAnsiTheme="majorHAnsi"/>
          <w:sz w:val="16"/>
          <w:szCs w:val="16"/>
          <w:lang w:val="es-CO"/>
        </w:rPr>
        <w:t>,</w:t>
      </w:r>
      <w:r>
        <w:rPr>
          <w:rFonts w:asciiTheme="majorHAnsi" w:hAnsiTheme="majorHAnsi"/>
          <w:sz w:val="16"/>
          <w:szCs w:val="16"/>
          <w:lang w:val="es-CO"/>
        </w:rPr>
        <w:t xml:space="preserve"> Colombia</w:t>
      </w:r>
      <w:r w:rsidR="00EB4C05">
        <w:rPr>
          <w:rFonts w:asciiTheme="majorHAnsi" w:hAnsiTheme="majorHAnsi"/>
          <w:sz w:val="16"/>
          <w:szCs w:val="16"/>
          <w:lang w:val="es-CO"/>
        </w:rPr>
        <w:t>,</w:t>
      </w:r>
      <w:r>
        <w:rPr>
          <w:rFonts w:asciiTheme="majorHAnsi" w:hAnsiTheme="majorHAnsi"/>
          <w:sz w:val="16"/>
          <w:szCs w:val="16"/>
          <w:lang w:val="es-CO"/>
        </w:rPr>
        <w:t xml:space="preserve"> 14 de julio de 2019; Informe No. 116/19</w:t>
      </w:r>
      <w:r w:rsidR="003E3537">
        <w:rPr>
          <w:rFonts w:asciiTheme="majorHAnsi" w:hAnsiTheme="majorHAnsi"/>
          <w:sz w:val="16"/>
          <w:szCs w:val="16"/>
          <w:lang w:val="es-CO"/>
        </w:rPr>
        <w:t>,</w:t>
      </w:r>
      <w:r>
        <w:rPr>
          <w:rFonts w:asciiTheme="majorHAnsi" w:hAnsiTheme="majorHAnsi"/>
          <w:sz w:val="16"/>
          <w:szCs w:val="16"/>
          <w:lang w:val="es-CO"/>
        </w:rPr>
        <w:t xml:space="preserve"> Petición 1780-10. Admisibilidad</w:t>
      </w:r>
      <w:r w:rsidR="00EB4C05">
        <w:rPr>
          <w:rFonts w:asciiTheme="majorHAnsi" w:hAnsiTheme="majorHAnsi"/>
          <w:sz w:val="16"/>
          <w:szCs w:val="16"/>
          <w:lang w:val="es-CO"/>
        </w:rPr>
        <w:t>,</w:t>
      </w:r>
      <w:r>
        <w:rPr>
          <w:rFonts w:asciiTheme="majorHAnsi" w:hAnsiTheme="majorHAnsi"/>
          <w:sz w:val="16"/>
          <w:szCs w:val="16"/>
          <w:lang w:val="es-CO"/>
        </w:rPr>
        <w:t xml:space="preserve"> Carlos Fernando Ballivián Jiménez</w:t>
      </w:r>
      <w:r w:rsidR="00EB4C05">
        <w:rPr>
          <w:rFonts w:asciiTheme="majorHAnsi" w:hAnsiTheme="majorHAnsi"/>
          <w:sz w:val="16"/>
          <w:szCs w:val="16"/>
          <w:lang w:val="es-CO"/>
        </w:rPr>
        <w:t>,</w:t>
      </w:r>
      <w:r>
        <w:rPr>
          <w:rFonts w:asciiTheme="majorHAnsi" w:hAnsiTheme="majorHAnsi"/>
          <w:sz w:val="16"/>
          <w:szCs w:val="16"/>
          <w:lang w:val="es-CO"/>
        </w:rPr>
        <w:t xml:space="preserve"> Argentina</w:t>
      </w:r>
      <w:r w:rsidR="00EB4C05">
        <w:rPr>
          <w:rFonts w:asciiTheme="majorHAnsi" w:hAnsiTheme="majorHAnsi"/>
          <w:sz w:val="16"/>
          <w:szCs w:val="16"/>
          <w:lang w:val="es-CO"/>
        </w:rPr>
        <w:t>,</w:t>
      </w:r>
      <w:r>
        <w:rPr>
          <w:rFonts w:asciiTheme="majorHAnsi" w:hAnsiTheme="majorHAnsi"/>
          <w:sz w:val="16"/>
          <w:szCs w:val="16"/>
          <w:lang w:val="es-CO"/>
        </w:rPr>
        <w:t xml:space="preserve"> 3 de julio de 2019, párr. 16; </w:t>
      </w:r>
      <w:r w:rsidR="006D5E1E">
        <w:rPr>
          <w:rFonts w:asciiTheme="majorHAnsi" w:hAnsiTheme="majorHAnsi"/>
          <w:sz w:val="16"/>
          <w:szCs w:val="16"/>
          <w:lang w:val="es-CO"/>
        </w:rPr>
        <w:t xml:space="preserve">e </w:t>
      </w:r>
      <w:r>
        <w:rPr>
          <w:rFonts w:asciiTheme="majorHAnsi" w:hAnsiTheme="majorHAnsi"/>
          <w:sz w:val="16"/>
          <w:szCs w:val="16"/>
          <w:lang w:val="es-CO"/>
        </w:rPr>
        <w:t>Informe No. 111/19</w:t>
      </w:r>
      <w:r w:rsidR="003E3537">
        <w:rPr>
          <w:rFonts w:asciiTheme="majorHAnsi" w:hAnsiTheme="majorHAnsi"/>
          <w:sz w:val="16"/>
          <w:szCs w:val="16"/>
          <w:lang w:val="es-CO"/>
        </w:rPr>
        <w:t>,</w:t>
      </w:r>
      <w:r>
        <w:rPr>
          <w:rFonts w:asciiTheme="majorHAnsi" w:hAnsiTheme="majorHAnsi"/>
          <w:sz w:val="16"/>
          <w:szCs w:val="16"/>
          <w:lang w:val="es-CO"/>
        </w:rPr>
        <w:t xml:space="preserve"> Petición 335-08</w:t>
      </w:r>
      <w:r w:rsidR="00EB4C05">
        <w:rPr>
          <w:rFonts w:asciiTheme="majorHAnsi" w:hAnsiTheme="majorHAnsi"/>
          <w:sz w:val="16"/>
          <w:szCs w:val="16"/>
          <w:lang w:val="es-CO"/>
        </w:rPr>
        <w:t>,</w:t>
      </w:r>
      <w:r>
        <w:rPr>
          <w:rFonts w:asciiTheme="majorHAnsi" w:hAnsiTheme="majorHAnsi"/>
          <w:sz w:val="16"/>
          <w:szCs w:val="16"/>
          <w:lang w:val="es-CO"/>
        </w:rPr>
        <w:t xml:space="preserve"> Admisibilidad</w:t>
      </w:r>
      <w:r w:rsidR="00EB4C05">
        <w:rPr>
          <w:rFonts w:asciiTheme="majorHAnsi" w:hAnsiTheme="majorHAnsi"/>
          <w:sz w:val="16"/>
          <w:szCs w:val="16"/>
          <w:lang w:val="es-CO"/>
        </w:rPr>
        <w:t>,</w:t>
      </w:r>
      <w:r>
        <w:rPr>
          <w:rFonts w:asciiTheme="majorHAnsi" w:hAnsiTheme="majorHAnsi"/>
          <w:sz w:val="16"/>
          <w:szCs w:val="16"/>
          <w:lang w:val="es-CO"/>
        </w:rPr>
        <w:t xml:space="preserve"> Marcelo Gerardo Pereyra</w:t>
      </w:r>
      <w:r w:rsidR="00EB4C05">
        <w:rPr>
          <w:rFonts w:asciiTheme="majorHAnsi" w:hAnsiTheme="majorHAnsi"/>
          <w:sz w:val="16"/>
          <w:szCs w:val="16"/>
          <w:lang w:val="es-CO"/>
        </w:rPr>
        <w:t>,</w:t>
      </w:r>
      <w:r>
        <w:rPr>
          <w:rFonts w:asciiTheme="majorHAnsi" w:hAnsiTheme="majorHAnsi"/>
          <w:sz w:val="16"/>
          <w:szCs w:val="16"/>
          <w:lang w:val="es-CO"/>
        </w:rPr>
        <w:t xml:space="preserve"> </w:t>
      </w:r>
      <w:r>
        <w:rPr>
          <w:rFonts w:asciiTheme="majorHAnsi" w:hAnsiTheme="majorHAnsi"/>
          <w:sz w:val="16"/>
          <w:szCs w:val="16"/>
          <w:lang w:val="es-US"/>
        </w:rPr>
        <w:t>Argentina</w:t>
      </w:r>
      <w:r w:rsidR="00EB4C05">
        <w:rPr>
          <w:rFonts w:asciiTheme="majorHAnsi" w:hAnsiTheme="majorHAnsi"/>
          <w:sz w:val="16"/>
          <w:szCs w:val="16"/>
          <w:lang w:val="es-US"/>
        </w:rPr>
        <w:t>,</w:t>
      </w:r>
      <w:r>
        <w:rPr>
          <w:rFonts w:asciiTheme="majorHAnsi" w:hAnsiTheme="majorHAnsi"/>
          <w:sz w:val="16"/>
          <w:szCs w:val="16"/>
          <w:lang w:val="es-US"/>
        </w:rPr>
        <w:t xml:space="preserve"> 7 de junio de 2019, párr. </w:t>
      </w:r>
      <w:r>
        <w:rPr>
          <w:rFonts w:asciiTheme="majorHAnsi" w:hAnsiTheme="majorHAnsi"/>
          <w:sz w:val="16"/>
          <w:szCs w:val="16"/>
        </w:rPr>
        <w:t>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1C6A09" w:rsidP="00A50FCF">
    <w:pPr>
      <w:pStyle w:val="Header"/>
      <w:tabs>
        <w:tab w:val="clear" w:pos="4320"/>
        <w:tab w:val="clear" w:pos="8640"/>
      </w:tabs>
      <w:jc w:val="center"/>
      <w:rPr>
        <w:sz w:val="22"/>
        <w:szCs w:val="22"/>
      </w:rPr>
    </w:pPr>
    <w:r>
      <w:rPr>
        <w:noProof/>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4D9CBFEA"/>
    <w:lvl w:ilvl="0" w:tplc="EF2E7BCC">
      <w:start w:val="1"/>
      <w:numFmt w:val="decimal"/>
      <w:lvlText w:val="%1."/>
      <w:lvlJc w:val="left"/>
      <w:pPr>
        <w:ind w:left="1440" w:hanging="720"/>
      </w:pPr>
      <w:rPr>
        <w:rFonts w:hint="default"/>
        <w:lang w:val="es-E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4C4"/>
    <w:rsid w:val="0000055F"/>
    <w:rsid w:val="000005CD"/>
    <w:rsid w:val="00000CDA"/>
    <w:rsid w:val="0000585E"/>
    <w:rsid w:val="00006E1F"/>
    <w:rsid w:val="000070D7"/>
    <w:rsid w:val="000071FD"/>
    <w:rsid w:val="0001788C"/>
    <w:rsid w:val="0002349D"/>
    <w:rsid w:val="000244C0"/>
    <w:rsid w:val="000246F6"/>
    <w:rsid w:val="00026335"/>
    <w:rsid w:val="00027D7E"/>
    <w:rsid w:val="000315DE"/>
    <w:rsid w:val="00031C57"/>
    <w:rsid w:val="000337EF"/>
    <w:rsid w:val="00040C3A"/>
    <w:rsid w:val="00040FB0"/>
    <w:rsid w:val="000417D1"/>
    <w:rsid w:val="000419AD"/>
    <w:rsid w:val="000433C9"/>
    <w:rsid w:val="00044C63"/>
    <w:rsid w:val="00060417"/>
    <w:rsid w:val="000619E3"/>
    <w:rsid w:val="00061AA9"/>
    <w:rsid w:val="000623CF"/>
    <w:rsid w:val="000627ED"/>
    <w:rsid w:val="000667AD"/>
    <w:rsid w:val="00071174"/>
    <w:rsid w:val="000713B3"/>
    <w:rsid w:val="000716C5"/>
    <w:rsid w:val="00071BE3"/>
    <w:rsid w:val="00073D28"/>
    <w:rsid w:val="00075E23"/>
    <w:rsid w:val="0008158C"/>
    <w:rsid w:val="000830AF"/>
    <w:rsid w:val="0008322E"/>
    <w:rsid w:val="00083503"/>
    <w:rsid w:val="00083FCF"/>
    <w:rsid w:val="00084D4F"/>
    <w:rsid w:val="0008682A"/>
    <w:rsid w:val="000873EE"/>
    <w:rsid w:val="0009040A"/>
    <w:rsid w:val="00090F1E"/>
    <w:rsid w:val="0009344A"/>
    <w:rsid w:val="0009399D"/>
    <w:rsid w:val="0009498D"/>
    <w:rsid w:val="000977C4"/>
    <w:rsid w:val="00097D1D"/>
    <w:rsid w:val="000A392E"/>
    <w:rsid w:val="000A575F"/>
    <w:rsid w:val="000A702E"/>
    <w:rsid w:val="000B0707"/>
    <w:rsid w:val="000B2A67"/>
    <w:rsid w:val="000B75E5"/>
    <w:rsid w:val="000C6271"/>
    <w:rsid w:val="000C737F"/>
    <w:rsid w:val="000C7913"/>
    <w:rsid w:val="000D05CB"/>
    <w:rsid w:val="000D10DB"/>
    <w:rsid w:val="000D3082"/>
    <w:rsid w:val="000D418B"/>
    <w:rsid w:val="000D5652"/>
    <w:rsid w:val="000D70B3"/>
    <w:rsid w:val="000D74FA"/>
    <w:rsid w:val="000E5355"/>
    <w:rsid w:val="000E5EB5"/>
    <w:rsid w:val="000F35ED"/>
    <w:rsid w:val="000F5769"/>
    <w:rsid w:val="000F7258"/>
    <w:rsid w:val="000F7614"/>
    <w:rsid w:val="000F7954"/>
    <w:rsid w:val="000F7E81"/>
    <w:rsid w:val="001004FE"/>
    <w:rsid w:val="00101489"/>
    <w:rsid w:val="00107131"/>
    <w:rsid w:val="0010736F"/>
    <w:rsid w:val="00113F73"/>
    <w:rsid w:val="00113FD4"/>
    <w:rsid w:val="001164E6"/>
    <w:rsid w:val="00116626"/>
    <w:rsid w:val="00117BF3"/>
    <w:rsid w:val="00120FE3"/>
    <w:rsid w:val="0012146D"/>
    <w:rsid w:val="00121CC2"/>
    <w:rsid w:val="00122CB0"/>
    <w:rsid w:val="0012300B"/>
    <w:rsid w:val="00125980"/>
    <w:rsid w:val="00126F5D"/>
    <w:rsid w:val="00131425"/>
    <w:rsid w:val="0013159D"/>
    <w:rsid w:val="00132621"/>
    <w:rsid w:val="00133EE5"/>
    <w:rsid w:val="001349D5"/>
    <w:rsid w:val="00137E2F"/>
    <w:rsid w:val="00141647"/>
    <w:rsid w:val="0014207A"/>
    <w:rsid w:val="001426CA"/>
    <w:rsid w:val="00144C43"/>
    <w:rsid w:val="00144CA9"/>
    <w:rsid w:val="00144DCA"/>
    <w:rsid w:val="00146284"/>
    <w:rsid w:val="00160BD7"/>
    <w:rsid w:val="001610D6"/>
    <w:rsid w:val="001638DD"/>
    <w:rsid w:val="00163B08"/>
    <w:rsid w:val="001648AE"/>
    <w:rsid w:val="0016757F"/>
    <w:rsid w:val="00167925"/>
    <w:rsid w:val="00167A34"/>
    <w:rsid w:val="00170F43"/>
    <w:rsid w:val="00172240"/>
    <w:rsid w:val="00174F0C"/>
    <w:rsid w:val="00177E53"/>
    <w:rsid w:val="00183E0B"/>
    <w:rsid w:val="00185C1F"/>
    <w:rsid w:val="00190055"/>
    <w:rsid w:val="00190B4E"/>
    <w:rsid w:val="00193625"/>
    <w:rsid w:val="00193672"/>
    <w:rsid w:val="00193FAD"/>
    <w:rsid w:val="00195410"/>
    <w:rsid w:val="00197CAC"/>
    <w:rsid w:val="001A3712"/>
    <w:rsid w:val="001A520D"/>
    <w:rsid w:val="001A5B2B"/>
    <w:rsid w:val="001A7870"/>
    <w:rsid w:val="001B07B1"/>
    <w:rsid w:val="001B13B1"/>
    <w:rsid w:val="001B2846"/>
    <w:rsid w:val="001B2DEC"/>
    <w:rsid w:val="001B3A00"/>
    <w:rsid w:val="001B478B"/>
    <w:rsid w:val="001B5702"/>
    <w:rsid w:val="001C1B41"/>
    <w:rsid w:val="001C32DC"/>
    <w:rsid w:val="001C3825"/>
    <w:rsid w:val="001C6A09"/>
    <w:rsid w:val="001D0A39"/>
    <w:rsid w:val="001D15FD"/>
    <w:rsid w:val="001D3A1C"/>
    <w:rsid w:val="001D65EF"/>
    <w:rsid w:val="001D7F96"/>
    <w:rsid w:val="001E0807"/>
    <w:rsid w:val="001E15A0"/>
    <w:rsid w:val="001E327D"/>
    <w:rsid w:val="001E49E7"/>
    <w:rsid w:val="001E7B91"/>
    <w:rsid w:val="001E7BD1"/>
    <w:rsid w:val="001F2F26"/>
    <w:rsid w:val="001F3E3C"/>
    <w:rsid w:val="001F51B9"/>
    <w:rsid w:val="001F58F1"/>
    <w:rsid w:val="001F7201"/>
    <w:rsid w:val="00200EF2"/>
    <w:rsid w:val="00214864"/>
    <w:rsid w:val="00214866"/>
    <w:rsid w:val="00214CF4"/>
    <w:rsid w:val="00216DD4"/>
    <w:rsid w:val="00223A29"/>
    <w:rsid w:val="002250A3"/>
    <w:rsid w:val="00226227"/>
    <w:rsid w:val="00226511"/>
    <w:rsid w:val="00226693"/>
    <w:rsid w:val="00227B1D"/>
    <w:rsid w:val="00230420"/>
    <w:rsid w:val="002321EF"/>
    <w:rsid w:val="0023439D"/>
    <w:rsid w:val="00235217"/>
    <w:rsid w:val="002377EE"/>
    <w:rsid w:val="002378BD"/>
    <w:rsid w:val="00245B90"/>
    <w:rsid w:val="00245C2E"/>
    <w:rsid w:val="00246D1F"/>
    <w:rsid w:val="00247088"/>
    <w:rsid w:val="002471AF"/>
    <w:rsid w:val="00247403"/>
    <w:rsid w:val="00247542"/>
    <w:rsid w:val="002476FA"/>
    <w:rsid w:val="00251275"/>
    <w:rsid w:val="002535CF"/>
    <w:rsid w:val="00254B35"/>
    <w:rsid w:val="00254C5C"/>
    <w:rsid w:val="00260151"/>
    <w:rsid w:val="00266B61"/>
    <w:rsid w:val="0026712A"/>
    <w:rsid w:val="002704DB"/>
    <w:rsid w:val="00274B96"/>
    <w:rsid w:val="002750D4"/>
    <w:rsid w:val="002768A0"/>
    <w:rsid w:val="00277007"/>
    <w:rsid w:val="00277884"/>
    <w:rsid w:val="00277C18"/>
    <w:rsid w:val="00283562"/>
    <w:rsid w:val="002856F9"/>
    <w:rsid w:val="00292835"/>
    <w:rsid w:val="00293C5F"/>
    <w:rsid w:val="002A0AAE"/>
    <w:rsid w:val="002A13B8"/>
    <w:rsid w:val="002A4DE6"/>
    <w:rsid w:val="002A5820"/>
    <w:rsid w:val="002B3D51"/>
    <w:rsid w:val="002C0BDE"/>
    <w:rsid w:val="002C3650"/>
    <w:rsid w:val="002C4E8A"/>
    <w:rsid w:val="002D23CE"/>
    <w:rsid w:val="002D2B26"/>
    <w:rsid w:val="002D30AE"/>
    <w:rsid w:val="002D7EA2"/>
    <w:rsid w:val="002E187C"/>
    <w:rsid w:val="002E5A4F"/>
    <w:rsid w:val="002F0D38"/>
    <w:rsid w:val="002F0DE4"/>
    <w:rsid w:val="002F38F4"/>
    <w:rsid w:val="002F3AF6"/>
    <w:rsid w:val="002F7625"/>
    <w:rsid w:val="002F791D"/>
    <w:rsid w:val="003007D2"/>
    <w:rsid w:val="00300AC6"/>
    <w:rsid w:val="00301F9F"/>
    <w:rsid w:val="00302733"/>
    <w:rsid w:val="00302EF8"/>
    <w:rsid w:val="003035A4"/>
    <w:rsid w:val="00304887"/>
    <w:rsid w:val="00305835"/>
    <w:rsid w:val="00306F33"/>
    <w:rsid w:val="00307BF9"/>
    <w:rsid w:val="00311CF6"/>
    <w:rsid w:val="00313A8F"/>
    <w:rsid w:val="00314078"/>
    <w:rsid w:val="00314428"/>
    <w:rsid w:val="00315336"/>
    <w:rsid w:val="0031535D"/>
    <w:rsid w:val="00316E74"/>
    <w:rsid w:val="00322A51"/>
    <w:rsid w:val="003239B8"/>
    <w:rsid w:val="00323DD5"/>
    <w:rsid w:val="00325361"/>
    <w:rsid w:val="00325431"/>
    <w:rsid w:val="003263AA"/>
    <w:rsid w:val="00326D23"/>
    <w:rsid w:val="00327A11"/>
    <w:rsid w:val="0033169F"/>
    <w:rsid w:val="003319CC"/>
    <w:rsid w:val="003349D6"/>
    <w:rsid w:val="00335D68"/>
    <w:rsid w:val="00337A07"/>
    <w:rsid w:val="00340EED"/>
    <w:rsid w:val="0034154C"/>
    <w:rsid w:val="0034213F"/>
    <w:rsid w:val="00344977"/>
    <w:rsid w:val="00346B09"/>
    <w:rsid w:val="00346C95"/>
    <w:rsid w:val="00353497"/>
    <w:rsid w:val="00356027"/>
    <w:rsid w:val="00356185"/>
    <w:rsid w:val="0036032A"/>
    <w:rsid w:val="00360380"/>
    <w:rsid w:val="00360B72"/>
    <w:rsid w:val="00362F40"/>
    <w:rsid w:val="00371489"/>
    <w:rsid w:val="003728D7"/>
    <w:rsid w:val="0037290D"/>
    <w:rsid w:val="00374304"/>
    <w:rsid w:val="0037519E"/>
    <w:rsid w:val="00376881"/>
    <w:rsid w:val="00377CF1"/>
    <w:rsid w:val="003800E3"/>
    <w:rsid w:val="003809D6"/>
    <w:rsid w:val="00380D85"/>
    <w:rsid w:val="00383B06"/>
    <w:rsid w:val="00384675"/>
    <w:rsid w:val="00386C4F"/>
    <w:rsid w:val="00386CF0"/>
    <w:rsid w:val="00394073"/>
    <w:rsid w:val="003A0BAC"/>
    <w:rsid w:val="003A4855"/>
    <w:rsid w:val="003A78E2"/>
    <w:rsid w:val="003B04E3"/>
    <w:rsid w:val="003B3072"/>
    <w:rsid w:val="003B311D"/>
    <w:rsid w:val="003B70FB"/>
    <w:rsid w:val="003B7522"/>
    <w:rsid w:val="003B795E"/>
    <w:rsid w:val="003C24F7"/>
    <w:rsid w:val="003C410A"/>
    <w:rsid w:val="003C435A"/>
    <w:rsid w:val="003C676B"/>
    <w:rsid w:val="003D2D3A"/>
    <w:rsid w:val="003D3566"/>
    <w:rsid w:val="003D3BC2"/>
    <w:rsid w:val="003D71CF"/>
    <w:rsid w:val="003E1407"/>
    <w:rsid w:val="003E301C"/>
    <w:rsid w:val="003E3026"/>
    <w:rsid w:val="003E3537"/>
    <w:rsid w:val="003E6CA1"/>
    <w:rsid w:val="003F27AE"/>
    <w:rsid w:val="003F2F96"/>
    <w:rsid w:val="003F3922"/>
    <w:rsid w:val="003F5154"/>
    <w:rsid w:val="0040213D"/>
    <w:rsid w:val="00403291"/>
    <w:rsid w:val="004038BC"/>
    <w:rsid w:val="00405F9C"/>
    <w:rsid w:val="0040650F"/>
    <w:rsid w:val="004065A8"/>
    <w:rsid w:val="00411EAB"/>
    <w:rsid w:val="00414C6D"/>
    <w:rsid w:val="004165C2"/>
    <w:rsid w:val="00420640"/>
    <w:rsid w:val="00422A46"/>
    <w:rsid w:val="004241A0"/>
    <w:rsid w:val="004322EE"/>
    <w:rsid w:val="00433672"/>
    <w:rsid w:val="00440875"/>
    <w:rsid w:val="00441ECB"/>
    <w:rsid w:val="004424C1"/>
    <w:rsid w:val="00445193"/>
    <w:rsid w:val="004474DE"/>
    <w:rsid w:val="0045231E"/>
    <w:rsid w:val="004527AD"/>
    <w:rsid w:val="00454209"/>
    <w:rsid w:val="00454291"/>
    <w:rsid w:val="00454BED"/>
    <w:rsid w:val="00456912"/>
    <w:rsid w:val="0045717B"/>
    <w:rsid w:val="00460A68"/>
    <w:rsid w:val="00460EBD"/>
    <w:rsid w:val="004612F8"/>
    <w:rsid w:val="00461B35"/>
    <w:rsid w:val="00462605"/>
    <w:rsid w:val="00462C1B"/>
    <w:rsid w:val="00463503"/>
    <w:rsid w:val="0046460F"/>
    <w:rsid w:val="004669C6"/>
    <w:rsid w:val="00467B7E"/>
    <w:rsid w:val="004728DD"/>
    <w:rsid w:val="00472E0F"/>
    <w:rsid w:val="00473BB4"/>
    <w:rsid w:val="00477592"/>
    <w:rsid w:val="00477887"/>
    <w:rsid w:val="00484B65"/>
    <w:rsid w:val="004850B5"/>
    <w:rsid w:val="00486F1C"/>
    <w:rsid w:val="0049003A"/>
    <w:rsid w:val="0049419D"/>
    <w:rsid w:val="00496D61"/>
    <w:rsid w:val="004A021B"/>
    <w:rsid w:val="004A057B"/>
    <w:rsid w:val="004A2C2D"/>
    <w:rsid w:val="004A2D6F"/>
    <w:rsid w:val="004A6A54"/>
    <w:rsid w:val="004A7D43"/>
    <w:rsid w:val="004B2772"/>
    <w:rsid w:val="004B3812"/>
    <w:rsid w:val="004B421C"/>
    <w:rsid w:val="004B5D34"/>
    <w:rsid w:val="004B6707"/>
    <w:rsid w:val="004C20D2"/>
    <w:rsid w:val="004C21C7"/>
    <w:rsid w:val="004C2312"/>
    <w:rsid w:val="004C4B62"/>
    <w:rsid w:val="004C4EAE"/>
    <w:rsid w:val="004C54C9"/>
    <w:rsid w:val="004C642F"/>
    <w:rsid w:val="004C7278"/>
    <w:rsid w:val="004D2988"/>
    <w:rsid w:val="004D4ABA"/>
    <w:rsid w:val="004D6025"/>
    <w:rsid w:val="004E10BD"/>
    <w:rsid w:val="004E2649"/>
    <w:rsid w:val="004E2885"/>
    <w:rsid w:val="004E4BF8"/>
    <w:rsid w:val="004E51C5"/>
    <w:rsid w:val="004E58F9"/>
    <w:rsid w:val="004E69DF"/>
    <w:rsid w:val="004F626F"/>
    <w:rsid w:val="004F6E54"/>
    <w:rsid w:val="004F7893"/>
    <w:rsid w:val="004F7CF5"/>
    <w:rsid w:val="00501399"/>
    <w:rsid w:val="00501659"/>
    <w:rsid w:val="00502DE3"/>
    <w:rsid w:val="005047ED"/>
    <w:rsid w:val="0050633D"/>
    <w:rsid w:val="00507BC4"/>
    <w:rsid w:val="005128E4"/>
    <w:rsid w:val="005131B8"/>
    <w:rsid w:val="005133DB"/>
    <w:rsid w:val="0051435C"/>
    <w:rsid w:val="00514504"/>
    <w:rsid w:val="00514A5E"/>
    <w:rsid w:val="00514ACE"/>
    <w:rsid w:val="005164AF"/>
    <w:rsid w:val="00516DBB"/>
    <w:rsid w:val="005173A3"/>
    <w:rsid w:val="00521E1F"/>
    <w:rsid w:val="00522E8F"/>
    <w:rsid w:val="0052420E"/>
    <w:rsid w:val="00524F71"/>
    <w:rsid w:val="00525560"/>
    <w:rsid w:val="00527B54"/>
    <w:rsid w:val="00531AC1"/>
    <w:rsid w:val="005329D9"/>
    <w:rsid w:val="00534334"/>
    <w:rsid w:val="005349F6"/>
    <w:rsid w:val="005415F3"/>
    <w:rsid w:val="005419A2"/>
    <w:rsid w:val="00541A8C"/>
    <w:rsid w:val="00544C49"/>
    <w:rsid w:val="00547809"/>
    <w:rsid w:val="00547C4F"/>
    <w:rsid w:val="005516A1"/>
    <w:rsid w:val="00552BBE"/>
    <w:rsid w:val="005541F4"/>
    <w:rsid w:val="005559EF"/>
    <w:rsid w:val="00560621"/>
    <w:rsid w:val="00561097"/>
    <w:rsid w:val="00562750"/>
    <w:rsid w:val="00563557"/>
    <w:rsid w:val="00565F7E"/>
    <w:rsid w:val="00567A02"/>
    <w:rsid w:val="00570AF4"/>
    <w:rsid w:val="0057402A"/>
    <w:rsid w:val="00576BD2"/>
    <w:rsid w:val="005771D0"/>
    <w:rsid w:val="0058306E"/>
    <w:rsid w:val="00583570"/>
    <w:rsid w:val="005851FF"/>
    <w:rsid w:val="0058545C"/>
    <w:rsid w:val="0059191A"/>
    <w:rsid w:val="005921FF"/>
    <w:rsid w:val="00596EAE"/>
    <w:rsid w:val="005A00D5"/>
    <w:rsid w:val="005A0F01"/>
    <w:rsid w:val="005A2199"/>
    <w:rsid w:val="005A24ED"/>
    <w:rsid w:val="005A36FD"/>
    <w:rsid w:val="005A51BB"/>
    <w:rsid w:val="005A5450"/>
    <w:rsid w:val="005A5D54"/>
    <w:rsid w:val="005A6D0E"/>
    <w:rsid w:val="005A746B"/>
    <w:rsid w:val="005B0BBA"/>
    <w:rsid w:val="005B52B0"/>
    <w:rsid w:val="005B5786"/>
    <w:rsid w:val="005B6806"/>
    <w:rsid w:val="005B7316"/>
    <w:rsid w:val="005B7FAF"/>
    <w:rsid w:val="005C18B6"/>
    <w:rsid w:val="005C2A50"/>
    <w:rsid w:val="005C4225"/>
    <w:rsid w:val="005D64E9"/>
    <w:rsid w:val="005E1209"/>
    <w:rsid w:val="005E15D3"/>
    <w:rsid w:val="005E61FC"/>
    <w:rsid w:val="005E73BF"/>
    <w:rsid w:val="005E7F3F"/>
    <w:rsid w:val="005F0DAD"/>
    <w:rsid w:val="005F0F33"/>
    <w:rsid w:val="005F5190"/>
    <w:rsid w:val="005F6B88"/>
    <w:rsid w:val="00600DEB"/>
    <w:rsid w:val="00601DC7"/>
    <w:rsid w:val="00602457"/>
    <w:rsid w:val="00605F6D"/>
    <w:rsid w:val="00624106"/>
    <w:rsid w:val="00625A9E"/>
    <w:rsid w:val="00626451"/>
    <w:rsid w:val="0062794D"/>
    <w:rsid w:val="00627C9F"/>
    <w:rsid w:val="006307BA"/>
    <w:rsid w:val="00630820"/>
    <w:rsid w:val="006311E9"/>
    <w:rsid w:val="006322B7"/>
    <w:rsid w:val="00632354"/>
    <w:rsid w:val="00634814"/>
    <w:rsid w:val="00634D13"/>
    <w:rsid w:val="006350C6"/>
    <w:rsid w:val="00635421"/>
    <w:rsid w:val="00636B35"/>
    <w:rsid w:val="00642810"/>
    <w:rsid w:val="00642909"/>
    <w:rsid w:val="00643F20"/>
    <w:rsid w:val="00645179"/>
    <w:rsid w:val="0065095B"/>
    <w:rsid w:val="00652333"/>
    <w:rsid w:val="006528A9"/>
    <w:rsid w:val="006557F7"/>
    <w:rsid w:val="0066501C"/>
    <w:rsid w:val="006677B3"/>
    <w:rsid w:val="00670F10"/>
    <w:rsid w:val="00672BA8"/>
    <w:rsid w:val="00677F99"/>
    <w:rsid w:val="0068009E"/>
    <w:rsid w:val="006845D1"/>
    <w:rsid w:val="00685F73"/>
    <w:rsid w:val="00691801"/>
    <w:rsid w:val="00692219"/>
    <w:rsid w:val="0069557F"/>
    <w:rsid w:val="00695898"/>
    <w:rsid w:val="00697949"/>
    <w:rsid w:val="00697ACC"/>
    <w:rsid w:val="006A17D2"/>
    <w:rsid w:val="006A1F60"/>
    <w:rsid w:val="006A3980"/>
    <w:rsid w:val="006A51BB"/>
    <w:rsid w:val="006A73E6"/>
    <w:rsid w:val="006B2D5C"/>
    <w:rsid w:val="006B36DE"/>
    <w:rsid w:val="006B438B"/>
    <w:rsid w:val="006B4D73"/>
    <w:rsid w:val="006B527D"/>
    <w:rsid w:val="006B6C43"/>
    <w:rsid w:val="006B7FB2"/>
    <w:rsid w:val="006C0C5A"/>
    <w:rsid w:val="006C0ECF"/>
    <w:rsid w:val="006C3071"/>
    <w:rsid w:val="006C4EB1"/>
    <w:rsid w:val="006D1075"/>
    <w:rsid w:val="006D42B0"/>
    <w:rsid w:val="006D5E1E"/>
    <w:rsid w:val="006D7806"/>
    <w:rsid w:val="006D7B97"/>
    <w:rsid w:val="006E0166"/>
    <w:rsid w:val="006E0556"/>
    <w:rsid w:val="006E10AE"/>
    <w:rsid w:val="006E1F40"/>
    <w:rsid w:val="006E2FFB"/>
    <w:rsid w:val="006E621A"/>
    <w:rsid w:val="006E77BD"/>
    <w:rsid w:val="006E7B34"/>
    <w:rsid w:val="006F06B1"/>
    <w:rsid w:val="006F374C"/>
    <w:rsid w:val="0070075B"/>
    <w:rsid w:val="00700973"/>
    <w:rsid w:val="007035E3"/>
    <w:rsid w:val="0070697F"/>
    <w:rsid w:val="007069B3"/>
    <w:rsid w:val="007103C4"/>
    <w:rsid w:val="00711A64"/>
    <w:rsid w:val="0071457A"/>
    <w:rsid w:val="0072177A"/>
    <w:rsid w:val="0072199C"/>
    <w:rsid w:val="00722C9F"/>
    <w:rsid w:val="00724CCB"/>
    <w:rsid w:val="007253B8"/>
    <w:rsid w:val="007256C8"/>
    <w:rsid w:val="007272FF"/>
    <w:rsid w:val="00733EBF"/>
    <w:rsid w:val="00734332"/>
    <w:rsid w:val="007350A8"/>
    <w:rsid w:val="00735571"/>
    <w:rsid w:val="0073741F"/>
    <w:rsid w:val="00742DEE"/>
    <w:rsid w:val="007462E1"/>
    <w:rsid w:val="00747F8D"/>
    <w:rsid w:val="00756FAA"/>
    <w:rsid w:val="00763B6E"/>
    <w:rsid w:val="00764097"/>
    <w:rsid w:val="0076643F"/>
    <w:rsid w:val="00766E5C"/>
    <w:rsid w:val="00767BDD"/>
    <w:rsid w:val="007719FA"/>
    <w:rsid w:val="00772AFD"/>
    <w:rsid w:val="00773916"/>
    <w:rsid w:val="007739C2"/>
    <w:rsid w:val="00776CCA"/>
    <w:rsid w:val="007777B6"/>
    <w:rsid w:val="00777F63"/>
    <w:rsid w:val="007836AC"/>
    <w:rsid w:val="007849EB"/>
    <w:rsid w:val="0079188B"/>
    <w:rsid w:val="00795536"/>
    <w:rsid w:val="007965C9"/>
    <w:rsid w:val="007A4883"/>
    <w:rsid w:val="007A5817"/>
    <w:rsid w:val="007B024B"/>
    <w:rsid w:val="007B05C4"/>
    <w:rsid w:val="007B29C3"/>
    <w:rsid w:val="007B461E"/>
    <w:rsid w:val="007B59EF"/>
    <w:rsid w:val="007B60E9"/>
    <w:rsid w:val="007B6CC3"/>
    <w:rsid w:val="007B76D3"/>
    <w:rsid w:val="007B77EF"/>
    <w:rsid w:val="007C1C87"/>
    <w:rsid w:val="007C26FD"/>
    <w:rsid w:val="007C2BDF"/>
    <w:rsid w:val="007C3334"/>
    <w:rsid w:val="007C5AEC"/>
    <w:rsid w:val="007C5B47"/>
    <w:rsid w:val="007C72C7"/>
    <w:rsid w:val="007D0E50"/>
    <w:rsid w:val="007D1AC1"/>
    <w:rsid w:val="007D2B98"/>
    <w:rsid w:val="007E15C9"/>
    <w:rsid w:val="007E21BC"/>
    <w:rsid w:val="007E6127"/>
    <w:rsid w:val="007E66E2"/>
    <w:rsid w:val="007E7723"/>
    <w:rsid w:val="007E7C82"/>
    <w:rsid w:val="007F1D67"/>
    <w:rsid w:val="007F2AA1"/>
    <w:rsid w:val="007F3DC5"/>
    <w:rsid w:val="007F539B"/>
    <w:rsid w:val="007F588D"/>
    <w:rsid w:val="007F69A6"/>
    <w:rsid w:val="008002B0"/>
    <w:rsid w:val="00803F1C"/>
    <w:rsid w:val="0080600E"/>
    <w:rsid w:val="00812DC8"/>
    <w:rsid w:val="00814409"/>
    <w:rsid w:val="00814688"/>
    <w:rsid w:val="00815D41"/>
    <w:rsid w:val="00816767"/>
    <w:rsid w:val="00817018"/>
    <w:rsid w:val="00817612"/>
    <w:rsid w:val="00821A8F"/>
    <w:rsid w:val="00823FF1"/>
    <w:rsid w:val="008263DA"/>
    <w:rsid w:val="00826B37"/>
    <w:rsid w:val="008319F0"/>
    <w:rsid w:val="008338A4"/>
    <w:rsid w:val="00834753"/>
    <w:rsid w:val="00834D49"/>
    <w:rsid w:val="00835097"/>
    <w:rsid w:val="00835776"/>
    <w:rsid w:val="00836293"/>
    <w:rsid w:val="00837C45"/>
    <w:rsid w:val="00844730"/>
    <w:rsid w:val="008457C2"/>
    <w:rsid w:val="00851AC9"/>
    <w:rsid w:val="00855FD2"/>
    <w:rsid w:val="00857A82"/>
    <w:rsid w:val="008618B1"/>
    <w:rsid w:val="0086316A"/>
    <w:rsid w:val="008665BA"/>
    <w:rsid w:val="00872D86"/>
    <w:rsid w:val="00873836"/>
    <w:rsid w:val="008778C4"/>
    <w:rsid w:val="0088089B"/>
    <w:rsid w:val="008814FF"/>
    <w:rsid w:val="008818A4"/>
    <w:rsid w:val="008823E6"/>
    <w:rsid w:val="00883DD1"/>
    <w:rsid w:val="00884226"/>
    <w:rsid w:val="00884720"/>
    <w:rsid w:val="00884F7F"/>
    <w:rsid w:val="00885661"/>
    <w:rsid w:val="00885737"/>
    <w:rsid w:val="008859C9"/>
    <w:rsid w:val="00890650"/>
    <w:rsid w:val="00890DA0"/>
    <w:rsid w:val="0089242B"/>
    <w:rsid w:val="008944DC"/>
    <w:rsid w:val="00897E12"/>
    <w:rsid w:val="008A105D"/>
    <w:rsid w:val="008A138E"/>
    <w:rsid w:val="008A2042"/>
    <w:rsid w:val="008A2BA7"/>
    <w:rsid w:val="008A361D"/>
    <w:rsid w:val="008A4D4F"/>
    <w:rsid w:val="008A7644"/>
    <w:rsid w:val="008A7E0F"/>
    <w:rsid w:val="008B12F5"/>
    <w:rsid w:val="008B1F78"/>
    <w:rsid w:val="008B3CE2"/>
    <w:rsid w:val="008B4564"/>
    <w:rsid w:val="008B6AAC"/>
    <w:rsid w:val="008C0952"/>
    <w:rsid w:val="008C09C1"/>
    <w:rsid w:val="008C0DCF"/>
    <w:rsid w:val="008C525B"/>
    <w:rsid w:val="008C5E2D"/>
    <w:rsid w:val="008D1233"/>
    <w:rsid w:val="008D3136"/>
    <w:rsid w:val="008D3F8F"/>
    <w:rsid w:val="008D768D"/>
    <w:rsid w:val="008D76F3"/>
    <w:rsid w:val="008E0EB4"/>
    <w:rsid w:val="008E3759"/>
    <w:rsid w:val="008E3A78"/>
    <w:rsid w:val="008E3BFE"/>
    <w:rsid w:val="008E4447"/>
    <w:rsid w:val="008E597D"/>
    <w:rsid w:val="008F16CB"/>
    <w:rsid w:val="008F1912"/>
    <w:rsid w:val="008F6785"/>
    <w:rsid w:val="00901503"/>
    <w:rsid w:val="00901E12"/>
    <w:rsid w:val="0090270B"/>
    <w:rsid w:val="009041DC"/>
    <w:rsid w:val="00911A60"/>
    <w:rsid w:val="00914EE3"/>
    <w:rsid w:val="009160D2"/>
    <w:rsid w:val="00917B5A"/>
    <w:rsid w:val="00920A58"/>
    <w:rsid w:val="00920A8C"/>
    <w:rsid w:val="00921EA4"/>
    <w:rsid w:val="00924298"/>
    <w:rsid w:val="009257AA"/>
    <w:rsid w:val="00927871"/>
    <w:rsid w:val="009301CD"/>
    <w:rsid w:val="009328D8"/>
    <w:rsid w:val="009339B9"/>
    <w:rsid w:val="00934A2C"/>
    <w:rsid w:val="00935F14"/>
    <w:rsid w:val="00940252"/>
    <w:rsid w:val="00943EFD"/>
    <w:rsid w:val="00945B15"/>
    <w:rsid w:val="00947F55"/>
    <w:rsid w:val="00950C33"/>
    <w:rsid w:val="00950D61"/>
    <w:rsid w:val="00952506"/>
    <w:rsid w:val="0095559F"/>
    <w:rsid w:val="00957955"/>
    <w:rsid w:val="00965343"/>
    <w:rsid w:val="00966A8F"/>
    <w:rsid w:val="0096706E"/>
    <w:rsid w:val="00967A66"/>
    <w:rsid w:val="00974276"/>
    <w:rsid w:val="00974491"/>
    <w:rsid w:val="00975AE3"/>
    <w:rsid w:val="00975C4E"/>
    <w:rsid w:val="00976A8F"/>
    <w:rsid w:val="009777BC"/>
    <w:rsid w:val="00977B4B"/>
    <w:rsid w:val="009808B0"/>
    <w:rsid w:val="00981278"/>
    <w:rsid w:val="00981B64"/>
    <w:rsid w:val="00981FBA"/>
    <w:rsid w:val="009901FF"/>
    <w:rsid w:val="00990EE6"/>
    <w:rsid w:val="00997BC5"/>
    <w:rsid w:val="009A0489"/>
    <w:rsid w:val="009A07F9"/>
    <w:rsid w:val="009A4F41"/>
    <w:rsid w:val="009A56CE"/>
    <w:rsid w:val="009B381B"/>
    <w:rsid w:val="009B713E"/>
    <w:rsid w:val="009C3576"/>
    <w:rsid w:val="009C3AEF"/>
    <w:rsid w:val="009C47A3"/>
    <w:rsid w:val="009D055C"/>
    <w:rsid w:val="009D1753"/>
    <w:rsid w:val="009D594F"/>
    <w:rsid w:val="009D6C6B"/>
    <w:rsid w:val="009D7611"/>
    <w:rsid w:val="009E0B3B"/>
    <w:rsid w:val="009E0B61"/>
    <w:rsid w:val="009E2D14"/>
    <w:rsid w:val="009E4EBF"/>
    <w:rsid w:val="009E53DE"/>
    <w:rsid w:val="009E5BBA"/>
    <w:rsid w:val="009F131F"/>
    <w:rsid w:val="009F19BE"/>
    <w:rsid w:val="009F5933"/>
    <w:rsid w:val="00A03F6A"/>
    <w:rsid w:val="00A06E82"/>
    <w:rsid w:val="00A11212"/>
    <w:rsid w:val="00A11E44"/>
    <w:rsid w:val="00A127E4"/>
    <w:rsid w:val="00A148C5"/>
    <w:rsid w:val="00A15388"/>
    <w:rsid w:val="00A15562"/>
    <w:rsid w:val="00A22CF9"/>
    <w:rsid w:val="00A25535"/>
    <w:rsid w:val="00A30100"/>
    <w:rsid w:val="00A328B3"/>
    <w:rsid w:val="00A33526"/>
    <w:rsid w:val="00A340D6"/>
    <w:rsid w:val="00A35319"/>
    <w:rsid w:val="00A366E7"/>
    <w:rsid w:val="00A41FD0"/>
    <w:rsid w:val="00A450E2"/>
    <w:rsid w:val="00A456FB"/>
    <w:rsid w:val="00A462C2"/>
    <w:rsid w:val="00A47D82"/>
    <w:rsid w:val="00A50DB5"/>
    <w:rsid w:val="00A50FCF"/>
    <w:rsid w:val="00A528D1"/>
    <w:rsid w:val="00A52F25"/>
    <w:rsid w:val="00A55E24"/>
    <w:rsid w:val="00A56444"/>
    <w:rsid w:val="00A577EB"/>
    <w:rsid w:val="00A579F8"/>
    <w:rsid w:val="00A57C4E"/>
    <w:rsid w:val="00A610CD"/>
    <w:rsid w:val="00A626FC"/>
    <w:rsid w:val="00A63362"/>
    <w:rsid w:val="00A710CF"/>
    <w:rsid w:val="00A719ED"/>
    <w:rsid w:val="00A71ACA"/>
    <w:rsid w:val="00A720BB"/>
    <w:rsid w:val="00A758AA"/>
    <w:rsid w:val="00A771A7"/>
    <w:rsid w:val="00A817CD"/>
    <w:rsid w:val="00A81BAD"/>
    <w:rsid w:val="00A82A23"/>
    <w:rsid w:val="00A841AD"/>
    <w:rsid w:val="00A84DB0"/>
    <w:rsid w:val="00A8787C"/>
    <w:rsid w:val="00A90FE4"/>
    <w:rsid w:val="00A931AF"/>
    <w:rsid w:val="00A96E95"/>
    <w:rsid w:val="00AA09A2"/>
    <w:rsid w:val="00AA708D"/>
    <w:rsid w:val="00AA7996"/>
    <w:rsid w:val="00AB053E"/>
    <w:rsid w:val="00AB2BAC"/>
    <w:rsid w:val="00AB3D88"/>
    <w:rsid w:val="00AB4224"/>
    <w:rsid w:val="00AC19CB"/>
    <w:rsid w:val="00AC582E"/>
    <w:rsid w:val="00AC5B4B"/>
    <w:rsid w:val="00AC654C"/>
    <w:rsid w:val="00AD58AB"/>
    <w:rsid w:val="00AE30B7"/>
    <w:rsid w:val="00AE376B"/>
    <w:rsid w:val="00AE5488"/>
    <w:rsid w:val="00AE628D"/>
    <w:rsid w:val="00AE6974"/>
    <w:rsid w:val="00AE6F91"/>
    <w:rsid w:val="00AF2394"/>
    <w:rsid w:val="00AF36E1"/>
    <w:rsid w:val="00AF4681"/>
    <w:rsid w:val="00AF5571"/>
    <w:rsid w:val="00AF756D"/>
    <w:rsid w:val="00B03811"/>
    <w:rsid w:val="00B04818"/>
    <w:rsid w:val="00B05E0B"/>
    <w:rsid w:val="00B07341"/>
    <w:rsid w:val="00B13D48"/>
    <w:rsid w:val="00B145FF"/>
    <w:rsid w:val="00B14E48"/>
    <w:rsid w:val="00B15064"/>
    <w:rsid w:val="00B153F3"/>
    <w:rsid w:val="00B208E9"/>
    <w:rsid w:val="00B256B0"/>
    <w:rsid w:val="00B26563"/>
    <w:rsid w:val="00B30539"/>
    <w:rsid w:val="00B314DB"/>
    <w:rsid w:val="00B3340F"/>
    <w:rsid w:val="00B3417B"/>
    <w:rsid w:val="00B3485C"/>
    <w:rsid w:val="00B35CD8"/>
    <w:rsid w:val="00B361F2"/>
    <w:rsid w:val="00B3718B"/>
    <w:rsid w:val="00B3745F"/>
    <w:rsid w:val="00B41038"/>
    <w:rsid w:val="00B44683"/>
    <w:rsid w:val="00B44B1D"/>
    <w:rsid w:val="00B4559B"/>
    <w:rsid w:val="00B4632A"/>
    <w:rsid w:val="00B50705"/>
    <w:rsid w:val="00B510AF"/>
    <w:rsid w:val="00B530F1"/>
    <w:rsid w:val="00B53B0C"/>
    <w:rsid w:val="00B551CC"/>
    <w:rsid w:val="00B552C3"/>
    <w:rsid w:val="00B634D3"/>
    <w:rsid w:val="00B6363A"/>
    <w:rsid w:val="00B63D62"/>
    <w:rsid w:val="00B63DF8"/>
    <w:rsid w:val="00B64BB5"/>
    <w:rsid w:val="00B6765D"/>
    <w:rsid w:val="00B749FB"/>
    <w:rsid w:val="00B74C71"/>
    <w:rsid w:val="00B75886"/>
    <w:rsid w:val="00B763D9"/>
    <w:rsid w:val="00B92C4F"/>
    <w:rsid w:val="00B93D7F"/>
    <w:rsid w:val="00B94F9D"/>
    <w:rsid w:val="00B96386"/>
    <w:rsid w:val="00BA1B71"/>
    <w:rsid w:val="00BA1F92"/>
    <w:rsid w:val="00BA276C"/>
    <w:rsid w:val="00BA7210"/>
    <w:rsid w:val="00BB019D"/>
    <w:rsid w:val="00BB306F"/>
    <w:rsid w:val="00BB59AD"/>
    <w:rsid w:val="00BB6505"/>
    <w:rsid w:val="00BB70ED"/>
    <w:rsid w:val="00BC006A"/>
    <w:rsid w:val="00BC0145"/>
    <w:rsid w:val="00BC185C"/>
    <w:rsid w:val="00BC2BAD"/>
    <w:rsid w:val="00BC3961"/>
    <w:rsid w:val="00BC5ADD"/>
    <w:rsid w:val="00BC5B86"/>
    <w:rsid w:val="00BC650C"/>
    <w:rsid w:val="00BD0895"/>
    <w:rsid w:val="00BD0D29"/>
    <w:rsid w:val="00BD0FF5"/>
    <w:rsid w:val="00BD3098"/>
    <w:rsid w:val="00BD369C"/>
    <w:rsid w:val="00BD4A10"/>
    <w:rsid w:val="00BD4B89"/>
    <w:rsid w:val="00BD4D70"/>
    <w:rsid w:val="00BD5922"/>
    <w:rsid w:val="00BE1873"/>
    <w:rsid w:val="00BF02CB"/>
    <w:rsid w:val="00BF134A"/>
    <w:rsid w:val="00BF31FB"/>
    <w:rsid w:val="00BF37AC"/>
    <w:rsid w:val="00BF3F97"/>
    <w:rsid w:val="00BF46AC"/>
    <w:rsid w:val="00BF5A0F"/>
    <w:rsid w:val="00BF6FD8"/>
    <w:rsid w:val="00C010BF"/>
    <w:rsid w:val="00C02016"/>
    <w:rsid w:val="00C028CC"/>
    <w:rsid w:val="00C02A06"/>
    <w:rsid w:val="00C03680"/>
    <w:rsid w:val="00C047A6"/>
    <w:rsid w:val="00C054DF"/>
    <w:rsid w:val="00C162F6"/>
    <w:rsid w:val="00C21762"/>
    <w:rsid w:val="00C21FEF"/>
    <w:rsid w:val="00C227E6"/>
    <w:rsid w:val="00C23BA4"/>
    <w:rsid w:val="00C24543"/>
    <w:rsid w:val="00C256A2"/>
    <w:rsid w:val="00C25ADB"/>
    <w:rsid w:val="00C27F9A"/>
    <w:rsid w:val="00C300E2"/>
    <w:rsid w:val="00C346F4"/>
    <w:rsid w:val="00C36EE4"/>
    <w:rsid w:val="00C4108D"/>
    <w:rsid w:val="00C415AE"/>
    <w:rsid w:val="00C42510"/>
    <w:rsid w:val="00C42898"/>
    <w:rsid w:val="00C45054"/>
    <w:rsid w:val="00C45B07"/>
    <w:rsid w:val="00C464B9"/>
    <w:rsid w:val="00C501F2"/>
    <w:rsid w:val="00C50555"/>
    <w:rsid w:val="00C51515"/>
    <w:rsid w:val="00C53E4A"/>
    <w:rsid w:val="00C54775"/>
    <w:rsid w:val="00C5660B"/>
    <w:rsid w:val="00C5676C"/>
    <w:rsid w:val="00C57635"/>
    <w:rsid w:val="00C66B72"/>
    <w:rsid w:val="00C66C64"/>
    <w:rsid w:val="00C70AEF"/>
    <w:rsid w:val="00C7685E"/>
    <w:rsid w:val="00C85280"/>
    <w:rsid w:val="00C85CED"/>
    <w:rsid w:val="00C87AC4"/>
    <w:rsid w:val="00C87F89"/>
    <w:rsid w:val="00C92B4F"/>
    <w:rsid w:val="00C9567A"/>
    <w:rsid w:val="00CA07F3"/>
    <w:rsid w:val="00CA1189"/>
    <w:rsid w:val="00CA31DC"/>
    <w:rsid w:val="00CA54E8"/>
    <w:rsid w:val="00CA5BDC"/>
    <w:rsid w:val="00CA6BD2"/>
    <w:rsid w:val="00CA7845"/>
    <w:rsid w:val="00CB0FFA"/>
    <w:rsid w:val="00CB16D8"/>
    <w:rsid w:val="00CB183E"/>
    <w:rsid w:val="00CB212D"/>
    <w:rsid w:val="00CB2660"/>
    <w:rsid w:val="00CB568B"/>
    <w:rsid w:val="00CB65D7"/>
    <w:rsid w:val="00CC2961"/>
    <w:rsid w:val="00CC5E90"/>
    <w:rsid w:val="00CC6457"/>
    <w:rsid w:val="00CC70F3"/>
    <w:rsid w:val="00CC7447"/>
    <w:rsid w:val="00CD01B8"/>
    <w:rsid w:val="00CD046C"/>
    <w:rsid w:val="00CD2B23"/>
    <w:rsid w:val="00CD607F"/>
    <w:rsid w:val="00CE0013"/>
    <w:rsid w:val="00CE076C"/>
    <w:rsid w:val="00CE25B6"/>
    <w:rsid w:val="00CE5199"/>
    <w:rsid w:val="00CE66D5"/>
    <w:rsid w:val="00CF637A"/>
    <w:rsid w:val="00D012B7"/>
    <w:rsid w:val="00D03C03"/>
    <w:rsid w:val="00D049A2"/>
    <w:rsid w:val="00D059DE"/>
    <w:rsid w:val="00D05ABD"/>
    <w:rsid w:val="00D0621C"/>
    <w:rsid w:val="00D0739C"/>
    <w:rsid w:val="00D10844"/>
    <w:rsid w:val="00D13FCE"/>
    <w:rsid w:val="00D1772D"/>
    <w:rsid w:val="00D1781E"/>
    <w:rsid w:val="00D21EA9"/>
    <w:rsid w:val="00D236FB"/>
    <w:rsid w:val="00D24320"/>
    <w:rsid w:val="00D2444A"/>
    <w:rsid w:val="00D2498D"/>
    <w:rsid w:val="00D2510D"/>
    <w:rsid w:val="00D306D1"/>
    <w:rsid w:val="00D30800"/>
    <w:rsid w:val="00D34786"/>
    <w:rsid w:val="00D348C1"/>
    <w:rsid w:val="00D3593E"/>
    <w:rsid w:val="00D36657"/>
    <w:rsid w:val="00D37BFC"/>
    <w:rsid w:val="00D415B0"/>
    <w:rsid w:val="00D4293B"/>
    <w:rsid w:val="00D473B4"/>
    <w:rsid w:val="00D47A8E"/>
    <w:rsid w:val="00D50C6F"/>
    <w:rsid w:val="00D51D8D"/>
    <w:rsid w:val="00D5219C"/>
    <w:rsid w:val="00D52D14"/>
    <w:rsid w:val="00D52D59"/>
    <w:rsid w:val="00D54DD4"/>
    <w:rsid w:val="00D55667"/>
    <w:rsid w:val="00D607AC"/>
    <w:rsid w:val="00D615A0"/>
    <w:rsid w:val="00D6180A"/>
    <w:rsid w:val="00D64976"/>
    <w:rsid w:val="00D65D00"/>
    <w:rsid w:val="00D670DE"/>
    <w:rsid w:val="00D67230"/>
    <w:rsid w:val="00D7076D"/>
    <w:rsid w:val="00D712D3"/>
    <w:rsid w:val="00D71422"/>
    <w:rsid w:val="00D71CEF"/>
    <w:rsid w:val="00D72DC6"/>
    <w:rsid w:val="00D7357E"/>
    <w:rsid w:val="00D7558D"/>
    <w:rsid w:val="00D75B8F"/>
    <w:rsid w:val="00D81D92"/>
    <w:rsid w:val="00D8312A"/>
    <w:rsid w:val="00D876F9"/>
    <w:rsid w:val="00D90F36"/>
    <w:rsid w:val="00D90FCE"/>
    <w:rsid w:val="00D92229"/>
    <w:rsid w:val="00D94A2D"/>
    <w:rsid w:val="00D9574A"/>
    <w:rsid w:val="00D96A93"/>
    <w:rsid w:val="00DA5545"/>
    <w:rsid w:val="00DA78D9"/>
    <w:rsid w:val="00DA7B5F"/>
    <w:rsid w:val="00DB0C3C"/>
    <w:rsid w:val="00DB0DD4"/>
    <w:rsid w:val="00DB28B4"/>
    <w:rsid w:val="00DB5146"/>
    <w:rsid w:val="00DB6CA0"/>
    <w:rsid w:val="00DB7641"/>
    <w:rsid w:val="00DB772F"/>
    <w:rsid w:val="00DB7C7B"/>
    <w:rsid w:val="00DC0690"/>
    <w:rsid w:val="00DC0D1A"/>
    <w:rsid w:val="00DC11E7"/>
    <w:rsid w:val="00DC2219"/>
    <w:rsid w:val="00DC24E3"/>
    <w:rsid w:val="00DC2D9C"/>
    <w:rsid w:val="00DC310F"/>
    <w:rsid w:val="00DC3523"/>
    <w:rsid w:val="00DC4E87"/>
    <w:rsid w:val="00DC7023"/>
    <w:rsid w:val="00DC7440"/>
    <w:rsid w:val="00DC769A"/>
    <w:rsid w:val="00DD1585"/>
    <w:rsid w:val="00DD2037"/>
    <w:rsid w:val="00DD2AD0"/>
    <w:rsid w:val="00DD3D86"/>
    <w:rsid w:val="00DD4AD2"/>
    <w:rsid w:val="00DD629A"/>
    <w:rsid w:val="00DD6D85"/>
    <w:rsid w:val="00DE2862"/>
    <w:rsid w:val="00DE5369"/>
    <w:rsid w:val="00DE5EBC"/>
    <w:rsid w:val="00DE63CC"/>
    <w:rsid w:val="00DE68DC"/>
    <w:rsid w:val="00DF1165"/>
    <w:rsid w:val="00DF1EC4"/>
    <w:rsid w:val="00DF363C"/>
    <w:rsid w:val="00E00057"/>
    <w:rsid w:val="00E008FA"/>
    <w:rsid w:val="00E0340B"/>
    <w:rsid w:val="00E03973"/>
    <w:rsid w:val="00E04A90"/>
    <w:rsid w:val="00E0551F"/>
    <w:rsid w:val="00E0614A"/>
    <w:rsid w:val="00E07B8F"/>
    <w:rsid w:val="00E11D3B"/>
    <w:rsid w:val="00E137AC"/>
    <w:rsid w:val="00E14AEE"/>
    <w:rsid w:val="00E17637"/>
    <w:rsid w:val="00E20539"/>
    <w:rsid w:val="00E217F6"/>
    <w:rsid w:val="00E219C7"/>
    <w:rsid w:val="00E25315"/>
    <w:rsid w:val="00E257A4"/>
    <w:rsid w:val="00E305EB"/>
    <w:rsid w:val="00E31749"/>
    <w:rsid w:val="00E34C69"/>
    <w:rsid w:val="00E3521E"/>
    <w:rsid w:val="00E36297"/>
    <w:rsid w:val="00E4118C"/>
    <w:rsid w:val="00E424F5"/>
    <w:rsid w:val="00E43157"/>
    <w:rsid w:val="00E43B48"/>
    <w:rsid w:val="00E461CE"/>
    <w:rsid w:val="00E4708B"/>
    <w:rsid w:val="00E4729B"/>
    <w:rsid w:val="00E56FBB"/>
    <w:rsid w:val="00E573E4"/>
    <w:rsid w:val="00E60343"/>
    <w:rsid w:val="00E607AC"/>
    <w:rsid w:val="00E607EE"/>
    <w:rsid w:val="00E61490"/>
    <w:rsid w:val="00E6186E"/>
    <w:rsid w:val="00E64C3D"/>
    <w:rsid w:val="00E66075"/>
    <w:rsid w:val="00E720CA"/>
    <w:rsid w:val="00E74734"/>
    <w:rsid w:val="00E762EE"/>
    <w:rsid w:val="00E77366"/>
    <w:rsid w:val="00E82D9A"/>
    <w:rsid w:val="00E82DA2"/>
    <w:rsid w:val="00E84EB5"/>
    <w:rsid w:val="00E85662"/>
    <w:rsid w:val="00E866F6"/>
    <w:rsid w:val="00E877B9"/>
    <w:rsid w:val="00E8789F"/>
    <w:rsid w:val="00E9246E"/>
    <w:rsid w:val="00E929E3"/>
    <w:rsid w:val="00E97B71"/>
    <w:rsid w:val="00EA145E"/>
    <w:rsid w:val="00EA1B42"/>
    <w:rsid w:val="00EA3D34"/>
    <w:rsid w:val="00EA4C87"/>
    <w:rsid w:val="00EA4F24"/>
    <w:rsid w:val="00EB03A7"/>
    <w:rsid w:val="00EB3C0F"/>
    <w:rsid w:val="00EB454D"/>
    <w:rsid w:val="00EB4C05"/>
    <w:rsid w:val="00EB546D"/>
    <w:rsid w:val="00EB5B48"/>
    <w:rsid w:val="00EC66C1"/>
    <w:rsid w:val="00EC69FC"/>
    <w:rsid w:val="00ED3D48"/>
    <w:rsid w:val="00ED3F4C"/>
    <w:rsid w:val="00ED4917"/>
    <w:rsid w:val="00ED4A0A"/>
    <w:rsid w:val="00ED549D"/>
    <w:rsid w:val="00ED5E10"/>
    <w:rsid w:val="00ED6141"/>
    <w:rsid w:val="00ED6865"/>
    <w:rsid w:val="00ED76BE"/>
    <w:rsid w:val="00EE00E9"/>
    <w:rsid w:val="00EE3168"/>
    <w:rsid w:val="00EE40C5"/>
    <w:rsid w:val="00EE7B2A"/>
    <w:rsid w:val="00EF1AAA"/>
    <w:rsid w:val="00EF5EA5"/>
    <w:rsid w:val="00EF619B"/>
    <w:rsid w:val="00F00B55"/>
    <w:rsid w:val="00F01B22"/>
    <w:rsid w:val="00F02AD1"/>
    <w:rsid w:val="00F033DB"/>
    <w:rsid w:val="00F06C20"/>
    <w:rsid w:val="00F07181"/>
    <w:rsid w:val="00F12317"/>
    <w:rsid w:val="00F12732"/>
    <w:rsid w:val="00F16FA0"/>
    <w:rsid w:val="00F23E4B"/>
    <w:rsid w:val="00F253CC"/>
    <w:rsid w:val="00F311DC"/>
    <w:rsid w:val="00F34AF7"/>
    <w:rsid w:val="00F37085"/>
    <w:rsid w:val="00F37106"/>
    <w:rsid w:val="00F376C0"/>
    <w:rsid w:val="00F37DD7"/>
    <w:rsid w:val="00F400B1"/>
    <w:rsid w:val="00F40FA8"/>
    <w:rsid w:val="00F4230A"/>
    <w:rsid w:val="00F42BF5"/>
    <w:rsid w:val="00F43535"/>
    <w:rsid w:val="00F44E25"/>
    <w:rsid w:val="00F46130"/>
    <w:rsid w:val="00F4725B"/>
    <w:rsid w:val="00F509EE"/>
    <w:rsid w:val="00F519CF"/>
    <w:rsid w:val="00F53D8E"/>
    <w:rsid w:val="00F56BA5"/>
    <w:rsid w:val="00F56ECB"/>
    <w:rsid w:val="00F60637"/>
    <w:rsid w:val="00F60D03"/>
    <w:rsid w:val="00F60E22"/>
    <w:rsid w:val="00F62979"/>
    <w:rsid w:val="00F62980"/>
    <w:rsid w:val="00F65EB6"/>
    <w:rsid w:val="00F67067"/>
    <w:rsid w:val="00F67849"/>
    <w:rsid w:val="00F708E2"/>
    <w:rsid w:val="00F70B63"/>
    <w:rsid w:val="00F7186C"/>
    <w:rsid w:val="00F73AD0"/>
    <w:rsid w:val="00F74D10"/>
    <w:rsid w:val="00F81395"/>
    <w:rsid w:val="00F81B0D"/>
    <w:rsid w:val="00F81BB8"/>
    <w:rsid w:val="00F83BA2"/>
    <w:rsid w:val="00F90C64"/>
    <w:rsid w:val="00F917D1"/>
    <w:rsid w:val="00F93604"/>
    <w:rsid w:val="00F93A65"/>
    <w:rsid w:val="00F95AB9"/>
    <w:rsid w:val="00F9653B"/>
    <w:rsid w:val="00FA04E6"/>
    <w:rsid w:val="00FA1E57"/>
    <w:rsid w:val="00FB0A1A"/>
    <w:rsid w:val="00FB52DF"/>
    <w:rsid w:val="00FB57C7"/>
    <w:rsid w:val="00FB62CF"/>
    <w:rsid w:val="00FB7D61"/>
    <w:rsid w:val="00FC04A8"/>
    <w:rsid w:val="00FC36E3"/>
    <w:rsid w:val="00FC4702"/>
    <w:rsid w:val="00FD3C3B"/>
    <w:rsid w:val="00FD3F89"/>
    <w:rsid w:val="00FD45B0"/>
    <w:rsid w:val="00FD69BD"/>
    <w:rsid w:val="00FD6D07"/>
    <w:rsid w:val="00FE07DD"/>
    <w:rsid w:val="00FE6B45"/>
    <w:rsid w:val="00FE72AA"/>
    <w:rsid w:val="00FF25DA"/>
    <w:rsid w:val="00FF55F3"/>
    <w:rsid w:val="00FF5851"/>
    <w:rsid w:val="00FF6959"/>
    <w:rsid w:val="00FF7906"/>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911A60"/>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5A746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Revision">
    <w:name w:val="Revision"/>
    <w:hidden/>
    <w:uiPriority w:val="99"/>
    <w:semiHidden/>
    <w:rsid w:val="00524F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6C30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C3071"/>
  </w:style>
  <w:style w:type="character" w:customStyle="1" w:styleId="eop">
    <w:name w:val="eop"/>
    <w:basedOn w:val="DefaultParagraphFont"/>
    <w:rsid w:val="006C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7625928">
      <w:bodyDiv w:val="1"/>
      <w:marLeft w:val="0"/>
      <w:marRight w:val="0"/>
      <w:marTop w:val="0"/>
      <w:marBottom w:val="0"/>
      <w:divBdr>
        <w:top w:val="none" w:sz="0" w:space="0" w:color="auto"/>
        <w:left w:val="none" w:sz="0" w:space="0" w:color="auto"/>
        <w:bottom w:val="none" w:sz="0" w:space="0" w:color="auto"/>
        <w:right w:val="none" w:sz="0" w:space="0" w:color="auto"/>
      </w:divBdr>
    </w:div>
    <w:div w:id="1832404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C737F"/>
    <w:rsid w:val="00200821"/>
    <w:rsid w:val="0025245B"/>
    <w:rsid w:val="002A3923"/>
    <w:rsid w:val="00311CF6"/>
    <w:rsid w:val="00323DD5"/>
    <w:rsid w:val="00335D68"/>
    <w:rsid w:val="00394049"/>
    <w:rsid w:val="003B0C71"/>
    <w:rsid w:val="003B795E"/>
    <w:rsid w:val="003E2DD8"/>
    <w:rsid w:val="004A7D43"/>
    <w:rsid w:val="004B5BBB"/>
    <w:rsid w:val="004E1A04"/>
    <w:rsid w:val="004F2DF8"/>
    <w:rsid w:val="00517E2A"/>
    <w:rsid w:val="00547C4F"/>
    <w:rsid w:val="006B36DE"/>
    <w:rsid w:val="006D3128"/>
    <w:rsid w:val="006F24A1"/>
    <w:rsid w:val="0072291C"/>
    <w:rsid w:val="007272FF"/>
    <w:rsid w:val="007C1C87"/>
    <w:rsid w:val="007C72C7"/>
    <w:rsid w:val="00823FF1"/>
    <w:rsid w:val="00875B8A"/>
    <w:rsid w:val="008937F7"/>
    <w:rsid w:val="008953BC"/>
    <w:rsid w:val="00901503"/>
    <w:rsid w:val="009A261B"/>
    <w:rsid w:val="009E4EBF"/>
    <w:rsid w:val="00AA2E17"/>
    <w:rsid w:val="00AC15A4"/>
    <w:rsid w:val="00AE628D"/>
    <w:rsid w:val="00B0336C"/>
    <w:rsid w:val="00BC2BAD"/>
    <w:rsid w:val="00D241E9"/>
    <w:rsid w:val="00D3126A"/>
    <w:rsid w:val="00D7750D"/>
    <w:rsid w:val="00DD629A"/>
    <w:rsid w:val="00E66075"/>
    <w:rsid w:val="00EA4F24"/>
    <w:rsid w:val="00EE40C5"/>
    <w:rsid w:val="00F00D2F"/>
    <w:rsid w:val="00F128DF"/>
    <w:rsid w:val="00F962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572C3559-9BC1-4A8E-BFFE-46BFBB98F0E2}">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7F25E97D-87E4-4695-AB83-A24A7B9B305F}">
  <ds:schemaRefs>
    <ds:schemaRef ds:uri="http://schemas.microsoft.com/sharepoint/v3/contenttype/forms"/>
  </ds:schemaRefs>
</ds:datastoreItem>
</file>

<file path=customXml/itemProps4.xml><?xml version="1.0" encoding="utf-8"?>
<ds:datastoreItem xmlns:ds="http://schemas.openxmlformats.org/officeDocument/2006/customXml" ds:itemID="{709E7D33-04DB-44D7-A046-CE788AE38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6722</Words>
  <Characters>38318</Characters>
  <Application>Microsoft Office Word</Application>
  <DocSecurity>0</DocSecurity>
  <Lines>319</Lines>
  <Paragraphs>89</Paragraphs>
  <ScaleCrop>false</ScaleCrop>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2026-01-29T14:15:00Z</dcterms:created>
  <dcterms:modified xsi:type="dcterms:W3CDTF">2026-01-29T14:15:00Z</dcterms:modified>
</cp:coreProperties>
</file>