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3DC6EF">
              <v:rect id="Rectangle 1"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6CAF7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B8703B"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54C8015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D14D2">
                              <w:rPr>
                                <w:rFonts w:asciiTheme="majorHAnsi" w:hAnsiTheme="majorHAnsi" w:cs="Arial"/>
                                <w:b/>
                                <w:bCs/>
                                <w:color w:val="0D0D0D" w:themeColor="text1" w:themeTint="F2"/>
                                <w:sz w:val="36"/>
                                <w:szCs w:val="22"/>
                                <w:lang w:val="es-ES_tradnl"/>
                              </w:rPr>
                              <w:t>286</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88D84D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AB2FAB">
                              <w:rPr>
                                <w:rFonts w:asciiTheme="majorHAnsi" w:hAnsiTheme="majorHAnsi" w:cs="Arial"/>
                                <w:b/>
                                <w:color w:val="0D0D0D" w:themeColor="text1" w:themeTint="F2"/>
                                <w:sz w:val="36"/>
                                <w:szCs w:val="22"/>
                                <w:lang w:val="es-ES_tradnl"/>
                              </w:rPr>
                              <w:t>1840-15</w:t>
                            </w:r>
                          </w:p>
                          <w:p w14:paraId="188B4303" w14:textId="48F4C061"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B95408">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4D8EFBE0" w:rsidR="005B52B0" w:rsidRPr="00AB2FAB" w:rsidRDefault="00E64887" w:rsidP="00997BC5">
                            <w:pPr>
                              <w:spacing w:line="276" w:lineRule="auto"/>
                              <w:rPr>
                                <w:rFonts w:asciiTheme="majorHAnsi" w:hAnsiTheme="majorHAnsi" w:cs="Arial"/>
                                <w:color w:val="0D0D0D" w:themeColor="text1" w:themeTint="F2"/>
                                <w:szCs w:val="22"/>
                                <w:lang w:val="es-US"/>
                              </w:rPr>
                            </w:pPr>
                            <w:r w:rsidRPr="00AB2FAB">
                              <w:rPr>
                                <w:rFonts w:asciiTheme="majorHAnsi" w:hAnsiTheme="majorHAnsi" w:cs="Arial"/>
                                <w:color w:val="0D0D0D" w:themeColor="text1" w:themeTint="F2"/>
                                <w:szCs w:val="22"/>
                                <w:lang w:val="es-US"/>
                              </w:rPr>
                              <w:t>JOSEFA DEL CARMEN LÓPEZ BUGALLO</w:t>
                            </w:r>
                            <w:r>
                              <w:rPr>
                                <w:rFonts w:asciiTheme="majorHAnsi" w:hAnsiTheme="majorHAnsi" w:cs="Arial"/>
                                <w:color w:val="0D0D0D" w:themeColor="text1" w:themeTint="F2"/>
                                <w:szCs w:val="22"/>
                                <w:lang w:val="es-US"/>
                              </w:rPr>
                              <w:t xml:space="preserve"> Y</w:t>
                            </w:r>
                            <w:r w:rsidRPr="00AB2FAB">
                              <w:rPr>
                                <w:rFonts w:asciiTheme="majorHAnsi" w:hAnsiTheme="majorHAnsi" w:cs="Arial"/>
                                <w:color w:val="0D0D0D" w:themeColor="text1" w:themeTint="F2"/>
                                <w:szCs w:val="22"/>
                                <w:lang w:val="es-US"/>
                              </w:rPr>
                              <w:t xml:space="preserve"> </w:t>
                            </w:r>
                            <w:r>
                              <w:rPr>
                                <w:rFonts w:asciiTheme="majorHAnsi" w:hAnsiTheme="majorHAnsi" w:cs="Arial"/>
                                <w:color w:val="0D0D0D" w:themeColor="text1" w:themeTint="F2"/>
                                <w:szCs w:val="22"/>
                                <w:lang w:val="es-US"/>
                              </w:rPr>
                              <w:t>OTRO</w:t>
                            </w:r>
                          </w:p>
                          <w:bookmarkEnd w:id="0"/>
                          <w:p w14:paraId="0B9F7D22" w14:textId="3CDD6D9F" w:rsidR="005B52B0" w:rsidRPr="00F56ECB" w:rsidRDefault="00E64887"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54C80158"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D14D2">
                        <w:rPr>
                          <w:rFonts w:asciiTheme="majorHAnsi" w:hAnsiTheme="majorHAnsi" w:cs="Arial"/>
                          <w:b/>
                          <w:bCs/>
                          <w:color w:val="0D0D0D" w:themeColor="text1" w:themeTint="F2"/>
                          <w:sz w:val="36"/>
                          <w:szCs w:val="22"/>
                          <w:lang w:val="es-ES_tradnl"/>
                        </w:rPr>
                        <w:t>286</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88D84D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AB2FAB">
                        <w:rPr>
                          <w:rFonts w:asciiTheme="majorHAnsi" w:hAnsiTheme="majorHAnsi" w:cs="Arial"/>
                          <w:b/>
                          <w:color w:val="0D0D0D" w:themeColor="text1" w:themeTint="F2"/>
                          <w:sz w:val="36"/>
                          <w:szCs w:val="22"/>
                          <w:lang w:val="es-ES_tradnl"/>
                        </w:rPr>
                        <w:t>1840-15</w:t>
                      </w:r>
                    </w:p>
                    <w:p w14:paraId="188B4303" w14:textId="48F4C061"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B95408">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4D8EFBE0" w:rsidR="005B52B0" w:rsidRPr="00AB2FAB" w:rsidRDefault="00E64887" w:rsidP="00997BC5">
                      <w:pPr>
                        <w:spacing w:line="276" w:lineRule="auto"/>
                        <w:rPr>
                          <w:rFonts w:asciiTheme="majorHAnsi" w:hAnsiTheme="majorHAnsi" w:cs="Arial"/>
                          <w:color w:val="0D0D0D" w:themeColor="text1" w:themeTint="F2"/>
                          <w:szCs w:val="22"/>
                          <w:lang w:val="es-US"/>
                        </w:rPr>
                      </w:pPr>
                      <w:r w:rsidRPr="00AB2FAB">
                        <w:rPr>
                          <w:rFonts w:asciiTheme="majorHAnsi" w:hAnsiTheme="majorHAnsi" w:cs="Arial"/>
                          <w:color w:val="0D0D0D" w:themeColor="text1" w:themeTint="F2"/>
                          <w:szCs w:val="22"/>
                          <w:lang w:val="es-US"/>
                        </w:rPr>
                        <w:t>JOSEFA DEL CARMEN LÓPEZ BUGALLO</w:t>
                      </w:r>
                      <w:r>
                        <w:rPr>
                          <w:rFonts w:asciiTheme="majorHAnsi" w:hAnsiTheme="majorHAnsi" w:cs="Arial"/>
                          <w:color w:val="0D0D0D" w:themeColor="text1" w:themeTint="F2"/>
                          <w:szCs w:val="22"/>
                          <w:lang w:val="es-US"/>
                        </w:rPr>
                        <w:t xml:space="preserve"> Y</w:t>
                      </w:r>
                      <w:r w:rsidRPr="00AB2FAB">
                        <w:rPr>
                          <w:rFonts w:asciiTheme="majorHAnsi" w:hAnsiTheme="majorHAnsi" w:cs="Arial"/>
                          <w:color w:val="0D0D0D" w:themeColor="text1" w:themeTint="F2"/>
                          <w:szCs w:val="22"/>
                          <w:lang w:val="es-US"/>
                        </w:rPr>
                        <w:t xml:space="preserve"> </w:t>
                      </w:r>
                      <w:r>
                        <w:rPr>
                          <w:rFonts w:asciiTheme="majorHAnsi" w:hAnsiTheme="majorHAnsi" w:cs="Arial"/>
                          <w:color w:val="0D0D0D" w:themeColor="text1" w:themeTint="F2"/>
                          <w:szCs w:val="22"/>
                          <w:lang w:val="es-US"/>
                        </w:rPr>
                        <w:t>OTRO</w:t>
                      </w:r>
                    </w:p>
                    <w:bookmarkEnd w:id="1"/>
                    <w:p w14:paraId="0B9F7D22" w14:textId="3CDD6D9F" w:rsidR="005B52B0" w:rsidRPr="00F56ECB" w:rsidRDefault="00E64887"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7E86DEE" w:rsidR="00627C9F" w:rsidRPr="004207B8" w:rsidRDefault="00834D49" w:rsidP="007A5817">
                            <w:pPr>
                              <w:spacing w:line="276" w:lineRule="auto"/>
                              <w:jc w:val="right"/>
                              <w:rPr>
                                <w:rFonts w:asciiTheme="minorHAnsi" w:hAnsiTheme="minorHAnsi"/>
                                <w:color w:val="FFFFFF" w:themeColor="background1"/>
                                <w:sz w:val="22"/>
                                <w:lang w:val="es-ES"/>
                              </w:rPr>
                            </w:pPr>
                            <w:r w:rsidRPr="004207B8">
                              <w:rPr>
                                <w:rFonts w:asciiTheme="minorHAnsi" w:hAnsiTheme="minorHAnsi"/>
                                <w:color w:val="FFFFFF" w:themeColor="background1"/>
                                <w:sz w:val="22"/>
                                <w:lang w:val="es-ES"/>
                              </w:rPr>
                              <w:t>OEA/Ser.L/V/II</w:t>
                            </w:r>
                          </w:p>
                          <w:p w14:paraId="71D2D5D2" w14:textId="5F4B9122" w:rsidR="00627C9F" w:rsidRPr="004207B8" w:rsidRDefault="00627C9F" w:rsidP="007A5817">
                            <w:pPr>
                              <w:spacing w:line="276" w:lineRule="auto"/>
                              <w:jc w:val="right"/>
                              <w:rPr>
                                <w:rFonts w:asciiTheme="minorHAnsi" w:hAnsiTheme="minorHAnsi"/>
                                <w:color w:val="FFFFFF" w:themeColor="background1"/>
                                <w:sz w:val="22"/>
                                <w:lang w:val="es-ES"/>
                              </w:rPr>
                            </w:pPr>
                            <w:r w:rsidRPr="004207B8">
                              <w:rPr>
                                <w:rFonts w:asciiTheme="minorHAnsi" w:hAnsiTheme="minorHAnsi"/>
                                <w:color w:val="FFFFFF" w:themeColor="background1"/>
                                <w:sz w:val="22"/>
                                <w:lang w:val="es-ES"/>
                              </w:rPr>
                              <w:t>Doc.</w:t>
                            </w:r>
                            <w:r w:rsidR="00FD14D2" w:rsidRPr="004207B8">
                              <w:rPr>
                                <w:rFonts w:asciiTheme="minorHAnsi" w:hAnsiTheme="minorHAnsi"/>
                                <w:color w:val="FFFFFF" w:themeColor="background1"/>
                                <w:sz w:val="22"/>
                                <w:lang w:val="es-ES"/>
                              </w:rPr>
                              <w:t xml:space="preserve"> 301</w:t>
                            </w:r>
                            <w:r w:rsidRPr="004207B8">
                              <w:rPr>
                                <w:rFonts w:asciiTheme="minorHAnsi" w:hAnsiTheme="minorHAnsi"/>
                                <w:color w:val="FFFFFF" w:themeColor="background1"/>
                                <w:sz w:val="22"/>
                                <w:lang w:val="es-ES"/>
                              </w:rPr>
                              <w:t xml:space="preserve"> </w:t>
                            </w:r>
                          </w:p>
                          <w:p w14:paraId="4061DBBD" w14:textId="4DEDF9B5" w:rsidR="00627C9F" w:rsidRPr="00C25ADB" w:rsidRDefault="00FD14D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7E86DEE" w:rsidR="00627C9F" w:rsidRPr="004207B8" w:rsidRDefault="00834D49" w:rsidP="007A5817">
                      <w:pPr>
                        <w:spacing w:line="276" w:lineRule="auto"/>
                        <w:jc w:val="right"/>
                        <w:rPr>
                          <w:rFonts w:asciiTheme="minorHAnsi" w:hAnsiTheme="minorHAnsi"/>
                          <w:color w:val="FFFFFF" w:themeColor="background1"/>
                          <w:sz w:val="22"/>
                          <w:lang w:val="es-ES"/>
                        </w:rPr>
                      </w:pPr>
                      <w:r w:rsidRPr="004207B8">
                        <w:rPr>
                          <w:rFonts w:asciiTheme="minorHAnsi" w:hAnsiTheme="minorHAnsi"/>
                          <w:color w:val="FFFFFF" w:themeColor="background1"/>
                          <w:sz w:val="22"/>
                          <w:lang w:val="es-ES"/>
                        </w:rPr>
                        <w:t>OEA/Ser.L/V/II</w:t>
                      </w:r>
                    </w:p>
                    <w:p w14:paraId="71D2D5D2" w14:textId="5F4B9122" w:rsidR="00627C9F" w:rsidRPr="004207B8" w:rsidRDefault="00627C9F" w:rsidP="007A5817">
                      <w:pPr>
                        <w:spacing w:line="276" w:lineRule="auto"/>
                        <w:jc w:val="right"/>
                        <w:rPr>
                          <w:rFonts w:asciiTheme="minorHAnsi" w:hAnsiTheme="minorHAnsi"/>
                          <w:color w:val="FFFFFF" w:themeColor="background1"/>
                          <w:sz w:val="22"/>
                          <w:lang w:val="es-ES"/>
                        </w:rPr>
                      </w:pPr>
                      <w:r w:rsidRPr="004207B8">
                        <w:rPr>
                          <w:rFonts w:asciiTheme="minorHAnsi" w:hAnsiTheme="minorHAnsi"/>
                          <w:color w:val="FFFFFF" w:themeColor="background1"/>
                          <w:sz w:val="22"/>
                          <w:lang w:val="es-ES"/>
                        </w:rPr>
                        <w:t>Doc.</w:t>
                      </w:r>
                      <w:r w:rsidR="00FD14D2" w:rsidRPr="004207B8">
                        <w:rPr>
                          <w:rFonts w:asciiTheme="minorHAnsi" w:hAnsiTheme="minorHAnsi"/>
                          <w:color w:val="FFFFFF" w:themeColor="background1"/>
                          <w:sz w:val="22"/>
                          <w:lang w:val="es-ES"/>
                        </w:rPr>
                        <w:t xml:space="preserve"> 301</w:t>
                      </w:r>
                      <w:r w:rsidRPr="004207B8">
                        <w:rPr>
                          <w:rFonts w:asciiTheme="minorHAnsi" w:hAnsiTheme="minorHAnsi"/>
                          <w:color w:val="FFFFFF" w:themeColor="background1"/>
                          <w:sz w:val="22"/>
                          <w:lang w:val="es-ES"/>
                        </w:rPr>
                        <w:t xml:space="preserve"> </w:t>
                      </w:r>
                    </w:p>
                    <w:p w14:paraId="4061DBBD" w14:textId="4DEDF9B5" w:rsidR="00627C9F" w:rsidRPr="00C25ADB" w:rsidRDefault="00FD14D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7988B12"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r w:rsidR="00E922E3">
                              <w:rPr>
                                <w:rFonts w:asciiTheme="majorHAnsi" w:hAnsiTheme="majorHAnsi"/>
                                <w:color w:val="0D0D0D" w:themeColor="text1" w:themeTint="F2"/>
                                <w:sz w:val="18"/>
                                <w:szCs w:val="22"/>
                                <w:lang w:val="es-ES"/>
                              </w:rPr>
                              <w:t xml:space="preserve">electrónicamente </w:t>
                            </w:r>
                            <w:r w:rsidRPr="00890650">
                              <w:rPr>
                                <w:rFonts w:asciiTheme="majorHAnsi" w:hAnsiTheme="majorHAnsi"/>
                                <w:color w:val="0D0D0D" w:themeColor="text1" w:themeTint="F2"/>
                                <w:sz w:val="18"/>
                                <w:szCs w:val="22"/>
                                <w:lang w:val="es-ES"/>
                              </w:rPr>
                              <w:t xml:space="preserve">por la Comisión el </w:t>
                            </w:r>
                            <w:r w:rsidR="004468CD">
                              <w:rPr>
                                <w:rFonts w:asciiTheme="majorHAnsi" w:hAnsiTheme="majorHAnsi"/>
                                <w:color w:val="0D0D0D" w:themeColor="text1" w:themeTint="F2"/>
                                <w:sz w:val="18"/>
                                <w:szCs w:val="22"/>
                                <w:lang w:val="es-ES"/>
                              </w:rPr>
                              <w:t>3</w:t>
                            </w:r>
                            <w:r w:rsidRPr="00890650">
                              <w:rPr>
                                <w:rFonts w:asciiTheme="majorHAnsi" w:hAnsiTheme="majorHAnsi"/>
                                <w:color w:val="0D0D0D" w:themeColor="text1" w:themeTint="F2"/>
                                <w:sz w:val="18"/>
                                <w:szCs w:val="22"/>
                                <w:lang w:val="es-ES"/>
                              </w:rPr>
                              <w:t xml:space="preserve"> de </w:t>
                            </w:r>
                            <w:r w:rsidR="004468CD">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468CD">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7988B12"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r w:rsidR="00E922E3">
                        <w:rPr>
                          <w:rFonts w:asciiTheme="majorHAnsi" w:hAnsiTheme="majorHAnsi"/>
                          <w:color w:val="0D0D0D" w:themeColor="text1" w:themeTint="F2"/>
                          <w:sz w:val="18"/>
                          <w:szCs w:val="22"/>
                          <w:lang w:val="es-ES"/>
                        </w:rPr>
                        <w:t xml:space="preserve">electrónicamente </w:t>
                      </w:r>
                      <w:r w:rsidRPr="00890650">
                        <w:rPr>
                          <w:rFonts w:asciiTheme="majorHAnsi" w:hAnsiTheme="majorHAnsi"/>
                          <w:color w:val="0D0D0D" w:themeColor="text1" w:themeTint="F2"/>
                          <w:sz w:val="18"/>
                          <w:szCs w:val="22"/>
                          <w:lang w:val="es-ES"/>
                        </w:rPr>
                        <w:t xml:space="preserve">por la Comisión el </w:t>
                      </w:r>
                      <w:r w:rsidR="004468CD">
                        <w:rPr>
                          <w:rFonts w:asciiTheme="majorHAnsi" w:hAnsiTheme="majorHAnsi"/>
                          <w:color w:val="0D0D0D" w:themeColor="text1" w:themeTint="F2"/>
                          <w:sz w:val="18"/>
                          <w:szCs w:val="22"/>
                          <w:lang w:val="es-ES"/>
                        </w:rPr>
                        <w:t>3</w:t>
                      </w:r>
                      <w:r w:rsidRPr="00890650">
                        <w:rPr>
                          <w:rFonts w:asciiTheme="majorHAnsi" w:hAnsiTheme="majorHAnsi"/>
                          <w:color w:val="0D0D0D" w:themeColor="text1" w:themeTint="F2"/>
                          <w:sz w:val="18"/>
                          <w:szCs w:val="22"/>
                          <w:lang w:val="es-ES"/>
                        </w:rPr>
                        <w:t xml:space="preserve"> de </w:t>
                      </w:r>
                      <w:r w:rsidR="004468CD">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468CD">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993C7" w14:textId="77777777" w:rsidR="000B33C8"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845460" w:rsidRPr="008717B3">
                              <w:rPr>
                                <w:rFonts w:asciiTheme="majorHAnsi" w:hAnsiTheme="majorHAnsi"/>
                                <w:color w:val="595959" w:themeColor="text1" w:themeTint="A6"/>
                                <w:sz w:val="18"/>
                                <w:szCs w:val="18"/>
                                <w:lang w:val="pt-BR"/>
                              </w:rPr>
                              <w:t>286</w:t>
                            </w:r>
                            <w:r w:rsidR="007B05C4" w:rsidRPr="008717B3">
                              <w:rPr>
                                <w:rFonts w:asciiTheme="majorHAnsi" w:hAnsiTheme="majorHAnsi"/>
                                <w:color w:val="595959" w:themeColor="text1" w:themeTint="A6"/>
                                <w:sz w:val="18"/>
                                <w:szCs w:val="18"/>
                                <w:lang w:val="pt-BR"/>
                              </w:rPr>
                              <w:t>/</w:t>
                            </w:r>
                            <w:r w:rsidR="008717B3" w:rsidRPr="008717B3">
                              <w:rPr>
                                <w:rFonts w:asciiTheme="majorHAnsi" w:hAnsiTheme="majorHAnsi"/>
                                <w:color w:val="595959" w:themeColor="text1" w:themeTint="A6"/>
                                <w:sz w:val="18"/>
                                <w:szCs w:val="18"/>
                                <w:lang w:val="pt-BR"/>
                              </w:rPr>
                              <w:t>25</w:t>
                            </w:r>
                            <w:r w:rsidRPr="008717B3">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8717B3">
                              <w:rPr>
                                <w:rFonts w:asciiTheme="majorHAnsi" w:hAnsiTheme="majorHAnsi"/>
                                <w:color w:val="595959" w:themeColor="text1" w:themeTint="A6"/>
                                <w:sz w:val="18"/>
                                <w:szCs w:val="18"/>
                                <w:lang w:val="es-ES"/>
                              </w:rPr>
                              <w:t>1840</w:t>
                            </w:r>
                            <w:r w:rsidR="000433C9">
                              <w:rPr>
                                <w:rFonts w:asciiTheme="majorHAnsi" w:hAnsiTheme="majorHAnsi"/>
                                <w:color w:val="595959" w:themeColor="text1" w:themeTint="A6"/>
                                <w:sz w:val="18"/>
                                <w:szCs w:val="18"/>
                                <w:lang w:val="es-ES"/>
                              </w:rPr>
                              <w:t>-</w:t>
                            </w:r>
                            <w:r w:rsidR="008717B3">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33594355" w:rsidR="00113F73" w:rsidRPr="007B05C4" w:rsidRDefault="00A2749A" w:rsidP="00113F73">
                            <w:pPr>
                              <w:spacing w:line="276" w:lineRule="auto"/>
                              <w:rPr>
                                <w:rFonts w:asciiTheme="majorHAnsi" w:hAnsiTheme="majorHAnsi"/>
                                <w:color w:val="595959" w:themeColor="text1" w:themeTint="A6"/>
                                <w:sz w:val="18"/>
                                <w:szCs w:val="18"/>
                                <w:lang w:val="es-ES"/>
                              </w:rPr>
                            </w:pPr>
                            <w:r w:rsidRPr="00A2749A">
                              <w:rPr>
                                <w:rFonts w:asciiTheme="majorHAnsi" w:hAnsiTheme="majorHAnsi"/>
                                <w:color w:val="595959" w:themeColor="text1" w:themeTint="A6"/>
                                <w:sz w:val="18"/>
                                <w:szCs w:val="18"/>
                                <w:lang w:val="es-ES_tradnl"/>
                              </w:rPr>
                              <w:t xml:space="preserve">Josefa </w:t>
                            </w:r>
                            <w:r w:rsidR="00181918">
                              <w:rPr>
                                <w:rFonts w:asciiTheme="majorHAnsi" w:hAnsiTheme="majorHAnsi"/>
                                <w:color w:val="595959" w:themeColor="text1" w:themeTint="A6"/>
                                <w:sz w:val="18"/>
                                <w:szCs w:val="18"/>
                                <w:lang w:val="es-ES_tradnl"/>
                              </w:rPr>
                              <w:t>d</w:t>
                            </w:r>
                            <w:r w:rsidRPr="00A2749A">
                              <w:rPr>
                                <w:rFonts w:asciiTheme="majorHAnsi" w:hAnsiTheme="majorHAnsi"/>
                                <w:color w:val="595959" w:themeColor="text1" w:themeTint="A6"/>
                                <w:sz w:val="18"/>
                                <w:szCs w:val="18"/>
                                <w:lang w:val="es-ES_tradnl"/>
                              </w:rPr>
                              <w:t>el Carmen López Bugallo y otro</w:t>
                            </w:r>
                            <w:r w:rsidR="00113F73" w:rsidRPr="00890650">
                              <w:rPr>
                                <w:rFonts w:asciiTheme="majorHAnsi" w:hAnsiTheme="majorHAnsi"/>
                                <w:color w:val="595959" w:themeColor="text1" w:themeTint="A6"/>
                                <w:sz w:val="18"/>
                                <w:szCs w:val="18"/>
                                <w:lang w:val="es-ES_tradnl"/>
                              </w:rPr>
                              <w:t xml:space="preserve">. </w:t>
                            </w:r>
                            <w:r w:rsidR="00B311DF">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B311DF">
                              <w:rPr>
                                <w:rFonts w:asciiTheme="majorHAnsi" w:hAnsiTheme="majorHAnsi"/>
                                <w:color w:val="595959" w:themeColor="text1" w:themeTint="A6"/>
                                <w:sz w:val="18"/>
                                <w:szCs w:val="18"/>
                                <w:lang w:val="es-ES"/>
                              </w:rPr>
                              <w:t>3 de diciembre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7A993C7" w14:textId="77777777" w:rsidR="000B33C8"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845460" w:rsidRPr="008717B3">
                        <w:rPr>
                          <w:rFonts w:asciiTheme="majorHAnsi" w:hAnsiTheme="majorHAnsi"/>
                          <w:color w:val="595959" w:themeColor="text1" w:themeTint="A6"/>
                          <w:sz w:val="18"/>
                          <w:szCs w:val="18"/>
                          <w:lang w:val="pt-BR"/>
                        </w:rPr>
                        <w:t>286</w:t>
                      </w:r>
                      <w:r w:rsidR="007B05C4" w:rsidRPr="008717B3">
                        <w:rPr>
                          <w:rFonts w:asciiTheme="majorHAnsi" w:hAnsiTheme="majorHAnsi"/>
                          <w:color w:val="595959" w:themeColor="text1" w:themeTint="A6"/>
                          <w:sz w:val="18"/>
                          <w:szCs w:val="18"/>
                          <w:lang w:val="pt-BR"/>
                        </w:rPr>
                        <w:t>/</w:t>
                      </w:r>
                      <w:r w:rsidR="008717B3" w:rsidRPr="008717B3">
                        <w:rPr>
                          <w:rFonts w:asciiTheme="majorHAnsi" w:hAnsiTheme="majorHAnsi"/>
                          <w:color w:val="595959" w:themeColor="text1" w:themeTint="A6"/>
                          <w:sz w:val="18"/>
                          <w:szCs w:val="18"/>
                          <w:lang w:val="pt-BR"/>
                        </w:rPr>
                        <w:t>25</w:t>
                      </w:r>
                      <w:r w:rsidRPr="008717B3">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8717B3">
                        <w:rPr>
                          <w:rFonts w:asciiTheme="majorHAnsi" w:hAnsiTheme="majorHAnsi"/>
                          <w:color w:val="595959" w:themeColor="text1" w:themeTint="A6"/>
                          <w:sz w:val="18"/>
                          <w:szCs w:val="18"/>
                          <w:lang w:val="es-ES"/>
                        </w:rPr>
                        <w:t>1840</w:t>
                      </w:r>
                      <w:r w:rsidR="000433C9">
                        <w:rPr>
                          <w:rFonts w:asciiTheme="majorHAnsi" w:hAnsiTheme="majorHAnsi"/>
                          <w:color w:val="595959" w:themeColor="text1" w:themeTint="A6"/>
                          <w:sz w:val="18"/>
                          <w:szCs w:val="18"/>
                          <w:lang w:val="es-ES"/>
                        </w:rPr>
                        <w:t>-</w:t>
                      </w:r>
                      <w:r w:rsidR="008717B3">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33594355" w:rsidR="00113F73" w:rsidRPr="007B05C4" w:rsidRDefault="00A2749A" w:rsidP="00113F73">
                      <w:pPr>
                        <w:spacing w:line="276" w:lineRule="auto"/>
                        <w:rPr>
                          <w:rFonts w:asciiTheme="majorHAnsi" w:hAnsiTheme="majorHAnsi"/>
                          <w:color w:val="595959" w:themeColor="text1" w:themeTint="A6"/>
                          <w:sz w:val="18"/>
                          <w:szCs w:val="18"/>
                          <w:lang w:val="es-ES"/>
                        </w:rPr>
                      </w:pPr>
                      <w:r w:rsidRPr="00A2749A">
                        <w:rPr>
                          <w:rFonts w:asciiTheme="majorHAnsi" w:hAnsiTheme="majorHAnsi"/>
                          <w:color w:val="595959" w:themeColor="text1" w:themeTint="A6"/>
                          <w:sz w:val="18"/>
                          <w:szCs w:val="18"/>
                          <w:lang w:val="es-ES_tradnl"/>
                        </w:rPr>
                        <w:t xml:space="preserve">Josefa </w:t>
                      </w:r>
                      <w:r w:rsidR="00181918">
                        <w:rPr>
                          <w:rFonts w:asciiTheme="majorHAnsi" w:hAnsiTheme="majorHAnsi"/>
                          <w:color w:val="595959" w:themeColor="text1" w:themeTint="A6"/>
                          <w:sz w:val="18"/>
                          <w:szCs w:val="18"/>
                          <w:lang w:val="es-ES_tradnl"/>
                        </w:rPr>
                        <w:t>d</w:t>
                      </w:r>
                      <w:r w:rsidRPr="00A2749A">
                        <w:rPr>
                          <w:rFonts w:asciiTheme="majorHAnsi" w:hAnsiTheme="majorHAnsi"/>
                          <w:color w:val="595959" w:themeColor="text1" w:themeTint="A6"/>
                          <w:sz w:val="18"/>
                          <w:szCs w:val="18"/>
                          <w:lang w:val="es-ES_tradnl"/>
                        </w:rPr>
                        <w:t>el Carmen López Bugallo y otro</w:t>
                      </w:r>
                      <w:r w:rsidR="00113F73" w:rsidRPr="00890650">
                        <w:rPr>
                          <w:rFonts w:asciiTheme="majorHAnsi" w:hAnsiTheme="majorHAnsi"/>
                          <w:color w:val="595959" w:themeColor="text1" w:themeTint="A6"/>
                          <w:sz w:val="18"/>
                          <w:szCs w:val="18"/>
                          <w:lang w:val="es-ES_tradnl"/>
                        </w:rPr>
                        <w:t xml:space="preserve">. </w:t>
                      </w:r>
                      <w:r w:rsidR="00B311DF">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B311DF">
                        <w:rPr>
                          <w:rFonts w:asciiTheme="majorHAnsi" w:hAnsiTheme="majorHAnsi"/>
                          <w:color w:val="595959" w:themeColor="text1" w:themeTint="A6"/>
                          <w:sz w:val="18"/>
                          <w:szCs w:val="18"/>
                          <w:lang w:val="es-ES"/>
                        </w:rPr>
                        <w:t>3 de diciembre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2675F7ED" w:rsidR="003239B8" w:rsidRPr="000D05CB" w:rsidRDefault="003A376A" w:rsidP="008D2290">
            <w:pPr>
              <w:jc w:val="both"/>
              <w:rPr>
                <w:rFonts w:ascii="Cambria" w:hAnsi="Cambria"/>
                <w:bCs/>
                <w:sz w:val="20"/>
                <w:szCs w:val="20"/>
              </w:rPr>
            </w:pPr>
            <w:r>
              <w:rPr>
                <w:rFonts w:ascii="Cambria" w:hAnsi="Cambria"/>
                <w:bCs/>
                <w:sz w:val="20"/>
                <w:szCs w:val="20"/>
              </w:rPr>
              <w:t>Mauricio Pava Lugo</w:t>
            </w:r>
          </w:p>
        </w:tc>
      </w:tr>
      <w:tr w:rsidR="003239B8" w:rsidRPr="00725433"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196830BB" w:rsidR="003239B8" w:rsidRPr="000D05CB" w:rsidRDefault="00B712CE"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091E0F">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57284741" w:rsidR="003239B8" w:rsidRPr="00863384" w:rsidRDefault="00091E0F" w:rsidP="008D2290">
            <w:pPr>
              <w:jc w:val="both"/>
              <w:rPr>
                <w:rFonts w:ascii="Cambria" w:hAnsi="Cambria"/>
                <w:bCs/>
                <w:sz w:val="20"/>
                <w:szCs w:val="20"/>
                <w:lang w:val="es-US"/>
              </w:rPr>
            </w:pPr>
            <w:r w:rsidRPr="00091E0F">
              <w:rPr>
                <w:rFonts w:ascii="Cambria" w:hAnsi="Cambria"/>
                <w:bCs/>
                <w:sz w:val="20"/>
                <w:szCs w:val="20"/>
                <w:lang w:val="es-US"/>
              </w:rPr>
              <w:t>Josefa del Carmen López Bugallo</w:t>
            </w:r>
            <w:r>
              <w:rPr>
                <w:rFonts w:ascii="Cambria" w:hAnsi="Cambria"/>
                <w:bCs/>
                <w:sz w:val="20"/>
                <w:szCs w:val="20"/>
                <w:lang w:val="es-US"/>
              </w:rPr>
              <w:t xml:space="preserve"> y</w:t>
            </w:r>
            <w:r w:rsidRPr="00091E0F">
              <w:rPr>
                <w:rFonts w:ascii="Cambria" w:hAnsi="Cambria"/>
                <w:bCs/>
                <w:sz w:val="20"/>
                <w:szCs w:val="20"/>
                <w:lang w:val="es-US"/>
              </w:rPr>
              <w:t xml:space="preserve"> Jorge Eduardo Mejía Echeverr</w:t>
            </w:r>
            <w:r w:rsidR="00863384">
              <w:rPr>
                <w:rFonts w:ascii="Cambria" w:hAnsi="Cambria"/>
                <w:bCs/>
                <w:sz w:val="20"/>
                <w:szCs w:val="20"/>
                <w:lang w:val="es-US"/>
              </w:rPr>
              <w:t>i</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3F07624C" w:rsidR="003239B8" w:rsidRPr="000D05CB" w:rsidRDefault="00091E0F"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725433"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4DF91F77" w:rsidR="00223A29" w:rsidRPr="00D35BC3" w:rsidRDefault="00653057" w:rsidP="008D2290">
            <w:pPr>
              <w:jc w:val="both"/>
              <w:rPr>
                <w:rFonts w:ascii="Cambria" w:hAnsi="Cambria"/>
                <w:bCs/>
                <w:sz w:val="20"/>
                <w:szCs w:val="20"/>
                <w:lang w:val="es-US"/>
              </w:rPr>
            </w:pPr>
            <w:r w:rsidRPr="00D35BC3">
              <w:rPr>
                <w:rFonts w:ascii="Cambria" w:hAnsi="Cambria"/>
                <w:bCs/>
                <w:sz w:val="20"/>
                <w:szCs w:val="20"/>
                <w:lang w:val="es-US"/>
              </w:rPr>
              <w:t>Art</w:t>
            </w:r>
            <w:r w:rsidR="00D35BC3">
              <w:rPr>
                <w:rFonts w:ascii="Cambria" w:hAnsi="Cambria"/>
                <w:bCs/>
                <w:sz w:val="20"/>
                <w:szCs w:val="20"/>
                <w:lang w:val="es-CO"/>
              </w:rPr>
              <w:t>í</w:t>
            </w:r>
            <w:r w:rsidRPr="00D35BC3">
              <w:rPr>
                <w:rFonts w:ascii="Cambria" w:hAnsi="Cambria"/>
                <w:bCs/>
                <w:sz w:val="20"/>
                <w:szCs w:val="20"/>
                <w:lang w:val="es-US"/>
              </w:rPr>
              <w:t>cu</w:t>
            </w:r>
            <w:r w:rsidR="00D35BC3" w:rsidRPr="00D35BC3">
              <w:rPr>
                <w:rFonts w:ascii="Cambria" w:hAnsi="Cambria"/>
                <w:bCs/>
                <w:sz w:val="20"/>
                <w:szCs w:val="20"/>
                <w:lang w:val="es-US"/>
              </w:rPr>
              <w:t>l</w:t>
            </w:r>
            <w:r w:rsidRPr="00D35BC3">
              <w:rPr>
                <w:rFonts w:ascii="Cambria" w:hAnsi="Cambria"/>
                <w:bCs/>
                <w:sz w:val="20"/>
                <w:szCs w:val="20"/>
                <w:lang w:val="es-US"/>
              </w:rPr>
              <w:t>o</w:t>
            </w:r>
            <w:r w:rsidR="00B17193">
              <w:rPr>
                <w:rFonts w:ascii="Cambria" w:hAnsi="Cambria"/>
                <w:bCs/>
                <w:sz w:val="20"/>
                <w:szCs w:val="20"/>
                <w:lang w:val="es-US"/>
              </w:rPr>
              <w:t>s</w:t>
            </w:r>
            <w:r w:rsidRPr="00D35BC3">
              <w:rPr>
                <w:rFonts w:ascii="Cambria" w:hAnsi="Cambria"/>
                <w:bCs/>
                <w:sz w:val="20"/>
                <w:szCs w:val="20"/>
                <w:lang w:val="es-US"/>
              </w:rPr>
              <w:t xml:space="preserve"> 8</w:t>
            </w:r>
            <w:r w:rsidR="00D35BC3" w:rsidRPr="00D35BC3">
              <w:rPr>
                <w:rFonts w:ascii="Cambria" w:hAnsi="Cambria"/>
                <w:bCs/>
                <w:sz w:val="20"/>
                <w:szCs w:val="20"/>
                <w:lang w:val="es-US"/>
              </w:rPr>
              <w:t xml:space="preserve"> (garantías judiciales) </w:t>
            </w:r>
            <w:r w:rsidR="00B17193">
              <w:rPr>
                <w:rFonts w:ascii="Cambria" w:hAnsi="Cambria"/>
                <w:bCs/>
                <w:sz w:val="20"/>
                <w:szCs w:val="20"/>
                <w:lang w:val="es-US"/>
              </w:rPr>
              <w:t>y 21 (</w:t>
            </w:r>
            <w:r w:rsidR="00AC48DC">
              <w:rPr>
                <w:rFonts w:ascii="Cambria" w:hAnsi="Cambria"/>
                <w:bCs/>
                <w:sz w:val="20"/>
                <w:szCs w:val="20"/>
                <w:lang w:val="es-US"/>
              </w:rPr>
              <w:t xml:space="preserve">propiedad privada) </w:t>
            </w:r>
            <w:r w:rsidR="00D35BC3" w:rsidRPr="00D35BC3">
              <w:rPr>
                <w:rFonts w:ascii="Cambria" w:hAnsi="Cambria"/>
                <w:bCs/>
                <w:sz w:val="20"/>
                <w:szCs w:val="20"/>
                <w:lang w:val="es-US"/>
              </w:rPr>
              <w:t>de l</w:t>
            </w:r>
            <w:r w:rsidR="00D35BC3">
              <w:rPr>
                <w:rFonts w:ascii="Cambria" w:hAnsi="Cambria"/>
                <w:bCs/>
                <w:sz w:val="20"/>
                <w:szCs w:val="20"/>
                <w:lang w:val="es-US"/>
              </w:rPr>
              <w:t>a Convención Americana sobre Derechos Humanos</w:t>
            </w:r>
            <w:r w:rsidR="00D35BC3">
              <w:rPr>
                <w:rStyle w:val="FootnoteReference"/>
                <w:rFonts w:ascii="Cambria" w:hAnsi="Cambria"/>
                <w:bCs/>
                <w:sz w:val="20"/>
                <w:szCs w:val="20"/>
                <w:lang w:val="es-US"/>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6BC80747" w:rsidR="004C2312" w:rsidRPr="003239B8" w:rsidRDefault="00351594" w:rsidP="002625EA">
            <w:pPr>
              <w:jc w:val="both"/>
              <w:rPr>
                <w:rFonts w:ascii="Cambria" w:hAnsi="Cambria"/>
                <w:bCs/>
                <w:sz w:val="20"/>
                <w:szCs w:val="20"/>
                <w:lang w:val="es-ES"/>
              </w:rPr>
            </w:pPr>
            <w:r>
              <w:rPr>
                <w:rFonts w:ascii="Cambria" w:hAnsi="Cambria"/>
                <w:bCs/>
                <w:sz w:val="20"/>
                <w:szCs w:val="20"/>
                <w:lang w:val="es-ES"/>
              </w:rPr>
              <w:t>30 de octubre de 2015</w:t>
            </w:r>
          </w:p>
        </w:tc>
      </w:tr>
      <w:tr w:rsidR="00131425" w:rsidRPr="00AB2FAB"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24E97C3F" w:rsidR="00131425" w:rsidRPr="003239B8" w:rsidRDefault="002C7484" w:rsidP="002625EA">
            <w:pPr>
              <w:jc w:val="both"/>
              <w:rPr>
                <w:rFonts w:ascii="Cambria" w:hAnsi="Cambria"/>
                <w:bCs/>
                <w:sz w:val="20"/>
                <w:szCs w:val="20"/>
                <w:lang w:val="es-ES"/>
              </w:rPr>
            </w:pPr>
            <w:r>
              <w:rPr>
                <w:rFonts w:ascii="Cambria" w:hAnsi="Cambria"/>
                <w:bCs/>
                <w:sz w:val="20"/>
                <w:szCs w:val="20"/>
                <w:lang w:val="es-ES"/>
              </w:rPr>
              <w:t>22 de febrero de 2017</w:t>
            </w:r>
          </w:p>
        </w:tc>
      </w:tr>
      <w:tr w:rsidR="004C2312" w:rsidRPr="00725433"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2CA634C9" w:rsidR="004C2312" w:rsidRPr="003239B8" w:rsidRDefault="00793387" w:rsidP="008D2290">
            <w:pPr>
              <w:jc w:val="both"/>
              <w:rPr>
                <w:rFonts w:ascii="Cambria" w:hAnsi="Cambria"/>
                <w:bCs/>
                <w:sz w:val="20"/>
                <w:szCs w:val="20"/>
                <w:lang w:val="es-ES"/>
              </w:rPr>
            </w:pPr>
            <w:r>
              <w:rPr>
                <w:rFonts w:ascii="Cambria" w:hAnsi="Cambria"/>
                <w:bCs/>
                <w:sz w:val="20"/>
                <w:szCs w:val="20"/>
                <w:lang w:val="es-ES"/>
              </w:rPr>
              <w:t>9 de diciembre de 2019</w:t>
            </w:r>
            <w:r w:rsidR="00332105">
              <w:rPr>
                <w:rFonts w:ascii="Cambria" w:hAnsi="Cambria"/>
                <w:bCs/>
                <w:sz w:val="20"/>
                <w:szCs w:val="20"/>
                <w:lang w:val="es-ES"/>
              </w:rPr>
              <w:t xml:space="preserve"> y</w:t>
            </w:r>
            <w:r w:rsidR="00682AA3">
              <w:rPr>
                <w:rFonts w:ascii="Cambria" w:hAnsi="Cambria"/>
                <w:bCs/>
                <w:sz w:val="20"/>
                <w:szCs w:val="20"/>
                <w:lang w:val="es-ES"/>
              </w:rPr>
              <w:t xml:space="preserve"> 7 de agosto de 2020</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55328DB7" w:rsidR="004C2312" w:rsidRPr="003239B8" w:rsidRDefault="004C15E7" w:rsidP="008D2290">
            <w:pPr>
              <w:jc w:val="both"/>
              <w:rPr>
                <w:rFonts w:ascii="Cambria" w:hAnsi="Cambria"/>
                <w:bCs/>
                <w:sz w:val="20"/>
                <w:szCs w:val="20"/>
                <w:lang w:val="es-ES"/>
              </w:rPr>
            </w:pPr>
            <w:r>
              <w:rPr>
                <w:rFonts w:ascii="Cambria" w:hAnsi="Cambria"/>
                <w:bCs/>
                <w:sz w:val="20"/>
                <w:szCs w:val="20"/>
                <w:lang w:val="es-ES"/>
              </w:rPr>
              <w:t>3 de noviembre de 2020</w:t>
            </w:r>
          </w:p>
        </w:tc>
      </w:tr>
      <w:tr w:rsidR="004C2312" w:rsidRPr="00AB2FAB"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3FFA996C" w:rsidR="004C2312" w:rsidRPr="003239B8" w:rsidRDefault="002D1C6A" w:rsidP="008D2290">
            <w:pPr>
              <w:jc w:val="both"/>
              <w:rPr>
                <w:rFonts w:ascii="Cambria" w:hAnsi="Cambria"/>
                <w:bCs/>
                <w:sz w:val="20"/>
                <w:szCs w:val="20"/>
                <w:lang w:val="es-ES"/>
              </w:rPr>
            </w:pPr>
            <w:r>
              <w:rPr>
                <w:rFonts w:ascii="Cambria" w:hAnsi="Cambria"/>
                <w:bCs/>
                <w:sz w:val="20"/>
                <w:szCs w:val="20"/>
                <w:lang w:val="es-ES"/>
              </w:rPr>
              <w:t>15 de enero de 2021</w:t>
            </w:r>
          </w:p>
        </w:tc>
      </w:tr>
      <w:tr w:rsidR="004C2312" w:rsidRPr="00725433"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4CC02F61" w:rsidR="004C2312" w:rsidRPr="006B04E9" w:rsidRDefault="006B6305" w:rsidP="008D2290">
            <w:pPr>
              <w:jc w:val="both"/>
              <w:rPr>
                <w:rFonts w:ascii="Cambria" w:hAnsi="Cambria"/>
                <w:bCs/>
                <w:sz w:val="20"/>
                <w:szCs w:val="20"/>
                <w:lang w:val="es-US"/>
              </w:rPr>
            </w:pPr>
            <w:r w:rsidRPr="006B04E9">
              <w:rPr>
                <w:rFonts w:ascii="Cambria" w:hAnsi="Cambria"/>
                <w:bCs/>
                <w:sz w:val="20"/>
                <w:szCs w:val="20"/>
                <w:lang w:val="es-US"/>
              </w:rPr>
              <w:t>16 de septiembre de 2021</w:t>
            </w:r>
            <w:r w:rsidR="006B04E9" w:rsidRPr="006B04E9">
              <w:rPr>
                <w:rFonts w:ascii="Cambria" w:hAnsi="Cambria"/>
                <w:bCs/>
                <w:sz w:val="20"/>
                <w:szCs w:val="20"/>
                <w:lang w:val="es-US"/>
              </w:rPr>
              <w:t xml:space="preserve"> y 12 d</w:t>
            </w:r>
            <w:r w:rsidR="006B04E9">
              <w:rPr>
                <w:rFonts w:ascii="Cambria" w:hAnsi="Cambria"/>
                <w:bCs/>
                <w:sz w:val="20"/>
                <w:szCs w:val="20"/>
                <w:lang w:val="es-US"/>
              </w:rPr>
              <w:t>e noviembre de 2021</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5D2D7FDF" w:rsidR="001E49E7" w:rsidRPr="003239B8" w:rsidRDefault="00151E0A" w:rsidP="002625EA">
            <w:pPr>
              <w:jc w:val="both"/>
              <w:rPr>
                <w:rFonts w:ascii="Cambria" w:hAnsi="Cambria"/>
                <w:bCs/>
                <w:sz w:val="20"/>
                <w:szCs w:val="20"/>
                <w:lang w:val="es-ES"/>
              </w:rPr>
            </w:pPr>
            <w:r>
              <w:rPr>
                <w:rFonts w:ascii="Cambria" w:hAnsi="Cambria"/>
                <w:bCs/>
                <w:sz w:val="20"/>
                <w:szCs w:val="20"/>
                <w:lang w:val="es-ES"/>
              </w:rPr>
              <w:t>28 de enero de 2025</w:t>
            </w:r>
          </w:p>
        </w:tc>
      </w:tr>
      <w:tr w:rsidR="001E49E7" w:rsidRPr="00AB2FAB"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65CD0D9B" w:rsidR="001E49E7" w:rsidRPr="003239B8" w:rsidRDefault="004B14F7" w:rsidP="002625EA">
            <w:pPr>
              <w:jc w:val="both"/>
              <w:rPr>
                <w:rFonts w:ascii="Cambria" w:hAnsi="Cambria"/>
                <w:bCs/>
                <w:sz w:val="20"/>
                <w:szCs w:val="20"/>
                <w:lang w:val="es-ES"/>
              </w:rPr>
            </w:pPr>
            <w:r>
              <w:rPr>
                <w:rFonts w:ascii="Cambria" w:hAnsi="Cambria"/>
                <w:bCs/>
                <w:sz w:val="20"/>
                <w:szCs w:val="20"/>
                <w:lang w:val="es-ES"/>
              </w:rPr>
              <w:t>21 de febrero de 2025</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06CE85DD" w:rsidR="003239B8" w:rsidRPr="00B3745F" w:rsidRDefault="000179B8"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52ADEA34" w:rsidR="003239B8" w:rsidRPr="00B3745F" w:rsidRDefault="000179B8"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66AB787C" w:rsidR="003239B8" w:rsidRPr="00B3745F" w:rsidRDefault="000179B8" w:rsidP="008D2290">
            <w:pPr>
              <w:rPr>
                <w:rFonts w:ascii="Cambria" w:hAnsi="Cambria"/>
                <w:bCs/>
                <w:sz w:val="20"/>
                <w:szCs w:val="20"/>
              </w:rPr>
            </w:pPr>
            <w:r>
              <w:rPr>
                <w:rFonts w:ascii="Cambria" w:hAnsi="Cambria"/>
                <w:bCs/>
                <w:sz w:val="20"/>
                <w:szCs w:val="20"/>
              </w:rPr>
              <w:t>Sí</w:t>
            </w:r>
          </w:p>
        </w:tc>
      </w:tr>
      <w:tr w:rsidR="003239B8" w:rsidRPr="00725433"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400749F9" w:rsidR="003239B8" w:rsidRPr="00B3745F" w:rsidRDefault="005A3441" w:rsidP="008D2290">
            <w:pPr>
              <w:jc w:val="both"/>
              <w:rPr>
                <w:rFonts w:ascii="Cambria" w:hAnsi="Cambria"/>
                <w:bCs/>
                <w:sz w:val="20"/>
                <w:szCs w:val="20"/>
                <w:lang w:val="es-ES"/>
              </w:rPr>
            </w:pPr>
            <w:r>
              <w:rPr>
                <w:rFonts w:asciiTheme="majorHAnsi" w:hAnsiTheme="majorHAnsi"/>
                <w:bCs/>
                <w:sz w:val="20"/>
                <w:szCs w:val="20"/>
                <w:lang w:val="es-ES"/>
              </w:rPr>
              <w:t>Sí</w:t>
            </w:r>
            <w:r w:rsidRPr="00DD7C73">
              <w:rPr>
                <w:rFonts w:asciiTheme="majorHAnsi" w:hAnsiTheme="majorHAnsi"/>
                <w:bCs/>
                <w:sz w:val="20"/>
                <w:szCs w:val="20"/>
                <w:lang w:val="es-ES"/>
              </w:rPr>
              <w:t xml:space="preserve">, Convención Americana </w:t>
            </w:r>
            <w:r w:rsidRPr="00DD7C73">
              <w:rPr>
                <w:rFonts w:ascii="Cambria" w:hAnsi="Cambria"/>
                <w:bCs/>
                <w:sz w:val="20"/>
                <w:szCs w:val="20"/>
                <w:lang w:val="es-ES"/>
              </w:rPr>
              <w:t>(depósito del instrumento</w:t>
            </w:r>
            <w:r>
              <w:rPr>
                <w:rFonts w:ascii="Cambria" w:hAnsi="Cambria"/>
                <w:bCs/>
                <w:sz w:val="20"/>
                <w:szCs w:val="20"/>
                <w:lang w:val="es-ES"/>
              </w:rPr>
              <w:t xml:space="preserve"> de ratificación</w:t>
            </w:r>
            <w:r w:rsidRPr="00DD7C73">
              <w:rPr>
                <w:rFonts w:ascii="Cambria" w:hAnsi="Cambria"/>
                <w:bCs/>
                <w:sz w:val="20"/>
                <w:szCs w:val="20"/>
                <w:lang w:val="es-ES"/>
              </w:rPr>
              <w:t xml:space="preserve"> realizado el</w:t>
            </w:r>
            <w:r>
              <w:rPr>
                <w:rFonts w:ascii="Cambria" w:hAnsi="Cambria"/>
                <w:bCs/>
                <w:sz w:val="20"/>
                <w:szCs w:val="20"/>
                <w:lang w:val="es-ES"/>
              </w:rPr>
              <w:t xml:space="preserve"> 31 de julio de 1973</w:t>
            </w:r>
            <w:r w:rsidRPr="00DD7C73">
              <w:rPr>
                <w:rFonts w:ascii="Cambria" w:hAnsi="Cambria"/>
                <w:bCs/>
                <w:sz w:val="20"/>
                <w:szCs w:val="20"/>
                <w:lang w:val="es-ES"/>
              </w:rPr>
              <w:t>)</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AB2FAB"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40C864C2" w:rsidR="00EE00E9" w:rsidRPr="00DC24E3" w:rsidRDefault="004C6238" w:rsidP="008D2290">
            <w:pPr>
              <w:jc w:val="both"/>
              <w:rPr>
                <w:rFonts w:ascii="Cambria" w:hAnsi="Cambria"/>
                <w:bCs/>
                <w:sz w:val="20"/>
                <w:szCs w:val="20"/>
                <w:lang w:val="es-ES"/>
              </w:rPr>
            </w:pPr>
            <w:r>
              <w:rPr>
                <w:rFonts w:ascii="Cambria" w:hAnsi="Cambria"/>
                <w:bCs/>
                <w:sz w:val="20"/>
                <w:szCs w:val="20"/>
                <w:lang w:val="es-ES"/>
              </w:rPr>
              <w:t>No</w:t>
            </w:r>
          </w:p>
        </w:tc>
      </w:tr>
      <w:tr w:rsidR="003239B8" w:rsidRPr="005A6517"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1D860E63" w:rsidR="003239B8" w:rsidRPr="005A6517" w:rsidRDefault="00036040" w:rsidP="008D2290">
            <w:pPr>
              <w:jc w:val="both"/>
              <w:rPr>
                <w:rFonts w:ascii="Cambria" w:hAnsi="Cambria"/>
                <w:bCs/>
                <w:sz w:val="20"/>
                <w:szCs w:val="20"/>
                <w:lang w:val="es-US"/>
              </w:rPr>
            </w:pPr>
            <w:r>
              <w:rPr>
                <w:rFonts w:ascii="Cambria" w:hAnsi="Cambria"/>
                <w:bCs/>
                <w:sz w:val="20"/>
                <w:szCs w:val="20"/>
                <w:lang w:val="es-US"/>
              </w:rPr>
              <w:t>N/A</w:t>
            </w:r>
          </w:p>
        </w:tc>
      </w:tr>
      <w:tr w:rsidR="003239B8" w:rsidRPr="00725433"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2BCCCD97" w:rsidR="003239B8" w:rsidRPr="00DC24E3" w:rsidRDefault="009A57D7" w:rsidP="008D2290">
            <w:pPr>
              <w:rPr>
                <w:rFonts w:ascii="Cambria" w:hAnsi="Cambria"/>
                <w:bCs/>
                <w:sz w:val="20"/>
                <w:szCs w:val="20"/>
                <w:lang w:val="es-ES"/>
              </w:rPr>
            </w:pPr>
            <w:r>
              <w:rPr>
                <w:rFonts w:ascii="Cambria" w:hAnsi="Cambria"/>
                <w:bCs/>
                <w:sz w:val="20"/>
                <w:szCs w:val="20"/>
                <w:lang w:val="es-ES"/>
              </w:rPr>
              <w:t>No, en los términos de la Sección VI</w:t>
            </w:r>
          </w:p>
        </w:tc>
      </w:tr>
      <w:tr w:rsidR="003239B8" w:rsidRPr="00725433"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273F1C0D" w:rsidR="003239B8" w:rsidRPr="005A6517" w:rsidRDefault="009A57D7" w:rsidP="008D2290">
            <w:pPr>
              <w:rPr>
                <w:rFonts w:ascii="Cambria" w:hAnsi="Cambria"/>
                <w:bCs/>
                <w:sz w:val="20"/>
                <w:szCs w:val="20"/>
                <w:lang w:val="es-US"/>
              </w:rPr>
            </w:pPr>
            <w:r>
              <w:rPr>
                <w:rFonts w:ascii="Cambria" w:hAnsi="Cambria"/>
                <w:bCs/>
                <w:sz w:val="20"/>
                <w:szCs w:val="20"/>
                <w:lang w:val="es-ES"/>
              </w:rPr>
              <w:t>No, en los términos de la Sección VI</w:t>
            </w:r>
          </w:p>
        </w:tc>
      </w:tr>
    </w:tbl>
    <w:p w14:paraId="571A4B87" w14:textId="77777777" w:rsidR="00792ED6" w:rsidRDefault="00792ED6" w:rsidP="003239B8">
      <w:pPr>
        <w:spacing w:before="240" w:after="240"/>
        <w:ind w:firstLine="720"/>
        <w:jc w:val="both"/>
        <w:rPr>
          <w:rFonts w:asciiTheme="majorHAnsi" w:hAnsiTheme="majorHAnsi"/>
          <w:b/>
          <w:sz w:val="20"/>
          <w:szCs w:val="20"/>
          <w:lang w:val="es-UY"/>
        </w:rPr>
      </w:pPr>
    </w:p>
    <w:p w14:paraId="20A08D24" w14:textId="77777777" w:rsidR="00792ED6" w:rsidRDefault="00792ED6" w:rsidP="003239B8">
      <w:pPr>
        <w:spacing w:before="240" w:after="240"/>
        <w:ind w:firstLine="720"/>
        <w:jc w:val="both"/>
        <w:rPr>
          <w:rFonts w:asciiTheme="majorHAnsi" w:hAnsiTheme="majorHAnsi"/>
          <w:b/>
          <w:sz w:val="20"/>
          <w:szCs w:val="20"/>
          <w:lang w:val="es-UY"/>
        </w:rPr>
      </w:pPr>
    </w:p>
    <w:p w14:paraId="56FD5D57" w14:textId="26D0502D" w:rsidR="003239B8" w:rsidRPr="00B8703B" w:rsidRDefault="00223A29" w:rsidP="003239B8">
      <w:pPr>
        <w:spacing w:before="240" w:after="240"/>
        <w:ind w:firstLine="720"/>
        <w:jc w:val="both"/>
        <w:rPr>
          <w:rFonts w:asciiTheme="majorHAnsi" w:hAnsiTheme="majorHAnsi"/>
          <w:b/>
          <w:sz w:val="20"/>
          <w:szCs w:val="20"/>
          <w:lang w:val="es-ES"/>
        </w:rPr>
      </w:pPr>
      <w:r w:rsidRPr="00B8703B">
        <w:rPr>
          <w:rFonts w:asciiTheme="majorHAnsi" w:hAnsiTheme="majorHAnsi"/>
          <w:b/>
          <w:sz w:val="20"/>
          <w:szCs w:val="20"/>
          <w:lang w:val="es-ES"/>
        </w:rPr>
        <w:lastRenderedPageBreak/>
        <w:t xml:space="preserve">V. </w:t>
      </w:r>
      <w:r w:rsidRPr="00B8703B">
        <w:rPr>
          <w:rFonts w:asciiTheme="majorHAnsi" w:hAnsiTheme="majorHAnsi"/>
          <w:b/>
          <w:sz w:val="20"/>
          <w:szCs w:val="20"/>
          <w:lang w:val="es-ES"/>
        </w:rPr>
        <w:tab/>
      </w:r>
      <w:r w:rsidR="004241A0" w:rsidRPr="00B8703B">
        <w:rPr>
          <w:rFonts w:asciiTheme="majorHAnsi" w:hAnsiTheme="majorHAnsi"/>
          <w:b/>
          <w:sz w:val="20"/>
          <w:szCs w:val="20"/>
          <w:lang w:val="es-ES"/>
        </w:rPr>
        <w:t>POSICIÓN DE LAS PARTES</w:t>
      </w:r>
      <w:r w:rsidR="003239B8" w:rsidRPr="00B8703B">
        <w:rPr>
          <w:rFonts w:asciiTheme="majorHAnsi" w:hAnsiTheme="majorHAnsi"/>
          <w:b/>
          <w:sz w:val="20"/>
          <w:szCs w:val="20"/>
          <w:lang w:val="es-ES"/>
        </w:rPr>
        <w:t xml:space="preserve"> </w:t>
      </w:r>
    </w:p>
    <w:p w14:paraId="6901F992" w14:textId="2868F9D8" w:rsidR="0008158C" w:rsidRPr="00B8703B" w:rsidRDefault="00125980" w:rsidP="005660BA">
      <w:pPr>
        <w:pStyle w:val="ListParagraph"/>
        <w:numPr>
          <w:ilvl w:val="0"/>
          <w:numId w:val="0"/>
        </w:numPr>
        <w:ind w:firstLine="720"/>
        <w:jc w:val="both"/>
        <w:rPr>
          <w:rFonts w:asciiTheme="majorHAnsi" w:hAnsiTheme="majorHAnsi"/>
          <w:b/>
          <w:sz w:val="20"/>
          <w:szCs w:val="20"/>
          <w:lang w:val="es-ES"/>
        </w:rPr>
      </w:pPr>
      <w:r w:rsidRPr="00B8703B">
        <w:rPr>
          <w:rFonts w:asciiTheme="majorHAnsi" w:hAnsiTheme="majorHAnsi"/>
          <w:b/>
          <w:sz w:val="20"/>
          <w:szCs w:val="20"/>
          <w:lang w:val="es-ES"/>
        </w:rPr>
        <w:t>La p</w:t>
      </w:r>
      <w:r w:rsidR="0008158C" w:rsidRPr="00B8703B">
        <w:rPr>
          <w:rFonts w:asciiTheme="majorHAnsi" w:hAnsiTheme="majorHAnsi"/>
          <w:b/>
          <w:sz w:val="20"/>
          <w:szCs w:val="20"/>
          <w:lang w:val="es-ES"/>
        </w:rPr>
        <w:t>arte peticionaria</w:t>
      </w:r>
    </w:p>
    <w:p w14:paraId="53BD3EF6" w14:textId="25C0F7CF" w:rsidR="006E621A" w:rsidRPr="00B8703B" w:rsidRDefault="00F805CB"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 xml:space="preserve">El peticionario denuncia </w:t>
      </w:r>
      <w:r w:rsidR="000E774C" w:rsidRPr="00B8703B">
        <w:rPr>
          <w:rFonts w:asciiTheme="majorHAnsi" w:hAnsiTheme="majorHAnsi"/>
          <w:sz w:val="20"/>
          <w:szCs w:val="20"/>
          <w:lang w:val="es-ES"/>
        </w:rPr>
        <w:t xml:space="preserve">violaciones al debido proceso en un trámite de extinción de dominio adelantado contra una finca de propiedad de la pareja de esposos </w:t>
      </w:r>
      <w:r w:rsidR="000E774C" w:rsidRPr="00B8703B">
        <w:rPr>
          <w:rFonts w:asciiTheme="majorHAnsi" w:hAnsiTheme="majorHAnsi"/>
          <w:bCs/>
          <w:sz w:val="20"/>
          <w:szCs w:val="20"/>
          <w:lang w:val="es-ES"/>
        </w:rPr>
        <w:t>Josefa del Carmen López Bugallo y Jorge Eduardo Mejía Echeverri (en adelante “las presuntas víctimas” o “el matrimonio López-Mejía”).</w:t>
      </w:r>
    </w:p>
    <w:p w14:paraId="5A03D928" w14:textId="6D280DFF" w:rsidR="00257450" w:rsidRPr="00B8703B" w:rsidRDefault="00792ED6"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bCs/>
          <w:sz w:val="20"/>
          <w:szCs w:val="20"/>
          <w:lang w:val="es-ES"/>
        </w:rPr>
        <w:t>El peticionario e</w:t>
      </w:r>
      <w:r w:rsidR="00A20486" w:rsidRPr="00B8703B">
        <w:rPr>
          <w:rFonts w:asciiTheme="majorHAnsi" w:hAnsiTheme="majorHAnsi"/>
          <w:bCs/>
          <w:sz w:val="20"/>
          <w:szCs w:val="20"/>
          <w:lang w:val="es-ES"/>
        </w:rPr>
        <w:t>xplica que la extinción de dominio es un procedimiento regulado por la Ley 1708 de 2014</w:t>
      </w:r>
      <w:r w:rsidR="00472481" w:rsidRPr="00B8703B">
        <w:rPr>
          <w:rFonts w:asciiTheme="majorHAnsi" w:hAnsiTheme="majorHAnsi"/>
          <w:bCs/>
          <w:sz w:val="20"/>
          <w:szCs w:val="20"/>
          <w:lang w:val="es-ES"/>
        </w:rPr>
        <w:t xml:space="preserve">, por medio del cual se pretende </w:t>
      </w:r>
      <w:r w:rsidR="00965FCE" w:rsidRPr="00B8703B">
        <w:rPr>
          <w:rFonts w:asciiTheme="majorHAnsi" w:hAnsiTheme="majorHAnsi"/>
          <w:bCs/>
          <w:sz w:val="20"/>
          <w:szCs w:val="20"/>
          <w:lang w:val="es-ES"/>
        </w:rPr>
        <w:t>afectar</w:t>
      </w:r>
      <w:r w:rsidR="005174F6" w:rsidRPr="00B8703B">
        <w:rPr>
          <w:rFonts w:asciiTheme="majorHAnsi" w:hAnsiTheme="majorHAnsi"/>
          <w:bCs/>
          <w:sz w:val="20"/>
          <w:szCs w:val="20"/>
          <w:lang w:val="es-ES"/>
        </w:rPr>
        <w:t xml:space="preserve"> </w:t>
      </w:r>
      <w:r w:rsidR="00965FCE" w:rsidRPr="00B8703B">
        <w:rPr>
          <w:rFonts w:asciiTheme="majorHAnsi" w:hAnsiTheme="majorHAnsi"/>
          <w:bCs/>
          <w:sz w:val="20"/>
          <w:szCs w:val="20"/>
          <w:lang w:val="es-ES"/>
        </w:rPr>
        <w:t>los bienes que han estado relacionados</w:t>
      </w:r>
      <w:r w:rsidR="00CE71A9" w:rsidRPr="00B8703B">
        <w:rPr>
          <w:rFonts w:asciiTheme="majorHAnsi" w:hAnsiTheme="majorHAnsi"/>
          <w:bCs/>
          <w:sz w:val="20"/>
          <w:szCs w:val="20"/>
          <w:lang w:val="es-ES"/>
        </w:rPr>
        <w:t xml:space="preserve"> de alguna manera</w:t>
      </w:r>
      <w:r w:rsidR="00965FCE" w:rsidRPr="00B8703B">
        <w:rPr>
          <w:rFonts w:asciiTheme="majorHAnsi" w:hAnsiTheme="majorHAnsi"/>
          <w:bCs/>
          <w:sz w:val="20"/>
          <w:szCs w:val="20"/>
          <w:lang w:val="es-ES"/>
        </w:rPr>
        <w:t xml:space="preserve"> con la comisión de un delito.</w:t>
      </w:r>
      <w:r w:rsidR="006107F1" w:rsidRPr="00B8703B">
        <w:rPr>
          <w:rFonts w:asciiTheme="majorHAnsi" w:hAnsiTheme="majorHAnsi"/>
          <w:bCs/>
          <w:sz w:val="20"/>
          <w:szCs w:val="20"/>
          <w:lang w:val="es-ES"/>
        </w:rPr>
        <w:t xml:space="preserve"> Sin embargo, </w:t>
      </w:r>
      <w:r w:rsidR="00236107" w:rsidRPr="00B8703B">
        <w:rPr>
          <w:rFonts w:asciiTheme="majorHAnsi" w:hAnsiTheme="majorHAnsi"/>
          <w:bCs/>
          <w:sz w:val="20"/>
          <w:szCs w:val="20"/>
          <w:lang w:val="es-ES"/>
        </w:rPr>
        <w:t>si bien la extinción de dominio tiene su origen en el vínculo entre una conducta punible y un bien, ello no implica</w:t>
      </w:r>
      <w:r w:rsidR="00B039E7" w:rsidRPr="00B8703B">
        <w:rPr>
          <w:rFonts w:asciiTheme="majorHAnsi" w:hAnsiTheme="majorHAnsi"/>
          <w:bCs/>
          <w:sz w:val="20"/>
          <w:szCs w:val="20"/>
          <w:lang w:val="es-ES"/>
        </w:rPr>
        <w:t>ría</w:t>
      </w:r>
      <w:r w:rsidR="00236107" w:rsidRPr="00B8703B">
        <w:rPr>
          <w:rFonts w:asciiTheme="majorHAnsi" w:hAnsiTheme="majorHAnsi"/>
          <w:bCs/>
          <w:sz w:val="20"/>
          <w:szCs w:val="20"/>
          <w:lang w:val="es-ES"/>
        </w:rPr>
        <w:t xml:space="preserve"> que sus titulares </w:t>
      </w:r>
      <w:r w:rsidR="00CC64BA" w:rsidRPr="00B8703B">
        <w:rPr>
          <w:rFonts w:asciiTheme="majorHAnsi" w:hAnsiTheme="majorHAnsi"/>
          <w:bCs/>
          <w:sz w:val="20"/>
          <w:szCs w:val="20"/>
          <w:lang w:val="es-ES"/>
        </w:rPr>
        <w:t>hayan estado involucrados en la comisión del crimen</w:t>
      </w:r>
      <w:r w:rsidR="008E3E7D" w:rsidRPr="00B8703B">
        <w:rPr>
          <w:rFonts w:asciiTheme="majorHAnsi" w:hAnsiTheme="majorHAnsi"/>
          <w:bCs/>
          <w:sz w:val="20"/>
          <w:szCs w:val="20"/>
          <w:lang w:val="es-ES"/>
        </w:rPr>
        <w:t>.</w:t>
      </w:r>
      <w:r w:rsidR="00724FC2" w:rsidRPr="00B8703B">
        <w:rPr>
          <w:rFonts w:asciiTheme="majorHAnsi" w:hAnsiTheme="majorHAnsi"/>
          <w:bCs/>
          <w:sz w:val="20"/>
          <w:szCs w:val="20"/>
          <w:lang w:val="es-ES"/>
        </w:rPr>
        <w:t xml:space="preserve"> En ese sentido, </w:t>
      </w:r>
      <w:r w:rsidR="006D3015" w:rsidRPr="00B8703B">
        <w:rPr>
          <w:rFonts w:asciiTheme="majorHAnsi" w:hAnsiTheme="majorHAnsi"/>
          <w:bCs/>
          <w:sz w:val="20"/>
          <w:szCs w:val="20"/>
          <w:lang w:val="es-ES"/>
        </w:rPr>
        <w:t>afirma que la dueña</w:t>
      </w:r>
      <w:r w:rsidR="002F4878" w:rsidRPr="00B8703B">
        <w:rPr>
          <w:rFonts w:asciiTheme="majorHAnsi" w:hAnsiTheme="majorHAnsi"/>
          <w:bCs/>
          <w:sz w:val="20"/>
          <w:szCs w:val="20"/>
          <w:lang w:val="es-ES"/>
        </w:rPr>
        <w:t xml:space="preserve"> anterior</w:t>
      </w:r>
      <w:r w:rsidR="006D3015" w:rsidRPr="00B8703B">
        <w:rPr>
          <w:rFonts w:asciiTheme="majorHAnsi" w:hAnsiTheme="majorHAnsi"/>
          <w:bCs/>
          <w:sz w:val="20"/>
          <w:szCs w:val="20"/>
          <w:lang w:val="es-ES"/>
        </w:rPr>
        <w:t xml:space="preserve"> del predio de propiedad de las presuntas víctimas </w:t>
      </w:r>
      <w:r w:rsidR="008C2ECD" w:rsidRPr="00B8703B">
        <w:rPr>
          <w:rFonts w:asciiTheme="majorHAnsi" w:hAnsiTheme="majorHAnsi"/>
          <w:bCs/>
          <w:sz w:val="20"/>
          <w:szCs w:val="20"/>
          <w:lang w:val="es-ES"/>
        </w:rPr>
        <w:t xml:space="preserve">realizó actividades de narcotráfico y lavado de </w:t>
      </w:r>
      <w:r w:rsidR="00CD7F5A" w:rsidRPr="00B8703B">
        <w:rPr>
          <w:rFonts w:asciiTheme="majorHAnsi" w:hAnsiTheme="majorHAnsi"/>
          <w:bCs/>
          <w:sz w:val="20"/>
          <w:szCs w:val="20"/>
          <w:lang w:val="es-ES"/>
        </w:rPr>
        <w:t>dinero en el inmueble</w:t>
      </w:r>
      <w:r w:rsidR="002F4878" w:rsidRPr="00B8703B">
        <w:rPr>
          <w:rStyle w:val="FootnoteReference"/>
          <w:rFonts w:asciiTheme="majorHAnsi" w:hAnsiTheme="majorHAnsi"/>
          <w:bCs/>
          <w:sz w:val="20"/>
          <w:szCs w:val="20"/>
          <w:lang w:val="es-ES"/>
        </w:rPr>
        <w:footnoteReference w:id="5"/>
      </w:r>
      <w:r w:rsidR="00CD7F5A" w:rsidRPr="00B8703B">
        <w:rPr>
          <w:rFonts w:asciiTheme="majorHAnsi" w:hAnsiTheme="majorHAnsi"/>
          <w:bCs/>
          <w:sz w:val="20"/>
          <w:szCs w:val="20"/>
          <w:lang w:val="es-ES"/>
        </w:rPr>
        <w:t xml:space="preserve">, sin que éstas </w:t>
      </w:r>
      <w:r w:rsidR="00927C4E" w:rsidRPr="00B8703B">
        <w:rPr>
          <w:rFonts w:asciiTheme="majorHAnsi" w:hAnsiTheme="majorHAnsi"/>
          <w:bCs/>
          <w:sz w:val="20"/>
          <w:szCs w:val="20"/>
          <w:lang w:val="es-ES"/>
        </w:rPr>
        <w:t xml:space="preserve">tuvieran conocimiento de ello </w:t>
      </w:r>
      <w:r w:rsidR="00136F8E" w:rsidRPr="00B8703B">
        <w:rPr>
          <w:rFonts w:asciiTheme="majorHAnsi" w:hAnsiTheme="majorHAnsi"/>
          <w:bCs/>
          <w:sz w:val="20"/>
          <w:szCs w:val="20"/>
          <w:lang w:val="es-ES"/>
        </w:rPr>
        <w:t xml:space="preserve">al momento de comprar el </w:t>
      </w:r>
      <w:r w:rsidR="00927C4E" w:rsidRPr="00B8703B">
        <w:rPr>
          <w:rFonts w:asciiTheme="majorHAnsi" w:hAnsiTheme="majorHAnsi"/>
          <w:bCs/>
          <w:sz w:val="20"/>
          <w:szCs w:val="20"/>
          <w:lang w:val="es-ES"/>
        </w:rPr>
        <w:t>bien</w:t>
      </w:r>
      <w:r w:rsidR="00CD7F5A" w:rsidRPr="00B8703B">
        <w:rPr>
          <w:rFonts w:asciiTheme="majorHAnsi" w:hAnsiTheme="majorHAnsi"/>
          <w:bCs/>
          <w:sz w:val="20"/>
          <w:szCs w:val="20"/>
          <w:lang w:val="es-ES"/>
        </w:rPr>
        <w:t>.</w:t>
      </w:r>
    </w:p>
    <w:p w14:paraId="7CFB56BF" w14:textId="42BFF1A7" w:rsidR="006E621A" w:rsidRPr="00B8703B" w:rsidRDefault="00082662"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 xml:space="preserve">El peticionario relata que </w:t>
      </w:r>
      <w:r w:rsidR="00E25C54" w:rsidRPr="00B8703B">
        <w:rPr>
          <w:rFonts w:asciiTheme="majorHAnsi" w:hAnsiTheme="majorHAnsi"/>
          <w:sz w:val="20"/>
          <w:szCs w:val="20"/>
          <w:lang w:val="es-ES"/>
        </w:rPr>
        <w:t>la</w:t>
      </w:r>
      <w:r w:rsidR="003B5081" w:rsidRPr="00B8703B">
        <w:rPr>
          <w:rFonts w:asciiTheme="majorHAnsi" w:hAnsiTheme="majorHAnsi"/>
          <w:sz w:val="20"/>
          <w:szCs w:val="20"/>
          <w:lang w:val="es-ES"/>
        </w:rPr>
        <w:t>s presuntas víctimas</w:t>
      </w:r>
      <w:r w:rsidR="00E25C54" w:rsidRPr="00B8703B">
        <w:rPr>
          <w:rFonts w:asciiTheme="majorHAnsi" w:hAnsiTheme="majorHAnsi"/>
          <w:sz w:val="20"/>
          <w:szCs w:val="20"/>
          <w:lang w:val="es-ES"/>
        </w:rPr>
        <w:t xml:space="preserve"> </w:t>
      </w:r>
      <w:r w:rsidR="00F92B46" w:rsidRPr="00B8703B">
        <w:rPr>
          <w:rFonts w:asciiTheme="majorHAnsi" w:hAnsiTheme="majorHAnsi"/>
          <w:sz w:val="20"/>
          <w:szCs w:val="20"/>
          <w:lang w:val="es-ES"/>
        </w:rPr>
        <w:t>adquiri</w:t>
      </w:r>
      <w:r w:rsidR="003B5081" w:rsidRPr="00B8703B">
        <w:rPr>
          <w:rFonts w:asciiTheme="majorHAnsi" w:hAnsiTheme="majorHAnsi"/>
          <w:sz w:val="20"/>
          <w:szCs w:val="20"/>
          <w:lang w:val="es-ES"/>
        </w:rPr>
        <w:t>eron</w:t>
      </w:r>
      <w:r w:rsidR="00F92B46" w:rsidRPr="00B8703B">
        <w:rPr>
          <w:rFonts w:asciiTheme="majorHAnsi" w:hAnsiTheme="majorHAnsi"/>
          <w:sz w:val="20"/>
          <w:szCs w:val="20"/>
          <w:lang w:val="es-ES"/>
        </w:rPr>
        <w:t xml:space="preserve"> </w:t>
      </w:r>
      <w:r w:rsidR="002411DF" w:rsidRPr="00B8703B">
        <w:rPr>
          <w:rFonts w:asciiTheme="majorHAnsi" w:hAnsiTheme="majorHAnsi"/>
          <w:sz w:val="20"/>
          <w:szCs w:val="20"/>
          <w:lang w:val="es-ES"/>
        </w:rPr>
        <w:t>l</w:t>
      </w:r>
      <w:r w:rsidR="00067291" w:rsidRPr="00B8703B">
        <w:rPr>
          <w:rFonts w:asciiTheme="majorHAnsi" w:hAnsiTheme="majorHAnsi"/>
          <w:sz w:val="20"/>
          <w:szCs w:val="20"/>
          <w:lang w:val="es-ES"/>
        </w:rPr>
        <w:t>a finca llamada “La Argentina”</w:t>
      </w:r>
      <w:r w:rsidR="007C7D28" w:rsidRPr="00B8703B">
        <w:rPr>
          <w:rFonts w:asciiTheme="majorHAnsi" w:hAnsiTheme="majorHAnsi"/>
          <w:sz w:val="20"/>
          <w:szCs w:val="20"/>
          <w:lang w:val="es-ES"/>
        </w:rPr>
        <w:t xml:space="preserve"> </w:t>
      </w:r>
      <w:r w:rsidR="003F5EC1" w:rsidRPr="00B8703B">
        <w:rPr>
          <w:rFonts w:asciiTheme="majorHAnsi" w:hAnsiTheme="majorHAnsi"/>
          <w:sz w:val="20"/>
          <w:szCs w:val="20"/>
          <w:lang w:val="es-ES"/>
        </w:rPr>
        <w:t>el 19 de febrero d</w:t>
      </w:r>
      <w:r w:rsidR="00E8656B" w:rsidRPr="00B8703B">
        <w:rPr>
          <w:rFonts w:asciiTheme="majorHAnsi" w:hAnsiTheme="majorHAnsi"/>
          <w:sz w:val="20"/>
          <w:szCs w:val="20"/>
          <w:lang w:val="es-ES"/>
        </w:rPr>
        <w:t xml:space="preserve">e 1999 </w:t>
      </w:r>
      <w:r w:rsidR="00066B2C" w:rsidRPr="00B8703B">
        <w:rPr>
          <w:rFonts w:asciiTheme="majorHAnsi" w:hAnsiTheme="majorHAnsi"/>
          <w:sz w:val="20"/>
          <w:szCs w:val="20"/>
          <w:lang w:val="es-ES"/>
        </w:rPr>
        <w:t>mediante sus ahorros</w:t>
      </w:r>
      <w:r w:rsidR="00F00832" w:rsidRPr="00B8703B">
        <w:rPr>
          <w:rFonts w:asciiTheme="majorHAnsi" w:hAnsiTheme="majorHAnsi"/>
          <w:sz w:val="20"/>
          <w:szCs w:val="20"/>
          <w:lang w:val="es-ES"/>
        </w:rPr>
        <w:t xml:space="preserve"> en depósitos bancarios</w:t>
      </w:r>
      <w:r w:rsidR="00066B2C" w:rsidRPr="00B8703B">
        <w:rPr>
          <w:rFonts w:asciiTheme="majorHAnsi" w:hAnsiTheme="majorHAnsi"/>
          <w:sz w:val="20"/>
          <w:szCs w:val="20"/>
          <w:lang w:val="es-ES"/>
        </w:rPr>
        <w:t xml:space="preserve">, </w:t>
      </w:r>
      <w:r w:rsidR="00527CBB" w:rsidRPr="00B8703B">
        <w:rPr>
          <w:rFonts w:asciiTheme="majorHAnsi" w:hAnsiTheme="majorHAnsi"/>
          <w:sz w:val="20"/>
          <w:szCs w:val="20"/>
          <w:lang w:val="es-ES"/>
        </w:rPr>
        <w:t xml:space="preserve">la venta de un apartamento </w:t>
      </w:r>
      <w:r w:rsidR="00066B2C" w:rsidRPr="00B8703B">
        <w:rPr>
          <w:rFonts w:asciiTheme="majorHAnsi" w:hAnsiTheme="majorHAnsi"/>
          <w:sz w:val="20"/>
          <w:szCs w:val="20"/>
          <w:lang w:val="es-ES"/>
        </w:rPr>
        <w:t xml:space="preserve">y ayuda familiar con la finalidad de </w:t>
      </w:r>
      <w:r w:rsidR="006B6855" w:rsidRPr="00B8703B">
        <w:rPr>
          <w:rFonts w:asciiTheme="majorHAnsi" w:hAnsiTheme="majorHAnsi"/>
          <w:sz w:val="20"/>
          <w:szCs w:val="20"/>
          <w:lang w:val="es-ES"/>
        </w:rPr>
        <w:t xml:space="preserve">iniciar un negocio de producción cafetera. Destaca que </w:t>
      </w:r>
      <w:r w:rsidR="00020609" w:rsidRPr="00B8703B">
        <w:rPr>
          <w:rFonts w:asciiTheme="majorHAnsi" w:hAnsiTheme="majorHAnsi"/>
          <w:sz w:val="20"/>
          <w:szCs w:val="20"/>
          <w:lang w:val="es-ES"/>
        </w:rPr>
        <w:t>el matrimonio López-Mejía contrató</w:t>
      </w:r>
      <w:r w:rsidR="00650EB7" w:rsidRPr="00B8703B">
        <w:rPr>
          <w:rFonts w:asciiTheme="majorHAnsi" w:hAnsiTheme="majorHAnsi"/>
          <w:sz w:val="20"/>
          <w:szCs w:val="20"/>
          <w:lang w:val="es-ES"/>
        </w:rPr>
        <w:t xml:space="preserve"> a un abogado que realizó el estudio de títulos</w:t>
      </w:r>
      <w:r w:rsidR="00020609" w:rsidRPr="00B8703B">
        <w:rPr>
          <w:rFonts w:asciiTheme="majorHAnsi" w:hAnsiTheme="majorHAnsi"/>
          <w:sz w:val="20"/>
          <w:szCs w:val="20"/>
          <w:lang w:val="es-ES"/>
        </w:rPr>
        <w:t xml:space="preserve"> </w:t>
      </w:r>
      <w:r w:rsidR="00650EB7" w:rsidRPr="00B8703B">
        <w:rPr>
          <w:rFonts w:asciiTheme="majorHAnsi" w:hAnsiTheme="majorHAnsi"/>
          <w:sz w:val="20"/>
          <w:szCs w:val="20"/>
          <w:lang w:val="es-ES"/>
        </w:rPr>
        <w:t>e</w:t>
      </w:r>
      <w:r w:rsidR="006B6855" w:rsidRPr="00B8703B">
        <w:rPr>
          <w:rFonts w:asciiTheme="majorHAnsi" w:hAnsiTheme="majorHAnsi"/>
          <w:sz w:val="20"/>
          <w:szCs w:val="20"/>
          <w:lang w:val="es-ES"/>
        </w:rPr>
        <w:t>n el marco de la compra del inmueble,</w:t>
      </w:r>
      <w:r w:rsidR="00783F3F" w:rsidRPr="00B8703B">
        <w:rPr>
          <w:rFonts w:asciiTheme="majorHAnsi" w:hAnsiTheme="majorHAnsi"/>
          <w:sz w:val="20"/>
          <w:szCs w:val="20"/>
          <w:lang w:val="es-ES"/>
        </w:rPr>
        <w:t xml:space="preserve"> quien no advirtió ninguna irregularidad, por lo que cumplieron con la debida diligencia en las negociaciones.</w:t>
      </w:r>
    </w:p>
    <w:p w14:paraId="1D03B675" w14:textId="48F7E193" w:rsidR="00E3393C" w:rsidRPr="00B8703B" w:rsidRDefault="00783F3F"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 xml:space="preserve">No obstante, el 17 de octubre de 2000 </w:t>
      </w:r>
      <w:r w:rsidR="00DD5F0A" w:rsidRPr="00B8703B">
        <w:rPr>
          <w:rFonts w:asciiTheme="majorHAnsi" w:hAnsiTheme="majorHAnsi"/>
          <w:sz w:val="20"/>
          <w:szCs w:val="20"/>
          <w:lang w:val="es-ES"/>
        </w:rPr>
        <w:t>la Unidad Nacional para la Extinción del Derecho de Dominio y contra el Lavado de Activos de la Fiscalía General de la Nación</w:t>
      </w:r>
      <w:r w:rsidR="00E66305" w:rsidRPr="00B8703B">
        <w:rPr>
          <w:rFonts w:asciiTheme="majorHAnsi" w:hAnsiTheme="majorHAnsi"/>
          <w:sz w:val="20"/>
          <w:szCs w:val="20"/>
          <w:lang w:val="es-ES"/>
        </w:rPr>
        <w:t xml:space="preserve"> inició un proceso de extinción de dominio contra la finca “La Argentina”</w:t>
      </w:r>
      <w:r w:rsidR="002411DF" w:rsidRPr="00B8703B">
        <w:rPr>
          <w:rFonts w:asciiTheme="majorHAnsi" w:hAnsiTheme="majorHAnsi"/>
          <w:sz w:val="20"/>
          <w:szCs w:val="20"/>
          <w:lang w:val="es-ES"/>
        </w:rPr>
        <w:t xml:space="preserve"> </w:t>
      </w:r>
      <w:r w:rsidR="007D40CA" w:rsidRPr="00B8703B">
        <w:rPr>
          <w:rFonts w:asciiTheme="majorHAnsi" w:hAnsiTheme="majorHAnsi"/>
          <w:sz w:val="20"/>
          <w:szCs w:val="20"/>
          <w:lang w:val="es-ES"/>
        </w:rPr>
        <w:t>debido al uso y adquis</w:t>
      </w:r>
      <w:r w:rsidR="001932C2" w:rsidRPr="00B8703B">
        <w:rPr>
          <w:rFonts w:asciiTheme="majorHAnsi" w:hAnsiTheme="majorHAnsi"/>
          <w:sz w:val="20"/>
          <w:szCs w:val="20"/>
          <w:lang w:val="es-ES"/>
        </w:rPr>
        <w:t>ic</w:t>
      </w:r>
      <w:r w:rsidR="007D40CA" w:rsidRPr="00B8703B">
        <w:rPr>
          <w:rFonts w:asciiTheme="majorHAnsi" w:hAnsiTheme="majorHAnsi"/>
          <w:sz w:val="20"/>
          <w:szCs w:val="20"/>
          <w:lang w:val="es-ES"/>
        </w:rPr>
        <w:t xml:space="preserve">ión de </w:t>
      </w:r>
      <w:r w:rsidR="001932C2" w:rsidRPr="00B8703B">
        <w:rPr>
          <w:rFonts w:asciiTheme="majorHAnsi" w:hAnsiTheme="majorHAnsi"/>
          <w:sz w:val="20"/>
          <w:szCs w:val="20"/>
          <w:lang w:val="es-ES"/>
        </w:rPr>
        <w:t xml:space="preserve">la anterior </w:t>
      </w:r>
      <w:r w:rsidR="002411DF" w:rsidRPr="00B8703B">
        <w:rPr>
          <w:rFonts w:asciiTheme="majorHAnsi" w:hAnsiTheme="majorHAnsi"/>
          <w:sz w:val="20"/>
          <w:szCs w:val="20"/>
          <w:lang w:val="es-ES"/>
        </w:rPr>
        <w:t>propietaria</w:t>
      </w:r>
      <w:r w:rsidR="001932C2" w:rsidRPr="00B8703B">
        <w:rPr>
          <w:rFonts w:asciiTheme="majorHAnsi" w:hAnsiTheme="majorHAnsi"/>
          <w:sz w:val="20"/>
          <w:szCs w:val="20"/>
          <w:lang w:val="es-ES"/>
        </w:rPr>
        <w:t xml:space="preserve"> por medio de actividades de narcotráfico</w:t>
      </w:r>
      <w:r w:rsidR="00E02B95" w:rsidRPr="00B8703B">
        <w:rPr>
          <w:rFonts w:asciiTheme="majorHAnsi" w:hAnsiTheme="majorHAnsi"/>
          <w:sz w:val="20"/>
          <w:szCs w:val="20"/>
          <w:lang w:val="es-ES"/>
        </w:rPr>
        <w:t xml:space="preserve">. </w:t>
      </w:r>
      <w:r w:rsidR="00302619" w:rsidRPr="00B8703B">
        <w:rPr>
          <w:rFonts w:asciiTheme="majorHAnsi" w:hAnsiTheme="majorHAnsi"/>
          <w:sz w:val="20"/>
          <w:szCs w:val="20"/>
          <w:lang w:val="es-ES"/>
        </w:rPr>
        <w:t>E</w:t>
      </w:r>
      <w:r w:rsidR="00E02B95" w:rsidRPr="00B8703B">
        <w:rPr>
          <w:rFonts w:asciiTheme="majorHAnsi" w:hAnsiTheme="majorHAnsi"/>
          <w:sz w:val="20"/>
          <w:szCs w:val="20"/>
          <w:lang w:val="es-ES"/>
        </w:rPr>
        <w:t xml:space="preserve">l 24 de noviembre de 2000 la representación de las presuntas víctimas interpuso un recurso de apelación contra la </w:t>
      </w:r>
      <w:r w:rsidR="00625A46" w:rsidRPr="00B8703B">
        <w:rPr>
          <w:rFonts w:asciiTheme="majorHAnsi" w:hAnsiTheme="majorHAnsi"/>
          <w:sz w:val="20"/>
          <w:szCs w:val="20"/>
          <w:lang w:val="es-ES"/>
        </w:rPr>
        <w:t xml:space="preserve">medida </w:t>
      </w:r>
      <w:r w:rsidR="003F3624" w:rsidRPr="00B8703B">
        <w:rPr>
          <w:rFonts w:asciiTheme="majorHAnsi" w:hAnsiTheme="majorHAnsi"/>
          <w:sz w:val="20"/>
          <w:szCs w:val="20"/>
          <w:lang w:val="es-ES"/>
        </w:rPr>
        <w:t xml:space="preserve">cautelar </w:t>
      </w:r>
      <w:r w:rsidR="00625A46" w:rsidRPr="00B8703B">
        <w:rPr>
          <w:rFonts w:asciiTheme="majorHAnsi" w:hAnsiTheme="majorHAnsi"/>
          <w:sz w:val="20"/>
          <w:szCs w:val="20"/>
          <w:lang w:val="es-ES"/>
        </w:rPr>
        <w:t xml:space="preserve">de </w:t>
      </w:r>
      <w:r w:rsidR="003F3624" w:rsidRPr="00B8703B">
        <w:rPr>
          <w:rFonts w:asciiTheme="majorHAnsi" w:hAnsiTheme="majorHAnsi"/>
          <w:sz w:val="20"/>
          <w:szCs w:val="20"/>
          <w:lang w:val="es-ES"/>
        </w:rPr>
        <w:t xml:space="preserve">confiscación </w:t>
      </w:r>
      <w:r w:rsidR="005D081E" w:rsidRPr="00B8703B">
        <w:rPr>
          <w:rFonts w:asciiTheme="majorHAnsi" w:hAnsiTheme="majorHAnsi"/>
          <w:sz w:val="20"/>
          <w:szCs w:val="20"/>
          <w:lang w:val="es-ES"/>
        </w:rPr>
        <w:t xml:space="preserve">decretada en </w:t>
      </w:r>
      <w:r w:rsidR="00E02B95" w:rsidRPr="00B8703B">
        <w:rPr>
          <w:rFonts w:asciiTheme="majorHAnsi" w:hAnsiTheme="majorHAnsi"/>
          <w:sz w:val="20"/>
          <w:szCs w:val="20"/>
          <w:lang w:val="es-ES"/>
        </w:rPr>
        <w:t xml:space="preserve">el procedimiento, alegando que </w:t>
      </w:r>
      <w:r w:rsidR="002160A1" w:rsidRPr="00B8703B">
        <w:rPr>
          <w:rFonts w:asciiTheme="majorHAnsi" w:hAnsiTheme="majorHAnsi"/>
          <w:sz w:val="20"/>
          <w:szCs w:val="20"/>
          <w:lang w:val="es-ES"/>
        </w:rPr>
        <w:t>los dueños del predio eran</w:t>
      </w:r>
      <w:r w:rsidR="00E02B95" w:rsidRPr="00B8703B">
        <w:rPr>
          <w:rFonts w:asciiTheme="majorHAnsi" w:hAnsiTheme="majorHAnsi"/>
          <w:sz w:val="20"/>
          <w:szCs w:val="20"/>
          <w:lang w:val="es-ES"/>
        </w:rPr>
        <w:t xml:space="preserve"> terceros</w:t>
      </w:r>
      <w:r w:rsidR="00D66B0A" w:rsidRPr="00B8703B">
        <w:rPr>
          <w:rFonts w:asciiTheme="majorHAnsi" w:hAnsiTheme="majorHAnsi"/>
          <w:sz w:val="20"/>
          <w:szCs w:val="20"/>
          <w:lang w:val="es-ES"/>
        </w:rPr>
        <w:t xml:space="preserve"> </w:t>
      </w:r>
      <w:r w:rsidR="00E02B95" w:rsidRPr="00B8703B">
        <w:rPr>
          <w:rFonts w:asciiTheme="majorHAnsi" w:hAnsiTheme="majorHAnsi"/>
          <w:sz w:val="20"/>
          <w:szCs w:val="20"/>
          <w:lang w:val="es-ES"/>
        </w:rPr>
        <w:t>de buena fe exent</w:t>
      </w:r>
      <w:r w:rsidR="00050FA6" w:rsidRPr="00B8703B">
        <w:rPr>
          <w:rFonts w:asciiTheme="majorHAnsi" w:hAnsiTheme="majorHAnsi"/>
          <w:sz w:val="20"/>
          <w:szCs w:val="20"/>
          <w:lang w:val="es-ES"/>
        </w:rPr>
        <w:t>os</w:t>
      </w:r>
      <w:r w:rsidR="00E02B95" w:rsidRPr="00B8703B">
        <w:rPr>
          <w:rFonts w:asciiTheme="majorHAnsi" w:hAnsiTheme="majorHAnsi"/>
          <w:sz w:val="20"/>
          <w:szCs w:val="20"/>
          <w:lang w:val="es-ES"/>
        </w:rPr>
        <w:t xml:space="preserve"> de culpa</w:t>
      </w:r>
      <w:r w:rsidR="002160A1" w:rsidRPr="00B8703B">
        <w:rPr>
          <w:rFonts w:asciiTheme="majorHAnsi" w:hAnsiTheme="majorHAnsi"/>
          <w:sz w:val="20"/>
          <w:szCs w:val="20"/>
          <w:lang w:val="es-ES"/>
        </w:rPr>
        <w:t xml:space="preserve">, pero </w:t>
      </w:r>
      <w:r w:rsidR="00BA480B" w:rsidRPr="00B8703B">
        <w:rPr>
          <w:rFonts w:asciiTheme="majorHAnsi" w:hAnsiTheme="majorHAnsi"/>
          <w:sz w:val="20"/>
          <w:szCs w:val="20"/>
          <w:lang w:val="es-ES"/>
        </w:rPr>
        <w:t>el recurso</w:t>
      </w:r>
      <w:r w:rsidR="002160A1" w:rsidRPr="00B8703B">
        <w:rPr>
          <w:rFonts w:asciiTheme="majorHAnsi" w:hAnsiTheme="majorHAnsi"/>
          <w:sz w:val="20"/>
          <w:szCs w:val="20"/>
          <w:lang w:val="es-ES"/>
        </w:rPr>
        <w:t xml:space="preserve"> fue rechazado dos años después</w:t>
      </w:r>
      <w:r w:rsidR="00E02BCC" w:rsidRPr="00B8703B">
        <w:rPr>
          <w:rFonts w:asciiTheme="majorHAnsi" w:hAnsiTheme="majorHAnsi"/>
          <w:sz w:val="20"/>
          <w:szCs w:val="20"/>
          <w:lang w:val="es-ES"/>
        </w:rPr>
        <w:t>.</w:t>
      </w:r>
    </w:p>
    <w:p w14:paraId="232FF0D2" w14:textId="5656E58E" w:rsidR="00591CD1" w:rsidRPr="00B8703B" w:rsidRDefault="00804276"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Señala que e</w:t>
      </w:r>
      <w:r w:rsidR="002D2C5F" w:rsidRPr="00B8703B">
        <w:rPr>
          <w:rFonts w:asciiTheme="majorHAnsi" w:hAnsiTheme="majorHAnsi"/>
          <w:sz w:val="20"/>
          <w:szCs w:val="20"/>
          <w:lang w:val="es-ES"/>
        </w:rPr>
        <w:t>l 9 de marzo de 2001 presentaron su oposición</w:t>
      </w:r>
      <w:r w:rsidR="003F3624" w:rsidRPr="00B8703B">
        <w:rPr>
          <w:rFonts w:asciiTheme="majorHAnsi" w:hAnsiTheme="majorHAnsi"/>
          <w:sz w:val="20"/>
          <w:szCs w:val="20"/>
          <w:lang w:val="es-ES"/>
        </w:rPr>
        <w:t xml:space="preserve"> en el procedimiento de extinción de dominio adelantado inicialmente por la fiscalía.</w:t>
      </w:r>
      <w:r w:rsidR="002D2C5F" w:rsidRPr="00B8703B">
        <w:rPr>
          <w:rFonts w:asciiTheme="majorHAnsi" w:hAnsiTheme="majorHAnsi"/>
          <w:sz w:val="20"/>
          <w:szCs w:val="20"/>
          <w:lang w:val="es-ES"/>
        </w:rPr>
        <w:t xml:space="preserve"> </w:t>
      </w:r>
      <w:r w:rsidR="003F3624" w:rsidRPr="00B8703B">
        <w:rPr>
          <w:rFonts w:asciiTheme="majorHAnsi" w:hAnsiTheme="majorHAnsi"/>
          <w:sz w:val="20"/>
          <w:szCs w:val="20"/>
          <w:lang w:val="es-ES"/>
        </w:rPr>
        <w:t xml:space="preserve">Allí afirma que </w:t>
      </w:r>
      <w:r w:rsidR="002D2C5F" w:rsidRPr="00B8703B">
        <w:rPr>
          <w:rFonts w:asciiTheme="majorHAnsi" w:hAnsiTheme="majorHAnsi"/>
          <w:sz w:val="20"/>
          <w:szCs w:val="20"/>
          <w:lang w:val="es-ES"/>
        </w:rPr>
        <w:t>acreditaron las circunsta</w:t>
      </w:r>
      <w:r w:rsidR="006A4699" w:rsidRPr="00B8703B">
        <w:rPr>
          <w:rFonts w:asciiTheme="majorHAnsi" w:hAnsiTheme="majorHAnsi"/>
          <w:sz w:val="20"/>
          <w:szCs w:val="20"/>
          <w:lang w:val="es-ES"/>
        </w:rPr>
        <w:t>n</w:t>
      </w:r>
      <w:r w:rsidR="002D2C5F" w:rsidRPr="00B8703B">
        <w:rPr>
          <w:rFonts w:asciiTheme="majorHAnsi" w:hAnsiTheme="majorHAnsi"/>
          <w:sz w:val="20"/>
          <w:szCs w:val="20"/>
          <w:lang w:val="es-ES"/>
        </w:rPr>
        <w:t>cias</w:t>
      </w:r>
      <w:r w:rsidR="006A4699" w:rsidRPr="00B8703B">
        <w:rPr>
          <w:rFonts w:asciiTheme="majorHAnsi" w:hAnsiTheme="majorHAnsi"/>
          <w:sz w:val="20"/>
          <w:szCs w:val="20"/>
          <w:lang w:val="es-ES"/>
        </w:rPr>
        <w:t xml:space="preserve"> del negocio y la fuente de los ingresos para su pag</w:t>
      </w:r>
      <w:r w:rsidR="009C6657" w:rsidRPr="00B8703B">
        <w:rPr>
          <w:rFonts w:asciiTheme="majorHAnsi" w:hAnsiTheme="majorHAnsi"/>
          <w:sz w:val="20"/>
          <w:szCs w:val="20"/>
          <w:lang w:val="es-ES"/>
        </w:rPr>
        <w:t>o.</w:t>
      </w:r>
      <w:r w:rsidR="00D23C77" w:rsidRPr="00B8703B">
        <w:rPr>
          <w:rFonts w:asciiTheme="majorHAnsi" w:hAnsiTheme="majorHAnsi"/>
          <w:sz w:val="20"/>
          <w:szCs w:val="20"/>
          <w:lang w:val="es-ES"/>
        </w:rPr>
        <w:t xml:space="preserve"> El </w:t>
      </w:r>
      <w:r w:rsidR="00A7786D" w:rsidRPr="00B8703B">
        <w:rPr>
          <w:rFonts w:asciiTheme="majorHAnsi" w:hAnsiTheme="majorHAnsi"/>
          <w:sz w:val="20"/>
          <w:szCs w:val="20"/>
          <w:lang w:val="es-ES"/>
        </w:rPr>
        <w:t xml:space="preserve">16 de febrero </w:t>
      </w:r>
      <w:r w:rsidR="00D23C77" w:rsidRPr="00B8703B">
        <w:rPr>
          <w:rFonts w:asciiTheme="majorHAnsi" w:hAnsiTheme="majorHAnsi"/>
          <w:sz w:val="20"/>
          <w:szCs w:val="20"/>
          <w:lang w:val="es-ES"/>
        </w:rPr>
        <w:t>de 2004 se practicó un peritaje</w:t>
      </w:r>
      <w:r w:rsidR="00A7786D" w:rsidRPr="00B8703B">
        <w:rPr>
          <w:rFonts w:asciiTheme="majorHAnsi" w:hAnsiTheme="majorHAnsi"/>
          <w:sz w:val="20"/>
          <w:szCs w:val="20"/>
          <w:lang w:val="es-ES"/>
        </w:rPr>
        <w:t xml:space="preserve"> en el que se determinó la liquidez para efectuar la adquisición del inmueble</w:t>
      </w:r>
      <w:r w:rsidR="008C7154" w:rsidRPr="00B8703B">
        <w:rPr>
          <w:rFonts w:asciiTheme="majorHAnsi" w:hAnsiTheme="majorHAnsi"/>
          <w:sz w:val="20"/>
          <w:szCs w:val="20"/>
          <w:lang w:val="es-ES"/>
        </w:rPr>
        <w:t>;</w:t>
      </w:r>
      <w:r w:rsidR="00A7786D" w:rsidRPr="00B8703B">
        <w:rPr>
          <w:rFonts w:asciiTheme="majorHAnsi" w:hAnsiTheme="majorHAnsi"/>
          <w:sz w:val="20"/>
          <w:szCs w:val="20"/>
          <w:lang w:val="es-ES"/>
        </w:rPr>
        <w:t xml:space="preserve"> y el 7 de septiembre de ese año, las partes </w:t>
      </w:r>
      <w:r w:rsidR="00CB62FB" w:rsidRPr="00B8703B">
        <w:rPr>
          <w:rFonts w:asciiTheme="majorHAnsi" w:hAnsiTheme="majorHAnsi"/>
          <w:sz w:val="20"/>
          <w:szCs w:val="20"/>
          <w:lang w:val="es-ES"/>
        </w:rPr>
        <w:t>del proceso presentaron sus alegatos de conclusión.</w:t>
      </w:r>
      <w:r w:rsidR="006E50BA" w:rsidRPr="00B8703B">
        <w:rPr>
          <w:rFonts w:asciiTheme="majorHAnsi" w:hAnsiTheme="majorHAnsi"/>
          <w:sz w:val="20"/>
          <w:szCs w:val="20"/>
          <w:lang w:val="es-ES"/>
        </w:rPr>
        <w:t xml:space="preserve"> </w:t>
      </w:r>
      <w:r w:rsidR="00E34AE7" w:rsidRPr="00B8703B">
        <w:rPr>
          <w:rFonts w:asciiTheme="majorHAnsi" w:hAnsiTheme="majorHAnsi"/>
          <w:sz w:val="20"/>
          <w:szCs w:val="20"/>
          <w:lang w:val="es-ES"/>
        </w:rPr>
        <w:t xml:space="preserve">El 5 de diciembre de 2005 la Unidad de Extinción de Dominio de la fiscalía </w:t>
      </w:r>
      <w:r w:rsidR="00D514AF" w:rsidRPr="00B8703B">
        <w:rPr>
          <w:rFonts w:asciiTheme="majorHAnsi" w:hAnsiTheme="majorHAnsi"/>
          <w:sz w:val="20"/>
          <w:szCs w:val="20"/>
          <w:lang w:val="es-ES"/>
        </w:rPr>
        <w:t>solicitó la declaratoria de improcedencia de la acción de extinción de dominio sobre la finca “La Argentina”</w:t>
      </w:r>
      <w:r w:rsidR="00B476D5" w:rsidRPr="00B8703B">
        <w:rPr>
          <w:rFonts w:asciiTheme="majorHAnsi" w:hAnsiTheme="majorHAnsi"/>
          <w:sz w:val="20"/>
          <w:szCs w:val="20"/>
          <w:lang w:val="es-ES"/>
        </w:rPr>
        <w:t xml:space="preserve"> al considerar que sus propietarios eran, en efecto, terceros de buena fe exenta de culpa</w:t>
      </w:r>
      <w:r w:rsidR="00D514AF" w:rsidRPr="00B8703B">
        <w:rPr>
          <w:rFonts w:asciiTheme="majorHAnsi" w:hAnsiTheme="majorHAnsi"/>
          <w:sz w:val="20"/>
          <w:szCs w:val="20"/>
          <w:lang w:val="es-ES"/>
        </w:rPr>
        <w:t>.</w:t>
      </w:r>
      <w:r w:rsidR="00591CD1" w:rsidRPr="00B8703B">
        <w:rPr>
          <w:rFonts w:asciiTheme="majorHAnsi" w:hAnsiTheme="majorHAnsi"/>
          <w:sz w:val="20"/>
          <w:szCs w:val="20"/>
          <w:lang w:val="es-ES"/>
        </w:rPr>
        <w:t xml:space="preserve"> </w:t>
      </w:r>
      <w:r w:rsidR="00097152" w:rsidRPr="00B8703B">
        <w:rPr>
          <w:rFonts w:asciiTheme="majorHAnsi" w:hAnsiTheme="majorHAnsi"/>
          <w:sz w:val="20"/>
          <w:szCs w:val="20"/>
          <w:lang w:val="es-ES"/>
        </w:rPr>
        <w:t xml:space="preserve">No obstante, </w:t>
      </w:r>
      <w:r w:rsidR="006E50BA" w:rsidRPr="00B8703B">
        <w:rPr>
          <w:rFonts w:asciiTheme="majorHAnsi" w:hAnsiTheme="majorHAnsi"/>
          <w:sz w:val="20"/>
          <w:szCs w:val="20"/>
          <w:lang w:val="es-ES"/>
        </w:rPr>
        <w:t>dicho auto se elevó a consulta y el 24 de octubre de 2007 la Fiscalía 2 delegada ante la Corte Suprema de Justicia</w:t>
      </w:r>
      <w:r w:rsidR="0025032A" w:rsidRPr="00B8703B">
        <w:rPr>
          <w:rFonts w:asciiTheme="majorHAnsi" w:hAnsiTheme="majorHAnsi"/>
          <w:sz w:val="20"/>
          <w:szCs w:val="20"/>
          <w:lang w:val="es-ES"/>
        </w:rPr>
        <w:t xml:space="preserve"> revocó la decisión de improcedencia</w:t>
      </w:r>
      <w:r w:rsidR="00093450" w:rsidRPr="00B8703B">
        <w:rPr>
          <w:rFonts w:asciiTheme="majorHAnsi" w:hAnsiTheme="majorHAnsi"/>
          <w:sz w:val="20"/>
          <w:szCs w:val="20"/>
          <w:lang w:val="es-ES"/>
        </w:rPr>
        <w:t xml:space="preserve"> por considerar que</w:t>
      </w:r>
      <w:r w:rsidR="003F3624" w:rsidRPr="00B8703B">
        <w:rPr>
          <w:rFonts w:asciiTheme="majorHAnsi" w:hAnsiTheme="majorHAnsi"/>
          <w:sz w:val="20"/>
          <w:szCs w:val="20"/>
          <w:lang w:val="es-ES"/>
        </w:rPr>
        <w:t xml:space="preserve"> las presuntas víctimas</w:t>
      </w:r>
      <w:r w:rsidR="00093450" w:rsidRPr="00B8703B">
        <w:rPr>
          <w:rFonts w:asciiTheme="majorHAnsi" w:hAnsiTheme="majorHAnsi"/>
          <w:sz w:val="20"/>
          <w:szCs w:val="20"/>
          <w:lang w:val="es-ES"/>
        </w:rPr>
        <w:t xml:space="preserve"> no </w:t>
      </w:r>
      <w:r w:rsidR="00931860" w:rsidRPr="00B8703B">
        <w:rPr>
          <w:rFonts w:asciiTheme="majorHAnsi" w:hAnsiTheme="majorHAnsi"/>
          <w:sz w:val="20"/>
          <w:szCs w:val="20"/>
          <w:lang w:val="es-ES"/>
        </w:rPr>
        <w:t>habían adquirido el predio de buena fe</w:t>
      </w:r>
      <w:r w:rsidR="005B196A" w:rsidRPr="00B8703B">
        <w:rPr>
          <w:rFonts w:asciiTheme="majorHAnsi" w:hAnsiTheme="majorHAnsi"/>
          <w:sz w:val="20"/>
          <w:szCs w:val="20"/>
          <w:lang w:val="es-ES"/>
        </w:rPr>
        <w:t>.</w:t>
      </w:r>
    </w:p>
    <w:p w14:paraId="30E38CDD" w14:textId="5868B144" w:rsidR="00CB62FB" w:rsidRPr="00B8703B" w:rsidRDefault="00591CD1"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 xml:space="preserve">Después de surtido el proceso, el 24 </w:t>
      </w:r>
      <w:r w:rsidR="005B196A" w:rsidRPr="00B8703B">
        <w:rPr>
          <w:rFonts w:asciiTheme="majorHAnsi" w:hAnsiTheme="majorHAnsi"/>
          <w:sz w:val="20"/>
          <w:szCs w:val="20"/>
          <w:lang w:val="es-ES"/>
        </w:rPr>
        <w:t xml:space="preserve">de </w:t>
      </w:r>
      <w:r w:rsidRPr="00B8703B">
        <w:rPr>
          <w:rFonts w:asciiTheme="majorHAnsi" w:hAnsiTheme="majorHAnsi"/>
          <w:sz w:val="20"/>
          <w:szCs w:val="20"/>
          <w:lang w:val="es-ES"/>
        </w:rPr>
        <w:t>agost</w:t>
      </w:r>
      <w:r w:rsidR="00F90C29" w:rsidRPr="00B8703B">
        <w:rPr>
          <w:rFonts w:asciiTheme="majorHAnsi" w:hAnsiTheme="majorHAnsi"/>
          <w:sz w:val="20"/>
          <w:szCs w:val="20"/>
          <w:lang w:val="es-ES"/>
        </w:rPr>
        <w:t xml:space="preserve">o </w:t>
      </w:r>
      <w:r w:rsidR="005B196A" w:rsidRPr="00B8703B">
        <w:rPr>
          <w:rFonts w:asciiTheme="majorHAnsi" w:hAnsiTheme="majorHAnsi"/>
          <w:sz w:val="20"/>
          <w:szCs w:val="20"/>
          <w:lang w:val="es-ES"/>
        </w:rPr>
        <w:t>de 20</w:t>
      </w:r>
      <w:r w:rsidRPr="00B8703B">
        <w:rPr>
          <w:rFonts w:asciiTheme="majorHAnsi" w:hAnsiTheme="majorHAnsi"/>
          <w:sz w:val="20"/>
          <w:szCs w:val="20"/>
          <w:lang w:val="es-ES"/>
        </w:rPr>
        <w:t>11</w:t>
      </w:r>
      <w:r w:rsidR="005B196A" w:rsidRPr="00B8703B">
        <w:rPr>
          <w:rFonts w:asciiTheme="majorHAnsi" w:hAnsiTheme="majorHAnsi"/>
          <w:sz w:val="20"/>
          <w:szCs w:val="20"/>
          <w:lang w:val="es-ES"/>
        </w:rPr>
        <w:t xml:space="preserve"> el Juzgado </w:t>
      </w:r>
      <w:r w:rsidR="00702A5B" w:rsidRPr="00B8703B">
        <w:rPr>
          <w:rFonts w:asciiTheme="majorHAnsi" w:hAnsiTheme="majorHAnsi"/>
          <w:sz w:val="20"/>
          <w:szCs w:val="20"/>
          <w:lang w:val="es-ES"/>
        </w:rPr>
        <w:t xml:space="preserve">de </w:t>
      </w:r>
      <w:r w:rsidR="005B196A" w:rsidRPr="00B8703B">
        <w:rPr>
          <w:rFonts w:asciiTheme="majorHAnsi" w:hAnsiTheme="majorHAnsi"/>
          <w:sz w:val="20"/>
          <w:szCs w:val="20"/>
          <w:lang w:val="es-ES"/>
        </w:rPr>
        <w:t>Primera Penal del Circuito Especializado de Descongestión de Bogotá</w:t>
      </w:r>
      <w:r w:rsidRPr="00B8703B">
        <w:rPr>
          <w:rFonts w:asciiTheme="majorHAnsi" w:hAnsiTheme="majorHAnsi"/>
          <w:sz w:val="20"/>
          <w:szCs w:val="20"/>
          <w:lang w:val="es-ES"/>
        </w:rPr>
        <w:t xml:space="preserve"> dictó sentencia de primera instancia mediante la cual decretó la extinción del dominio de los inmuebles correspondientes a la finca “La Argentina”, </w:t>
      </w:r>
      <w:r w:rsidR="00FA4DF7" w:rsidRPr="00B8703B">
        <w:rPr>
          <w:rFonts w:asciiTheme="majorHAnsi" w:hAnsiTheme="majorHAnsi"/>
          <w:sz w:val="20"/>
          <w:szCs w:val="20"/>
          <w:lang w:val="es-ES"/>
        </w:rPr>
        <w:t>concluyendo</w:t>
      </w:r>
      <w:r w:rsidRPr="00B8703B">
        <w:rPr>
          <w:rFonts w:asciiTheme="majorHAnsi" w:hAnsiTheme="majorHAnsi"/>
          <w:sz w:val="20"/>
          <w:szCs w:val="20"/>
          <w:lang w:val="es-ES"/>
        </w:rPr>
        <w:t xml:space="preserve"> que “</w:t>
      </w:r>
      <w:r w:rsidRPr="00B8703B">
        <w:rPr>
          <w:rFonts w:asciiTheme="majorHAnsi" w:hAnsiTheme="majorHAnsi"/>
          <w:i/>
          <w:iCs/>
          <w:sz w:val="20"/>
          <w:szCs w:val="20"/>
          <w:lang w:val="es-ES"/>
        </w:rPr>
        <w:t>no se puede predicar buena fe exenta de culpa de sus actuales titulares</w:t>
      </w:r>
      <w:r w:rsidRPr="00B8703B">
        <w:rPr>
          <w:rFonts w:asciiTheme="majorHAnsi" w:hAnsiTheme="majorHAnsi"/>
          <w:sz w:val="20"/>
          <w:szCs w:val="20"/>
          <w:lang w:val="es-ES"/>
        </w:rPr>
        <w:t>”.</w:t>
      </w:r>
      <w:r w:rsidR="00A950AD" w:rsidRPr="00B8703B">
        <w:rPr>
          <w:rFonts w:asciiTheme="majorHAnsi" w:hAnsiTheme="majorHAnsi"/>
          <w:sz w:val="20"/>
          <w:szCs w:val="20"/>
          <w:lang w:val="es-ES"/>
        </w:rPr>
        <w:t xml:space="preserve"> </w:t>
      </w:r>
      <w:r w:rsidR="00FA4DF7" w:rsidRPr="00B8703B">
        <w:rPr>
          <w:rFonts w:asciiTheme="majorHAnsi" w:hAnsiTheme="majorHAnsi"/>
          <w:sz w:val="20"/>
          <w:szCs w:val="20"/>
          <w:lang w:val="es-ES"/>
        </w:rPr>
        <w:t>Luego,</w:t>
      </w:r>
      <w:r w:rsidR="008C1648" w:rsidRPr="00B8703B">
        <w:rPr>
          <w:rFonts w:asciiTheme="majorHAnsi" w:hAnsiTheme="majorHAnsi"/>
          <w:sz w:val="20"/>
          <w:szCs w:val="20"/>
          <w:lang w:val="es-ES"/>
        </w:rPr>
        <w:t xml:space="preserve"> el 17 de febrero de 2012 los apoderados de las presuntas víctimas interpusieron un recurso de apelación contra dicha decisión.</w:t>
      </w:r>
    </w:p>
    <w:p w14:paraId="2F7BF397" w14:textId="5597B96D" w:rsidR="00B74366" w:rsidRPr="00B8703B" w:rsidRDefault="005E5379"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 xml:space="preserve">En comunicaciones posteriores, el peticionario informa que el 6 de noviembre de 2019 la Sala de Extinción de Dominio del Tribunal Superior de Bogotá </w:t>
      </w:r>
      <w:r w:rsidR="00054B8A" w:rsidRPr="00B8703B">
        <w:rPr>
          <w:rFonts w:asciiTheme="majorHAnsi" w:hAnsiTheme="majorHAnsi"/>
          <w:sz w:val="20"/>
          <w:szCs w:val="20"/>
          <w:lang w:val="es-ES"/>
        </w:rPr>
        <w:t xml:space="preserve">denegó el recurso de apelación promovido por el matrimonio </w:t>
      </w:r>
      <w:r w:rsidR="006D7F0B" w:rsidRPr="00B8703B">
        <w:rPr>
          <w:rFonts w:asciiTheme="majorHAnsi" w:hAnsiTheme="majorHAnsi"/>
          <w:sz w:val="20"/>
          <w:szCs w:val="20"/>
          <w:lang w:val="es-ES"/>
        </w:rPr>
        <w:t>López-</w:t>
      </w:r>
      <w:r w:rsidR="00054B8A" w:rsidRPr="00B8703B">
        <w:rPr>
          <w:rFonts w:asciiTheme="majorHAnsi" w:hAnsiTheme="majorHAnsi"/>
          <w:sz w:val="20"/>
          <w:szCs w:val="20"/>
          <w:lang w:val="es-ES"/>
        </w:rPr>
        <w:t>Mejía</w:t>
      </w:r>
      <w:r w:rsidR="00AE040F" w:rsidRPr="00B8703B">
        <w:rPr>
          <w:rFonts w:asciiTheme="majorHAnsi" w:hAnsiTheme="majorHAnsi"/>
          <w:sz w:val="20"/>
          <w:szCs w:val="20"/>
          <w:lang w:val="es-ES"/>
        </w:rPr>
        <w:t>,</w:t>
      </w:r>
      <w:r w:rsidR="00074241" w:rsidRPr="00B8703B">
        <w:rPr>
          <w:rFonts w:asciiTheme="majorHAnsi" w:hAnsiTheme="majorHAnsi"/>
          <w:sz w:val="20"/>
          <w:szCs w:val="20"/>
          <w:lang w:val="es-ES"/>
        </w:rPr>
        <w:t xml:space="preserve"> y confirmó </w:t>
      </w:r>
      <w:r w:rsidR="00382AC9" w:rsidRPr="00B8703B">
        <w:rPr>
          <w:rFonts w:asciiTheme="majorHAnsi" w:hAnsiTheme="majorHAnsi"/>
          <w:sz w:val="20"/>
          <w:szCs w:val="20"/>
          <w:lang w:val="es-ES"/>
        </w:rPr>
        <w:t>el retiro o expropiación de la finca “La Argentina” de su patrimonio</w:t>
      </w:r>
      <w:r w:rsidR="00054B8A" w:rsidRPr="00B8703B">
        <w:rPr>
          <w:rFonts w:asciiTheme="majorHAnsi" w:hAnsiTheme="majorHAnsi"/>
          <w:sz w:val="20"/>
          <w:szCs w:val="20"/>
          <w:lang w:val="es-ES"/>
        </w:rPr>
        <w:t>.</w:t>
      </w:r>
      <w:r w:rsidR="00DA0E6A" w:rsidRPr="00B8703B">
        <w:rPr>
          <w:rFonts w:asciiTheme="majorHAnsi" w:hAnsiTheme="majorHAnsi"/>
          <w:sz w:val="20"/>
          <w:szCs w:val="20"/>
          <w:lang w:val="es-ES"/>
        </w:rPr>
        <w:t xml:space="preserve"> También refiere que </w:t>
      </w:r>
      <w:r w:rsidR="00EE160B" w:rsidRPr="00B8703B">
        <w:rPr>
          <w:rFonts w:asciiTheme="majorHAnsi" w:hAnsiTheme="majorHAnsi"/>
          <w:sz w:val="20"/>
          <w:szCs w:val="20"/>
          <w:lang w:val="es-ES"/>
        </w:rPr>
        <w:t xml:space="preserve">las presuntas víctimas </w:t>
      </w:r>
      <w:r w:rsidR="00DA0E6A" w:rsidRPr="00B8703B">
        <w:rPr>
          <w:rFonts w:asciiTheme="majorHAnsi" w:hAnsiTheme="majorHAnsi"/>
          <w:sz w:val="20"/>
          <w:szCs w:val="20"/>
          <w:lang w:val="es-ES"/>
        </w:rPr>
        <w:t>promovi</w:t>
      </w:r>
      <w:r w:rsidR="00EE160B" w:rsidRPr="00B8703B">
        <w:rPr>
          <w:rFonts w:asciiTheme="majorHAnsi" w:hAnsiTheme="majorHAnsi"/>
          <w:sz w:val="20"/>
          <w:szCs w:val="20"/>
          <w:lang w:val="es-ES"/>
        </w:rPr>
        <w:t>eron</w:t>
      </w:r>
      <w:r w:rsidR="00DA0E6A" w:rsidRPr="00B8703B">
        <w:rPr>
          <w:rFonts w:asciiTheme="majorHAnsi" w:hAnsiTheme="majorHAnsi"/>
          <w:sz w:val="20"/>
          <w:szCs w:val="20"/>
          <w:lang w:val="es-ES"/>
        </w:rPr>
        <w:t xml:space="preserve"> una acción de tutela contra dicho fallo.</w:t>
      </w:r>
      <w:r w:rsidR="000B185A" w:rsidRPr="00B8703B">
        <w:rPr>
          <w:rFonts w:asciiTheme="majorHAnsi" w:hAnsiTheme="majorHAnsi"/>
          <w:sz w:val="20"/>
          <w:szCs w:val="20"/>
          <w:lang w:val="es-ES"/>
        </w:rPr>
        <w:t xml:space="preserve"> Sin embargo, </w:t>
      </w:r>
      <w:r w:rsidR="000B185A" w:rsidRPr="00B8703B">
        <w:rPr>
          <w:rFonts w:asciiTheme="majorHAnsi" w:hAnsiTheme="majorHAnsi"/>
          <w:sz w:val="20"/>
          <w:szCs w:val="20"/>
          <w:lang w:val="es-ES"/>
        </w:rPr>
        <w:lastRenderedPageBreak/>
        <w:t>ésta fue rechazada en ambas instancias en 2021</w:t>
      </w:r>
      <w:r w:rsidR="00E965BC" w:rsidRPr="00B8703B">
        <w:rPr>
          <w:rFonts w:asciiTheme="majorHAnsi" w:hAnsiTheme="majorHAnsi"/>
          <w:sz w:val="20"/>
          <w:szCs w:val="20"/>
          <w:lang w:val="es-ES"/>
        </w:rPr>
        <w:t>;</w:t>
      </w:r>
      <w:r w:rsidR="000B185A" w:rsidRPr="00B8703B">
        <w:rPr>
          <w:rFonts w:asciiTheme="majorHAnsi" w:hAnsiTheme="majorHAnsi"/>
          <w:sz w:val="20"/>
          <w:szCs w:val="20"/>
          <w:lang w:val="es-ES"/>
        </w:rPr>
        <w:t xml:space="preserve"> y</w:t>
      </w:r>
      <w:r w:rsidR="00E965BC" w:rsidRPr="00B8703B">
        <w:rPr>
          <w:rFonts w:asciiTheme="majorHAnsi" w:hAnsiTheme="majorHAnsi"/>
          <w:sz w:val="20"/>
          <w:szCs w:val="20"/>
          <w:lang w:val="es-ES"/>
        </w:rPr>
        <w:t xml:space="preserve"> finalmente</w:t>
      </w:r>
      <w:r w:rsidR="000B185A" w:rsidRPr="00B8703B">
        <w:rPr>
          <w:rFonts w:asciiTheme="majorHAnsi" w:hAnsiTheme="majorHAnsi"/>
          <w:sz w:val="20"/>
          <w:szCs w:val="20"/>
          <w:lang w:val="es-ES"/>
        </w:rPr>
        <w:t xml:space="preserve"> la Corte Constitucional decidió no seleccionar el expediente para revisión </w:t>
      </w:r>
      <w:r w:rsidR="00AE26C9" w:rsidRPr="00B8703B">
        <w:rPr>
          <w:rFonts w:asciiTheme="majorHAnsi" w:hAnsiTheme="majorHAnsi"/>
          <w:sz w:val="20"/>
          <w:szCs w:val="20"/>
          <w:lang w:val="es-ES"/>
        </w:rPr>
        <w:t>el 28 de septiembre de 2021.</w:t>
      </w:r>
    </w:p>
    <w:p w14:paraId="54E95A0B" w14:textId="0C85D9E0" w:rsidR="00433272" w:rsidRPr="00B8703B" w:rsidRDefault="00D51C6E"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En suma, el peticionario a</w:t>
      </w:r>
      <w:r w:rsidR="00433272" w:rsidRPr="00B8703B">
        <w:rPr>
          <w:rFonts w:asciiTheme="majorHAnsi" w:hAnsiTheme="majorHAnsi"/>
          <w:sz w:val="20"/>
          <w:szCs w:val="20"/>
          <w:lang w:val="es-ES"/>
        </w:rPr>
        <w:t xml:space="preserve">lega la violación de la garantía judicial del plazo razonable debido al retardo </w:t>
      </w:r>
      <w:r w:rsidR="008315A8" w:rsidRPr="00B8703B">
        <w:rPr>
          <w:rFonts w:asciiTheme="majorHAnsi" w:hAnsiTheme="majorHAnsi"/>
          <w:sz w:val="20"/>
          <w:szCs w:val="20"/>
          <w:lang w:val="es-ES"/>
        </w:rPr>
        <w:t xml:space="preserve">de casi nueve años </w:t>
      </w:r>
      <w:r w:rsidR="006E6FB8" w:rsidRPr="00B8703B">
        <w:rPr>
          <w:rFonts w:asciiTheme="majorHAnsi" w:hAnsiTheme="majorHAnsi"/>
          <w:sz w:val="20"/>
          <w:szCs w:val="20"/>
          <w:lang w:val="es-ES"/>
        </w:rPr>
        <w:t>en la emisión de la sentencia de segunda instancia</w:t>
      </w:r>
      <w:r w:rsidR="008E0642" w:rsidRPr="00B8703B">
        <w:rPr>
          <w:rFonts w:asciiTheme="majorHAnsi" w:hAnsiTheme="majorHAnsi"/>
          <w:sz w:val="20"/>
          <w:szCs w:val="20"/>
          <w:lang w:val="es-ES"/>
        </w:rPr>
        <w:t xml:space="preserve"> y por la duración </w:t>
      </w:r>
      <w:r w:rsidR="008315A8" w:rsidRPr="00B8703B">
        <w:rPr>
          <w:rFonts w:asciiTheme="majorHAnsi" w:hAnsiTheme="majorHAnsi"/>
          <w:sz w:val="20"/>
          <w:szCs w:val="20"/>
          <w:lang w:val="es-ES"/>
        </w:rPr>
        <w:t xml:space="preserve">de 20 años </w:t>
      </w:r>
      <w:r w:rsidR="008E0642" w:rsidRPr="00B8703B">
        <w:rPr>
          <w:rFonts w:asciiTheme="majorHAnsi" w:hAnsiTheme="majorHAnsi"/>
          <w:sz w:val="20"/>
          <w:szCs w:val="20"/>
          <w:lang w:val="es-ES"/>
        </w:rPr>
        <w:t>del proceso</w:t>
      </w:r>
      <w:r w:rsidR="006E6FB8" w:rsidRPr="00B8703B">
        <w:rPr>
          <w:rFonts w:asciiTheme="majorHAnsi" w:hAnsiTheme="majorHAnsi"/>
          <w:sz w:val="20"/>
          <w:szCs w:val="20"/>
          <w:lang w:val="es-ES"/>
        </w:rPr>
        <w:t>.</w:t>
      </w:r>
      <w:r w:rsidR="008315A8" w:rsidRPr="00B8703B">
        <w:rPr>
          <w:rFonts w:asciiTheme="majorHAnsi" w:hAnsiTheme="majorHAnsi"/>
          <w:sz w:val="20"/>
          <w:szCs w:val="20"/>
          <w:lang w:val="es-ES"/>
        </w:rPr>
        <w:t xml:space="preserve"> También </w:t>
      </w:r>
      <w:r w:rsidR="006C4ABD" w:rsidRPr="00B8703B">
        <w:rPr>
          <w:rFonts w:asciiTheme="majorHAnsi" w:hAnsiTheme="majorHAnsi"/>
          <w:sz w:val="20"/>
          <w:szCs w:val="20"/>
          <w:lang w:val="es-ES"/>
        </w:rPr>
        <w:t xml:space="preserve">aduce </w:t>
      </w:r>
      <w:r w:rsidR="008315A8" w:rsidRPr="00B8703B">
        <w:rPr>
          <w:rFonts w:asciiTheme="majorHAnsi" w:hAnsiTheme="majorHAnsi"/>
          <w:sz w:val="20"/>
          <w:szCs w:val="20"/>
          <w:lang w:val="es-ES"/>
        </w:rPr>
        <w:t xml:space="preserve">que los fallos </w:t>
      </w:r>
      <w:r w:rsidR="006C4ABD" w:rsidRPr="00B8703B">
        <w:rPr>
          <w:rFonts w:asciiTheme="majorHAnsi" w:hAnsiTheme="majorHAnsi"/>
          <w:sz w:val="20"/>
          <w:szCs w:val="20"/>
          <w:lang w:val="es-ES"/>
        </w:rPr>
        <w:t xml:space="preserve">del proceso </w:t>
      </w:r>
      <w:r w:rsidR="008315A8" w:rsidRPr="00B8703B">
        <w:rPr>
          <w:rFonts w:asciiTheme="majorHAnsi" w:hAnsiTheme="majorHAnsi"/>
          <w:sz w:val="20"/>
          <w:szCs w:val="20"/>
          <w:lang w:val="es-ES"/>
        </w:rPr>
        <w:t xml:space="preserve">fueron injustos y desconocieron la prueba vertida en </w:t>
      </w:r>
      <w:r w:rsidR="003F3624" w:rsidRPr="00B8703B">
        <w:rPr>
          <w:rFonts w:asciiTheme="majorHAnsi" w:hAnsiTheme="majorHAnsi"/>
          <w:sz w:val="20"/>
          <w:szCs w:val="20"/>
          <w:lang w:val="es-ES"/>
        </w:rPr>
        <w:t xml:space="preserve">ambas </w:t>
      </w:r>
      <w:r w:rsidR="00931860" w:rsidRPr="00B8703B">
        <w:rPr>
          <w:rFonts w:asciiTheme="majorHAnsi" w:hAnsiTheme="majorHAnsi"/>
          <w:sz w:val="20"/>
          <w:szCs w:val="20"/>
          <w:lang w:val="es-ES"/>
        </w:rPr>
        <w:t>instancia</w:t>
      </w:r>
      <w:r w:rsidR="003F3624" w:rsidRPr="00B8703B">
        <w:rPr>
          <w:rFonts w:asciiTheme="majorHAnsi" w:hAnsiTheme="majorHAnsi"/>
          <w:sz w:val="20"/>
          <w:szCs w:val="20"/>
          <w:lang w:val="es-ES"/>
        </w:rPr>
        <w:t>s</w:t>
      </w:r>
      <w:r w:rsidR="00A97703" w:rsidRPr="00B8703B">
        <w:rPr>
          <w:rFonts w:asciiTheme="majorHAnsi" w:hAnsiTheme="majorHAnsi"/>
          <w:sz w:val="20"/>
          <w:szCs w:val="20"/>
          <w:lang w:val="es-ES"/>
        </w:rPr>
        <w:t xml:space="preserve">, lo que deriva en </w:t>
      </w:r>
      <w:r w:rsidR="00A35008" w:rsidRPr="00B8703B">
        <w:rPr>
          <w:rFonts w:asciiTheme="majorHAnsi" w:hAnsiTheme="majorHAnsi"/>
          <w:sz w:val="20"/>
          <w:szCs w:val="20"/>
          <w:lang w:val="es-ES"/>
        </w:rPr>
        <w:t xml:space="preserve">una violación del derecho a la propiedad privada, </w:t>
      </w:r>
      <w:r w:rsidR="00FF4833" w:rsidRPr="00B8703B">
        <w:rPr>
          <w:rFonts w:asciiTheme="majorHAnsi" w:hAnsiTheme="majorHAnsi"/>
          <w:sz w:val="20"/>
          <w:szCs w:val="20"/>
          <w:lang w:val="es-ES"/>
        </w:rPr>
        <w:t xml:space="preserve">consagrado en el artículo 21.2 de la Convención, según el cual, el Estado debe </w:t>
      </w:r>
      <w:r w:rsidR="00C55E08" w:rsidRPr="00B8703B">
        <w:rPr>
          <w:rFonts w:asciiTheme="majorHAnsi" w:hAnsiTheme="majorHAnsi"/>
          <w:sz w:val="20"/>
          <w:szCs w:val="20"/>
          <w:lang w:val="es-ES"/>
        </w:rPr>
        <w:t xml:space="preserve">sujetarse al pago de una justa indemnización para </w:t>
      </w:r>
      <w:r w:rsidR="00FB692D" w:rsidRPr="00B8703B">
        <w:rPr>
          <w:rFonts w:asciiTheme="majorHAnsi" w:hAnsiTheme="majorHAnsi"/>
          <w:sz w:val="20"/>
          <w:szCs w:val="20"/>
          <w:lang w:val="es-ES"/>
        </w:rPr>
        <w:t>privar a una persona de sus bienes por razones de utilidad pública o interés social, lo cual no sucedió en el presente caso.</w:t>
      </w:r>
    </w:p>
    <w:p w14:paraId="2355E2CA" w14:textId="7D13CD33" w:rsidR="00A00CC4" w:rsidRPr="00B8703B" w:rsidRDefault="00AF77C8"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El peticionario a</w:t>
      </w:r>
      <w:r w:rsidR="00A00CC4" w:rsidRPr="00B8703B">
        <w:rPr>
          <w:rFonts w:asciiTheme="majorHAnsi" w:hAnsiTheme="majorHAnsi"/>
          <w:sz w:val="20"/>
          <w:szCs w:val="20"/>
          <w:lang w:val="es-ES"/>
        </w:rPr>
        <w:t xml:space="preserve">rguye que la figura de extinción de dominio en Colombia ha sido </w:t>
      </w:r>
      <w:r w:rsidR="00692957" w:rsidRPr="00B8703B">
        <w:rPr>
          <w:rFonts w:asciiTheme="majorHAnsi" w:hAnsiTheme="majorHAnsi"/>
          <w:sz w:val="20"/>
          <w:szCs w:val="20"/>
          <w:lang w:val="es-ES"/>
        </w:rPr>
        <w:t>problemática</w:t>
      </w:r>
      <w:r w:rsidR="00A00CC4" w:rsidRPr="00B8703B">
        <w:rPr>
          <w:rFonts w:asciiTheme="majorHAnsi" w:hAnsiTheme="majorHAnsi"/>
          <w:sz w:val="20"/>
          <w:szCs w:val="20"/>
          <w:lang w:val="es-ES"/>
        </w:rPr>
        <w:t xml:space="preserve"> porque no se ajusta al principio de proporcionalida</w:t>
      </w:r>
      <w:r w:rsidR="00933B04" w:rsidRPr="00B8703B">
        <w:rPr>
          <w:rFonts w:asciiTheme="majorHAnsi" w:hAnsiTheme="majorHAnsi"/>
          <w:sz w:val="20"/>
          <w:szCs w:val="20"/>
          <w:lang w:val="es-ES"/>
        </w:rPr>
        <w:t>d;</w:t>
      </w:r>
      <w:r w:rsidR="00D461DC" w:rsidRPr="00B8703B">
        <w:rPr>
          <w:rFonts w:asciiTheme="majorHAnsi" w:hAnsiTheme="majorHAnsi"/>
          <w:sz w:val="20"/>
          <w:szCs w:val="20"/>
          <w:lang w:val="es-ES"/>
        </w:rPr>
        <w:t xml:space="preserve"> afecta los bienes de terceros adquiridos de buena fe</w:t>
      </w:r>
      <w:r w:rsidR="00933B04" w:rsidRPr="00B8703B">
        <w:rPr>
          <w:rFonts w:asciiTheme="majorHAnsi" w:hAnsiTheme="majorHAnsi"/>
          <w:sz w:val="20"/>
          <w:szCs w:val="20"/>
          <w:lang w:val="es-ES"/>
        </w:rPr>
        <w:t>;</w:t>
      </w:r>
      <w:r w:rsidR="00D461DC" w:rsidRPr="00B8703B">
        <w:rPr>
          <w:rFonts w:asciiTheme="majorHAnsi" w:hAnsiTheme="majorHAnsi"/>
          <w:sz w:val="20"/>
          <w:szCs w:val="20"/>
          <w:lang w:val="es-ES"/>
        </w:rPr>
        <w:t xml:space="preserve"> </w:t>
      </w:r>
      <w:r w:rsidRPr="00B8703B">
        <w:rPr>
          <w:rFonts w:asciiTheme="majorHAnsi" w:hAnsiTheme="majorHAnsi"/>
          <w:sz w:val="20"/>
          <w:szCs w:val="20"/>
          <w:lang w:val="es-ES"/>
        </w:rPr>
        <w:t xml:space="preserve">y </w:t>
      </w:r>
      <w:r w:rsidR="00D461DC" w:rsidRPr="00B8703B">
        <w:rPr>
          <w:rFonts w:asciiTheme="majorHAnsi" w:hAnsiTheme="majorHAnsi"/>
          <w:sz w:val="20"/>
          <w:szCs w:val="20"/>
          <w:lang w:val="es-ES"/>
        </w:rPr>
        <w:t>carece de un término de prescripción y de respeto a las garantías mínimas del debido proceso.</w:t>
      </w:r>
      <w:r w:rsidR="00F234A8" w:rsidRPr="00B8703B">
        <w:rPr>
          <w:rFonts w:asciiTheme="majorHAnsi" w:hAnsiTheme="majorHAnsi"/>
          <w:sz w:val="20"/>
          <w:szCs w:val="20"/>
          <w:lang w:val="es-ES"/>
        </w:rPr>
        <w:t xml:space="preserve"> En el caso concreto, </w:t>
      </w:r>
      <w:r w:rsidRPr="00B8703B">
        <w:rPr>
          <w:rFonts w:asciiTheme="majorHAnsi" w:hAnsiTheme="majorHAnsi"/>
          <w:sz w:val="20"/>
          <w:szCs w:val="20"/>
          <w:lang w:val="es-ES"/>
        </w:rPr>
        <w:t>sostiene</w:t>
      </w:r>
      <w:r w:rsidR="000215A3" w:rsidRPr="00B8703B">
        <w:rPr>
          <w:rFonts w:asciiTheme="majorHAnsi" w:hAnsiTheme="majorHAnsi"/>
          <w:sz w:val="20"/>
          <w:szCs w:val="20"/>
          <w:lang w:val="es-ES"/>
        </w:rPr>
        <w:t xml:space="preserve"> que la figura permitió </w:t>
      </w:r>
      <w:r w:rsidR="00E878B4" w:rsidRPr="00B8703B">
        <w:rPr>
          <w:rFonts w:asciiTheme="majorHAnsi" w:hAnsiTheme="majorHAnsi"/>
          <w:sz w:val="20"/>
          <w:szCs w:val="20"/>
          <w:lang w:val="es-ES"/>
        </w:rPr>
        <w:t>privar a las presuntas víctimas de su propiedad mediante una inversión de la carga de la prueba</w:t>
      </w:r>
      <w:r w:rsidR="00777BFB" w:rsidRPr="00B8703B">
        <w:rPr>
          <w:rFonts w:asciiTheme="majorHAnsi" w:hAnsiTheme="majorHAnsi"/>
          <w:sz w:val="20"/>
          <w:szCs w:val="20"/>
          <w:lang w:val="es-ES"/>
        </w:rPr>
        <w:t xml:space="preserve">, imponiéndoles el deber de </w:t>
      </w:r>
      <w:r w:rsidR="00E56DBC" w:rsidRPr="00B8703B">
        <w:rPr>
          <w:rFonts w:asciiTheme="majorHAnsi" w:hAnsiTheme="majorHAnsi"/>
          <w:sz w:val="20"/>
          <w:szCs w:val="20"/>
          <w:lang w:val="es-ES"/>
        </w:rPr>
        <w:t>demostrar que tenían la capacidad económica para adquirir el inmueble, y pese que a lo probaron el Tribunal mantuvo la confiscación del bien.</w:t>
      </w:r>
      <w:r w:rsidR="007A35AE" w:rsidRPr="00B8703B">
        <w:rPr>
          <w:rFonts w:asciiTheme="majorHAnsi" w:hAnsiTheme="majorHAnsi"/>
          <w:sz w:val="20"/>
          <w:szCs w:val="20"/>
          <w:lang w:val="es-ES"/>
        </w:rPr>
        <w:t xml:space="preserve"> Asimismo, asegura que de acuerdo con la legislación interna </w:t>
      </w:r>
      <w:r w:rsidR="008D4840" w:rsidRPr="00B8703B">
        <w:rPr>
          <w:rFonts w:asciiTheme="majorHAnsi" w:hAnsiTheme="majorHAnsi"/>
          <w:sz w:val="20"/>
          <w:szCs w:val="20"/>
          <w:lang w:val="es-ES"/>
        </w:rPr>
        <w:t xml:space="preserve">y la jurisprudencia constitucional reciente, </w:t>
      </w:r>
      <w:r w:rsidR="007A35AE" w:rsidRPr="00B8703B">
        <w:rPr>
          <w:rFonts w:asciiTheme="majorHAnsi" w:hAnsiTheme="majorHAnsi"/>
          <w:sz w:val="20"/>
          <w:szCs w:val="20"/>
          <w:lang w:val="es-ES"/>
        </w:rPr>
        <w:t xml:space="preserve">se debe respetar los derechos de terceros de buena fe </w:t>
      </w:r>
      <w:r w:rsidR="00DC02F1" w:rsidRPr="00B8703B">
        <w:rPr>
          <w:rFonts w:asciiTheme="majorHAnsi" w:hAnsiTheme="majorHAnsi"/>
          <w:sz w:val="20"/>
          <w:szCs w:val="20"/>
          <w:lang w:val="es-ES"/>
        </w:rPr>
        <w:t>y garantizar la seguridad jurídica.</w:t>
      </w:r>
    </w:p>
    <w:p w14:paraId="142267EB" w14:textId="3AB5A48B" w:rsidR="00890DA0" w:rsidRPr="00B8703B" w:rsidRDefault="00125980" w:rsidP="005660BA">
      <w:pPr>
        <w:pStyle w:val="ListParagraph"/>
        <w:numPr>
          <w:ilvl w:val="0"/>
          <w:numId w:val="0"/>
        </w:numPr>
        <w:ind w:firstLine="720"/>
        <w:jc w:val="both"/>
        <w:rPr>
          <w:rFonts w:asciiTheme="majorHAnsi" w:hAnsiTheme="majorHAnsi"/>
          <w:b/>
          <w:bCs/>
          <w:sz w:val="20"/>
          <w:szCs w:val="20"/>
          <w:lang w:val="es-ES"/>
        </w:rPr>
      </w:pPr>
      <w:r w:rsidRPr="00B8703B">
        <w:rPr>
          <w:rFonts w:asciiTheme="majorHAnsi" w:hAnsiTheme="majorHAnsi"/>
          <w:b/>
          <w:bCs/>
          <w:sz w:val="20"/>
          <w:szCs w:val="20"/>
          <w:lang w:val="es-ES"/>
        </w:rPr>
        <w:t xml:space="preserve">El </w:t>
      </w:r>
      <w:r w:rsidR="00890DA0" w:rsidRPr="00B8703B">
        <w:rPr>
          <w:rFonts w:asciiTheme="majorHAnsi" w:hAnsiTheme="majorHAnsi"/>
          <w:b/>
          <w:bCs/>
          <w:sz w:val="20"/>
          <w:szCs w:val="20"/>
          <w:lang w:val="es-ES"/>
        </w:rPr>
        <w:t>Estado</w:t>
      </w:r>
      <w:r w:rsidRPr="00B8703B">
        <w:rPr>
          <w:rFonts w:asciiTheme="majorHAnsi" w:hAnsiTheme="majorHAnsi"/>
          <w:b/>
          <w:bCs/>
          <w:sz w:val="20"/>
          <w:szCs w:val="20"/>
          <w:lang w:val="es-ES"/>
        </w:rPr>
        <w:t xml:space="preserve"> </w:t>
      </w:r>
      <w:r w:rsidR="00F1760D" w:rsidRPr="00B8703B">
        <w:rPr>
          <w:rFonts w:asciiTheme="majorHAnsi" w:hAnsiTheme="majorHAnsi"/>
          <w:b/>
          <w:bCs/>
          <w:sz w:val="20"/>
          <w:szCs w:val="20"/>
          <w:lang w:val="es-ES"/>
        </w:rPr>
        <w:t>colombiano</w:t>
      </w:r>
    </w:p>
    <w:p w14:paraId="6429C921" w14:textId="4F5899C7" w:rsidR="00952571" w:rsidRPr="00B8703B" w:rsidRDefault="00B34358"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sz w:val="20"/>
          <w:szCs w:val="20"/>
          <w:lang w:val="es-ES"/>
        </w:rPr>
        <w:t>E</w:t>
      </w:r>
      <w:r w:rsidR="00B93D7F" w:rsidRPr="00B8703B">
        <w:rPr>
          <w:rFonts w:asciiTheme="majorHAnsi" w:hAnsiTheme="majorHAnsi"/>
          <w:sz w:val="20"/>
          <w:szCs w:val="20"/>
          <w:lang w:val="es-ES"/>
        </w:rPr>
        <w:t>l Es</w:t>
      </w:r>
      <w:r w:rsidR="003F5154" w:rsidRPr="00B8703B">
        <w:rPr>
          <w:rFonts w:asciiTheme="majorHAnsi" w:hAnsiTheme="majorHAnsi"/>
          <w:sz w:val="20"/>
          <w:szCs w:val="20"/>
          <w:lang w:val="es-ES"/>
        </w:rPr>
        <w:t xml:space="preserve">tado, </w:t>
      </w:r>
      <w:r w:rsidRPr="00B8703B">
        <w:rPr>
          <w:rFonts w:asciiTheme="majorHAnsi" w:hAnsiTheme="majorHAnsi"/>
          <w:sz w:val="20"/>
          <w:szCs w:val="20"/>
          <w:lang w:val="es-ES"/>
        </w:rPr>
        <w:t xml:space="preserve">por su parte, </w:t>
      </w:r>
      <w:r w:rsidR="00F46E68" w:rsidRPr="00B8703B">
        <w:rPr>
          <w:rFonts w:asciiTheme="majorHAnsi" w:hAnsiTheme="majorHAnsi"/>
          <w:sz w:val="20"/>
          <w:szCs w:val="20"/>
          <w:lang w:val="es-ES"/>
        </w:rPr>
        <w:t>replica que la presente petición</w:t>
      </w:r>
      <w:r w:rsidR="00D84E08" w:rsidRPr="00B8703B">
        <w:rPr>
          <w:rFonts w:asciiTheme="majorHAnsi" w:hAnsiTheme="majorHAnsi"/>
          <w:sz w:val="20"/>
          <w:szCs w:val="20"/>
          <w:lang w:val="es-ES"/>
        </w:rPr>
        <w:t xml:space="preserve"> es inadmisible por cuanto los hechos en ella expuestos no caracterizan violaciones a la Convención Americana, y por falta de agotamiento de los recursos internos</w:t>
      </w:r>
      <w:r w:rsidR="003F5154" w:rsidRPr="00B8703B">
        <w:rPr>
          <w:rFonts w:asciiTheme="majorHAnsi" w:hAnsiTheme="majorHAnsi"/>
          <w:sz w:val="20"/>
          <w:szCs w:val="20"/>
          <w:lang w:val="es-ES"/>
        </w:rPr>
        <w:t>.</w:t>
      </w:r>
      <w:r w:rsidR="001A4E05" w:rsidRPr="00B8703B">
        <w:rPr>
          <w:rFonts w:asciiTheme="majorHAnsi" w:hAnsiTheme="majorHAnsi"/>
          <w:sz w:val="20"/>
          <w:szCs w:val="20"/>
          <w:lang w:val="es-ES"/>
        </w:rPr>
        <w:t xml:space="preserve"> En primer lugar, </w:t>
      </w:r>
      <w:r w:rsidR="00952571" w:rsidRPr="00B8703B">
        <w:rPr>
          <w:rFonts w:asciiTheme="majorHAnsi" w:hAnsiTheme="majorHAnsi"/>
          <w:bCs/>
          <w:sz w:val="20"/>
          <w:szCs w:val="20"/>
          <w:lang w:val="es-ES"/>
        </w:rPr>
        <w:t>plantea que</w:t>
      </w:r>
      <w:r w:rsidR="006119D0" w:rsidRPr="00B8703B">
        <w:rPr>
          <w:rFonts w:asciiTheme="majorHAnsi" w:hAnsiTheme="majorHAnsi"/>
          <w:bCs/>
          <w:sz w:val="20"/>
          <w:szCs w:val="20"/>
          <w:lang w:val="es-ES"/>
        </w:rPr>
        <w:t xml:space="preserve"> la presente petición es inadmisible porque incurre en la denominada “fórmula de la cuarta instancia internacional”.</w:t>
      </w:r>
      <w:r w:rsidR="00EC227B" w:rsidRPr="00B8703B">
        <w:rPr>
          <w:rFonts w:asciiTheme="majorHAnsi" w:hAnsiTheme="majorHAnsi"/>
          <w:bCs/>
          <w:sz w:val="20"/>
          <w:szCs w:val="20"/>
          <w:lang w:val="es-ES"/>
        </w:rPr>
        <w:t xml:space="preserve"> </w:t>
      </w:r>
      <w:r w:rsidR="005E5EF2" w:rsidRPr="00B8703B">
        <w:rPr>
          <w:rFonts w:asciiTheme="majorHAnsi" w:hAnsiTheme="majorHAnsi"/>
          <w:bCs/>
          <w:sz w:val="20"/>
          <w:szCs w:val="20"/>
          <w:lang w:val="es-ES"/>
        </w:rPr>
        <w:t>Así, la</w:t>
      </w:r>
      <w:r w:rsidR="00952571" w:rsidRPr="00B8703B">
        <w:rPr>
          <w:rFonts w:asciiTheme="majorHAnsi" w:hAnsiTheme="majorHAnsi"/>
          <w:bCs/>
          <w:sz w:val="20"/>
          <w:szCs w:val="20"/>
          <w:lang w:val="es-ES"/>
        </w:rPr>
        <w:t xml:space="preserve"> petición resulta</w:t>
      </w:r>
      <w:r w:rsidR="005E5EF2" w:rsidRPr="00B8703B">
        <w:rPr>
          <w:rFonts w:asciiTheme="majorHAnsi" w:hAnsiTheme="majorHAnsi"/>
          <w:bCs/>
          <w:sz w:val="20"/>
          <w:szCs w:val="20"/>
          <w:lang w:val="es-ES"/>
        </w:rPr>
        <w:t>ría</w:t>
      </w:r>
      <w:r w:rsidR="00952571" w:rsidRPr="00B8703B">
        <w:rPr>
          <w:rFonts w:asciiTheme="majorHAnsi" w:hAnsiTheme="majorHAnsi"/>
          <w:bCs/>
          <w:sz w:val="20"/>
          <w:szCs w:val="20"/>
          <w:lang w:val="es-ES"/>
        </w:rPr>
        <w:t xml:space="preserve"> inadmisible, de conformidad con el artículo 47.b</w:t>
      </w:r>
      <w:r w:rsidR="00C20D44" w:rsidRPr="00B8703B">
        <w:rPr>
          <w:rFonts w:asciiTheme="majorHAnsi" w:hAnsiTheme="majorHAnsi"/>
          <w:bCs/>
          <w:sz w:val="20"/>
          <w:szCs w:val="20"/>
          <w:lang w:val="es-ES"/>
        </w:rPr>
        <w:t>)</w:t>
      </w:r>
      <w:r w:rsidR="00952571" w:rsidRPr="00B8703B">
        <w:rPr>
          <w:rFonts w:asciiTheme="majorHAnsi" w:hAnsiTheme="majorHAnsi"/>
          <w:bCs/>
          <w:sz w:val="20"/>
          <w:szCs w:val="20"/>
          <w:lang w:val="es-ES"/>
        </w:rPr>
        <w:t xml:space="preserve"> de la Convención, cuando se limita a afirmar que el fallo fue equivocado o injusto en sí mismo, pues la función de la CIDH es garantizar la observancia de las obligaciones asumidas por los Estados y no hacer las veces de tribunal de alzada para examinar supuestos errores de hecho o de derecho.</w:t>
      </w:r>
    </w:p>
    <w:p w14:paraId="68A417B2" w14:textId="218045BD" w:rsidR="00B93D7F" w:rsidRPr="00B8703B" w:rsidRDefault="00952571"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bCs/>
          <w:sz w:val="20"/>
          <w:szCs w:val="20"/>
          <w:lang w:val="es-ES"/>
        </w:rPr>
        <w:t xml:space="preserve">En el presente </w:t>
      </w:r>
      <w:r w:rsidR="00C20D44" w:rsidRPr="00B8703B">
        <w:rPr>
          <w:rFonts w:asciiTheme="majorHAnsi" w:hAnsiTheme="majorHAnsi"/>
          <w:bCs/>
          <w:sz w:val="20"/>
          <w:szCs w:val="20"/>
          <w:lang w:val="es-ES"/>
        </w:rPr>
        <w:t>asunto</w:t>
      </w:r>
      <w:r w:rsidRPr="00B8703B">
        <w:rPr>
          <w:rFonts w:asciiTheme="majorHAnsi" w:hAnsiTheme="majorHAnsi"/>
          <w:bCs/>
          <w:sz w:val="20"/>
          <w:szCs w:val="20"/>
          <w:lang w:val="es-ES"/>
        </w:rPr>
        <w:t xml:space="preserve"> </w:t>
      </w:r>
      <w:r w:rsidR="00DF375B" w:rsidRPr="00B8703B">
        <w:rPr>
          <w:rFonts w:asciiTheme="majorHAnsi" w:hAnsiTheme="majorHAnsi"/>
          <w:bCs/>
          <w:sz w:val="20"/>
          <w:szCs w:val="20"/>
          <w:lang w:val="es-ES"/>
        </w:rPr>
        <w:t xml:space="preserve">estima que el objeto de la petición </w:t>
      </w:r>
      <w:r w:rsidR="00657E9D" w:rsidRPr="00B8703B">
        <w:rPr>
          <w:rFonts w:asciiTheme="majorHAnsi" w:hAnsiTheme="majorHAnsi"/>
          <w:bCs/>
          <w:sz w:val="20"/>
          <w:szCs w:val="20"/>
          <w:lang w:val="es-ES"/>
        </w:rPr>
        <w:t>es la supuesta vulneración del plazo razonable en la resolución del proceso de extinción de dominio</w:t>
      </w:r>
      <w:r w:rsidR="00E12FB2" w:rsidRPr="00B8703B">
        <w:rPr>
          <w:rFonts w:asciiTheme="majorHAnsi" w:hAnsiTheme="majorHAnsi"/>
          <w:bCs/>
          <w:sz w:val="20"/>
          <w:szCs w:val="20"/>
          <w:lang w:val="es-ES"/>
        </w:rPr>
        <w:t>;</w:t>
      </w:r>
      <w:r w:rsidR="00A849E7" w:rsidRPr="00B8703B">
        <w:rPr>
          <w:rFonts w:asciiTheme="majorHAnsi" w:hAnsiTheme="majorHAnsi"/>
          <w:bCs/>
          <w:sz w:val="20"/>
          <w:szCs w:val="20"/>
          <w:lang w:val="es-ES"/>
        </w:rPr>
        <w:t xml:space="preserve"> </w:t>
      </w:r>
      <w:r w:rsidR="00EA1028" w:rsidRPr="00B8703B">
        <w:rPr>
          <w:rFonts w:asciiTheme="majorHAnsi" w:hAnsiTheme="majorHAnsi"/>
          <w:bCs/>
          <w:sz w:val="20"/>
          <w:szCs w:val="20"/>
          <w:lang w:val="es-ES"/>
        </w:rPr>
        <w:t>del debido proceso</w:t>
      </w:r>
      <w:r w:rsidR="00E12FB2" w:rsidRPr="00B8703B">
        <w:rPr>
          <w:rFonts w:asciiTheme="majorHAnsi" w:hAnsiTheme="majorHAnsi"/>
          <w:bCs/>
          <w:sz w:val="20"/>
          <w:szCs w:val="20"/>
          <w:lang w:val="es-ES"/>
        </w:rPr>
        <w:t>;</w:t>
      </w:r>
      <w:r w:rsidR="00EA1028" w:rsidRPr="00B8703B">
        <w:rPr>
          <w:rFonts w:asciiTheme="majorHAnsi" w:hAnsiTheme="majorHAnsi"/>
          <w:bCs/>
          <w:sz w:val="20"/>
          <w:szCs w:val="20"/>
          <w:lang w:val="es-ES"/>
        </w:rPr>
        <w:t xml:space="preserve"> y la falta de medidas adecuadas de indemnización para limitar el derecho a la propiedad privada.</w:t>
      </w:r>
      <w:r w:rsidR="00BD6FF8" w:rsidRPr="00B8703B">
        <w:rPr>
          <w:rFonts w:asciiTheme="majorHAnsi" w:hAnsiTheme="majorHAnsi"/>
          <w:bCs/>
          <w:sz w:val="20"/>
          <w:szCs w:val="20"/>
          <w:lang w:val="es-ES"/>
        </w:rPr>
        <w:t xml:space="preserve"> Sobre el primer aspecto, </w:t>
      </w:r>
      <w:r w:rsidR="0067602D" w:rsidRPr="00B8703B">
        <w:rPr>
          <w:rFonts w:asciiTheme="majorHAnsi" w:hAnsiTheme="majorHAnsi"/>
          <w:bCs/>
          <w:sz w:val="20"/>
          <w:szCs w:val="20"/>
          <w:lang w:val="es-ES"/>
        </w:rPr>
        <w:t>Colombia aduce</w:t>
      </w:r>
      <w:r w:rsidR="00BD6FF8" w:rsidRPr="00B8703B">
        <w:rPr>
          <w:rFonts w:asciiTheme="majorHAnsi" w:hAnsiTheme="majorHAnsi"/>
          <w:bCs/>
          <w:sz w:val="20"/>
          <w:szCs w:val="20"/>
          <w:lang w:val="es-ES"/>
        </w:rPr>
        <w:t xml:space="preserve"> que </w:t>
      </w:r>
      <w:r w:rsidR="006E1941" w:rsidRPr="00B8703B">
        <w:rPr>
          <w:rFonts w:asciiTheme="majorHAnsi" w:hAnsiTheme="majorHAnsi"/>
          <w:bCs/>
          <w:sz w:val="20"/>
          <w:szCs w:val="20"/>
          <w:lang w:val="es-ES"/>
        </w:rPr>
        <w:t xml:space="preserve">el mero lapso </w:t>
      </w:r>
      <w:r w:rsidR="00061ACC" w:rsidRPr="00B8703B">
        <w:rPr>
          <w:rFonts w:asciiTheme="majorHAnsi" w:hAnsiTheme="majorHAnsi"/>
          <w:bCs/>
          <w:sz w:val="20"/>
          <w:szCs w:val="20"/>
          <w:lang w:val="es-ES"/>
        </w:rPr>
        <w:t>p</w:t>
      </w:r>
      <w:r w:rsidR="006E1941" w:rsidRPr="00B8703B">
        <w:rPr>
          <w:rFonts w:asciiTheme="majorHAnsi" w:hAnsiTheme="majorHAnsi"/>
          <w:bCs/>
          <w:sz w:val="20"/>
          <w:szCs w:val="20"/>
          <w:lang w:val="es-ES"/>
        </w:rPr>
        <w:t xml:space="preserve">rolongado no configura </w:t>
      </w:r>
      <w:r w:rsidR="006E1941" w:rsidRPr="00B8703B">
        <w:rPr>
          <w:rFonts w:asciiTheme="majorHAnsi" w:hAnsiTheme="majorHAnsi"/>
          <w:bCs/>
          <w:i/>
          <w:iCs/>
          <w:sz w:val="20"/>
          <w:szCs w:val="20"/>
          <w:lang w:val="es-ES"/>
        </w:rPr>
        <w:t>per se</w:t>
      </w:r>
      <w:r w:rsidR="006E1941" w:rsidRPr="00B8703B">
        <w:rPr>
          <w:rFonts w:asciiTheme="majorHAnsi" w:hAnsiTheme="majorHAnsi"/>
          <w:bCs/>
          <w:sz w:val="20"/>
          <w:szCs w:val="20"/>
          <w:lang w:val="es-ES"/>
        </w:rPr>
        <w:t xml:space="preserve"> una violación del plazo razonable, </w:t>
      </w:r>
      <w:r w:rsidR="00164139" w:rsidRPr="00B8703B">
        <w:rPr>
          <w:rFonts w:asciiTheme="majorHAnsi" w:hAnsiTheme="majorHAnsi"/>
          <w:bCs/>
          <w:sz w:val="20"/>
          <w:szCs w:val="20"/>
          <w:lang w:val="es-ES"/>
        </w:rPr>
        <w:t>puesto que se debe analizar la complejidad del proceso, los periodos de inactividad, y los recursos interpuestos por las partes.</w:t>
      </w:r>
      <w:r w:rsidR="00615577" w:rsidRPr="00B8703B">
        <w:rPr>
          <w:rFonts w:asciiTheme="majorHAnsi" w:hAnsiTheme="majorHAnsi"/>
          <w:bCs/>
          <w:sz w:val="20"/>
          <w:szCs w:val="20"/>
          <w:lang w:val="es-ES"/>
        </w:rPr>
        <w:t xml:space="preserve"> Sostiene que la duración del proceso se debió a la </w:t>
      </w:r>
      <w:r w:rsidR="00274F4B" w:rsidRPr="00B8703B">
        <w:rPr>
          <w:rFonts w:asciiTheme="majorHAnsi" w:hAnsiTheme="majorHAnsi"/>
          <w:bCs/>
          <w:sz w:val="20"/>
          <w:szCs w:val="20"/>
          <w:lang w:val="es-ES"/>
        </w:rPr>
        <w:t>carga laboral que afrontan los despachos judiciales</w:t>
      </w:r>
      <w:r w:rsidR="00061ACC" w:rsidRPr="00B8703B">
        <w:rPr>
          <w:rFonts w:asciiTheme="majorHAnsi" w:hAnsiTheme="majorHAnsi"/>
          <w:bCs/>
          <w:sz w:val="20"/>
          <w:szCs w:val="20"/>
          <w:lang w:val="es-ES"/>
        </w:rPr>
        <w:t>;</w:t>
      </w:r>
      <w:r w:rsidR="00274F4B" w:rsidRPr="00B8703B">
        <w:rPr>
          <w:rFonts w:asciiTheme="majorHAnsi" w:hAnsiTheme="majorHAnsi"/>
          <w:bCs/>
          <w:sz w:val="20"/>
          <w:szCs w:val="20"/>
          <w:lang w:val="es-ES"/>
        </w:rPr>
        <w:t xml:space="preserve"> </w:t>
      </w:r>
      <w:r w:rsidR="00061ACC" w:rsidRPr="00B8703B">
        <w:rPr>
          <w:rFonts w:asciiTheme="majorHAnsi" w:hAnsiTheme="majorHAnsi"/>
          <w:bCs/>
          <w:sz w:val="20"/>
          <w:szCs w:val="20"/>
          <w:lang w:val="es-ES"/>
        </w:rPr>
        <w:t>y</w:t>
      </w:r>
      <w:r w:rsidR="00274F4B" w:rsidRPr="00B8703B">
        <w:rPr>
          <w:rFonts w:asciiTheme="majorHAnsi" w:hAnsiTheme="majorHAnsi"/>
          <w:bCs/>
          <w:sz w:val="20"/>
          <w:szCs w:val="20"/>
          <w:lang w:val="es-ES"/>
        </w:rPr>
        <w:t xml:space="preserve"> que el proceso de extinción de dominio es complejo</w:t>
      </w:r>
      <w:r w:rsidR="00AD16DE" w:rsidRPr="00B8703B">
        <w:rPr>
          <w:rFonts w:asciiTheme="majorHAnsi" w:hAnsiTheme="majorHAnsi"/>
          <w:bCs/>
          <w:sz w:val="20"/>
          <w:szCs w:val="20"/>
          <w:lang w:val="es-ES"/>
        </w:rPr>
        <w:t>, en especial en el marco de transacciones económicas que se imputan realizadas a organizaciones del crimen transnacional.</w:t>
      </w:r>
      <w:r w:rsidR="00733CEF" w:rsidRPr="00B8703B">
        <w:rPr>
          <w:rFonts w:asciiTheme="majorHAnsi" w:hAnsiTheme="majorHAnsi"/>
          <w:bCs/>
          <w:sz w:val="20"/>
          <w:szCs w:val="20"/>
          <w:lang w:val="es-ES"/>
        </w:rPr>
        <w:t xml:space="preserve"> Agrega que</w:t>
      </w:r>
      <w:r w:rsidR="00C30BD5" w:rsidRPr="00B8703B">
        <w:rPr>
          <w:rFonts w:asciiTheme="majorHAnsi" w:hAnsiTheme="majorHAnsi"/>
          <w:bCs/>
          <w:sz w:val="20"/>
          <w:szCs w:val="20"/>
          <w:lang w:val="es-ES"/>
        </w:rPr>
        <w:t xml:space="preserve"> en</w:t>
      </w:r>
      <w:r w:rsidR="00733CEF" w:rsidRPr="00B8703B">
        <w:rPr>
          <w:rFonts w:asciiTheme="majorHAnsi" w:hAnsiTheme="majorHAnsi"/>
          <w:bCs/>
          <w:sz w:val="20"/>
          <w:szCs w:val="20"/>
          <w:lang w:val="es-ES"/>
        </w:rPr>
        <w:t xml:space="preserve"> </w:t>
      </w:r>
      <w:r w:rsidR="00C30BD5" w:rsidRPr="00B8703B">
        <w:rPr>
          <w:rFonts w:asciiTheme="majorHAnsi" w:hAnsiTheme="majorHAnsi"/>
          <w:bCs/>
          <w:sz w:val="20"/>
          <w:szCs w:val="20"/>
          <w:lang w:val="es-ES"/>
        </w:rPr>
        <w:t xml:space="preserve">el trámite interno se surtieron múltiples diligencias </w:t>
      </w:r>
      <w:r w:rsidR="00B76530" w:rsidRPr="00B8703B">
        <w:rPr>
          <w:rFonts w:asciiTheme="majorHAnsi" w:hAnsiTheme="majorHAnsi"/>
          <w:bCs/>
          <w:sz w:val="20"/>
          <w:szCs w:val="20"/>
          <w:lang w:val="es-ES"/>
        </w:rPr>
        <w:t>y se practicaron muchas pruebas solicitadas por</w:t>
      </w:r>
      <w:r w:rsidR="00A03418" w:rsidRPr="00B8703B">
        <w:rPr>
          <w:rFonts w:asciiTheme="majorHAnsi" w:hAnsiTheme="majorHAnsi"/>
          <w:bCs/>
          <w:sz w:val="20"/>
          <w:szCs w:val="20"/>
          <w:lang w:val="es-ES"/>
        </w:rPr>
        <w:t xml:space="preserve">que se </w:t>
      </w:r>
      <w:r w:rsidR="007422DF" w:rsidRPr="00B8703B">
        <w:rPr>
          <w:rFonts w:asciiTheme="majorHAnsi" w:hAnsiTheme="majorHAnsi"/>
          <w:bCs/>
          <w:sz w:val="20"/>
          <w:szCs w:val="20"/>
          <w:lang w:val="es-ES"/>
        </w:rPr>
        <w:t xml:space="preserve">procesó de manera conjunta la extinción de dominio de 45 inmuebles, </w:t>
      </w:r>
      <w:r w:rsidR="004F0FBF" w:rsidRPr="00B8703B">
        <w:rPr>
          <w:rFonts w:asciiTheme="majorHAnsi" w:hAnsiTheme="majorHAnsi"/>
          <w:bCs/>
          <w:sz w:val="20"/>
          <w:szCs w:val="20"/>
          <w:lang w:val="es-ES"/>
        </w:rPr>
        <w:t>cinco</w:t>
      </w:r>
      <w:r w:rsidR="007422DF" w:rsidRPr="00B8703B">
        <w:rPr>
          <w:rFonts w:asciiTheme="majorHAnsi" w:hAnsiTheme="majorHAnsi"/>
          <w:bCs/>
          <w:sz w:val="20"/>
          <w:szCs w:val="20"/>
          <w:lang w:val="es-ES"/>
        </w:rPr>
        <w:t xml:space="preserve"> sociedades, </w:t>
      </w:r>
      <w:r w:rsidR="004F0FBF" w:rsidRPr="00B8703B">
        <w:rPr>
          <w:rFonts w:asciiTheme="majorHAnsi" w:hAnsiTheme="majorHAnsi"/>
          <w:bCs/>
          <w:sz w:val="20"/>
          <w:szCs w:val="20"/>
          <w:lang w:val="es-ES"/>
        </w:rPr>
        <w:t>once</w:t>
      </w:r>
      <w:r w:rsidR="007422DF" w:rsidRPr="00B8703B">
        <w:rPr>
          <w:rFonts w:asciiTheme="majorHAnsi" w:hAnsiTheme="majorHAnsi"/>
          <w:bCs/>
          <w:sz w:val="20"/>
          <w:szCs w:val="20"/>
          <w:lang w:val="es-ES"/>
        </w:rPr>
        <w:t xml:space="preserve"> establecimientos de comercio y </w:t>
      </w:r>
      <w:r w:rsidR="004F0FBF" w:rsidRPr="00B8703B">
        <w:rPr>
          <w:rFonts w:asciiTheme="majorHAnsi" w:hAnsiTheme="majorHAnsi"/>
          <w:bCs/>
          <w:sz w:val="20"/>
          <w:szCs w:val="20"/>
          <w:lang w:val="es-ES"/>
        </w:rPr>
        <w:t>siete</w:t>
      </w:r>
      <w:r w:rsidR="007422DF" w:rsidRPr="00B8703B">
        <w:rPr>
          <w:rFonts w:asciiTheme="majorHAnsi" w:hAnsiTheme="majorHAnsi"/>
          <w:bCs/>
          <w:sz w:val="20"/>
          <w:szCs w:val="20"/>
          <w:lang w:val="es-ES"/>
        </w:rPr>
        <w:t xml:space="preserve"> vehículos.</w:t>
      </w:r>
    </w:p>
    <w:p w14:paraId="59ABD775" w14:textId="1FCF6A2B" w:rsidR="00CA48CA" w:rsidRPr="00B8703B" w:rsidRDefault="001A6F3D"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bCs/>
          <w:sz w:val="20"/>
          <w:szCs w:val="20"/>
          <w:lang w:val="es-ES"/>
        </w:rPr>
        <w:t xml:space="preserve">Asimismo, </w:t>
      </w:r>
      <w:r w:rsidR="000C2113" w:rsidRPr="00B8703B">
        <w:rPr>
          <w:rFonts w:asciiTheme="majorHAnsi" w:hAnsiTheme="majorHAnsi"/>
          <w:bCs/>
          <w:sz w:val="20"/>
          <w:szCs w:val="20"/>
          <w:lang w:val="es-ES"/>
        </w:rPr>
        <w:t>explica que l</w:t>
      </w:r>
      <w:r w:rsidR="000F68C2" w:rsidRPr="00B8703B">
        <w:rPr>
          <w:rFonts w:asciiTheme="majorHAnsi" w:hAnsiTheme="majorHAnsi"/>
          <w:bCs/>
          <w:sz w:val="20"/>
          <w:szCs w:val="20"/>
          <w:lang w:val="es-ES"/>
        </w:rPr>
        <w:t>a acción de extinción de dominio responde a la necesidad de generar medios efectivos para combatir el narcotráfico y la corrupción</w:t>
      </w:r>
      <w:r w:rsidR="00FE6260" w:rsidRPr="00B8703B">
        <w:rPr>
          <w:rFonts w:asciiTheme="majorHAnsi" w:hAnsiTheme="majorHAnsi"/>
          <w:bCs/>
          <w:sz w:val="20"/>
          <w:szCs w:val="20"/>
          <w:lang w:val="es-ES"/>
        </w:rPr>
        <w:t xml:space="preserve"> con el objetivo de evitar la obtención de lucro mediante conductas que atenten contra los fines del Estado</w:t>
      </w:r>
      <w:r w:rsidR="009B01A2" w:rsidRPr="00B8703B">
        <w:rPr>
          <w:rFonts w:asciiTheme="majorHAnsi" w:hAnsiTheme="majorHAnsi"/>
          <w:bCs/>
          <w:sz w:val="20"/>
          <w:szCs w:val="20"/>
          <w:lang w:val="es-ES"/>
        </w:rPr>
        <w:t>. Enfatiza además que</w:t>
      </w:r>
      <w:r w:rsidR="002A19B2" w:rsidRPr="00B8703B">
        <w:rPr>
          <w:rFonts w:asciiTheme="majorHAnsi" w:hAnsiTheme="majorHAnsi"/>
          <w:bCs/>
          <w:sz w:val="20"/>
          <w:szCs w:val="20"/>
          <w:lang w:val="es-ES"/>
        </w:rPr>
        <w:t xml:space="preserve"> </w:t>
      </w:r>
      <w:r w:rsidR="00057286" w:rsidRPr="00B8703B">
        <w:rPr>
          <w:rFonts w:asciiTheme="majorHAnsi" w:hAnsiTheme="majorHAnsi"/>
          <w:bCs/>
          <w:sz w:val="20"/>
          <w:szCs w:val="20"/>
          <w:lang w:val="es-ES"/>
        </w:rPr>
        <w:t>es un instrumento no constitutivo de pena</w:t>
      </w:r>
      <w:r w:rsidR="00FE6260" w:rsidRPr="00B8703B">
        <w:rPr>
          <w:rFonts w:asciiTheme="majorHAnsi" w:hAnsiTheme="majorHAnsi"/>
          <w:bCs/>
          <w:sz w:val="20"/>
          <w:szCs w:val="20"/>
          <w:lang w:val="es-ES"/>
        </w:rPr>
        <w:t>.</w:t>
      </w:r>
      <w:r w:rsidR="00BC0138" w:rsidRPr="00B8703B">
        <w:rPr>
          <w:rFonts w:asciiTheme="majorHAnsi" w:hAnsiTheme="majorHAnsi"/>
          <w:bCs/>
          <w:sz w:val="20"/>
          <w:szCs w:val="20"/>
          <w:lang w:val="es-ES"/>
        </w:rPr>
        <w:t xml:space="preserve"> </w:t>
      </w:r>
      <w:r w:rsidR="00DD1689" w:rsidRPr="00B8703B">
        <w:rPr>
          <w:rFonts w:asciiTheme="majorHAnsi" w:hAnsiTheme="majorHAnsi"/>
          <w:bCs/>
          <w:sz w:val="20"/>
          <w:szCs w:val="20"/>
          <w:lang w:val="es-ES"/>
        </w:rPr>
        <w:t>Por ello, no aplica el principio de presunción de inocencia, ya que no se trata</w:t>
      </w:r>
      <w:r w:rsidR="00B44725" w:rsidRPr="00B8703B">
        <w:rPr>
          <w:rFonts w:asciiTheme="majorHAnsi" w:hAnsiTheme="majorHAnsi"/>
          <w:bCs/>
          <w:sz w:val="20"/>
          <w:szCs w:val="20"/>
          <w:lang w:val="es-ES"/>
        </w:rPr>
        <w:t>ría</w:t>
      </w:r>
      <w:r w:rsidR="00DD1689" w:rsidRPr="00B8703B">
        <w:rPr>
          <w:rFonts w:asciiTheme="majorHAnsi" w:hAnsiTheme="majorHAnsi"/>
          <w:bCs/>
          <w:sz w:val="20"/>
          <w:szCs w:val="20"/>
          <w:lang w:val="es-ES"/>
        </w:rPr>
        <w:t xml:space="preserve"> de un ejercicio del poder punitivo del Estado. </w:t>
      </w:r>
      <w:r w:rsidR="00BC0138" w:rsidRPr="00B8703B">
        <w:rPr>
          <w:rFonts w:asciiTheme="majorHAnsi" w:hAnsiTheme="majorHAnsi"/>
          <w:bCs/>
          <w:sz w:val="20"/>
          <w:szCs w:val="20"/>
          <w:lang w:val="es-ES"/>
        </w:rPr>
        <w:t>En esa medida, opera una distribu</w:t>
      </w:r>
      <w:r w:rsidR="00EB755E" w:rsidRPr="00B8703B">
        <w:rPr>
          <w:rFonts w:asciiTheme="majorHAnsi" w:hAnsiTheme="majorHAnsi"/>
          <w:bCs/>
          <w:sz w:val="20"/>
          <w:szCs w:val="20"/>
          <w:lang w:val="es-ES"/>
        </w:rPr>
        <w:t>ción de la carga de la prueba entre el Estado y el titular del bien</w:t>
      </w:r>
      <w:r w:rsidR="00EF0ADB" w:rsidRPr="00B8703B">
        <w:rPr>
          <w:rFonts w:asciiTheme="majorHAnsi" w:hAnsiTheme="majorHAnsi"/>
          <w:bCs/>
          <w:sz w:val="20"/>
          <w:szCs w:val="20"/>
          <w:lang w:val="es-ES"/>
        </w:rPr>
        <w:t>, ambos deben probar o desvirtuar la licitud o ilicitud de la compraventa</w:t>
      </w:r>
      <w:r w:rsidR="008B6592" w:rsidRPr="00B8703B">
        <w:rPr>
          <w:rFonts w:asciiTheme="majorHAnsi" w:hAnsiTheme="majorHAnsi"/>
          <w:bCs/>
          <w:sz w:val="20"/>
          <w:szCs w:val="20"/>
          <w:lang w:val="es-ES"/>
        </w:rPr>
        <w:t xml:space="preserve">, por lo cual </w:t>
      </w:r>
      <w:r w:rsidR="007A454C" w:rsidRPr="00B8703B">
        <w:rPr>
          <w:rFonts w:asciiTheme="majorHAnsi" w:hAnsiTheme="majorHAnsi"/>
          <w:bCs/>
          <w:sz w:val="20"/>
          <w:szCs w:val="20"/>
          <w:lang w:val="es-ES"/>
        </w:rPr>
        <w:t>concluye</w:t>
      </w:r>
      <w:r w:rsidR="008B6592" w:rsidRPr="00B8703B">
        <w:rPr>
          <w:rFonts w:asciiTheme="majorHAnsi" w:hAnsiTheme="majorHAnsi"/>
          <w:bCs/>
          <w:sz w:val="20"/>
          <w:szCs w:val="20"/>
          <w:lang w:val="es-ES"/>
        </w:rPr>
        <w:t xml:space="preserve"> que no existió una vulneración de las garantías judiciales de las presuntas víctimas en el</w:t>
      </w:r>
      <w:r w:rsidR="00BB11DB" w:rsidRPr="00B8703B">
        <w:rPr>
          <w:rFonts w:asciiTheme="majorHAnsi" w:hAnsiTheme="majorHAnsi"/>
          <w:bCs/>
          <w:sz w:val="20"/>
          <w:szCs w:val="20"/>
          <w:lang w:val="es-ES"/>
        </w:rPr>
        <w:t xml:space="preserve"> </w:t>
      </w:r>
      <w:r w:rsidR="008B6592" w:rsidRPr="00B8703B">
        <w:rPr>
          <w:rFonts w:asciiTheme="majorHAnsi" w:hAnsiTheme="majorHAnsi"/>
          <w:bCs/>
          <w:sz w:val="20"/>
          <w:szCs w:val="20"/>
          <w:lang w:val="es-ES"/>
        </w:rPr>
        <w:t>proceso</w:t>
      </w:r>
      <w:r w:rsidR="00DD1689" w:rsidRPr="00B8703B">
        <w:rPr>
          <w:rFonts w:asciiTheme="majorHAnsi" w:hAnsiTheme="majorHAnsi"/>
          <w:bCs/>
          <w:sz w:val="20"/>
          <w:szCs w:val="20"/>
          <w:lang w:val="es-ES"/>
        </w:rPr>
        <w:t>.</w:t>
      </w:r>
    </w:p>
    <w:p w14:paraId="72C5FDED" w14:textId="3167E507" w:rsidR="00F067B1" w:rsidRPr="00B8703B" w:rsidRDefault="00E15740"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bCs/>
          <w:sz w:val="20"/>
          <w:szCs w:val="20"/>
          <w:lang w:val="es-ES"/>
        </w:rPr>
        <w:t xml:space="preserve">En el caso concreto, </w:t>
      </w:r>
      <w:r w:rsidR="007A454C" w:rsidRPr="00B8703B">
        <w:rPr>
          <w:rFonts w:asciiTheme="majorHAnsi" w:hAnsiTheme="majorHAnsi"/>
          <w:bCs/>
          <w:sz w:val="20"/>
          <w:szCs w:val="20"/>
          <w:lang w:val="es-ES"/>
        </w:rPr>
        <w:t>Colombia alega</w:t>
      </w:r>
      <w:r w:rsidRPr="00B8703B">
        <w:rPr>
          <w:rFonts w:asciiTheme="majorHAnsi" w:hAnsiTheme="majorHAnsi"/>
          <w:bCs/>
          <w:sz w:val="20"/>
          <w:szCs w:val="20"/>
          <w:lang w:val="es-ES"/>
        </w:rPr>
        <w:t xml:space="preserve"> que los tribunales internos encontraron múltiples incongruencias sobre la procedencia de los recursos para adquirir los </w:t>
      </w:r>
      <w:r w:rsidR="00876FD0" w:rsidRPr="00B8703B">
        <w:rPr>
          <w:rFonts w:asciiTheme="majorHAnsi" w:hAnsiTheme="majorHAnsi"/>
          <w:bCs/>
          <w:sz w:val="20"/>
          <w:szCs w:val="20"/>
          <w:lang w:val="es-ES"/>
        </w:rPr>
        <w:t>once</w:t>
      </w:r>
      <w:r w:rsidRPr="00B8703B">
        <w:rPr>
          <w:rFonts w:asciiTheme="majorHAnsi" w:hAnsiTheme="majorHAnsi"/>
          <w:bCs/>
          <w:sz w:val="20"/>
          <w:szCs w:val="20"/>
          <w:lang w:val="es-ES"/>
        </w:rPr>
        <w:t xml:space="preserve"> inmuebles que componen la finca “La Argentina”</w:t>
      </w:r>
      <w:r w:rsidR="00876FD0" w:rsidRPr="00B8703B">
        <w:rPr>
          <w:rFonts w:asciiTheme="majorHAnsi" w:hAnsiTheme="majorHAnsi"/>
          <w:bCs/>
          <w:sz w:val="20"/>
          <w:szCs w:val="20"/>
          <w:lang w:val="es-ES"/>
        </w:rPr>
        <w:t>;</w:t>
      </w:r>
      <w:r w:rsidR="00F33EE9" w:rsidRPr="00B8703B">
        <w:rPr>
          <w:rFonts w:asciiTheme="majorHAnsi" w:hAnsiTheme="majorHAnsi"/>
          <w:bCs/>
          <w:sz w:val="20"/>
          <w:szCs w:val="20"/>
          <w:lang w:val="es-ES"/>
        </w:rPr>
        <w:t xml:space="preserve"> y</w:t>
      </w:r>
      <w:r w:rsidR="00876FD0" w:rsidRPr="00B8703B">
        <w:rPr>
          <w:rFonts w:asciiTheme="majorHAnsi" w:hAnsiTheme="majorHAnsi"/>
          <w:bCs/>
          <w:sz w:val="20"/>
          <w:szCs w:val="20"/>
          <w:lang w:val="es-ES"/>
        </w:rPr>
        <w:t xml:space="preserve"> que</w:t>
      </w:r>
      <w:r w:rsidR="00F33EE9" w:rsidRPr="00B8703B">
        <w:rPr>
          <w:rFonts w:asciiTheme="majorHAnsi" w:hAnsiTheme="majorHAnsi"/>
          <w:bCs/>
          <w:sz w:val="20"/>
          <w:szCs w:val="20"/>
          <w:lang w:val="es-ES"/>
        </w:rPr>
        <w:t xml:space="preserve"> </w:t>
      </w:r>
      <w:r w:rsidR="00136C9F" w:rsidRPr="00B8703B">
        <w:rPr>
          <w:rFonts w:asciiTheme="majorHAnsi" w:hAnsiTheme="majorHAnsi"/>
          <w:bCs/>
          <w:sz w:val="20"/>
          <w:szCs w:val="20"/>
          <w:lang w:val="es-ES"/>
        </w:rPr>
        <w:t>debido a la falta de pruebas sobre los recursos, concluyeron que la venta del inmueble fue un acto simulado “</w:t>
      </w:r>
      <w:r w:rsidR="00136C9F" w:rsidRPr="00B8703B">
        <w:rPr>
          <w:rFonts w:asciiTheme="majorHAnsi" w:hAnsiTheme="majorHAnsi"/>
          <w:bCs/>
          <w:i/>
          <w:iCs/>
          <w:sz w:val="20"/>
          <w:szCs w:val="20"/>
          <w:lang w:val="es-ES"/>
        </w:rPr>
        <w:t>con el fin de evadir la acción de las autoridades ante la inminencia del proceso extintivo de dominio contra los bienes de</w:t>
      </w:r>
      <w:r w:rsidR="0091560E" w:rsidRPr="00B8703B">
        <w:rPr>
          <w:rFonts w:asciiTheme="majorHAnsi" w:hAnsiTheme="majorHAnsi"/>
          <w:bCs/>
          <w:i/>
          <w:iCs/>
          <w:sz w:val="20"/>
          <w:szCs w:val="20"/>
          <w:lang w:val="es-ES"/>
        </w:rPr>
        <w:t xml:space="preserve"> Luz Mery Valencia García y sus familiares</w:t>
      </w:r>
      <w:r w:rsidR="0091560E" w:rsidRPr="00B8703B">
        <w:rPr>
          <w:rFonts w:asciiTheme="majorHAnsi" w:hAnsiTheme="majorHAnsi"/>
          <w:bCs/>
          <w:sz w:val="20"/>
          <w:szCs w:val="20"/>
          <w:lang w:val="es-ES"/>
        </w:rPr>
        <w:t>”.</w:t>
      </w:r>
      <w:r w:rsidR="00F067B1" w:rsidRPr="00B8703B">
        <w:rPr>
          <w:rFonts w:asciiTheme="majorHAnsi" w:hAnsiTheme="majorHAnsi"/>
          <w:bCs/>
          <w:sz w:val="20"/>
          <w:szCs w:val="20"/>
          <w:lang w:val="es-ES"/>
        </w:rPr>
        <w:t xml:space="preserve"> </w:t>
      </w:r>
      <w:r w:rsidR="00876FD0" w:rsidRPr="00B8703B">
        <w:rPr>
          <w:rFonts w:asciiTheme="majorHAnsi" w:hAnsiTheme="majorHAnsi"/>
          <w:bCs/>
          <w:sz w:val="20"/>
          <w:szCs w:val="20"/>
          <w:lang w:val="es-ES"/>
        </w:rPr>
        <w:t>De manera</w:t>
      </w:r>
      <w:r w:rsidR="003B2C11" w:rsidRPr="00B8703B">
        <w:rPr>
          <w:rFonts w:asciiTheme="majorHAnsi" w:hAnsiTheme="majorHAnsi"/>
          <w:bCs/>
          <w:sz w:val="20"/>
          <w:szCs w:val="20"/>
          <w:lang w:val="es-ES"/>
        </w:rPr>
        <w:t xml:space="preserve"> que los jueces de primera y segunda instancia tuvieron en cuenta los argumentos, alegatos y pruebas aportados por las presuntas víctimas, </w:t>
      </w:r>
      <w:r w:rsidR="003B2C11" w:rsidRPr="00B8703B">
        <w:rPr>
          <w:rFonts w:asciiTheme="majorHAnsi" w:hAnsiTheme="majorHAnsi"/>
          <w:bCs/>
          <w:sz w:val="20"/>
          <w:szCs w:val="20"/>
          <w:lang w:val="es-ES"/>
        </w:rPr>
        <w:lastRenderedPageBreak/>
        <w:t xml:space="preserve">los cuales fueron citados en las sentencias, </w:t>
      </w:r>
      <w:r w:rsidR="006D5420" w:rsidRPr="00B8703B">
        <w:rPr>
          <w:rFonts w:asciiTheme="majorHAnsi" w:hAnsiTheme="majorHAnsi"/>
          <w:bCs/>
          <w:sz w:val="20"/>
          <w:szCs w:val="20"/>
          <w:lang w:val="es-ES"/>
        </w:rPr>
        <w:t>así</w:t>
      </w:r>
      <w:r w:rsidR="00C50D1A" w:rsidRPr="00B8703B">
        <w:rPr>
          <w:rFonts w:asciiTheme="majorHAnsi" w:hAnsiTheme="majorHAnsi"/>
          <w:bCs/>
          <w:sz w:val="20"/>
          <w:szCs w:val="20"/>
          <w:lang w:val="es-ES"/>
        </w:rPr>
        <w:t xml:space="preserve"> </w:t>
      </w:r>
      <w:r w:rsidR="006D5420" w:rsidRPr="00B8703B">
        <w:rPr>
          <w:rFonts w:asciiTheme="majorHAnsi" w:hAnsiTheme="majorHAnsi"/>
          <w:bCs/>
          <w:sz w:val="20"/>
          <w:szCs w:val="20"/>
          <w:lang w:val="es-ES"/>
        </w:rPr>
        <w:t>en ejercicio de</w:t>
      </w:r>
      <w:r w:rsidR="00C50D1A" w:rsidRPr="00B8703B">
        <w:rPr>
          <w:rFonts w:asciiTheme="majorHAnsi" w:hAnsiTheme="majorHAnsi"/>
          <w:bCs/>
          <w:sz w:val="20"/>
          <w:szCs w:val="20"/>
          <w:lang w:val="es-ES"/>
        </w:rPr>
        <w:t xml:space="preserve"> la libertad de valoración probatoria que les compete consideraron que la compraventa del inmueble no fue lícita.</w:t>
      </w:r>
    </w:p>
    <w:p w14:paraId="33708F10" w14:textId="47567CB9" w:rsidR="00BE2A3B" w:rsidRPr="00B8703B" w:rsidRDefault="00BE2A3B"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bCs/>
          <w:sz w:val="20"/>
          <w:szCs w:val="20"/>
          <w:lang w:val="es-ES"/>
        </w:rPr>
        <w:t xml:space="preserve">De esa manera, </w:t>
      </w:r>
      <w:r w:rsidR="00286C16" w:rsidRPr="00B8703B">
        <w:rPr>
          <w:rFonts w:asciiTheme="majorHAnsi" w:hAnsiTheme="majorHAnsi"/>
          <w:bCs/>
          <w:sz w:val="20"/>
          <w:szCs w:val="20"/>
          <w:lang w:val="es-ES"/>
        </w:rPr>
        <w:t xml:space="preserve">argumenta que </w:t>
      </w:r>
      <w:r w:rsidRPr="00B8703B">
        <w:rPr>
          <w:rFonts w:asciiTheme="majorHAnsi" w:hAnsiTheme="majorHAnsi"/>
          <w:bCs/>
          <w:sz w:val="20"/>
          <w:szCs w:val="20"/>
          <w:lang w:val="es-ES"/>
        </w:rPr>
        <w:t xml:space="preserve">las discrepancias </w:t>
      </w:r>
      <w:r w:rsidR="000D7353" w:rsidRPr="00B8703B">
        <w:rPr>
          <w:rFonts w:asciiTheme="majorHAnsi" w:hAnsiTheme="majorHAnsi"/>
          <w:bCs/>
          <w:sz w:val="20"/>
          <w:szCs w:val="20"/>
          <w:lang w:val="es-ES"/>
        </w:rPr>
        <w:t xml:space="preserve">con la valoración probatoria </w:t>
      </w:r>
      <w:r w:rsidRPr="00B8703B">
        <w:rPr>
          <w:rFonts w:asciiTheme="majorHAnsi" w:hAnsiTheme="majorHAnsi"/>
          <w:bCs/>
          <w:sz w:val="20"/>
          <w:szCs w:val="20"/>
          <w:lang w:val="es-ES"/>
        </w:rPr>
        <w:t xml:space="preserve">que presenta la parte peticionaria </w:t>
      </w:r>
      <w:r w:rsidR="000D7353" w:rsidRPr="00B8703B">
        <w:rPr>
          <w:rFonts w:asciiTheme="majorHAnsi" w:hAnsiTheme="majorHAnsi"/>
          <w:bCs/>
          <w:sz w:val="20"/>
          <w:szCs w:val="20"/>
          <w:lang w:val="es-ES"/>
        </w:rPr>
        <w:t>ante la CIDH fueron debatidas y respondidas a nivel interno</w:t>
      </w:r>
      <w:r w:rsidR="001801D5" w:rsidRPr="00B8703B">
        <w:rPr>
          <w:rFonts w:asciiTheme="majorHAnsi" w:hAnsiTheme="majorHAnsi"/>
          <w:bCs/>
          <w:sz w:val="20"/>
          <w:szCs w:val="20"/>
          <w:lang w:val="es-ES"/>
        </w:rPr>
        <w:t xml:space="preserve">, y los jueces de tutela determinaron que no </w:t>
      </w:r>
      <w:r w:rsidR="009565B6" w:rsidRPr="00B8703B">
        <w:rPr>
          <w:rFonts w:asciiTheme="majorHAnsi" w:hAnsiTheme="majorHAnsi"/>
          <w:bCs/>
          <w:sz w:val="20"/>
          <w:szCs w:val="20"/>
          <w:lang w:val="es-ES"/>
        </w:rPr>
        <w:t>se configuraba</w:t>
      </w:r>
      <w:r w:rsidR="001801D5" w:rsidRPr="00B8703B">
        <w:rPr>
          <w:rFonts w:asciiTheme="majorHAnsi" w:hAnsiTheme="majorHAnsi"/>
          <w:bCs/>
          <w:sz w:val="20"/>
          <w:szCs w:val="20"/>
          <w:lang w:val="es-ES"/>
        </w:rPr>
        <w:t>n las violaciones alegadas.</w:t>
      </w:r>
      <w:r w:rsidR="00EF62CF" w:rsidRPr="00B8703B">
        <w:rPr>
          <w:rFonts w:asciiTheme="majorHAnsi" w:hAnsiTheme="majorHAnsi"/>
          <w:bCs/>
          <w:sz w:val="20"/>
          <w:szCs w:val="20"/>
          <w:lang w:val="es-ES"/>
        </w:rPr>
        <w:t xml:space="preserve"> </w:t>
      </w:r>
      <w:r w:rsidR="00A16556" w:rsidRPr="00B8703B">
        <w:rPr>
          <w:rFonts w:asciiTheme="majorHAnsi" w:hAnsiTheme="majorHAnsi"/>
          <w:bCs/>
          <w:sz w:val="20"/>
          <w:szCs w:val="20"/>
          <w:lang w:val="es-ES"/>
        </w:rPr>
        <w:t xml:space="preserve">Sostiene que </w:t>
      </w:r>
      <w:r w:rsidR="00EF62CF" w:rsidRPr="00B8703B">
        <w:rPr>
          <w:rFonts w:asciiTheme="majorHAnsi" w:hAnsiTheme="majorHAnsi"/>
          <w:bCs/>
          <w:sz w:val="20"/>
          <w:szCs w:val="20"/>
          <w:lang w:val="es-ES"/>
        </w:rPr>
        <w:t>cualquier revisión eventual que adelante la Comisión sobre el proceso en cuestión desconocería los principios de coadyuvancia, complementariedad y subsidiariedad</w:t>
      </w:r>
      <w:r w:rsidR="00C764D5" w:rsidRPr="00B8703B">
        <w:rPr>
          <w:rFonts w:asciiTheme="majorHAnsi" w:hAnsiTheme="majorHAnsi"/>
          <w:bCs/>
          <w:sz w:val="20"/>
          <w:szCs w:val="20"/>
          <w:lang w:val="es-ES"/>
        </w:rPr>
        <w:t xml:space="preserve">. Por lo tanto, estima que la petición incurre en la ‘fórmula de la cuarta instancia’ y corresponde a la CIDH declarar su inadmisibilidad, en la medida en que </w:t>
      </w:r>
      <w:r w:rsidR="003E3B07" w:rsidRPr="00B8703B">
        <w:rPr>
          <w:rFonts w:asciiTheme="majorHAnsi" w:hAnsiTheme="majorHAnsi"/>
          <w:bCs/>
          <w:sz w:val="20"/>
          <w:szCs w:val="20"/>
          <w:lang w:val="es-ES"/>
        </w:rPr>
        <w:t>supone una mera discrepancia con la valoración de la prueba realizada a nivel interno.</w:t>
      </w:r>
    </w:p>
    <w:p w14:paraId="289B31B2" w14:textId="439AFDCF" w:rsidR="00000AE2" w:rsidRPr="00B8703B" w:rsidRDefault="006F46FC"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bCs/>
          <w:sz w:val="20"/>
          <w:szCs w:val="20"/>
          <w:lang w:val="es-ES"/>
        </w:rPr>
        <w:t>En cuanto a la alega</w:t>
      </w:r>
      <w:r w:rsidR="00D33101" w:rsidRPr="00B8703B">
        <w:rPr>
          <w:rFonts w:asciiTheme="majorHAnsi" w:hAnsiTheme="majorHAnsi"/>
          <w:bCs/>
          <w:sz w:val="20"/>
          <w:szCs w:val="20"/>
          <w:lang w:val="es-ES"/>
        </w:rPr>
        <w:t>da</w:t>
      </w:r>
      <w:r w:rsidRPr="00B8703B">
        <w:rPr>
          <w:rFonts w:asciiTheme="majorHAnsi" w:hAnsiTheme="majorHAnsi"/>
          <w:bCs/>
          <w:sz w:val="20"/>
          <w:szCs w:val="20"/>
          <w:lang w:val="es-ES"/>
        </w:rPr>
        <w:t xml:space="preserve"> vulneración del derecho a la propiedad privada, </w:t>
      </w:r>
      <w:r w:rsidR="00A61CF9" w:rsidRPr="00B8703B">
        <w:rPr>
          <w:rFonts w:asciiTheme="majorHAnsi" w:hAnsiTheme="majorHAnsi"/>
          <w:bCs/>
          <w:sz w:val="20"/>
          <w:szCs w:val="20"/>
          <w:lang w:val="es-ES"/>
        </w:rPr>
        <w:t xml:space="preserve">el Estado </w:t>
      </w:r>
      <w:r w:rsidR="00456311" w:rsidRPr="00B8703B">
        <w:rPr>
          <w:rFonts w:asciiTheme="majorHAnsi" w:hAnsiTheme="majorHAnsi"/>
          <w:bCs/>
          <w:sz w:val="20"/>
          <w:szCs w:val="20"/>
          <w:lang w:val="es-ES"/>
        </w:rPr>
        <w:t>detalla</w:t>
      </w:r>
      <w:r w:rsidR="00A61CF9" w:rsidRPr="00B8703B">
        <w:rPr>
          <w:rFonts w:asciiTheme="majorHAnsi" w:hAnsiTheme="majorHAnsi"/>
          <w:bCs/>
          <w:sz w:val="20"/>
          <w:szCs w:val="20"/>
          <w:lang w:val="es-ES"/>
        </w:rPr>
        <w:t xml:space="preserve"> que </w:t>
      </w:r>
      <w:r w:rsidR="00D42920" w:rsidRPr="00B8703B">
        <w:rPr>
          <w:rFonts w:asciiTheme="majorHAnsi" w:hAnsiTheme="majorHAnsi"/>
          <w:bCs/>
          <w:sz w:val="20"/>
          <w:szCs w:val="20"/>
          <w:lang w:val="es-ES"/>
        </w:rPr>
        <w:t xml:space="preserve">la extinción de dominio es una limitación de dicho derecho, prevista en la ley y que persigue una finalidad </w:t>
      </w:r>
      <w:r w:rsidR="00160DD6" w:rsidRPr="00B8703B">
        <w:rPr>
          <w:rFonts w:asciiTheme="majorHAnsi" w:hAnsiTheme="majorHAnsi"/>
          <w:bCs/>
          <w:sz w:val="20"/>
          <w:szCs w:val="20"/>
          <w:lang w:val="es-ES"/>
        </w:rPr>
        <w:t>pública y parte del supuesto de ilicitud de la propiedad, es decir</w:t>
      </w:r>
      <w:r w:rsidR="000060DA" w:rsidRPr="00B8703B">
        <w:rPr>
          <w:rFonts w:asciiTheme="majorHAnsi" w:hAnsiTheme="majorHAnsi"/>
          <w:bCs/>
          <w:sz w:val="20"/>
          <w:szCs w:val="20"/>
          <w:lang w:val="es-ES"/>
        </w:rPr>
        <w:t xml:space="preserve"> se decreta cuando no se logra acreditar que quien ostenta la propiedad sobre un bien lo hace de manera legítima y de conformidad con la ley. </w:t>
      </w:r>
      <w:r w:rsidR="0033501F" w:rsidRPr="00B8703B">
        <w:rPr>
          <w:rFonts w:asciiTheme="majorHAnsi" w:hAnsiTheme="majorHAnsi"/>
          <w:bCs/>
          <w:sz w:val="20"/>
          <w:szCs w:val="20"/>
          <w:lang w:val="es-ES"/>
        </w:rPr>
        <w:t>En ese sentido, aduce que la Corte Constitucional determinó que la acción de extinción de dominio no es una pena</w:t>
      </w:r>
      <w:r w:rsidR="000834D6" w:rsidRPr="00B8703B">
        <w:rPr>
          <w:rFonts w:asciiTheme="majorHAnsi" w:hAnsiTheme="majorHAnsi"/>
          <w:bCs/>
          <w:sz w:val="20"/>
          <w:szCs w:val="20"/>
          <w:lang w:val="es-ES"/>
        </w:rPr>
        <w:t>, en virtud de la cual el Estado prive a una persona de un derecho que tenía, sino que produce una sentencia declarativa sobre la extinción de una apariencia de propiedad</w:t>
      </w:r>
      <w:r w:rsidR="005615A1" w:rsidRPr="00B8703B">
        <w:rPr>
          <w:rFonts w:asciiTheme="majorHAnsi" w:hAnsiTheme="majorHAnsi"/>
          <w:bCs/>
          <w:sz w:val="20"/>
          <w:szCs w:val="20"/>
          <w:lang w:val="es-ES"/>
        </w:rPr>
        <w:t>, pues nunca se consolidó el derecho del titular.</w:t>
      </w:r>
      <w:r w:rsidR="005C37F1" w:rsidRPr="00B8703B">
        <w:rPr>
          <w:rFonts w:asciiTheme="majorHAnsi" w:hAnsiTheme="majorHAnsi"/>
          <w:bCs/>
          <w:sz w:val="20"/>
          <w:szCs w:val="20"/>
          <w:lang w:val="es-ES"/>
        </w:rPr>
        <w:t xml:space="preserve"> Por ello, </w:t>
      </w:r>
      <w:r w:rsidR="000A1830" w:rsidRPr="00B8703B">
        <w:rPr>
          <w:rFonts w:asciiTheme="majorHAnsi" w:hAnsiTheme="majorHAnsi"/>
          <w:bCs/>
          <w:sz w:val="20"/>
          <w:szCs w:val="20"/>
          <w:lang w:val="es-ES"/>
        </w:rPr>
        <w:t>Colombia concluye</w:t>
      </w:r>
      <w:r w:rsidR="005C37F1" w:rsidRPr="00B8703B">
        <w:rPr>
          <w:rFonts w:asciiTheme="majorHAnsi" w:hAnsiTheme="majorHAnsi"/>
          <w:bCs/>
          <w:sz w:val="20"/>
          <w:szCs w:val="20"/>
          <w:lang w:val="es-ES"/>
        </w:rPr>
        <w:t xml:space="preserve"> que </w:t>
      </w:r>
      <w:r w:rsidR="003820B3" w:rsidRPr="00B8703B">
        <w:rPr>
          <w:rFonts w:asciiTheme="majorHAnsi" w:hAnsiTheme="majorHAnsi"/>
          <w:bCs/>
          <w:sz w:val="20"/>
          <w:szCs w:val="20"/>
          <w:lang w:val="es-ES"/>
        </w:rPr>
        <w:t>el reclamo del peticionario no caracteriza</w:t>
      </w:r>
      <w:r w:rsidR="005C37F1" w:rsidRPr="00B8703B">
        <w:rPr>
          <w:rFonts w:asciiTheme="majorHAnsi" w:hAnsiTheme="majorHAnsi"/>
          <w:bCs/>
          <w:sz w:val="20"/>
          <w:szCs w:val="20"/>
          <w:lang w:val="es-ES"/>
        </w:rPr>
        <w:t xml:space="preserve"> una violación del artículo 21 de la Convención</w:t>
      </w:r>
      <w:r w:rsidR="007422D3" w:rsidRPr="00B8703B">
        <w:rPr>
          <w:rFonts w:asciiTheme="majorHAnsi" w:hAnsiTheme="majorHAnsi"/>
          <w:bCs/>
          <w:sz w:val="20"/>
          <w:szCs w:val="20"/>
          <w:lang w:val="es-ES"/>
        </w:rPr>
        <w:t>.</w:t>
      </w:r>
    </w:p>
    <w:p w14:paraId="3D210F0E" w14:textId="0C826EB4" w:rsidR="00A25781" w:rsidRPr="00B8703B" w:rsidRDefault="00F067B1"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bCs/>
          <w:sz w:val="20"/>
          <w:szCs w:val="20"/>
          <w:lang w:val="es-ES"/>
        </w:rPr>
        <w:t xml:space="preserve">Adicionalmente, </w:t>
      </w:r>
      <w:r w:rsidR="00897876" w:rsidRPr="00B8703B">
        <w:rPr>
          <w:rFonts w:asciiTheme="majorHAnsi" w:hAnsiTheme="majorHAnsi"/>
          <w:bCs/>
          <w:sz w:val="20"/>
          <w:szCs w:val="20"/>
          <w:lang w:val="es-ES"/>
        </w:rPr>
        <w:t>a</w:t>
      </w:r>
      <w:r w:rsidR="00A25781" w:rsidRPr="00B8703B">
        <w:rPr>
          <w:rFonts w:asciiTheme="majorHAnsi" w:hAnsiTheme="majorHAnsi"/>
          <w:sz w:val="20"/>
          <w:szCs w:val="20"/>
          <w:lang w:val="es-ES"/>
        </w:rPr>
        <w:t>cerca de</w:t>
      </w:r>
      <w:r w:rsidR="00897876" w:rsidRPr="00B8703B">
        <w:rPr>
          <w:rFonts w:asciiTheme="majorHAnsi" w:hAnsiTheme="majorHAnsi"/>
          <w:sz w:val="20"/>
          <w:szCs w:val="20"/>
          <w:lang w:val="es-ES"/>
        </w:rPr>
        <w:t>l</w:t>
      </w:r>
      <w:r w:rsidR="00A25781" w:rsidRPr="00B8703B">
        <w:rPr>
          <w:rFonts w:asciiTheme="majorHAnsi" w:hAnsiTheme="majorHAnsi"/>
          <w:sz w:val="20"/>
          <w:szCs w:val="20"/>
          <w:lang w:val="es-ES"/>
        </w:rPr>
        <w:t xml:space="preserve"> agotamiento de los recursos internos informa que</w:t>
      </w:r>
      <w:r w:rsidR="00C80E73" w:rsidRPr="00B8703B">
        <w:rPr>
          <w:rFonts w:asciiTheme="majorHAnsi" w:hAnsiTheme="majorHAnsi"/>
          <w:sz w:val="20"/>
          <w:szCs w:val="20"/>
          <w:lang w:val="es-ES"/>
        </w:rPr>
        <w:t xml:space="preserve"> luego de</w:t>
      </w:r>
      <w:r w:rsidR="00A25781" w:rsidRPr="00B8703B">
        <w:rPr>
          <w:rFonts w:asciiTheme="majorHAnsi" w:hAnsiTheme="majorHAnsi"/>
          <w:sz w:val="20"/>
          <w:szCs w:val="20"/>
          <w:lang w:val="es-ES"/>
        </w:rPr>
        <w:t xml:space="preserve"> la </w:t>
      </w:r>
      <w:r w:rsidR="00C3047E" w:rsidRPr="00B8703B">
        <w:rPr>
          <w:rFonts w:asciiTheme="majorHAnsi" w:hAnsiTheme="majorHAnsi"/>
          <w:sz w:val="20"/>
          <w:szCs w:val="20"/>
          <w:lang w:val="es-ES"/>
        </w:rPr>
        <w:t>adopción de la sentencia de segunda instancia en noviembre de 2019, las presuntas víctimas ejercieron una acción de tutela que fue denegada por la Sala de Casación Penal de la Corte Suprema de Justicia en primera instancia el 12 de enero de 2021, y en segunda instancia por la Sala Civil de la misma Corporación el 23 de junio de 2021.</w:t>
      </w:r>
      <w:r w:rsidR="00F26718" w:rsidRPr="00B8703B">
        <w:rPr>
          <w:rFonts w:asciiTheme="majorHAnsi" w:hAnsiTheme="majorHAnsi"/>
          <w:sz w:val="20"/>
          <w:szCs w:val="20"/>
          <w:lang w:val="es-ES"/>
        </w:rPr>
        <w:t xml:space="preserve"> </w:t>
      </w:r>
      <w:r w:rsidR="005E536B" w:rsidRPr="00B8703B">
        <w:rPr>
          <w:rFonts w:asciiTheme="majorHAnsi" w:hAnsiTheme="majorHAnsi"/>
          <w:sz w:val="20"/>
          <w:szCs w:val="20"/>
          <w:lang w:val="es-ES"/>
        </w:rPr>
        <w:t>En particular</w:t>
      </w:r>
      <w:r w:rsidR="00897876" w:rsidRPr="00B8703B">
        <w:rPr>
          <w:rFonts w:asciiTheme="majorHAnsi" w:hAnsiTheme="majorHAnsi"/>
          <w:sz w:val="20"/>
          <w:szCs w:val="20"/>
          <w:lang w:val="es-ES"/>
        </w:rPr>
        <w:t xml:space="preserve">, </w:t>
      </w:r>
      <w:r w:rsidR="005E536B" w:rsidRPr="00B8703B">
        <w:rPr>
          <w:rFonts w:asciiTheme="majorHAnsi" w:hAnsiTheme="majorHAnsi"/>
          <w:sz w:val="20"/>
          <w:szCs w:val="20"/>
          <w:lang w:val="es-ES"/>
        </w:rPr>
        <w:t xml:space="preserve">enfatiza que </w:t>
      </w:r>
      <w:r w:rsidR="00897876" w:rsidRPr="00B8703B">
        <w:rPr>
          <w:rFonts w:asciiTheme="majorHAnsi" w:hAnsiTheme="majorHAnsi"/>
          <w:sz w:val="20"/>
          <w:szCs w:val="20"/>
          <w:lang w:val="es-ES"/>
        </w:rPr>
        <w:t xml:space="preserve">la acción de tutela fue declarada improcedente porque no cumplía con los requisitos </w:t>
      </w:r>
      <w:r w:rsidR="005F7525" w:rsidRPr="00B8703B">
        <w:rPr>
          <w:rFonts w:asciiTheme="majorHAnsi" w:hAnsiTheme="majorHAnsi"/>
          <w:sz w:val="20"/>
          <w:szCs w:val="20"/>
          <w:lang w:val="es-ES"/>
        </w:rPr>
        <w:t>de procedibilidad contra providencias judiciales, en particular con el requisito de inmediatez, esto es, que fuera presentada dentro de los seis meses</w:t>
      </w:r>
      <w:r w:rsidR="000F349C" w:rsidRPr="00B8703B">
        <w:rPr>
          <w:rFonts w:asciiTheme="majorHAnsi" w:hAnsiTheme="majorHAnsi"/>
          <w:sz w:val="20"/>
          <w:szCs w:val="20"/>
          <w:lang w:val="es-ES"/>
        </w:rPr>
        <w:t xml:space="preserve"> siguientes </w:t>
      </w:r>
      <w:r w:rsidR="00624D2E" w:rsidRPr="00B8703B">
        <w:rPr>
          <w:rFonts w:asciiTheme="majorHAnsi" w:hAnsiTheme="majorHAnsi"/>
          <w:sz w:val="20"/>
          <w:szCs w:val="20"/>
          <w:lang w:val="es-ES"/>
        </w:rPr>
        <w:t xml:space="preserve">a la emisión de </w:t>
      </w:r>
      <w:r w:rsidR="000F349C" w:rsidRPr="00B8703B">
        <w:rPr>
          <w:rFonts w:asciiTheme="majorHAnsi" w:hAnsiTheme="majorHAnsi"/>
          <w:sz w:val="20"/>
          <w:szCs w:val="20"/>
          <w:lang w:val="es-ES"/>
        </w:rPr>
        <w:t>la sentencia impugnada.</w:t>
      </w:r>
    </w:p>
    <w:p w14:paraId="0CAFC9D0" w14:textId="04D74AB6" w:rsidR="00BE2A3B" w:rsidRPr="00B8703B" w:rsidRDefault="00154DE4" w:rsidP="005660BA">
      <w:pPr>
        <w:pStyle w:val="ListParagraph"/>
        <w:numPr>
          <w:ilvl w:val="0"/>
          <w:numId w:val="61"/>
        </w:numPr>
        <w:ind w:left="0" w:firstLine="720"/>
        <w:jc w:val="both"/>
        <w:rPr>
          <w:rFonts w:asciiTheme="majorHAnsi" w:hAnsiTheme="majorHAnsi"/>
          <w:bCs/>
          <w:sz w:val="20"/>
          <w:szCs w:val="20"/>
          <w:lang w:val="es-ES"/>
        </w:rPr>
      </w:pPr>
      <w:r w:rsidRPr="00B8703B">
        <w:rPr>
          <w:rFonts w:asciiTheme="majorHAnsi" w:hAnsiTheme="majorHAnsi"/>
          <w:bCs/>
          <w:sz w:val="20"/>
          <w:szCs w:val="20"/>
          <w:lang w:val="es-ES"/>
        </w:rPr>
        <w:t>A la fecha de la presentación de las observaciones de admisibilidad, el Estado indica que la Corte Constitucional no había decidido sobre la eventual revisión del proceso de tutela promovido por el matrimonio López</w:t>
      </w:r>
      <w:r w:rsidR="008600A2" w:rsidRPr="00B8703B">
        <w:rPr>
          <w:rFonts w:asciiTheme="majorHAnsi" w:hAnsiTheme="majorHAnsi"/>
          <w:bCs/>
          <w:sz w:val="20"/>
          <w:szCs w:val="20"/>
          <w:lang w:val="es-ES"/>
        </w:rPr>
        <w:t>-</w:t>
      </w:r>
      <w:r w:rsidR="00A82247" w:rsidRPr="00B8703B">
        <w:rPr>
          <w:rFonts w:asciiTheme="majorHAnsi" w:hAnsiTheme="majorHAnsi"/>
          <w:bCs/>
          <w:sz w:val="20"/>
          <w:szCs w:val="20"/>
          <w:lang w:val="es-ES"/>
        </w:rPr>
        <w:t>Mejía</w:t>
      </w:r>
      <w:r w:rsidRPr="00B8703B">
        <w:rPr>
          <w:rFonts w:asciiTheme="majorHAnsi" w:hAnsiTheme="majorHAnsi"/>
          <w:bCs/>
          <w:sz w:val="20"/>
          <w:szCs w:val="20"/>
          <w:lang w:val="es-ES"/>
        </w:rPr>
        <w:t xml:space="preserve">, </w:t>
      </w:r>
      <w:r w:rsidR="001B0F0A" w:rsidRPr="00B8703B">
        <w:rPr>
          <w:rFonts w:asciiTheme="majorHAnsi" w:hAnsiTheme="majorHAnsi"/>
          <w:bCs/>
          <w:sz w:val="20"/>
          <w:szCs w:val="20"/>
          <w:lang w:val="es-ES"/>
        </w:rPr>
        <w:t xml:space="preserve">por </w:t>
      </w:r>
      <w:r w:rsidRPr="00B8703B">
        <w:rPr>
          <w:rFonts w:asciiTheme="majorHAnsi" w:hAnsiTheme="majorHAnsi"/>
          <w:bCs/>
          <w:sz w:val="20"/>
          <w:szCs w:val="20"/>
          <w:lang w:val="es-ES"/>
        </w:rPr>
        <w:t xml:space="preserve">lo cual, no habrían agotado dicho </w:t>
      </w:r>
      <w:r w:rsidR="0062099E" w:rsidRPr="00B8703B">
        <w:rPr>
          <w:rFonts w:asciiTheme="majorHAnsi" w:hAnsiTheme="majorHAnsi"/>
          <w:bCs/>
          <w:sz w:val="20"/>
          <w:szCs w:val="20"/>
          <w:lang w:val="es-ES"/>
        </w:rPr>
        <w:t>mecanismo, en incumplimiento de los requisitos establecidos en el artículo 46.1.a) de la Convención, con lo que la petición resultaría inadm</w:t>
      </w:r>
      <w:r w:rsidR="00883F34" w:rsidRPr="00B8703B">
        <w:rPr>
          <w:rFonts w:asciiTheme="majorHAnsi" w:hAnsiTheme="majorHAnsi"/>
          <w:bCs/>
          <w:sz w:val="20"/>
          <w:szCs w:val="20"/>
          <w:lang w:val="es-ES"/>
        </w:rPr>
        <w:t>i</w:t>
      </w:r>
      <w:r w:rsidR="0062099E" w:rsidRPr="00B8703B">
        <w:rPr>
          <w:rFonts w:asciiTheme="majorHAnsi" w:hAnsiTheme="majorHAnsi"/>
          <w:bCs/>
          <w:sz w:val="20"/>
          <w:szCs w:val="20"/>
          <w:lang w:val="es-ES"/>
        </w:rPr>
        <w:t>sible.</w:t>
      </w:r>
    </w:p>
    <w:p w14:paraId="51F68C92" w14:textId="77777777" w:rsidR="003239B8" w:rsidRPr="00B8703B" w:rsidRDefault="003239B8" w:rsidP="005660BA">
      <w:pPr>
        <w:spacing w:before="240" w:after="240"/>
        <w:ind w:firstLine="720"/>
        <w:jc w:val="both"/>
        <w:rPr>
          <w:rFonts w:asciiTheme="majorHAnsi" w:hAnsiTheme="majorHAnsi"/>
          <w:sz w:val="20"/>
          <w:szCs w:val="20"/>
          <w:lang w:val="es-ES"/>
        </w:rPr>
      </w:pPr>
      <w:r w:rsidRPr="00B8703B">
        <w:rPr>
          <w:rFonts w:asciiTheme="majorHAnsi" w:eastAsia="Cambria" w:hAnsiTheme="majorHAnsi" w:cs="Cambria"/>
          <w:b/>
          <w:bCs/>
          <w:color w:val="000000"/>
          <w:sz w:val="20"/>
          <w:szCs w:val="20"/>
          <w:u w:color="000000"/>
          <w:lang w:val="es-ES" w:eastAsia="es-ES"/>
        </w:rPr>
        <w:t>VI.</w:t>
      </w:r>
      <w:r w:rsidRPr="00B8703B">
        <w:rPr>
          <w:rFonts w:asciiTheme="majorHAnsi" w:eastAsia="Cambria" w:hAnsiTheme="majorHAnsi" w:cs="Cambria"/>
          <w:b/>
          <w:bCs/>
          <w:color w:val="000000"/>
          <w:sz w:val="20"/>
          <w:szCs w:val="20"/>
          <w:u w:color="000000"/>
          <w:lang w:val="es-ES" w:eastAsia="es-ES"/>
        </w:rPr>
        <w:tab/>
      </w:r>
      <w:r w:rsidR="004A6A54" w:rsidRPr="00B8703B">
        <w:rPr>
          <w:rFonts w:asciiTheme="majorHAnsi" w:hAnsiTheme="majorHAnsi"/>
          <w:b/>
          <w:bCs/>
          <w:sz w:val="20"/>
          <w:szCs w:val="20"/>
          <w:lang w:val="es-ES"/>
        </w:rPr>
        <w:t xml:space="preserve">ANÁLISIS DE </w:t>
      </w:r>
      <w:r w:rsidR="00C21FEF" w:rsidRPr="00B8703B">
        <w:rPr>
          <w:rFonts w:asciiTheme="majorHAnsi" w:hAnsiTheme="majorHAnsi"/>
          <w:b/>
          <w:sz w:val="20"/>
          <w:szCs w:val="20"/>
          <w:lang w:val="es-ES"/>
        </w:rPr>
        <w:t>AGOTAMIENTO DE LOS RECURSOS INTERNOS Y PLAZO DE PRESENTACIÓN</w:t>
      </w:r>
      <w:r w:rsidR="00C21FEF" w:rsidRPr="00B8703B">
        <w:rPr>
          <w:rFonts w:asciiTheme="majorHAnsi" w:eastAsia="Cambria" w:hAnsiTheme="majorHAnsi" w:cs="Cambria"/>
          <w:b/>
          <w:bCs/>
          <w:color w:val="000000"/>
          <w:sz w:val="20"/>
          <w:szCs w:val="20"/>
          <w:u w:color="000000"/>
          <w:lang w:val="es-ES" w:eastAsia="es-ES"/>
        </w:rPr>
        <w:t xml:space="preserve"> </w:t>
      </w:r>
    </w:p>
    <w:p w14:paraId="7A7BA3C3" w14:textId="0A722177" w:rsidR="006C0ECF" w:rsidRPr="00B8703B" w:rsidRDefault="00947685" w:rsidP="005660B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8703B">
        <w:rPr>
          <w:rFonts w:asciiTheme="majorHAnsi" w:hAnsiTheme="majorHAnsi"/>
          <w:sz w:val="20"/>
          <w:szCs w:val="20"/>
          <w:lang w:val="es-ES"/>
        </w:rPr>
        <w:t>La presente petición versa sobre las alegadas violaciones del derecho a la propiedad privada y a las garantías judiciales en el marco de</w:t>
      </w:r>
      <w:r w:rsidR="0048536F" w:rsidRPr="00B8703B">
        <w:rPr>
          <w:rFonts w:asciiTheme="majorHAnsi" w:hAnsiTheme="majorHAnsi"/>
          <w:sz w:val="20"/>
          <w:szCs w:val="20"/>
          <w:lang w:val="es-ES"/>
        </w:rPr>
        <w:t xml:space="preserve"> una acción de extinción de dominio por la cual las presuntas víctimas perdieron la titularidad sobre la finca “La Argentina”. El Estado </w:t>
      </w:r>
      <w:r w:rsidR="008B5E17" w:rsidRPr="00B8703B">
        <w:rPr>
          <w:rFonts w:asciiTheme="majorHAnsi" w:hAnsiTheme="majorHAnsi"/>
          <w:sz w:val="20"/>
          <w:szCs w:val="20"/>
          <w:lang w:val="es-ES"/>
        </w:rPr>
        <w:t>aduce que la parte peticionaria no agotó los recursos internos porque la acción de tutela no se había resuelto al momento de presentar sus observaciones. El peticionario</w:t>
      </w:r>
      <w:r w:rsidR="00700E1C" w:rsidRPr="00B8703B">
        <w:rPr>
          <w:rFonts w:asciiTheme="majorHAnsi" w:hAnsiTheme="majorHAnsi"/>
          <w:sz w:val="20"/>
          <w:szCs w:val="20"/>
          <w:lang w:val="es-ES"/>
        </w:rPr>
        <w:t xml:space="preserve"> a su vez</w:t>
      </w:r>
      <w:r w:rsidR="008B5E17" w:rsidRPr="00B8703B">
        <w:rPr>
          <w:rFonts w:asciiTheme="majorHAnsi" w:hAnsiTheme="majorHAnsi"/>
          <w:sz w:val="20"/>
          <w:szCs w:val="20"/>
          <w:lang w:val="es-ES"/>
        </w:rPr>
        <w:t xml:space="preserve"> replica que los recursos internos quedaron agotados con la decisión de la Corte Constitucional </w:t>
      </w:r>
      <w:r w:rsidR="00DE09EB" w:rsidRPr="00B8703B">
        <w:rPr>
          <w:rFonts w:asciiTheme="majorHAnsi" w:hAnsiTheme="majorHAnsi"/>
          <w:sz w:val="20"/>
          <w:szCs w:val="20"/>
          <w:lang w:val="es-ES"/>
        </w:rPr>
        <w:t>de no revisar el expediente de tutela de 28 de septiembre de 2021.</w:t>
      </w:r>
    </w:p>
    <w:p w14:paraId="7446712A" w14:textId="39AB2C0C" w:rsidR="00ED5E10" w:rsidRPr="00725433" w:rsidRDefault="008A7028" w:rsidP="0DE6CA84">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725433">
        <w:rPr>
          <w:rFonts w:asciiTheme="majorHAnsi" w:hAnsiTheme="majorHAnsi"/>
          <w:sz w:val="20"/>
          <w:szCs w:val="20"/>
          <w:lang w:val="es-ES"/>
        </w:rPr>
        <w:t>El artículo 46.1.a) de la Convención Americana dispone que para que una petición sea admitida se requiere “</w:t>
      </w:r>
      <w:r w:rsidRPr="00725433">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725433">
        <w:rPr>
          <w:rFonts w:asciiTheme="majorHAnsi" w:hAnsiTheme="majorHAnsi"/>
          <w:sz w:val="20"/>
          <w:szCs w:val="20"/>
          <w:lang w:val="es-ES"/>
        </w:rPr>
        <w:t>”.</w:t>
      </w:r>
      <w:r w:rsidR="009A2B68" w:rsidRPr="00725433">
        <w:rPr>
          <w:rFonts w:asciiTheme="majorHAnsi" w:hAnsiTheme="majorHAnsi"/>
          <w:sz w:val="20"/>
          <w:szCs w:val="20"/>
          <w:lang w:val="es-ES"/>
        </w:rPr>
        <w:t xml:space="preserve"> </w:t>
      </w:r>
      <w:r w:rsidR="00902965" w:rsidRPr="00725433">
        <w:rPr>
          <w:rFonts w:asciiTheme="majorHAnsi" w:hAnsiTheme="majorHAnsi"/>
          <w:sz w:val="20"/>
          <w:szCs w:val="20"/>
          <w:lang w:val="es-ES"/>
        </w:rPr>
        <w:t xml:space="preserve">A este respecto, la CIDH ha determinado en reiteradas decisiones que los recursos idóneos a agotar en casos en que se alegan violaciones de las garantías procesales y otros derechos humanos en el curso de procesos </w:t>
      </w:r>
      <w:r w:rsidR="00500FD5" w:rsidRPr="00725433">
        <w:rPr>
          <w:rFonts w:asciiTheme="majorHAnsi" w:hAnsiTheme="majorHAnsi"/>
          <w:sz w:val="20"/>
          <w:szCs w:val="20"/>
          <w:lang w:val="es-ES"/>
        </w:rPr>
        <w:t>judiciales</w:t>
      </w:r>
      <w:r w:rsidR="00902965" w:rsidRPr="00725433">
        <w:rPr>
          <w:rFonts w:asciiTheme="majorHAnsi" w:hAnsiTheme="majorHAnsi"/>
          <w:sz w:val="20"/>
          <w:szCs w:val="20"/>
          <w:lang w:val="es-ES"/>
        </w:rPr>
        <w:t xml:space="preserve"> son, por regla general, aquellos medios provistos por la legislación procesal nacional para impugnar las actuaciones y decisiones adoptadas en el curso del propio proceso cuestionado</w:t>
      </w:r>
      <w:r w:rsidR="00902965" w:rsidRPr="0DE6CA84">
        <w:rPr>
          <w:rFonts w:asciiTheme="majorHAnsi" w:hAnsiTheme="majorHAnsi"/>
          <w:sz w:val="20"/>
          <w:szCs w:val="20"/>
          <w:vertAlign w:val="superscript"/>
        </w:rPr>
        <w:footnoteReference w:id="6"/>
      </w:r>
      <w:r w:rsidR="00902965" w:rsidRPr="00725433">
        <w:rPr>
          <w:rFonts w:asciiTheme="majorHAnsi" w:hAnsiTheme="majorHAnsi"/>
          <w:sz w:val="20"/>
          <w:szCs w:val="20"/>
          <w:lang w:val="es-ES"/>
        </w:rPr>
        <w:t>.</w:t>
      </w:r>
    </w:p>
    <w:p w14:paraId="302F3516" w14:textId="77777777" w:rsidR="004D5EB6" w:rsidRPr="00B8703B" w:rsidRDefault="00503B2C" w:rsidP="005660B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8703B">
        <w:rPr>
          <w:rFonts w:asciiTheme="majorHAnsi" w:hAnsiTheme="majorHAnsi"/>
          <w:bCs/>
          <w:sz w:val="20"/>
          <w:szCs w:val="20"/>
          <w:lang w:val="es-ES"/>
        </w:rPr>
        <w:lastRenderedPageBreak/>
        <w:t xml:space="preserve">Si bien en principio </w:t>
      </w:r>
      <w:r w:rsidR="00500FD5" w:rsidRPr="00B8703B">
        <w:rPr>
          <w:rFonts w:asciiTheme="majorHAnsi" w:hAnsiTheme="majorHAnsi"/>
          <w:bCs/>
          <w:sz w:val="20"/>
          <w:szCs w:val="20"/>
          <w:lang w:val="es-ES"/>
        </w:rPr>
        <w:t>no es necesario</w:t>
      </w:r>
      <w:r w:rsidRPr="00B8703B">
        <w:rPr>
          <w:rFonts w:asciiTheme="majorHAnsi" w:hAnsiTheme="majorHAnsi"/>
          <w:bCs/>
          <w:sz w:val="20"/>
          <w:szCs w:val="20"/>
          <w:lang w:val="es-ES"/>
        </w:rPr>
        <w:t xml:space="preserve"> que las presuntas víctimas ejerzan </w:t>
      </w:r>
      <w:r w:rsidR="00500FD5" w:rsidRPr="00B8703B">
        <w:rPr>
          <w:rFonts w:asciiTheme="majorHAnsi" w:hAnsiTheme="majorHAnsi"/>
          <w:bCs/>
          <w:sz w:val="20"/>
          <w:szCs w:val="20"/>
          <w:lang w:val="es-ES"/>
        </w:rPr>
        <w:t>un recurso extraordinario o una vía procesal adicional para cumplir con el requisito establecido en el artículo 46.1.a) de la Convención</w:t>
      </w:r>
      <w:r w:rsidR="007B61BA" w:rsidRPr="00B8703B">
        <w:rPr>
          <w:rStyle w:val="FootnoteReference"/>
          <w:rFonts w:asciiTheme="majorHAnsi" w:hAnsiTheme="majorHAnsi"/>
          <w:bCs/>
          <w:sz w:val="20"/>
          <w:szCs w:val="20"/>
          <w:lang w:val="es-ES"/>
        </w:rPr>
        <w:footnoteReference w:id="7"/>
      </w:r>
      <w:r w:rsidRPr="00B8703B">
        <w:rPr>
          <w:rFonts w:asciiTheme="majorHAnsi" w:hAnsiTheme="majorHAnsi"/>
          <w:bCs/>
          <w:sz w:val="20"/>
          <w:szCs w:val="20"/>
          <w:lang w:val="es-ES"/>
        </w:rPr>
        <w:t>; a</w:t>
      </w:r>
      <w:r w:rsidR="00500FD5" w:rsidRPr="00B8703B">
        <w:rPr>
          <w:rFonts w:asciiTheme="majorHAnsi" w:hAnsiTheme="majorHAnsi"/>
          <w:bCs/>
          <w:sz w:val="20"/>
          <w:szCs w:val="20"/>
          <w:lang w:val="es-ES"/>
        </w:rPr>
        <w:t xml:space="preserve"> juicio de la Comisión,</w:t>
      </w:r>
      <w:r w:rsidR="0002040D" w:rsidRPr="00B8703B">
        <w:rPr>
          <w:rFonts w:asciiTheme="majorHAnsi" w:hAnsiTheme="majorHAnsi"/>
          <w:sz w:val="20"/>
          <w:szCs w:val="20"/>
          <w:lang w:val="es-ES"/>
        </w:rPr>
        <w:t xml:space="preserve"> si el peticionario opta por presentar recursos extraordinarios, debe agotarlos correctamente de acuerdo con los requisitos establecidos en las normas procesales internas, siempre que estas sean razonables.</w:t>
      </w:r>
    </w:p>
    <w:p w14:paraId="25E42FE4" w14:textId="64988B19" w:rsidR="00D221C4" w:rsidRPr="00B8703B" w:rsidRDefault="0002040D" w:rsidP="00CA39D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8703B">
        <w:rPr>
          <w:rFonts w:asciiTheme="majorHAnsi" w:hAnsiTheme="majorHAnsi"/>
          <w:sz w:val="20"/>
          <w:szCs w:val="20"/>
          <w:lang w:val="es-ES"/>
        </w:rPr>
        <w:t xml:space="preserve">Así, </w:t>
      </w:r>
      <w:r w:rsidR="00CA4EDC" w:rsidRPr="00B8703B">
        <w:rPr>
          <w:rFonts w:asciiTheme="majorHAnsi" w:hAnsiTheme="majorHAnsi"/>
          <w:sz w:val="20"/>
          <w:szCs w:val="20"/>
          <w:lang w:val="es-ES"/>
        </w:rPr>
        <w:t xml:space="preserve">la parte </w:t>
      </w:r>
      <w:r w:rsidRPr="00B8703B">
        <w:rPr>
          <w:rFonts w:asciiTheme="majorHAnsi" w:hAnsiTheme="majorHAnsi"/>
          <w:sz w:val="20"/>
          <w:szCs w:val="20"/>
          <w:lang w:val="es-ES"/>
        </w:rPr>
        <w:t>peticionari</w:t>
      </w:r>
      <w:r w:rsidR="00CA4EDC" w:rsidRPr="00B8703B">
        <w:rPr>
          <w:rFonts w:asciiTheme="majorHAnsi" w:hAnsiTheme="majorHAnsi"/>
          <w:sz w:val="20"/>
          <w:szCs w:val="20"/>
          <w:lang w:val="es-ES"/>
        </w:rPr>
        <w:t>a</w:t>
      </w:r>
      <w:r w:rsidRPr="00B8703B">
        <w:rPr>
          <w:rFonts w:asciiTheme="majorHAnsi" w:hAnsiTheme="majorHAnsi"/>
          <w:sz w:val="20"/>
          <w:szCs w:val="20"/>
          <w:lang w:val="es-ES"/>
        </w:rPr>
        <w:t xml:space="preserve"> debe agotar los recursos internos de conformidad con la legislación procesal interna, y la Comisión no puede considerar que el agotamiento previo ha sido cumplido si los recursos han sido rechazados con fundamentos procesales razonables y no arbitrarios</w:t>
      </w:r>
      <w:r w:rsidR="006815F5" w:rsidRPr="00B8703B">
        <w:rPr>
          <w:rStyle w:val="FootnoteReference"/>
          <w:rFonts w:asciiTheme="majorHAnsi" w:hAnsiTheme="majorHAnsi"/>
          <w:sz w:val="20"/>
          <w:szCs w:val="20"/>
          <w:lang w:val="es-ES"/>
        </w:rPr>
        <w:footnoteReference w:id="8"/>
      </w:r>
      <w:r w:rsidR="00155939" w:rsidRPr="00B8703B">
        <w:rPr>
          <w:rFonts w:asciiTheme="majorHAnsi" w:hAnsiTheme="majorHAnsi"/>
          <w:sz w:val="20"/>
          <w:szCs w:val="20"/>
          <w:lang w:val="es-ES"/>
        </w:rPr>
        <w:t>.</w:t>
      </w:r>
      <w:r w:rsidR="005B4CE7" w:rsidRPr="00B8703B">
        <w:rPr>
          <w:rFonts w:asciiTheme="majorHAnsi" w:hAnsiTheme="majorHAnsi"/>
          <w:sz w:val="20"/>
          <w:szCs w:val="20"/>
          <w:lang w:val="es-ES"/>
        </w:rPr>
        <w:t xml:space="preserve"> </w:t>
      </w:r>
      <w:r w:rsidR="003B79A6" w:rsidRPr="00B8703B">
        <w:rPr>
          <w:rFonts w:asciiTheme="majorHAnsi" w:hAnsiTheme="majorHAnsi"/>
          <w:sz w:val="20"/>
          <w:szCs w:val="20"/>
          <w:lang w:val="es-ES"/>
        </w:rPr>
        <w:t>De manera más específica, en sus precedentes recientes</w:t>
      </w:r>
      <w:r w:rsidR="00451A9C" w:rsidRPr="00B8703B">
        <w:rPr>
          <w:rStyle w:val="FootnoteReference"/>
          <w:rFonts w:asciiTheme="majorHAnsi" w:hAnsiTheme="majorHAnsi"/>
          <w:sz w:val="20"/>
          <w:szCs w:val="20"/>
          <w:lang w:val="es-ES"/>
        </w:rPr>
        <w:footnoteReference w:id="9"/>
      </w:r>
      <w:r w:rsidR="003B79A6" w:rsidRPr="00B8703B">
        <w:rPr>
          <w:rFonts w:asciiTheme="majorHAnsi" w:hAnsiTheme="majorHAnsi"/>
          <w:sz w:val="20"/>
          <w:szCs w:val="20"/>
          <w:lang w:val="es-ES"/>
        </w:rPr>
        <w:t>, la Comisión ha considera</w:t>
      </w:r>
      <w:r w:rsidR="00451A9C" w:rsidRPr="00B8703B">
        <w:rPr>
          <w:rFonts w:asciiTheme="majorHAnsi" w:hAnsiTheme="majorHAnsi"/>
          <w:sz w:val="20"/>
          <w:szCs w:val="20"/>
          <w:lang w:val="es-ES"/>
        </w:rPr>
        <w:t>do</w:t>
      </w:r>
      <w:r w:rsidR="003B79A6" w:rsidRPr="00B8703B">
        <w:rPr>
          <w:rFonts w:asciiTheme="majorHAnsi" w:hAnsiTheme="majorHAnsi"/>
          <w:sz w:val="20"/>
          <w:szCs w:val="20"/>
          <w:lang w:val="es-ES"/>
        </w:rPr>
        <w:t xml:space="preserve"> que </w:t>
      </w:r>
      <w:r w:rsidR="002632E1" w:rsidRPr="00B8703B">
        <w:rPr>
          <w:rFonts w:asciiTheme="majorHAnsi" w:hAnsiTheme="majorHAnsi"/>
          <w:sz w:val="20"/>
          <w:szCs w:val="20"/>
          <w:lang w:val="es-ES"/>
        </w:rPr>
        <w:t xml:space="preserve">cuando los peticionarios han </w:t>
      </w:r>
      <w:r w:rsidR="00451A9C" w:rsidRPr="00B8703B">
        <w:rPr>
          <w:rFonts w:asciiTheme="majorHAnsi" w:hAnsiTheme="majorHAnsi"/>
          <w:sz w:val="20"/>
          <w:szCs w:val="20"/>
          <w:lang w:val="es-ES"/>
        </w:rPr>
        <w:t xml:space="preserve">promovido </w:t>
      </w:r>
      <w:r w:rsidR="002632E1" w:rsidRPr="00B8703B">
        <w:rPr>
          <w:rFonts w:asciiTheme="majorHAnsi" w:hAnsiTheme="majorHAnsi"/>
          <w:sz w:val="20"/>
          <w:szCs w:val="20"/>
          <w:lang w:val="es-ES"/>
        </w:rPr>
        <w:t>recursos extraordinarios</w:t>
      </w:r>
      <w:r w:rsidR="00451A9C" w:rsidRPr="00B8703B">
        <w:rPr>
          <w:rFonts w:asciiTheme="majorHAnsi" w:hAnsiTheme="majorHAnsi"/>
          <w:sz w:val="20"/>
          <w:szCs w:val="20"/>
          <w:lang w:val="es-ES"/>
        </w:rPr>
        <w:t xml:space="preserve">, pero éstos han sido rechazados por incumplimiento de requisitos </w:t>
      </w:r>
      <w:r w:rsidR="006815F5" w:rsidRPr="00B8703B">
        <w:rPr>
          <w:rFonts w:asciiTheme="majorHAnsi" w:hAnsiTheme="majorHAnsi"/>
          <w:sz w:val="20"/>
          <w:szCs w:val="20"/>
          <w:lang w:val="es-ES"/>
        </w:rPr>
        <w:t>razonables establecidos en el derecho interno, la petición se torna inadmisible por indebido agotamiento de los recursos internos</w:t>
      </w:r>
      <w:r w:rsidR="0064355E" w:rsidRPr="00B8703B">
        <w:rPr>
          <w:rFonts w:asciiTheme="majorHAnsi" w:hAnsiTheme="majorHAnsi"/>
          <w:sz w:val="20"/>
          <w:szCs w:val="20"/>
          <w:lang w:val="es-ES"/>
        </w:rPr>
        <w:t>.</w:t>
      </w:r>
    </w:p>
    <w:p w14:paraId="4216335B" w14:textId="4723031B" w:rsidR="003820B3" w:rsidRPr="00B8703B" w:rsidRDefault="00D221C4" w:rsidP="005660B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8703B">
        <w:rPr>
          <w:rFonts w:asciiTheme="majorHAnsi" w:hAnsiTheme="majorHAnsi"/>
          <w:sz w:val="20"/>
          <w:szCs w:val="20"/>
          <w:lang w:val="es-ES"/>
        </w:rPr>
        <w:t>E</w:t>
      </w:r>
      <w:r w:rsidR="009837AA" w:rsidRPr="00B8703B">
        <w:rPr>
          <w:rFonts w:asciiTheme="majorHAnsi" w:hAnsiTheme="majorHAnsi"/>
          <w:sz w:val="20"/>
          <w:szCs w:val="20"/>
          <w:lang w:val="es-ES"/>
        </w:rPr>
        <w:t>n el presente caso, la acción de tutela</w:t>
      </w:r>
      <w:r w:rsidR="0027327F" w:rsidRPr="00B8703B">
        <w:rPr>
          <w:rFonts w:asciiTheme="majorHAnsi" w:hAnsiTheme="majorHAnsi"/>
          <w:sz w:val="20"/>
          <w:szCs w:val="20"/>
          <w:lang w:val="es-ES"/>
        </w:rPr>
        <w:t xml:space="preserve"> promovida por el matrimonio López-Mejía</w:t>
      </w:r>
      <w:r w:rsidR="009837AA" w:rsidRPr="00B8703B">
        <w:rPr>
          <w:rFonts w:asciiTheme="majorHAnsi" w:hAnsiTheme="majorHAnsi"/>
          <w:sz w:val="20"/>
          <w:szCs w:val="20"/>
          <w:lang w:val="es-ES"/>
        </w:rPr>
        <w:t xml:space="preserve"> fue rechazada por incumplimiento del principio de inmediatez, es decir, </w:t>
      </w:r>
      <w:r w:rsidR="0027327F" w:rsidRPr="00B8703B">
        <w:rPr>
          <w:rFonts w:asciiTheme="majorHAnsi" w:hAnsiTheme="majorHAnsi"/>
          <w:sz w:val="20"/>
          <w:szCs w:val="20"/>
          <w:lang w:val="es-ES"/>
        </w:rPr>
        <w:t>por</w:t>
      </w:r>
      <w:r w:rsidR="009837AA" w:rsidRPr="00B8703B">
        <w:rPr>
          <w:rFonts w:asciiTheme="majorHAnsi" w:hAnsiTheme="majorHAnsi"/>
          <w:sz w:val="20"/>
          <w:szCs w:val="20"/>
          <w:lang w:val="es-ES"/>
        </w:rPr>
        <w:t xml:space="preserve">que </w:t>
      </w:r>
      <w:r w:rsidR="0027327F" w:rsidRPr="00B8703B">
        <w:rPr>
          <w:rFonts w:asciiTheme="majorHAnsi" w:hAnsiTheme="majorHAnsi"/>
          <w:sz w:val="20"/>
          <w:szCs w:val="20"/>
          <w:lang w:val="es-ES"/>
        </w:rPr>
        <w:t xml:space="preserve">fue presentada de manera extemporánea, por fuera del término de seis meses que exige </w:t>
      </w:r>
      <w:r w:rsidR="00372BA4" w:rsidRPr="00B8703B">
        <w:rPr>
          <w:rFonts w:asciiTheme="majorHAnsi" w:hAnsiTheme="majorHAnsi"/>
          <w:sz w:val="20"/>
          <w:szCs w:val="20"/>
          <w:lang w:val="es-ES"/>
        </w:rPr>
        <w:t>el derecho interno.</w:t>
      </w:r>
      <w:r w:rsidR="00BE1105" w:rsidRPr="00B8703B">
        <w:rPr>
          <w:rFonts w:asciiTheme="majorHAnsi" w:hAnsiTheme="majorHAnsi"/>
          <w:sz w:val="20"/>
          <w:szCs w:val="20"/>
          <w:lang w:val="es-ES"/>
        </w:rPr>
        <w:t xml:space="preserve"> </w:t>
      </w:r>
      <w:r w:rsidRPr="00B8703B">
        <w:rPr>
          <w:rFonts w:asciiTheme="majorHAnsi" w:hAnsiTheme="majorHAnsi"/>
          <w:sz w:val="20"/>
          <w:szCs w:val="20"/>
          <w:lang w:val="es-ES"/>
        </w:rPr>
        <w:t xml:space="preserve">El requisito de inmediatez es una exigencia </w:t>
      </w:r>
      <w:r w:rsidR="00514EBC" w:rsidRPr="00B8703B">
        <w:rPr>
          <w:rFonts w:asciiTheme="majorHAnsi" w:hAnsiTheme="majorHAnsi"/>
          <w:sz w:val="20"/>
          <w:szCs w:val="20"/>
          <w:lang w:val="es-ES"/>
        </w:rPr>
        <w:t>ampliamente conocid</w:t>
      </w:r>
      <w:r w:rsidR="0064355E" w:rsidRPr="00B8703B">
        <w:rPr>
          <w:rFonts w:asciiTheme="majorHAnsi" w:hAnsiTheme="majorHAnsi"/>
          <w:sz w:val="20"/>
          <w:szCs w:val="20"/>
          <w:lang w:val="es-ES"/>
        </w:rPr>
        <w:t>a</w:t>
      </w:r>
      <w:r w:rsidR="00514EBC" w:rsidRPr="00B8703B">
        <w:rPr>
          <w:rFonts w:asciiTheme="majorHAnsi" w:hAnsiTheme="majorHAnsi"/>
          <w:sz w:val="20"/>
          <w:szCs w:val="20"/>
          <w:lang w:val="es-ES"/>
        </w:rPr>
        <w:t xml:space="preserve"> y sentad</w:t>
      </w:r>
      <w:r w:rsidR="0064355E" w:rsidRPr="00B8703B">
        <w:rPr>
          <w:rFonts w:asciiTheme="majorHAnsi" w:hAnsiTheme="majorHAnsi"/>
          <w:sz w:val="20"/>
          <w:szCs w:val="20"/>
          <w:lang w:val="es-ES"/>
        </w:rPr>
        <w:t>a</w:t>
      </w:r>
      <w:r w:rsidR="00514EBC" w:rsidRPr="00B8703B">
        <w:rPr>
          <w:rFonts w:asciiTheme="majorHAnsi" w:hAnsiTheme="majorHAnsi"/>
          <w:sz w:val="20"/>
          <w:szCs w:val="20"/>
          <w:lang w:val="es-ES"/>
        </w:rPr>
        <w:t xml:space="preserve"> por la jurisprudencia </w:t>
      </w:r>
      <w:r w:rsidR="0064355E" w:rsidRPr="00B8703B">
        <w:rPr>
          <w:rFonts w:asciiTheme="majorHAnsi" w:hAnsiTheme="majorHAnsi"/>
          <w:sz w:val="20"/>
          <w:szCs w:val="20"/>
          <w:lang w:val="es-ES"/>
        </w:rPr>
        <w:t xml:space="preserve">constitucional </w:t>
      </w:r>
      <w:r w:rsidR="00514EBC" w:rsidRPr="00B8703B">
        <w:rPr>
          <w:rFonts w:asciiTheme="majorHAnsi" w:hAnsiTheme="majorHAnsi"/>
          <w:sz w:val="20"/>
          <w:szCs w:val="20"/>
          <w:lang w:val="es-ES"/>
        </w:rPr>
        <w:t>colombiana de larga data, y no resulta irrazonable o arbitrari</w:t>
      </w:r>
      <w:r w:rsidR="0064355E" w:rsidRPr="00B8703B">
        <w:rPr>
          <w:rFonts w:asciiTheme="majorHAnsi" w:hAnsiTheme="majorHAnsi"/>
          <w:sz w:val="20"/>
          <w:szCs w:val="20"/>
          <w:lang w:val="es-ES"/>
        </w:rPr>
        <w:t>a, ya que permite dar certeza y seguridad jurídica a las sentencias que hacen tránsito la cosa juzgada</w:t>
      </w:r>
      <w:r w:rsidR="00514EBC" w:rsidRPr="00B8703B">
        <w:rPr>
          <w:rFonts w:asciiTheme="majorHAnsi" w:hAnsiTheme="majorHAnsi"/>
          <w:sz w:val="20"/>
          <w:szCs w:val="20"/>
          <w:lang w:val="es-ES"/>
        </w:rPr>
        <w:t xml:space="preserve">. </w:t>
      </w:r>
      <w:r w:rsidR="000F1C44" w:rsidRPr="00B8703B">
        <w:rPr>
          <w:rFonts w:asciiTheme="majorHAnsi" w:hAnsiTheme="majorHAnsi"/>
          <w:sz w:val="20"/>
          <w:szCs w:val="20"/>
          <w:lang w:val="es-ES"/>
        </w:rPr>
        <w:t>Bajo ese entendido</w:t>
      </w:r>
      <w:r w:rsidR="00BE1105" w:rsidRPr="00B8703B">
        <w:rPr>
          <w:rFonts w:asciiTheme="majorHAnsi" w:hAnsiTheme="majorHAnsi"/>
          <w:sz w:val="20"/>
          <w:szCs w:val="20"/>
          <w:lang w:val="es-ES"/>
        </w:rPr>
        <w:t xml:space="preserve">, </w:t>
      </w:r>
      <w:r w:rsidR="00223FFE" w:rsidRPr="00B8703B">
        <w:rPr>
          <w:rFonts w:asciiTheme="majorHAnsi" w:hAnsiTheme="majorHAnsi"/>
          <w:sz w:val="20"/>
          <w:szCs w:val="20"/>
          <w:lang w:val="es-ES"/>
        </w:rPr>
        <w:t xml:space="preserve">el peticionario agotó </w:t>
      </w:r>
      <w:r w:rsidR="00BE1105" w:rsidRPr="00B8703B">
        <w:rPr>
          <w:rFonts w:asciiTheme="majorHAnsi" w:hAnsiTheme="majorHAnsi"/>
          <w:sz w:val="20"/>
          <w:szCs w:val="20"/>
          <w:lang w:val="es-ES"/>
        </w:rPr>
        <w:t xml:space="preserve">la acción de tutela como recurso extraordinario </w:t>
      </w:r>
      <w:r w:rsidR="00223FFE" w:rsidRPr="00B8703B">
        <w:rPr>
          <w:rFonts w:asciiTheme="majorHAnsi" w:hAnsiTheme="majorHAnsi"/>
          <w:sz w:val="20"/>
          <w:szCs w:val="20"/>
          <w:lang w:val="es-ES"/>
        </w:rPr>
        <w:t>de manera indebida</w:t>
      </w:r>
      <w:r w:rsidR="000130A6" w:rsidRPr="00B8703B">
        <w:rPr>
          <w:rFonts w:asciiTheme="majorHAnsi" w:hAnsiTheme="majorHAnsi"/>
          <w:sz w:val="20"/>
          <w:szCs w:val="20"/>
          <w:lang w:val="es-ES"/>
        </w:rPr>
        <w:t xml:space="preserve">, y su rechazo respondió a un criterio razonable y </w:t>
      </w:r>
      <w:r w:rsidR="006640A1" w:rsidRPr="00B8703B">
        <w:rPr>
          <w:rFonts w:asciiTheme="majorHAnsi" w:hAnsiTheme="majorHAnsi"/>
          <w:sz w:val="20"/>
          <w:szCs w:val="20"/>
          <w:lang w:val="es-ES"/>
        </w:rPr>
        <w:t xml:space="preserve">ampliamente </w:t>
      </w:r>
      <w:r w:rsidR="000130A6" w:rsidRPr="00B8703B">
        <w:rPr>
          <w:rFonts w:asciiTheme="majorHAnsi" w:hAnsiTheme="majorHAnsi"/>
          <w:sz w:val="20"/>
          <w:szCs w:val="20"/>
          <w:lang w:val="es-ES"/>
        </w:rPr>
        <w:t>reconocido</w:t>
      </w:r>
      <w:r w:rsidR="006640A1" w:rsidRPr="00B8703B">
        <w:rPr>
          <w:rFonts w:asciiTheme="majorHAnsi" w:hAnsiTheme="majorHAnsi"/>
          <w:sz w:val="20"/>
          <w:szCs w:val="20"/>
          <w:lang w:val="es-ES"/>
        </w:rPr>
        <w:t>.</w:t>
      </w:r>
    </w:p>
    <w:p w14:paraId="51D4A06B" w14:textId="34D1C50B" w:rsidR="009837AA" w:rsidRPr="00B8703B" w:rsidRDefault="00DB2CB8" w:rsidP="005660B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8703B">
        <w:rPr>
          <w:rFonts w:asciiTheme="majorHAnsi" w:hAnsiTheme="majorHAnsi"/>
          <w:sz w:val="20"/>
          <w:szCs w:val="20"/>
          <w:lang w:val="es-ES"/>
        </w:rPr>
        <w:t>De esta manera</w:t>
      </w:r>
      <w:r w:rsidR="006640A1" w:rsidRPr="00B8703B">
        <w:rPr>
          <w:rFonts w:asciiTheme="majorHAnsi" w:hAnsiTheme="majorHAnsi"/>
          <w:sz w:val="20"/>
          <w:szCs w:val="20"/>
          <w:lang w:val="es-ES"/>
        </w:rPr>
        <w:t>, la Comisión no puede dar por satisfecho el requisito establecido en el artículo 46.1.a) de la Convención Americana, y corresponde declarar la inadm</w:t>
      </w:r>
      <w:r w:rsidR="005E005A" w:rsidRPr="00B8703B">
        <w:rPr>
          <w:rFonts w:asciiTheme="majorHAnsi" w:hAnsiTheme="majorHAnsi"/>
          <w:sz w:val="20"/>
          <w:szCs w:val="20"/>
          <w:lang w:val="es-ES"/>
        </w:rPr>
        <w:t>i</w:t>
      </w:r>
      <w:r w:rsidR="006640A1" w:rsidRPr="00B8703B">
        <w:rPr>
          <w:rFonts w:asciiTheme="majorHAnsi" w:hAnsiTheme="majorHAnsi"/>
          <w:sz w:val="20"/>
          <w:szCs w:val="20"/>
          <w:lang w:val="es-ES"/>
        </w:rPr>
        <w:t>sibilidad de</w:t>
      </w:r>
      <w:r w:rsidR="005E005A" w:rsidRPr="00B8703B">
        <w:rPr>
          <w:rFonts w:asciiTheme="majorHAnsi" w:hAnsiTheme="majorHAnsi"/>
          <w:sz w:val="20"/>
          <w:szCs w:val="20"/>
          <w:lang w:val="es-ES"/>
        </w:rPr>
        <w:t xml:space="preserve"> la presente petición por agotamiento indebido de los recursos internos.</w:t>
      </w:r>
    </w:p>
    <w:p w14:paraId="14C87322" w14:textId="77777777" w:rsidR="00FD2993" w:rsidRPr="00B8703B" w:rsidRDefault="0015692C" w:rsidP="005660B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B8703B">
        <w:rPr>
          <w:rFonts w:asciiTheme="majorHAnsi" w:hAnsiTheme="majorHAnsi"/>
          <w:sz w:val="20"/>
          <w:szCs w:val="20"/>
          <w:lang w:val="es-ES"/>
        </w:rPr>
        <w:t xml:space="preserve">En todo caso, la CIDH recalca que el reclamo planteado por las presuntas víctimas </w:t>
      </w:r>
      <w:r w:rsidR="001905AB" w:rsidRPr="00B8703B">
        <w:rPr>
          <w:rFonts w:asciiTheme="majorHAnsi" w:hAnsiTheme="majorHAnsi"/>
          <w:sz w:val="20"/>
          <w:szCs w:val="20"/>
          <w:lang w:val="es-ES"/>
        </w:rPr>
        <w:t xml:space="preserve">fue estudiado de fondo en las instancias ordinarias que se surtieron en el proceso de extinción de dominio, </w:t>
      </w:r>
      <w:r w:rsidR="00170B2C" w:rsidRPr="00B8703B">
        <w:rPr>
          <w:rFonts w:asciiTheme="majorHAnsi" w:hAnsiTheme="majorHAnsi"/>
          <w:sz w:val="20"/>
          <w:szCs w:val="20"/>
          <w:lang w:val="es-ES"/>
        </w:rPr>
        <w:t xml:space="preserve">y, aunque </w:t>
      </w:r>
      <w:r w:rsidR="00C669D6" w:rsidRPr="00B8703B">
        <w:rPr>
          <w:rFonts w:asciiTheme="majorHAnsi" w:hAnsiTheme="majorHAnsi"/>
          <w:sz w:val="20"/>
          <w:szCs w:val="20"/>
          <w:lang w:val="es-ES"/>
        </w:rPr>
        <w:t>presenta un desacuerdo con la valoración de las pruebas realizada por los tribunales nacionales, no se avizora sustento suficiente de una eventual violación de los derechos invocados.</w:t>
      </w:r>
      <w:r w:rsidR="008B6062" w:rsidRPr="00B8703B">
        <w:rPr>
          <w:rFonts w:asciiTheme="majorHAnsi" w:hAnsiTheme="majorHAnsi"/>
          <w:sz w:val="20"/>
          <w:szCs w:val="20"/>
          <w:lang w:val="es-ES"/>
        </w:rPr>
        <w:t xml:space="preserve"> </w:t>
      </w:r>
      <w:r w:rsidR="00FD2993" w:rsidRPr="00B8703B">
        <w:rPr>
          <w:rFonts w:asciiTheme="majorHAnsi" w:hAnsiTheme="majorHAnsi"/>
          <w:sz w:val="20"/>
          <w:szCs w:val="20"/>
          <w:lang w:val="es-ES"/>
        </w:rPr>
        <w:t>En efecto</w:t>
      </w:r>
      <w:r w:rsidR="00A67AC9" w:rsidRPr="00B8703B">
        <w:rPr>
          <w:rFonts w:asciiTheme="majorHAnsi" w:hAnsiTheme="majorHAnsi"/>
          <w:sz w:val="20"/>
          <w:szCs w:val="20"/>
          <w:lang w:val="es-ES"/>
        </w:rPr>
        <w:t xml:space="preserve">, </w:t>
      </w:r>
      <w:r w:rsidR="00536C85" w:rsidRPr="00B8703B">
        <w:rPr>
          <w:rFonts w:asciiTheme="majorHAnsi" w:hAnsiTheme="majorHAnsi"/>
          <w:sz w:val="20"/>
          <w:szCs w:val="20"/>
          <w:lang w:val="es-ES"/>
        </w:rPr>
        <w:t xml:space="preserve">la sentencia </w:t>
      </w:r>
      <w:r w:rsidR="008B6062" w:rsidRPr="00B8703B">
        <w:rPr>
          <w:rFonts w:asciiTheme="majorHAnsi" w:hAnsiTheme="majorHAnsi"/>
          <w:sz w:val="20"/>
          <w:szCs w:val="20"/>
          <w:lang w:val="es-ES"/>
        </w:rPr>
        <w:t xml:space="preserve">de </w:t>
      </w:r>
      <w:r w:rsidR="00321601" w:rsidRPr="00B8703B">
        <w:rPr>
          <w:rFonts w:asciiTheme="majorHAnsi" w:hAnsiTheme="majorHAnsi"/>
          <w:sz w:val="20"/>
          <w:szCs w:val="20"/>
          <w:lang w:val="es-ES"/>
        </w:rPr>
        <w:t>primer</w:t>
      </w:r>
      <w:r w:rsidR="003F3624" w:rsidRPr="00B8703B">
        <w:rPr>
          <w:rFonts w:asciiTheme="majorHAnsi" w:hAnsiTheme="majorHAnsi"/>
          <w:sz w:val="20"/>
          <w:szCs w:val="20"/>
          <w:lang w:val="es-ES"/>
        </w:rPr>
        <w:t xml:space="preserve">a </w:t>
      </w:r>
      <w:r w:rsidR="008B6062" w:rsidRPr="00B8703B">
        <w:rPr>
          <w:rFonts w:asciiTheme="majorHAnsi" w:hAnsiTheme="majorHAnsi"/>
          <w:sz w:val="20"/>
          <w:szCs w:val="20"/>
          <w:lang w:val="es-ES"/>
        </w:rPr>
        <w:t>instancia</w:t>
      </w:r>
      <w:r w:rsidR="00536C85" w:rsidRPr="00B8703B">
        <w:rPr>
          <w:rFonts w:asciiTheme="majorHAnsi" w:hAnsiTheme="majorHAnsi"/>
          <w:sz w:val="20"/>
          <w:szCs w:val="20"/>
          <w:lang w:val="es-ES"/>
        </w:rPr>
        <w:t xml:space="preserve"> determinó</w:t>
      </w:r>
      <w:r w:rsidR="00FD2993" w:rsidRPr="00B8703B">
        <w:rPr>
          <w:rFonts w:asciiTheme="majorHAnsi" w:hAnsiTheme="majorHAnsi"/>
          <w:sz w:val="20"/>
          <w:szCs w:val="20"/>
          <w:lang w:val="es-ES"/>
        </w:rPr>
        <w:t xml:space="preserve"> al respecto:</w:t>
      </w:r>
    </w:p>
    <w:p w14:paraId="437B9922" w14:textId="68F5A795" w:rsidR="0015692C" w:rsidRDefault="00767126" w:rsidP="00B8703B">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18"/>
          <w:szCs w:val="18"/>
          <w:lang w:val="es-ES"/>
        </w:rPr>
      </w:pPr>
      <w:r w:rsidRPr="00B8703B">
        <w:rPr>
          <w:rFonts w:asciiTheme="majorHAnsi" w:hAnsiTheme="majorHAnsi"/>
          <w:sz w:val="18"/>
          <w:szCs w:val="18"/>
          <w:lang w:val="es-ES"/>
        </w:rPr>
        <w:t>Cabe anotar, que las actuaciones, por demás anormales permitieron</w:t>
      </w:r>
      <w:r w:rsidR="006F1F60" w:rsidRPr="00B8703B">
        <w:rPr>
          <w:rFonts w:asciiTheme="majorHAnsi" w:hAnsiTheme="majorHAnsi"/>
          <w:sz w:val="18"/>
          <w:szCs w:val="18"/>
          <w:lang w:val="es-ES"/>
        </w:rPr>
        <w:t xml:space="preserve"> realizar estas transacciones, así, esforzadamente se pretenda hacer creer que se trató de compraventas transparentes y que actuaron como terceros de buena fe exentos de culpa, </w:t>
      </w:r>
      <w:r w:rsidR="00595AD8" w:rsidRPr="00B8703B">
        <w:rPr>
          <w:rFonts w:asciiTheme="majorHAnsi" w:hAnsiTheme="majorHAnsi"/>
          <w:sz w:val="18"/>
          <w:szCs w:val="18"/>
          <w:lang w:val="es-ES"/>
        </w:rPr>
        <w:t xml:space="preserve">sustentado ello en las pruebas arrimadas y analizadas en conjunto; </w:t>
      </w:r>
      <w:r w:rsidR="0094438C" w:rsidRPr="00B8703B">
        <w:rPr>
          <w:rFonts w:asciiTheme="majorHAnsi" w:hAnsiTheme="majorHAnsi"/>
          <w:sz w:val="18"/>
          <w:szCs w:val="18"/>
          <w:lang w:val="es-ES"/>
        </w:rPr>
        <w:t>con lo cual se concluye lo contrario; insistimos, no se logró demostrar que para tal pago poseían unos recursos suficientes y que se contaba con la capacidad económica para adquirirlos, o si se tenía las</w:t>
      </w:r>
      <w:r w:rsidR="00BF169A" w:rsidRPr="00B8703B">
        <w:rPr>
          <w:rFonts w:asciiTheme="majorHAnsi" w:hAnsiTheme="majorHAnsi"/>
          <w:sz w:val="18"/>
          <w:szCs w:val="18"/>
          <w:lang w:val="es-ES"/>
        </w:rPr>
        <w:t xml:space="preserve"> circunstancias que rodearon la compraventa son irregulares que riñen con la costumbre comercial para estos eventos, que debe ser sustentada en la ley, porque precisamente fueron vendidos en el momento en que se adelantaba investigación por narcotráfico en contra de la familia VALENCIA GARCÍA, ya que </w:t>
      </w:r>
      <w:r w:rsidR="00B57A6E" w:rsidRPr="00B8703B">
        <w:rPr>
          <w:rFonts w:asciiTheme="majorHAnsi" w:hAnsiTheme="majorHAnsi"/>
          <w:sz w:val="18"/>
          <w:szCs w:val="18"/>
          <w:lang w:val="es-ES"/>
        </w:rPr>
        <w:t>de bulto se observa que para tales efectos se utilizaron terceros con el fin de traspasar los bienes a manos de personas diferentes</w:t>
      </w:r>
      <w:r w:rsidR="00CC5031" w:rsidRPr="00B8703B">
        <w:rPr>
          <w:rFonts w:asciiTheme="majorHAnsi" w:hAnsiTheme="majorHAnsi"/>
          <w:sz w:val="18"/>
          <w:szCs w:val="18"/>
          <w:lang w:val="es-ES"/>
        </w:rPr>
        <w:t>, en procura de evitar su persecución por la justicia, como fue la actitud normal para estos eventos</w:t>
      </w:r>
      <w:r w:rsidR="008B6062" w:rsidRPr="00B8703B">
        <w:rPr>
          <w:rFonts w:asciiTheme="majorHAnsi" w:hAnsiTheme="majorHAnsi"/>
          <w:sz w:val="18"/>
          <w:szCs w:val="18"/>
          <w:lang w:val="es-ES"/>
        </w:rPr>
        <w:t>.</w:t>
      </w:r>
    </w:p>
    <w:p w14:paraId="24DECCF3" w14:textId="77777777" w:rsidR="00557F57" w:rsidRDefault="00557F57" w:rsidP="00B8703B">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18"/>
          <w:szCs w:val="18"/>
          <w:lang w:val="es-ES"/>
        </w:rPr>
      </w:pPr>
    </w:p>
    <w:p w14:paraId="6EAD7B2C" w14:textId="77777777" w:rsidR="00557F57" w:rsidRPr="00B8703B" w:rsidRDefault="00557F57" w:rsidP="00B8703B">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right="720"/>
        <w:jc w:val="both"/>
        <w:rPr>
          <w:rFonts w:asciiTheme="majorHAnsi" w:hAnsiTheme="majorHAnsi"/>
          <w:sz w:val="18"/>
          <w:szCs w:val="18"/>
          <w:lang w:val="es-ES"/>
        </w:rPr>
      </w:pPr>
    </w:p>
    <w:p w14:paraId="445BF42E" w14:textId="64CE4C75" w:rsidR="003239B8" w:rsidRPr="00B8703B" w:rsidRDefault="003239B8" w:rsidP="005660BA">
      <w:pPr>
        <w:pStyle w:val="ListParagraph"/>
        <w:numPr>
          <w:ilvl w:val="0"/>
          <w:numId w:val="0"/>
        </w:numPr>
        <w:ind w:firstLine="720"/>
        <w:jc w:val="both"/>
        <w:rPr>
          <w:rFonts w:asciiTheme="majorHAnsi" w:hAnsiTheme="majorHAnsi"/>
          <w:b/>
          <w:bCs/>
          <w:sz w:val="20"/>
          <w:szCs w:val="20"/>
          <w:lang w:val="es-ES"/>
        </w:rPr>
      </w:pPr>
      <w:r w:rsidRPr="00B8703B">
        <w:rPr>
          <w:rFonts w:asciiTheme="majorHAnsi" w:hAnsiTheme="majorHAnsi"/>
          <w:b/>
          <w:bCs/>
          <w:sz w:val="20"/>
          <w:szCs w:val="20"/>
          <w:lang w:val="es-ES"/>
        </w:rPr>
        <w:lastRenderedPageBreak/>
        <w:t xml:space="preserve">VII. </w:t>
      </w:r>
      <w:r w:rsidRPr="00B8703B">
        <w:rPr>
          <w:rFonts w:asciiTheme="majorHAnsi" w:hAnsiTheme="majorHAnsi"/>
          <w:b/>
          <w:bCs/>
          <w:sz w:val="20"/>
          <w:szCs w:val="20"/>
          <w:lang w:val="es-ES"/>
        </w:rPr>
        <w:tab/>
        <w:t>DECISIÓN</w:t>
      </w:r>
    </w:p>
    <w:p w14:paraId="16B36F97" w14:textId="7A4B3098" w:rsidR="003239B8" w:rsidRPr="00B8703B" w:rsidRDefault="003239B8" w:rsidP="005660BA">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B8703B">
        <w:rPr>
          <w:rFonts w:asciiTheme="majorHAnsi" w:hAnsiTheme="majorHAnsi"/>
          <w:sz w:val="20"/>
          <w:szCs w:val="20"/>
          <w:lang w:val="es-ES"/>
        </w:rPr>
        <w:t xml:space="preserve">Declarar </w:t>
      </w:r>
      <w:r w:rsidR="00647385" w:rsidRPr="00B8703B">
        <w:rPr>
          <w:rFonts w:asciiTheme="majorHAnsi" w:hAnsiTheme="majorHAnsi"/>
          <w:sz w:val="20"/>
          <w:szCs w:val="20"/>
          <w:lang w:val="es-ES"/>
        </w:rPr>
        <w:t>in</w:t>
      </w:r>
      <w:r w:rsidRPr="00B8703B">
        <w:rPr>
          <w:rFonts w:asciiTheme="majorHAnsi" w:hAnsiTheme="majorHAnsi"/>
          <w:sz w:val="20"/>
          <w:szCs w:val="20"/>
          <w:lang w:val="es-ES"/>
        </w:rPr>
        <w:t>admisible la presente petición</w:t>
      </w:r>
      <w:r w:rsidR="00A758AA" w:rsidRPr="00B8703B">
        <w:rPr>
          <w:rFonts w:asciiTheme="majorHAnsi" w:hAnsiTheme="majorHAnsi"/>
          <w:sz w:val="20"/>
          <w:szCs w:val="20"/>
          <w:lang w:val="es-ES"/>
        </w:rPr>
        <w:t>;</w:t>
      </w:r>
      <w:r w:rsidR="007B76D3" w:rsidRPr="00B8703B">
        <w:rPr>
          <w:rFonts w:asciiTheme="majorHAnsi" w:hAnsiTheme="majorHAnsi"/>
          <w:sz w:val="20"/>
          <w:szCs w:val="20"/>
          <w:lang w:val="es-ES"/>
        </w:rPr>
        <w:t xml:space="preserve"> y</w:t>
      </w:r>
    </w:p>
    <w:p w14:paraId="02C904B2" w14:textId="63204CA3" w:rsidR="009A56CE" w:rsidRDefault="004A6A54" w:rsidP="005660BA">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B8703B">
        <w:rPr>
          <w:rFonts w:asciiTheme="majorHAnsi" w:hAnsiTheme="majorHAnsi"/>
          <w:sz w:val="20"/>
          <w:szCs w:val="20"/>
          <w:lang w:val="es-ES"/>
        </w:rPr>
        <w:t>Notificar a las partes la presente decisión; y publicar esta decisión e incluirla en su Informe Anual a la Asamblea General de la Organización de los</w:t>
      </w:r>
      <w:r w:rsidRPr="00647385">
        <w:rPr>
          <w:rFonts w:asciiTheme="majorHAnsi" w:hAnsiTheme="majorHAnsi"/>
          <w:sz w:val="20"/>
          <w:szCs w:val="20"/>
          <w:lang w:val="es-ES"/>
        </w:rPr>
        <w:t xml:space="preserve"> Estados Americanos.</w:t>
      </w:r>
    </w:p>
    <w:p w14:paraId="179BDBA3" w14:textId="7AA95173" w:rsidR="00557F57" w:rsidRPr="00725433" w:rsidRDefault="00557F57" w:rsidP="00725433">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de Derechos Humanos </w:t>
      </w:r>
      <w:r w:rsidRPr="006A247E">
        <w:rPr>
          <w:rStyle w:val="normaltextrun"/>
          <w:rFonts w:ascii="Cambria" w:hAnsi="Cambria" w:cs="Segoe UI"/>
          <w:sz w:val="20"/>
          <w:szCs w:val="20"/>
          <w:lang w:val="es-CL"/>
        </w:rPr>
        <w:t xml:space="preserve">a los </w:t>
      </w:r>
      <w:r w:rsidR="006A247E" w:rsidRPr="006A247E">
        <w:rPr>
          <w:rStyle w:val="normaltextrun"/>
          <w:rFonts w:ascii="Cambria" w:hAnsi="Cambria" w:cs="Segoe UI"/>
          <w:sz w:val="20"/>
          <w:szCs w:val="20"/>
          <w:lang w:val="es-CL"/>
        </w:rPr>
        <w:t>3</w:t>
      </w:r>
      <w:r w:rsidRPr="006A247E">
        <w:rPr>
          <w:rStyle w:val="normaltextrun"/>
          <w:rFonts w:ascii="Cambria" w:hAnsi="Cambria" w:cs="Segoe UI"/>
          <w:sz w:val="20"/>
          <w:szCs w:val="20"/>
          <w:lang w:val="es-CL"/>
        </w:rPr>
        <w:t xml:space="preserve"> días del mes de </w:t>
      </w:r>
      <w:r w:rsidR="006A247E" w:rsidRPr="006A247E">
        <w:rPr>
          <w:rStyle w:val="normaltextrun"/>
          <w:rFonts w:ascii="Cambria" w:hAnsi="Cambria" w:cs="Segoe UI"/>
          <w:sz w:val="20"/>
          <w:szCs w:val="20"/>
          <w:lang w:val="es-CL"/>
        </w:rPr>
        <w:t>diciembre</w:t>
      </w:r>
      <w:r w:rsidRPr="006A247E">
        <w:rPr>
          <w:rStyle w:val="normaltextrun"/>
          <w:rFonts w:ascii="Cambria" w:hAnsi="Cambria" w:cs="Segoe UI"/>
          <w:sz w:val="20"/>
          <w:szCs w:val="20"/>
          <w:lang w:val="es-CL"/>
        </w:rPr>
        <w:t xml:space="preserve"> de 20</w:t>
      </w:r>
      <w:r w:rsidR="006A247E" w:rsidRPr="006A247E">
        <w:rPr>
          <w:rStyle w:val="normaltextrun"/>
          <w:rFonts w:ascii="Cambria" w:hAnsi="Cambria" w:cs="Segoe UI"/>
          <w:sz w:val="20"/>
          <w:szCs w:val="20"/>
          <w:lang w:val="es-CL"/>
        </w:rPr>
        <w:t>25</w:t>
      </w:r>
      <w:r w:rsidRPr="006A247E">
        <w:rPr>
          <w:rStyle w:val="normaltextrun"/>
          <w:rFonts w:ascii="Cambria" w:hAnsi="Cambria" w:cs="Segoe UI"/>
          <w:sz w:val="20"/>
          <w:szCs w:val="20"/>
          <w:lang w:val="es-CL"/>
        </w:rPr>
        <w:t>.  (Firmado): José Luis Caballero Ochoa, Presidente; Andrea Pochak, Primera Vicepresidenta; Edgar Stuardo Ralón Orellana</w:t>
      </w:r>
      <w:r w:rsidR="006A247E" w:rsidRPr="006A247E">
        <w:rPr>
          <w:rStyle w:val="normaltextrun"/>
          <w:rFonts w:ascii="Cambria" w:hAnsi="Cambria" w:cs="Segoe UI"/>
          <w:sz w:val="20"/>
          <w:szCs w:val="20"/>
          <w:lang w:val="es-CL"/>
        </w:rPr>
        <w:t xml:space="preserve"> </w:t>
      </w:r>
      <w:r w:rsidRPr="006A247E">
        <w:rPr>
          <w:rStyle w:val="normaltextrun"/>
          <w:rFonts w:ascii="Cambria" w:hAnsi="Cambria" w:cs="Segoe UI"/>
          <w:sz w:val="20"/>
          <w:szCs w:val="20"/>
          <w:lang w:val="es-CL"/>
        </w:rPr>
        <w:t xml:space="preserve">y Gloria Monique de Mees, </w:t>
      </w:r>
      <w:r w:rsidR="00725433">
        <w:rPr>
          <w:rStyle w:val="normaltextrun"/>
          <w:rFonts w:ascii="Cambria" w:hAnsi="Cambria" w:cs="Segoe UI"/>
          <w:sz w:val="20"/>
          <w:szCs w:val="20"/>
          <w:lang w:val="es-CL"/>
        </w:rPr>
        <w:t>m</w:t>
      </w:r>
      <w:r w:rsidRPr="006A247E">
        <w:rPr>
          <w:rStyle w:val="normaltextrun"/>
          <w:rFonts w:ascii="Cambria" w:hAnsi="Cambria" w:cs="Segoe UI"/>
          <w:sz w:val="20"/>
          <w:szCs w:val="20"/>
          <w:lang w:val="es-CL"/>
        </w:rPr>
        <w:t xml:space="preserve">iembros de la Comisión. </w:t>
      </w:r>
    </w:p>
    <w:sectPr w:rsidR="00557F57" w:rsidRPr="00725433"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04F8" w14:textId="77777777" w:rsidR="00716643" w:rsidRDefault="00716643">
      <w:r>
        <w:separator/>
      </w:r>
    </w:p>
  </w:endnote>
  <w:endnote w:type="continuationSeparator" w:id="0">
    <w:p w14:paraId="397F3290" w14:textId="77777777" w:rsidR="00716643" w:rsidRDefault="00716643">
      <w:r>
        <w:continuationSeparator/>
      </w:r>
    </w:p>
  </w:endnote>
  <w:endnote w:type="continuationNotice" w:id="1">
    <w:p w14:paraId="69CE4E96" w14:textId="77777777" w:rsidR="00716643" w:rsidRDefault="00716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488E" w14:textId="77777777" w:rsidR="00716643" w:rsidRPr="000F35ED" w:rsidRDefault="0071664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C38CB5C" w14:textId="77777777" w:rsidR="00716643" w:rsidRPr="000F35ED" w:rsidRDefault="00716643" w:rsidP="000F35ED">
      <w:pPr>
        <w:rPr>
          <w:rFonts w:asciiTheme="majorHAnsi" w:hAnsiTheme="majorHAnsi"/>
          <w:sz w:val="16"/>
          <w:szCs w:val="16"/>
        </w:rPr>
      </w:pPr>
      <w:r w:rsidRPr="000F35ED">
        <w:rPr>
          <w:rFonts w:asciiTheme="majorHAnsi" w:hAnsiTheme="majorHAnsi"/>
          <w:sz w:val="16"/>
          <w:szCs w:val="16"/>
        </w:rPr>
        <w:separator/>
      </w:r>
    </w:p>
    <w:p w14:paraId="29DE91B1" w14:textId="77777777" w:rsidR="00716643" w:rsidRPr="000F35ED" w:rsidRDefault="00716643"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2F13FF45" w14:textId="77777777" w:rsidR="00716643" w:rsidRPr="000F35ED" w:rsidRDefault="00716643"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4EE77394"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3A376A">
        <w:t>Carlos Bernal Pulido</w:t>
      </w:r>
      <w:r w:rsidRPr="00306F33">
        <w:t xml:space="preserve">, de nacionalidad </w:t>
      </w:r>
      <w:r w:rsidR="003A376A">
        <w:t>colombiana</w:t>
      </w:r>
      <w:r w:rsidRPr="00306F33">
        <w:t>, no participó en el debate ni en la decisión del presente asunto.</w:t>
      </w:r>
    </w:p>
  </w:footnote>
  <w:footnote w:id="3">
    <w:p w14:paraId="43EF3512" w14:textId="58343C01" w:rsidR="00D35BC3" w:rsidRPr="00D35BC3" w:rsidRDefault="00D35BC3" w:rsidP="00D35BC3">
      <w:pPr>
        <w:pStyle w:val="Notasalpie"/>
      </w:pPr>
      <w:r>
        <w:rPr>
          <w:rStyle w:val="FootnoteReference"/>
        </w:rPr>
        <w:footnoteRef/>
      </w:r>
      <w:r w:rsidRPr="00D35BC3">
        <w:t xml:space="preserve"> </w:t>
      </w:r>
      <w:r>
        <w:t>En adelante “la Convención Americana” o “la Convención”.</w:t>
      </w:r>
    </w:p>
  </w:footnote>
  <w:footnote w:id="4">
    <w:p w14:paraId="1AFEF3B0" w14:textId="2A516A2D" w:rsidR="008E3BFE" w:rsidRPr="00306F33" w:rsidRDefault="008E3BFE" w:rsidP="00306F33">
      <w:pPr>
        <w:pStyle w:val="FootnoteText"/>
        <w:ind w:firstLine="720"/>
        <w:jc w:val="both"/>
        <w:rPr>
          <w:rFonts w:asciiTheme="majorHAnsi" w:hAnsiTheme="majorHAnsi"/>
          <w:sz w:val="16"/>
          <w:szCs w:val="16"/>
          <w:lang w:val="es-ES"/>
        </w:rPr>
      </w:pPr>
      <w:r w:rsidRPr="001D4E54">
        <w:rPr>
          <w:rStyle w:val="FootnoteReference"/>
          <w:rFonts w:asciiTheme="majorHAnsi" w:hAnsiTheme="majorHAnsi"/>
          <w:sz w:val="16"/>
          <w:szCs w:val="16"/>
        </w:rPr>
        <w:footnoteRef/>
      </w:r>
      <w:r w:rsidRPr="001D4E54">
        <w:rPr>
          <w:rFonts w:asciiTheme="majorHAnsi" w:hAnsiTheme="majorHAnsi"/>
          <w:sz w:val="16"/>
          <w:szCs w:val="16"/>
          <w:lang w:val="es-ES"/>
        </w:rPr>
        <w:t xml:space="preserve"> Las observaciones de cada parte fueron debidamente trasladadas a la parte contraria.</w:t>
      </w:r>
      <w:r w:rsidR="001D4E54">
        <w:rPr>
          <w:rFonts w:asciiTheme="majorHAnsi" w:hAnsiTheme="majorHAnsi"/>
          <w:sz w:val="16"/>
          <w:szCs w:val="16"/>
          <w:lang w:val="es-ES"/>
        </w:rPr>
        <w:t xml:space="preserve"> </w:t>
      </w:r>
      <w:r w:rsidR="00135593">
        <w:rPr>
          <w:rFonts w:asciiTheme="majorHAnsi" w:hAnsiTheme="majorHAnsi"/>
          <w:sz w:val="16"/>
          <w:szCs w:val="16"/>
          <w:lang w:val="es-ES"/>
        </w:rPr>
        <w:t xml:space="preserve">Junto con la petición inicial, el peticionario </w:t>
      </w:r>
      <w:r w:rsidR="00357CD8">
        <w:rPr>
          <w:rFonts w:asciiTheme="majorHAnsi" w:hAnsiTheme="majorHAnsi"/>
          <w:sz w:val="16"/>
          <w:szCs w:val="16"/>
          <w:lang w:val="es-ES"/>
        </w:rPr>
        <w:t xml:space="preserve">solicitó el otorgamiento de Medidas Cautelares de la Comisión, trámite que </w:t>
      </w:r>
      <w:r w:rsidR="00A84B1F">
        <w:rPr>
          <w:rFonts w:asciiTheme="majorHAnsi" w:hAnsiTheme="majorHAnsi"/>
          <w:sz w:val="16"/>
          <w:szCs w:val="16"/>
          <w:lang w:val="es-ES"/>
        </w:rPr>
        <w:t xml:space="preserve">fue radicado bajo el número MC-565-10. Sin embargo, el 25 de agosto de </w:t>
      </w:r>
      <w:r w:rsidR="002C1400">
        <w:rPr>
          <w:rFonts w:asciiTheme="majorHAnsi" w:hAnsiTheme="majorHAnsi"/>
          <w:sz w:val="16"/>
          <w:szCs w:val="16"/>
          <w:lang w:val="es-ES"/>
        </w:rPr>
        <w:t xml:space="preserve">2016 la CIDH notificó a la parte peticionaria su decisión de no otorgar las </w:t>
      </w:r>
      <w:r w:rsidR="00FC20CB">
        <w:rPr>
          <w:rFonts w:asciiTheme="majorHAnsi" w:hAnsiTheme="majorHAnsi"/>
          <w:sz w:val="16"/>
          <w:szCs w:val="16"/>
          <w:lang w:val="es-ES"/>
        </w:rPr>
        <w:t>m</w:t>
      </w:r>
      <w:r w:rsidR="002C1400">
        <w:rPr>
          <w:rFonts w:asciiTheme="majorHAnsi" w:hAnsiTheme="majorHAnsi"/>
          <w:sz w:val="16"/>
          <w:szCs w:val="16"/>
          <w:lang w:val="es-ES"/>
        </w:rPr>
        <w:t xml:space="preserve">edidas solicitadas, por cuanto la solicitud estaba fundamentada </w:t>
      </w:r>
      <w:r w:rsidR="00825C1D">
        <w:rPr>
          <w:rFonts w:asciiTheme="majorHAnsi" w:hAnsiTheme="majorHAnsi"/>
          <w:sz w:val="16"/>
          <w:szCs w:val="16"/>
          <w:lang w:val="es-ES"/>
        </w:rPr>
        <w:t xml:space="preserve">en supuestas violaciones al debido proceso, </w:t>
      </w:r>
      <w:r w:rsidR="000D5CE7">
        <w:rPr>
          <w:rFonts w:asciiTheme="majorHAnsi" w:hAnsiTheme="majorHAnsi"/>
          <w:sz w:val="16"/>
          <w:szCs w:val="16"/>
          <w:lang w:val="es-ES"/>
        </w:rPr>
        <w:t xml:space="preserve">reclamo que corresponde ventilar </w:t>
      </w:r>
      <w:r w:rsidR="005A4675">
        <w:rPr>
          <w:rFonts w:asciiTheme="majorHAnsi" w:hAnsiTheme="majorHAnsi"/>
          <w:sz w:val="16"/>
          <w:szCs w:val="16"/>
          <w:lang w:val="es-ES"/>
        </w:rPr>
        <w:t>a través</w:t>
      </w:r>
      <w:r w:rsidR="000D5CE7">
        <w:rPr>
          <w:rFonts w:asciiTheme="majorHAnsi" w:hAnsiTheme="majorHAnsi"/>
          <w:sz w:val="16"/>
          <w:szCs w:val="16"/>
          <w:lang w:val="es-ES"/>
        </w:rPr>
        <w:t xml:space="preserve"> </w:t>
      </w:r>
      <w:r w:rsidR="005A4675">
        <w:rPr>
          <w:rFonts w:asciiTheme="majorHAnsi" w:hAnsiTheme="majorHAnsi"/>
          <w:sz w:val="16"/>
          <w:szCs w:val="16"/>
          <w:lang w:val="es-ES"/>
        </w:rPr>
        <w:t>d</w:t>
      </w:r>
      <w:r w:rsidR="000D5CE7">
        <w:rPr>
          <w:rFonts w:asciiTheme="majorHAnsi" w:hAnsiTheme="majorHAnsi"/>
          <w:sz w:val="16"/>
          <w:szCs w:val="16"/>
          <w:lang w:val="es-ES"/>
        </w:rPr>
        <w:t>el Sistema de Peticiones y Casos.</w:t>
      </w:r>
    </w:p>
  </w:footnote>
  <w:footnote w:id="5">
    <w:p w14:paraId="2BE49B81" w14:textId="2B4F72AB" w:rsidR="00357AF4" w:rsidRDefault="002F4878" w:rsidP="002F4878">
      <w:pPr>
        <w:pStyle w:val="Notasalpie"/>
        <w:rPr>
          <w:lang w:val="es-US"/>
        </w:rPr>
      </w:pPr>
      <w:r>
        <w:rPr>
          <w:rStyle w:val="FootnoteReference"/>
        </w:rPr>
        <w:footnoteRef/>
      </w:r>
      <w:r w:rsidRPr="00A55975">
        <w:rPr>
          <w:lang w:val="es-US"/>
        </w:rPr>
        <w:t xml:space="preserve"> </w:t>
      </w:r>
      <w:r w:rsidR="00A55975" w:rsidRPr="00A55975">
        <w:rPr>
          <w:lang w:val="es-US"/>
        </w:rPr>
        <w:t>De acuerdo con información p</w:t>
      </w:r>
      <w:r w:rsidR="00A55975">
        <w:rPr>
          <w:lang w:val="es-US"/>
        </w:rPr>
        <w:t>ública, la entonces propietaria de</w:t>
      </w:r>
      <w:r w:rsidR="0049587B">
        <w:rPr>
          <w:lang w:val="es-US"/>
        </w:rPr>
        <w:t xml:space="preserve">l inmueble objeto del proceso de extinción de dominio, Luz Mery Valencia García, </w:t>
      </w:r>
      <w:r w:rsidR="00D05703">
        <w:rPr>
          <w:lang w:val="es-US"/>
        </w:rPr>
        <w:t xml:space="preserve">era una narcotraficante conocida como una de las “reinas de la coca”, quien fue detenida el </w:t>
      </w:r>
      <w:r w:rsidR="00762941">
        <w:rPr>
          <w:lang w:val="es-US"/>
        </w:rPr>
        <w:t>7 de febrero de 1999 en Brasil</w:t>
      </w:r>
      <w:r w:rsidR="000F2425">
        <w:rPr>
          <w:lang w:val="es-US"/>
        </w:rPr>
        <w:t xml:space="preserve"> y</w:t>
      </w:r>
      <w:r w:rsidR="00762941">
        <w:rPr>
          <w:lang w:val="es-US"/>
        </w:rPr>
        <w:t xml:space="preserve"> extraditada a Estados Unidos, donde fue condenada a cadena perpetua</w:t>
      </w:r>
      <w:r w:rsidR="000B5FFB">
        <w:rPr>
          <w:lang w:val="es-US"/>
        </w:rPr>
        <w:t xml:space="preserve"> por tráfico de estupefacientes y lavado de activos</w:t>
      </w:r>
      <w:r w:rsidR="00762941">
        <w:rPr>
          <w:lang w:val="es-US"/>
        </w:rPr>
        <w:t>.</w:t>
      </w:r>
    </w:p>
    <w:p w14:paraId="134A7669" w14:textId="1F77043A" w:rsidR="002F4878" w:rsidRPr="00357AF4" w:rsidRDefault="00762941" w:rsidP="002F4878">
      <w:pPr>
        <w:pStyle w:val="Notasalpie"/>
        <w:rPr>
          <w:lang w:val="pt-BR"/>
        </w:rPr>
      </w:pPr>
      <w:r w:rsidRPr="00357AF4">
        <w:rPr>
          <w:lang w:val="pt-BR"/>
        </w:rPr>
        <w:t xml:space="preserve">Ver: </w:t>
      </w:r>
      <w:hyperlink r:id="rId1" w:history="1">
        <w:r w:rsidR="00357AF4" w:rsidRPr="00B1678A">
          <w:rPr>
            <w:rStyle w:val="Hyperlink"/>
            <w:lang w:val="pt-BR"/>
          </w:rPr>
          <w:t>https://caracol.com.co/radio/2000/10/20/judicial/0972021600_075763.html</w:t>
        </w:r>
      </w:hyperlink>
      <w:r w:rsidR="00357AF4">
        <w:rPr>
          <w:lang w:val="pt-BR"/>
        </w:rPr>
        <w:t xml:space="preserve"> </w:t>
      </w:r>
    </w:p>
  </w:footnote>
  <w:footnote w:id="6">
    <w:p w14:paraId="3EABB836" w14:textId="77777777" w:rsidR="00902965" w:rsidRPr="003F22A3" w:rsidRDefault="00902965" w:rsidP="00902965">
      <w:pPr>
        <w:pStyle w:val="FootnoteText"/>
        <w:ind w:firstLine="720"/>
        <w:jc w:val="both"/>
        <w:rPr>
          <w:rFonts w:asciiTheme="majorHAnsi" w:hAnsiTheme="majorHAnsi"/>
          <w:sz w:val="16"/>
          <w:szCs w:val="16"/>
          <w:lang w:val="es-CO"/>
        </w:rPr>
      </w:pPr>
      <w:r w:rsidRPr="003F22A3">
        <w:rPr>
          <w:rStyle w:val="FootnoteReference"/>
          <w:rFonts w:asciiTheme="majorHAnsi" w:hAnsiTheme="majorHAnsi"/>
          <w:sz w:val="16"/>
          <w:szCs w:val="16"/>
          <w:lang w:val="es-CO"/>
        </w:rPr>
        <w:footnoteRef/>
      </w:r>
      <w:r w:rsidRPr="00902965">
        <w:rPr>
          <w:rFonts w:asciiTheme="majorHAnsi" w:hAnsiTheme="majorHAnsi"/>
          <w:sz w:val="16"/>
          <w:szCs w:val="16"/>
          <w:lang w:val="pt-BR"/>
        </w:rPr>
        <w:t xml:space="preserve"> CIDH, Informe No. 154/24. </w:t>
      </w:r>
      <w:r w:rsidRPr="005A6844">
        <w:rPr>
          <w:rFonts w:asciiTheme="majorHAnsi" w:hAnsiTheme="majorHAnsi"/>
          <w:sz w:val="16"/>
          <w:szCs w:val="16"/>
          <w:lang w:val="es-CO"/>
        </w:rPr>
        <w:t>Petición 1118-14. Admisibilidad. Néstor Iván Moreno Rojas. Colombia. 27 de septiembre de 2024,</w:t>
      </w:r>
      <w:r>
        <w:rPr>
          <w:rFonts w:asciiTheme="majorHAnsi" w:hAnsiTheme="majorHAnsi"/>
          <w:sz w:val="16"/>
          <w:szCs w:val="16"/>
          <w:lang w:val="es-CO"/>
        </w:rPr>
        <w:t xml:space="preserve"> párr. 18; </w:t>
      </w:r>
      <w:r w:rsidRPr="003F22A3">
        <w:rPr>
          <w:rFonts w:asciiTheme="majorHAnsi" w:hAnsiTheme="majorHAnsi"/>
          <w:sz w:val="16"/>
          <w:szCs w:val="16"/>
          <w:lang w:val="es-CO"/>
        </w:rPr>
        <w:t>Informe No. 96/21. Petición 546-13. Inadmisibilidad. Rafael de Jesús Gómez Gómez. Venezuela. 29 de abril de 2010, párr. 10; CIDH. Informe No. 346/20. Admisibilidad. Emilio Palacio Urrutia. Ecuador. 23 de noviembre de 2020, párr. 14; Informe No. 108/19. Petición 81-09. Admisibilidad. Anael Fidel Sanjuanelo Polo y familia. Colombia. 28 de julio de 2019, párrs. 6, 15; Informe No. 168/17. Admisibilidad. Miguel Ángel Morales Morales. Perú. 1 de diciembre de 2017, párr. 15.</w:t>
      </w:r>
    </w:p>
  </w:footnote>
  <w:footnote w:id="7">
    <w:p w14:paraId="5568348F" w14:textId="77777777" w:rsidR="007B61BA" w:rsidRPr="00A821A9" w:rsidRDefault="007B61BA" w:rsidP="007B61BA">
      <w:pPr>
        <w:pStyle w:val="FootnoteText"/>
        <w:ind w:firstLine="720"/>
        <w:rPr>
          <w:rFonts w:ascii="Cambria" w:hAnsi="Cambria"/>
          <w:color w:val="auto"/>
          <w:sz w:val="16"/>
          <w:szCs w:val="16"/>
          <w:lang w:val="es-ES"/>
        </w:rPr>
      </w:pPr>
      <w:r w:rsidRPr="005C0FFE">
        <w:rPr>
          <w:rStyle w:val="FootnoteReference"/>
          <w:rFonts w:ascii="Cambria" w:hAnsi="Cambria"/>
          <w:color w:val="auto"/>
          <w:sz w:val="16"/>
          <w:szCs w:val="16"/>
        </w:rPr>
        <w:footnoteRef/>
      </w:r>
      <w:r w:rsidRPr="005C0FFE">
        <w:rPr>
          <w:rFonts w:ascii="Cambria" w:hAnsi="Cambria"/>
          <w:color w:val="auto"/>
          <w:sz w:val="16"/>
          <w:szCs w:val="16"/>
          <w:lang w:val="es-ES"/>
        </w:rPr>
        <w:t xml:space="preserve"> CIDH, Informe No. 221/22. Petición 434-12. Admisibilidad. </w:t>
      </w:r>
      <w:r w:rsidRPr="00A821A9">
        <w:rPr>
          <w:rFonts w:ascii="Cambria" w:hAnsi="Cambria"/>
          <w:color w:val="auto"/>
          <w:sz w:val="16"/>
          <w:szCs w:val="16"/>
          <w:lang w:val="es-ES"/>
        </w:rPr>
        <w:t>Hugo Paz Lavadenz. Bolivia. 13 de agosto de 2022, párr. 23.</w:t>
      </w:r>
    </w:p>
  </w:footnote>
  <w:footnote w:id="8">
    <w:p w14:paraId="374AC1FD" w14:textId="005E7403" w:rsidR="006815F5" w:rsidRPr="006815F5" w:rsidRDefault="006815F5" w:rsidP="006815F5">
      <w:pPr>
        <w:pStyle w:val="Notasalpie"/>
        <w:rPr>
          <w:lang w:val="es-CO"/>
        </w:rPr>
      </w:pPr>
      <w:r>
        <w:rPr>
          <w:rStyle w:val="FootnoteReference"/>
        </w:rPr>
        <w:footnoteRef/>
      </w:r>
      <w:r>
        <w:t xml:space="preserve"> </w:t>
      </w:r>
      <w:r w:rsidR="00DF0CB5">
        <w:t xml:space="preserve">CIDH, </w:t>
      </w:r>
      <w:r w:rsidR="00DF0CB5" w:rsidRPr="00BA1C42">
        <w:rPr>
          <w:lang w:val="es-US"/>
        </w:rPr>
        <w:t xml:space="preserve">Informe No. 90/03. Petición 581/1999. Inadmisibilidad. Gustavo Trujillo Gonzáles. </w:t>
      </w:r>
      <w:r w:rsidR="00DF0CB5" w:rsidRPr="00A821A9">
        <w:t xml:space="preserve">Perú. 22 de octubre de 2003, párr. </w:t>
      </w:r>
      <w:r w:rsidR="00DF0CB5" w:rsidRPr="00B8703B">
        <w:t>33.</w:t>
      </w:r>
    </w:p>
  </w:footnote>
  <w:footnote w:id="9">
    <w:p w14:paraId="05C8DE99" w14:textId="5B4F7B06" w:rsidR="00451A9C" w:rsidRPr="00DA4222" w:rsidRDefault="00451A9C" w:rsidP="00451A9C">
      <w:pPr>
        <w:pStyle w:val="Notasalpie"/>
        <w:rPr>
          <w:lang w:val="es-CO"/>
        </w:rPr>
      </w:pPr>
      <w:r>
        <w:rPr>
          <w:rStyle w:val="FootnoteReference"/>
        </w:rPr>
        <w:footnoteRef/>
      </w:r>
      <w:r w:rsidRPr="00A821A9">
        <w:t xml:space="preserve"> CIDH, Informe No. 230/23. </w:t>
      </w:r>
      <w:r w:rsidRPr="0056438A">
        <w:rPr>
          <w:lang w:val="es-US"/>
        </w:rPr>
        <w:t xml:space="preserve">Petición 1946-13. Inadmisibilidad. </w:t>
      </w:r>
      <w:r w:rsidRPr="00B8703B">
        <w:t xml:space="preserve">Luis Humberto Sánchez Morales. Chile. </w:t>
      </w:r>
      <w:r w:rsidRPr="007A6D2E">
        <w:rPr>
          <w:lang w:val="es-US"/>
        </w:rPr>
        <w:t xml:space="preserve">20 de octubre de 2023, párr. 13; </w:t>
      </w:r>
      <w:r w:rsidRPr="009E5AA6">
        <w:rPr>
          <w:lang w:val="es-US"/>
        </w:rPr>
        <w:t xml:space="preserve">Informe No. 345/21. Petición 379-10. Inadmisibilidad. Héctor Eladio Maury Arguello y otros. </w:t>
      </w:r>
      <w:r w:rsidRPr="00A821A9">
        <w:t xml:space="preserve">Colombia. 22 de noviembre de 2021, párr. </w:t>
      </w:r>
      <w:r w:rsidRPr="00093450">
        <w:rPr>
          <w:lang w:val="es-US"/>
        </w:rPr>
        <w:t xml:space="preserve">25; </w:t>
      </w:r>
      <w:r w:rsidR="00DF0CB5">
        <w:rPr>
          <w:lang w:val="es-US"/>
        </w:rPr>
        <w:t xml:space="preserve">e, </w:t>
      </w:r>
      <w:r w:rsidRPr="007A6D2E">
        <w:rPr>
          <w:lang w:val="es-US"/>
        </w:rPr>
        <w:t xml:space="preserve">Informe No. 135/18, Petición 1045-07. Inadmisibilidad. Enrique Alberto Elías Waiman. </w:t>
      </w:r>
      <w:r w:rsidRPr="00BA1C42">
        <w:rPr>
          <w:lang w:val="es-US"/>
        </w:rPr>
        <w:t>Argentina. 20 de noviembre de 2018, párrs. 9-10</w:t>
      </w:r>
      <w:r w:rsidR="00DF0CB5">
        <w:rPr>
          <w:lang w:val="es-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B712CE"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AE2"/>
    <w:rsid w:val="00000CDA"/>
    <w:rsid w:val="000060DA"/>
    <w:rsid w:val="00006E1F"/>
    <w:rsid w:val="000070D7"/>
    <w:rsid w:val="000130A6"/>
    <w:rsid w:val="0001788C"/>
    <w:rsid w:val="000179B8"/>
    <w:rsid w:val="0002040D"/>
    <w:rsid w:val="00020609"/>
    <w:rsid w:val="000215A3"/>
    <w:rsid w:val="0002349D"/>
    <w:rsid w:val="000337EF"/>
    <w:rsid w:val="00035107"/>
    <w:rsid w:val="00036040"/>
    <w:rsid w:val="00040C3A"/>
    <w:rsid w:val="000419AD"/>
    <w:rsid w:val="000433C9"/>
    <w:rsid w:val="00050266"/>
    <w:rsid w:val="00050FA6"/>
    <w:rsid w:val="00054B8A"/>
    <w:rsid w:val="00057286"/>
    <w:rsid w:val="000619E3"/>
    <w:rsid w:val="00061ACC"/>
    <w:rsid w:val="00066B2C"/>
    <w:rsid w:val="00067291"/>
    <w:rsid w:val="0006757D"/>
    <w:rsid w:val="00071174"/>
    <w:rsid w:val="000716C5"/>
    <w:rsid w:val="00074241"/>
    <w:rsid w:val="00075E23"/>
    <w:rsid w:val="0008158C"/>
    <w:rsid w:val="00082662"/>
    <w:rsid w:val="000834D6"/>
    <w:rsid w:val="00091E0F"/>
    <w:rsid w:val="0009344A"/>
    <w:rsid w:val="00093450"/>
    <w:rsid w:val="00097152"/>
    <w:rsid w:val="000A1830"/>
    <w:rsid w:val="000A392E"/>
    <w:rsid w:val="000A575F"/>
    <w:rsid w:val="000B185A"/>
    <w:rsid w:val="000B33C8"/>
    <w:rsid w:val="000B5FFB"/>
    <w:rsid w:val="000C2113"/>
    <w:rsid w:val="000D05CB"/>
    <w:rsid w:val="000D10DB"/>
    <w:rsid w:val="000D5CE7"/>
    <w:rsid w:val="000D7353"/>
    <w:rsid w:val="000E5EB5"/>
    <w:rsid w:val="000E774C"/>
    <w:rsid w:val="000E7F89"/>
    <w:rsid w:val="000F1C44"/>
    <w:rsid w:val="000F2425"/>
    <w:rsid w:val="000F349C"/>
    <w:rsid w:val="000F35ED"/>
    <w:rsid w:val="000F68C2"/>
    <w:rsid w:val="001004FE"/>
    <w:rsid w:val="00107131"/>
    <w:rsid w:val="0010736F"/>
    <w:rsid w:val="00113F73"/>
    <w:rsid w:val="00121CC2"/>
    <w:rsid w:val="00125980"/>
    <w:rsid w:val="001260BB"/>
    <w:rsid w:val="00126D2E"/>
    <w:rsid w:val="00131425"/>
    <w:rsid w:val="00133EE5"/>
    <w:rsid w:val="00135593"/>
    <w:rsid w:val="00136C9F"/>
    <w:rsid w:val="00136F8E"/>
    <w:rsid w:val="00137F84"/>
    <w:rsid w:val="00151E0A"/>
    <w:rsid w:val="00154DE4"/>
    <w:rsid w:val="00155939"/>
    <w:rsid w:val="0015692C"/>
    <w:rsid w:val="00160DD6"/>
    <w:rsid w:val="00164139"/>
    <w:rsid w:val="00167A34"/>
    <w:rsid w:val="00170B2C"/>
    <w:rsid w:val="001801D5"/>
    <w:rsid w:val="00181918"/>
    <w:rsid w:val="001905AB"/>
    <w:rsid w:val="001932C2"/>
    <w:rsid w:val="001A4E05"/>
    <w:rsid w:val="001A520D"/>
    <w:rsid w:val="001A6F3D"/>
    <w:rsid w:val="001A7870"/>
    <w:rsid w:val="001B0F0A"/>
    <w:rsid w:val="001B3A00"/>
    <w:rsid w:val="001B478B"/>
    <w:rsid w:val="001C1B41"/>
    <w:rsid w:val="001D4E54"/>
    <w:rsid w:val="001D65EF"/>
    <w:rsid w:val="001D7F96"/>
    <w:rsid w:val="001E49E7"/>
    <w:rsid w:val="001F15FA"/>
    <w:rsid w:val="001F7201"/>
    <w:rsid w:val="002007BC"/>
    <w:rsid w:val="00200EF2"/>
    <w:rsid w:val="00201D4D"/>
    <w:rsid w:val="0021034F"/>
    <w:rsid w:val="00211BD7"/>
    <w:rsid w:val="002160A1"/>
    <w:rsid w:val="00223A29"/>
    <w:rsid w:val="00223FFE"/>
    <w:rsid w:val="002250A3"/>
    <w:rsid w:val="00230646"/>
    <w:rsid w:val="00235217"/>
    <w:rsid w:val="00236107"/>
    <w:rsid w:val="002378BD"/>
    <w:rsid w:val="002411DF"/>
    <w:rsid w:val="00245C2E"/>
    <w:rsid w:val="00246D1F"/>
    <w:rsid w:val="00247403"/>
    <w:rsid w:val="00247542"/>
    <w:rsid w:val="0025032A"/>
    <w:rsid w:val="002543F0"/>
    <w:rsid w:val="00256D49"/>
    <w:rsid w:val="00257450"/>
    <w:rsid w:val="002632E1"/>
    <w:rsid w:val="00266B61"/>
    <w:rsid w:val="0026712A"/>
    <w:rsid w:val="002704DB"/>
    <w:rsid w:val="002705BF"/>
    <w:rsid w:val="0027327F"/>
    <w:rsid w:val="00274F4B"/>
    <w:rsid w:val="00286C16"/>
    <w:rsid w:val="00292B56"/>
    <w:rsid w:val="002A07D6"/>
    <w:rsid w:val="002A0AAE"/>
    <w:rsid w:val="002A19B2"/>
    <w:rsid w:val="002A5820"/>
    <w:rsid w:val="002B5397"/>
    <w:rsid w:val="002C1400"/>
    <w:rsid w:val="002C7484"/>
    <w:rsid w:val="002D1C6A"/>
    <w:rsid w:val="002D2B26"/>
    <w:rsid w:val="002D2C5F"/>
    <w:rsid w:val="002D7EA2"/>
    <w:rsid w:val="002E187C"/>
    <w:rsid w:val="002E5A4F"/>
    <w:rsid w:val="002F4878"/>
    <w:rsid w:val="00302619"/>
    <w:rsid w:val="00302733"/>
    <w:rsid w:val="00305835"/>
    <w:rsid w:val="00305852"/>
    <w:rsid w:val="00306F33"/>
    <w:rsid w:val="00314078"/>
    <w:rsid w:val="0031535D"/>
    <w:rsid w:val="00321601"/>
    <w:rsid w:val="003239B8"/>
    <w:rsid w:val="00323DD5"/>
    <w:rsid w:val="0033169F"/>
    <w:rsid w:val="00332105"/>
    <w:rsid w:val="0033501F"/>
    <w:rsid w:val="00335D68"/>
    <w:rsid w:val="00344977"/>
    <w:rsid w:val="00346C95"/>
    <w:rsid w:val="00351594"/>
    <w:rsid w:val="00356185"/>
    <w:rsid w:val="00357AF4"/>
    <w:rsid w:val="00357CD8"/>
    <w:rsid w:val="00360380"/>
    <w:rsid w:val="00372BA4"/>
    <w:rsid w:val="0037519E"/>
    <w:rsid w:val="003820B3"/>
    <w:rsid w:val="00382AC9"/>
    <w:rsid w:val="003844A2"/>
    <w:rsid w:val="00386CF0"/>
    <w:rsid w:val="00394049"/>
    <w:rsid w:val="00394073"/>
    <w:rsid w:val="003A376A"/>
    <w:rsid w:val="003B1366"/>
    <w:rsid w:val="003B2C11"/>
    <w:rsid w:val="003B5081"/>
    <w:rsid w:val="003B70FB"/>
    <w:rsid w:val="003B795E"/>
    <w:rsid w:val="003B79A6"/>
    <w:rsid w:val="003C5655"/>
    <w:rsid w:val="003C676B"/>
    <w:rsid w:val="003D3566"/>
    <w:rsid w:val="003D3BC2"/>
    <w:rsid w:val="003E3B07"/>
    <w:rsid w:val="003E6CA1"/>
    <w:rsid w:val="003F27AE"/>
    <w:rsid w:val="003F2947"/>
    <w:rsid w:val="003F3624"/>
    <w:rsid w:val="003F5154"/>
    <w:rsid w:val="003F5EC1"/>
    <w:rsid w:val="00405F9C"/>
    <w:rsid w:val="004065A8"/>
    <w:rsid w:val="00414C6D"/>
    <w:rsid w:val="004165C2"/>
    <w:rsid w:val="004207B8"/>
    <w:rsid w:val="004241A0"/>
    <w:rsid w:val="00433272"/>
    <w:rsid w:val="00441ECB"/>
    <w:rsid w:val="00445193"/>
    <w:rsid w:val="004468CD"/>
    <w:rsid w:val="00451A9C"/>
    <w:rsid w:val="00456311"/>
    <w:rsid w:val="00462C1B"/>
    <w:rsid w:val="00467B7E"/>
    <w:rsid w:val="00472481"/>
    <w:rsid w:val="00473BB4"/>
    <w:rsid w:val="00477592"/>
    <w:rsid w:val="00477887"/>
    <w:rsid w:val="0048536F"/>
    <w:rsid w:val="00486F1C"/>
    <w:rsid w:val="0049003A"/>
    <w:rsid w:val="0049419D"/>
    <w:rsid w:val="0049587B"/>
    <w:rsid w:val="004A057B"/>
    <w:rsid w:val="004A6A54"/>
    <w:rsid w:val="004B14F7"/>
    <w:rsid w:val="004B421C"/>
    <w:rsid w:val="004B7F1F"/>
    <w:rsid w:val="004C15E7"/>
    <w:rsid w:val="004C20D2"/>
    <w:rsid w:val="004C2312"/>
    <w:rsid w:val="004C4B62"/>
    <w:rsid w:val="004C54C9"/>
    <w:rsid w:val="004C6238"/>
    <w:rsid w:val="004D4ABA"/>
    <w:rsid w:val="004D5EB6"/>
    <w:rsid w:val="004D6025"/>
    <w:rsid w:val="004E1A0E"/>
    <w:rsid w:val="004E2649"/>
    <w:rsid w:val="004F0FBF"/>
    <w:rsid w:val="004F626F"/>
    <w:rsid w:val="00500FD5"/>
    <w:rsid w:val="00501399"/>
    <w:rsid w:val="00501679"/>
    <w:rsid w:val="00503B2C"/>
    <w:rsid w:val="005047ED"/>
    <w:rsid w:val="0050633D"/>
    <w:rsid w:val="00507BC4"/>
    <w:rsid w:val="005128E4"/>
    <w:rsid w:val="005133DB"/>
    <w:rsid w:val="00514504"/>
    <w:rsid w:val="00514EBC"/>
    <w:rsid w:val="005173A3"/>
    <w:rsid w:val="005174F6"/>
    <w:rsid w:val="00521E1F"/>
    <w:rsid w:val="00525560"/>
    <w:rsid w:val="00527CBB"/>
    <w:rsid w:val="00534C5C"/>
    <w:rsid w:val="00536C85"/>
    <w:rsid w:val="00544C49"/>
    <w:rsid w:val="00550034"/>
    <w:rsid w:val="005516A1"/>
    <w:rsid w:val="00553C13"/>
    <w:rsid w:val="005559EF"/>
    <w:rsid w:val="00557F57"/>
    <w:rsid w:val="005615A1"/>
    <w:rsid w:val="00563557"/>
    <w:rsid w:val="0056438A"/>
    <w:rsid w:val="005660BA"/>
    <w:rsid w:val="0057402A"/>
    <w:rsid w:val="00576BD2"/>
    <w:rsid w:val="0057710C"/>
    <w:rsid w:val="005771D0"/>
    <w:rsid w:val="005851FF"/>
    <w:rsid w:val="00586E74"/>
    <w:rsid w:val="005914D9"/>
    <w:rsid w:val="0059191A"/>
    <w:rsid w:val="00591CD1"/>
    <w:rsid w:val="005921FF"/>
    <w:rsid w:val="00595AD8"/>
    <w:rsid w:val="005A24ED"/>
    <w:rsid w:val="005A3441"/>
    <w:rsid w:val="005A4675"/>
    <w:rsid w:val="005A6517"/>
    <w:rsid w:val="005A6D0E"/>
    <w:rsid w:val="005B196A"/>
    <w:rsid w:val="005B4CE7"/>
    <w:rsid w:val="005B52B0"/>
    <w:rsid w:val="005B6806"/>
    <w:rsid w:val="005C37F1"/>
    <w:rsid w:val="005C4225"/>
    <w:rsid w:val="005D081E"/>
    <w:rsid w:val="005D7D70"/>
    <w:rsid w:val="005E005A"/>
    <w:rsid w:val="005E0C2E"/>
    <w:rsid w:val="005E536B"/>
    <w:rsid w:val="005E5379"/>
    <w:rsid w:val="005E5EF2"/>
    <w:rsid w:val="005E7037"/>
    <w:rsid w:val="005F0DAD"/>
    <w:rsid w:val="005F0F33"/>
    <w:rsid w:val="005F606B"/>
    <w:rsid w:val="005F7525"/>
    <w:rsid w:val="00600DEB"/>
    <w:rsid w:val="00604093"/>
    <w:rsid w:val="006107F1"/>
    <w:rsid w:val="006119D0"/>
    <w:rsid w:val="00615577"/>
    <w:rsid w:val="0062099E"/>
    <w:rsid w:val="00624D2E"/>
    <w:rsid w:val="00625A46"/>
    <w:rsid w:val="00627C9F"/>
    <w:rsid w:val="006311E9"/>
    <w:rsid w:val="00631EBF"/>
    <w:rsid w:val="00632354"/>
    <w:rsid w:val="006343BE"/>
    <w:rsid w:val="00635421"/>
    <w:rsid w:val="00642810"/>
    <w:rsid w:val="0064355E"/>
    <w:rsid w:val="006448B2"/>
    <w:rsid w:val="00647385"/>
    <w:rsid w:val="00650EB7"/>
    <w:rsid w:val="00652333"/>
    <w:rsid w:val="00653057"/>
    <w:rsid w:val="00657E9D"/>
    <w:rsid w:val="006640A1"/>
    <w:rsid w:val="0067602D"/>
    <w:rsid w:val="0068009E"/>
    <w:rsid w:val="006815F5"/>
    <w:rsid w:val="00682AA3"/>
    <w:rsid w:val="006845D1"/>
    <w:rsid w:val="00692219"/>
    <w:rsid w:val="00692957"/>
    <w:rsid w:val="00697949"/>
    <w:rsid w:val="006A17D2"/>
    <w:rsid w:val="006A247E"/>
    <w:rsid w:val="006A4699"/>
    <w:rsid w:val="006A67B8"/>
    <w:rsid w:val="006A73E6"/>
    <w:rsid w:val="006B04E9"/>
    <w:rsid w:val="006B2D5C"/>
    <w:rsid w:val="006B6305"/>
    <w:rsid w:val="006B6855"/>
    <w:rsid w:val="006C0ECF"/>
    <w:rsid w:val="006C4ABD"/>
    <w:rsid w:val="006C4EB1"/>
    <w:rsid w:val="006D3015"/>
    <w:rsid w:val="006D5420"/>
    <w:rsid w:val="006D7F0B"/>
    <w:rsid w:val="006E0166"/>
    <w:rsid w:val="006E1941"/>
    <w:rsid w:val="006E2FFB"/>
    <w:rsid w:val="006E50BA"/>
    <w:rsid w:val="006E621A"/>
    <w:rsid w:val="006E6FB8"/>
    <w:rsid w:val="006E7B34"/>
    <w:rsid w:val="006F1F60"/>
    <w:rsid w:val="006F46FC"/>
    <w:rsid w:val="00700E1C"/>
    <w:rsid w:val="00702A5B"/>
    <w:rsid w:val="0070697F"/>
    <w:rsid w:val="007103C4"/>
    <w:rsid w:val="00711F0C"/>
    <w:rsid w:val="00716643"/>
    <w:rsid w:val="00716B52"/>
    <w:rsid w:val="007170E2"/>
    <w:rsid w:val="0072199C"/>
    <w:rsid w:val="00722C9F"/>
    <w:rsid w:val="00723AF1"/>
    <w:rsid w:val="00724FC2"/>
    <w:rsid w:val="007253B8"/>
    <w:rsid w:val="00725433"/>
    <w:rsid w:val="00726637"/>
    <w:rsid w:val="00733CEF"/>
    <w:rsid w:val="0073741F"/>
    <w:rsid w:val="007422D3"/>
    <w:rsid w:val="007422DF"/>
    <w:rsid w:val="00754E50"/>
    <w:rsid w:val="0075643E"/>
    <w:rsid w:val="00762941"/>
    <w:rsid w:val="0076643F"/>
    <w:rsid w:val="00767126"/>
    <w:rsid w:val="00772AFD"/>
    <w:rsid w:val="00777BFB"/>
    <w:rsid w:val="00777F63"/>
    <w:rsid w:val="00783F3F"/>
    <w:rsid w:val="0079188B"/>
    <w:rsid w:val="00792ED6"/>
    <w:rsid w:val="00793387"/>
    <w:rsid w:val="00796F10"/>
    <w:rsid w:val="007A35AE"/>
    <w:rsid w:val="007A454C"/>
    <w:rsid w:val="007A5817"/>
    <w:rsid w:val="007A6D2E"/>
    <w:rsid w:val="007B05C4"/>
    <w:rsid w:val="007B60E9"/>
    <w:rsid w:val="007B61BA"/>
    <w:rsid w:val="007B6CC3"/>
    <w:rsid w:val="007B76D3"/>
    <w:rsid w:val="007C3334"/>
    <w:rsid w:val="007C53D6"/>
    <w:rsid w:val="007C616E"/>
    <w:rsid w:val="007C72C7"/>
    <w:rsid w:val="007C7D28"/>
    <w:rsid w:val="007C7F15"/>
    <w:rsid w:val="007D2B98"/>
    <w:rsid w:val="007D40CA"/>
    <w:rsid w:val="007E21BC"/>
    <w:rsid w:val="007E7C82"/>
    <w:rsid w:val="007F2AA1"/>
    <w:rsid w:val="007F588D"/>
    <w:rsid w:val="00803F1C"/>
    <w:rsid w:val="00804276"/>
    <w:rsid w:val="0080600E"/>
    <w:rsid w:val="00814688"/>
    <w:rsid w:val="00817612"/>
    <w:rsid w:val="0082487D"/>
    <w:rsid w:val="00825C1D"/>
    <w:rsid w:val="008315A8"/>
    <w:rsid w:val="008338A4"/>
    <w:rsid w:val="00834D49"/>
    <w:rsid w:val="00837C45"/>
    <w:rsid w:val="00844730"/>
    <w:rsid w:val="00845460"/>
    <w:rsid w:val="008457C2"/>
    <w:rsid w:val="00857A82"/>
    <w:rsid w:val="008600A2"/>
    <w:rsid w:val="00863384"/>
    <w:rsid w:val="0086518F"/>
    <w:rsid w:val="008717B3"/>
    <w:rsid w:val="00873836"/>
    <w:rsid w:val="00876FD0"/>
    <w:rsid w:val="00883F34"/>
    <w:rsid w:val="00885737"/>
    <w:rsid w:val="00890650"/>
    <w:rsid w:val="00890DA0"/>
    <w:rsid w:val="008944DC"/>
    <w:rsid w:val="00897876"/>
    <w:rsid w:val="00897E12"/>
    <w:rsid w:val="008A7028"/>
    <w:rsid w:val="008A7E0F"/>
    <w:rsid w:val="008B12F5"/>
    <w:rsid w:val="008B36CD"/>
    <w:rsid w:val="008B5E17"/>
    <w:rsid w:val="008B6062"/>
    <w:rsid w:val="008B6592"/>
    <w:rsid w:val="008C1648"/>
    <w:rsid w:val="008C2ECD"/>
    <w:rsid w:val="008C34C8"/>
    <w:rsid w:val="008C5E2D"/>
    <w:rsid w:val="008C7154"/>
    <w:rsid w:val="008D4840"/>
    <w:rsid w:val="008D5841"/>
    <w:rsid w:val="008D768D"/>
    <w:rsid w:val="008E0642"/>
    <w:rsid w:val="008E3759"/>
    <w:rsid w:val="008E3BFE"/>
    <w:rsid w:val="008E3E7D"/>
    <w:rsid w:val="008F1912"/>
    <w:rsid w:val="008F364D"/>
    <w:rsid w:val="008F7B45"/>
    <w:rsid w:val="00901503"/>
    <w:rsid w:val="0090270B"/>
    <w:rsid w:val="00902965"/>
    <w:rsid w:val="009041DC"/>
    <w:rsid w:val="0091560E"/>
    <w:rsid w:val="00917B5A"/>
    <w:rsid w:val="00920A58"/>
    <w:rsid w:val="00920A8C"/>
    <w:rsid w:val="00927C4E"/>
    <w:rsid w:val="00931860"/>
    <w:rsid w:val="00933B04"/>
    <w:rsid w:val="00934A2C"/>
    <w:rsid w:val="0094438C"/>
    <w:rsid w:val="00947685"/>
    <w:rsid w:val="00950C33"/>
    <w:rsid w:val="00952571"/>
    <w:rsid w:val="009565AA"/>
    <w:rsid w:val="009565B6"/>
    <w:rsid w:val="00965FCE"/>
    <w:rsid w:val="0096706E"/>
    <w:rsid w:val="00974276"/>
    <w:rsid w:val="00974491"/>
    <w:rsid w:val="00975AE3"/>
    <w:rsid w:val="00975C4E"/>
    <w:rsid w:val="00981FBA"/>
    <w:rsid w:val="009837AA"/>
    <w:rsid w:val="009901FF"/>
    <w:rsid w:val="00997BC5"/>
    <w:rsid w:val="009A2B68"/>
    <w:rsid w:val="009A4F41"/>
    <w:rsid w:val="009A56CE"/>
    <w:rsid w:val="009A57D7"/>
    <w:rsid w:val="009B01A2"/>
    <w:rsid w:val="009B381B"/>
    <w:rsid w:val="009C6657"/>
    <w:rsid w:val="009C68C1"/>
    <w:rsid w:val="009D1753"/>
    <w:rsid w:val="009D7611"/>
    <w:rsid w:val="009E0B61"/>
    <w:rsid w:val="009E4EBF"/>
    <w:rsid w:val="009E53DE"/>
    <w:rsid w:val="009E5AA6"/>
    <w:rsid w:val="009E76E1"/>
    <w:rsid w:val="009F6CFB"/>
    <w:rsid w:val="00A00CC4"/>
    <w:rsid w:val="00A03418"/>
    <w:rsid w:val="00A03F6A"/>
    <w:rsid w:val="00A11212"/>
    <w:rsid w:val="00A11E44"/>
    <w:rsid w:val="00A15562"/>
    <w:rsid w:val="00A16556"/>
    <w:rsid w:val="00A20486"/>
    <w:rsid w:val="00A22DDC"/>
    <w:rsid w:val="00A25781"/>
    <w:rsid w:val="00A2749A"/>
    <w:rsid w:val="00A30100"/>
    <w:rsid w:val="00A328B3"/>
    <w:rsid w:val="00A35008"/>
    <w:rsid w:val="00A50FCF"/>
    <w:rsid w:val="00A528D1"/>
    <w:rsid w:val="00A55975"/>
    <w:rsid w:val="00A610CD"/>
    <w:rsid w:val="00A61CF9"/>
    <w:rsid w:val="00A67AC9"/>
    <w:rsid w:val="00A758AA"/>
    <w:rsid w:val="00A7786D"/>
    <w:rsid w:val="00A821A9"/>
    <w:rsid w:val="00A82247"/>
    <w:rsid w:val="00A849E7"/>
    <w:rsid w:val="00A84B1F"/>
    <w:rsid w:val="00A950AD"/>
    <w:rsid w:val="00A97703"/>
    <w:rsid w:val="00AA09A2"/>
    <w:rsid w:val="00AA675A"/>
    <w:rsid w:val="00AA7052"/>
    <w:rsid w:val="00AA7996"/>
    <w:rsid w:val="00AB2FAB"/>
    <w:rsid w:val="00AC19CB"/>
    <w:rsid w:val="00AC48DC"/>
    <w:rsid w:val="00AD16DE"/>
    <w:rsid w:val="00AD7FEE"/>
    <w:rsid w:val="00AE040F"/>
    <w:rsid w:val="00AE26C9"/>
    <w:rsid w:val="00AE5488"/>
    <w:rsid w:val="00AE628D"/>
    <w:rsid w:val="00AE6F91"/>
    <w:rsid w:val="00AF5571"/>
    <w:rsid w:val="00AF77C8"/>
    <w:rsid w:val="00B039E7"/>
    <w:rsid w:val="00B04818"/>
    <w:rsid w:val="00B07341"/>
    <w:rsid w:val="00B15E86"/>
    <w:rsid w:val="00B17193"/>
    <w:rsid w:val="00B30539"/>
    <w:rsid w:val="00B311DF"/>
    <w:rsid w:val="00B3140A"/>
    <w:rsid w:val="00B314DB"/>
    <w:rsid w:val="00B31936"/>
    <w:rsid w:val="00B31EF2"/>
    <w:rsid w:val="00B34358"/>
    <w:rsid w:val="00B361F2"/>
    <w:rsid w:val="00B364C8"/>
    <w:rsid w:val="00B3718B"/>
    <w:rsid w:val="00B3745F"/>
    <w:rsid w:val="00B44725"/>
    <w:rsid w:val="00B4632A"/>
    <w:rsid w:val="00B476D5"/>
    <w:rsid w:val="00B530F1"/>
    <w:rsid w:val="00B57A6E"/>
    <w:rsid w:val="00B6765D"/>
    <w:rsid w:val="00B70BB9"/>
    <w:rsid w:val="00B712CE"/>
    <w:rsid w:val="00B74366"/>
    <w:rsid w:val="00B76530"/>
    <w:rsid w:val="00B80A2C"/>
    <w:rsid w:val="00B8703B"/>
    <w:rsid w:val="00B93D7F"/>
    <w:rsid w:val="00B95408"/>
    <w:rsid w:val="00BA1C42"/>
    <w:rsid w:val="00BA276C"/>
    <w:rsid w:val="00BA480B"/>
    <w:rsid w:val="00BB019D"/>
    <w:rsid w:val="00BB11DB"/>
    <w:rsid w:val="00BB306F"/>
    <w:rsid w:val="00BC0138"/>
    <w:rsid w:val="00BD0FF5"/>
    <w:rsid w:val="00BD4B89"/>
    <w:rsid w:val="00BD5922"/>
    <w:rsid w:val="00BD6FF8"/>
    <w:rsid w:val="00BE1105"/>
    <w:rsid w:val="00BE227E"/>
    <w:rsid w:val="00BE2A3B"/>
    <w:rsid w:val="00BF02CB"/>
    <w:rsid w:val="00BF134A"/>
    <w:rsid w:val="00BF169A"/>
    <w:rsid w:val="00BF1C28"/>
    <w:rsid w:val="00BF6FD8"/>
    <w:rsid w:val="00C03680"/>
    <w:rsid w:val="00C054DF"/>
    <w:rsid w:val="00C11630"/>
    <w:rsid w:val="00C20D44"/>
    <w:rsid w:val="00C21762"/>
    <w:rsid w:val="00C21FEF"/>
    <w:rsid w:val="00C23BA4"/>
    <w:rsid w:val="00C24543"/>
    <w:rsid w:val="00C24C57"/>
    <w:rsid w:val="00C256A2"/>
    <w:rsid w:val="00C25ADB"/>
    <w:rsid w:val="00C3047E"/>
    <w:rsid w:val="00C30BD5"/>
    <w:rsid w:val="00C36AA8"/>
    <w:rsid w:val="00C50D1A"/>
    <w:rsid w:val="00C51515"/>
    <w:rsid w:val="00C55E08"/>
    <w:rsid w:val="00C5660B"/>
    <w:rsid w:val="00C5749E"/>
    <w:rsid w:val="00C669D6"/>
    <w:rsid w:val="00C66B72"/>
    <w:rsid w:val="00C71D5A"/>
    <w:rsid w:val="00C73F83"/>
    <w:rsid w:val="00C764D5"/>
    <w:rsid w:val="00C80E73"/>
    <w:rsid w:val="00C84658"/>
    <w:rsid w:val="00C869BA"/>
    <w:rsid w:val="00C87AC4"/>
    <w:rsid w:val="00C921E7"/>
    <w:rsid w:val="00C9567A"/>
    <w:rsid w:val="00CA48CA"/>
    <w:rsid w:val="00CA4EDC"/>
    <w:rsid w:val="00CB183E"/>
    <w:rsid w:val="00CB212D"/>
    <w:rsid w:val="00CB2660"/>
    <w:rsid w:val="00CB62FB"/>
    <w:rsid w:val="00CC5031"/>
    <w:rsid w:val="00CC5E90"/>
    <w:rsid w:val="00CC64BA"/>
    <w:rsid w:val="00CD046C"/>
    <w:rsid w:val="00CD607F"/>
    <w:rsid w:val="00CD7F5A"/>
    <w:rsid w:val="00CE076C"/>
    <w:rsid w:val="00CE5199"/>
    <w:rsid w:val="00CE66D5"/>
    <w:rsid w:val="00CE71A9"/>
    <w:rsid w:val="00CF637A"/>
    <w:rsid w:val="00D004F0"/>
    <w:rsid w:val="00D049A2"/>
    <w:rsid w:val="00D05703"/>
    <w:rsid w:val="00D059DE"/>
    <w:rsid w:val="00D05ABD"/>
    <w:rsid w:val="00D13FCE"/>
    <w:rsid w:val="00D221C4"/>
    <w:rsid w:val="00D23C77"/>
    <w:rsid w:val="00D26867"/>
    <w:rsid w:val="00D306D1"/>
    <w:rsid w:val="00D30800"/>
    <w:rsid w:val="00D33101"/>
    <w:rsid w:val="00D34786"/>
    <w:rsid w:val="00D35BC3"/>
    <w:rsid w:val="00D37BFC"/>
    <w:rsid w:val="00D42920"/>
    <w:rsid w:val="00D4293B"/>
    <w:rsid w:val="00D43C18"/>
    <w:rsid w:val="00D461DC"/>
    <w:rsid w:val="00D469B9"/>
    <w:rsid w:val="00D46B33"/>
    <w:rsid w:val="00D47A8E"/>
    <w:rsid w:val="00D514AF"/>
    <w:rsid w:val="00D51C6E"/>
    <w:rsid w:val="00D52D14"/>
    <w:rsid w:val="00D66B0A"/>
    <w:rsid w:val="00D712D3"/>
    <w:rsid w:val="00D71422"/>
    <w:rsid w:val="00D72DC6"/>
    <w:rsid w:val="00D7558D"/>
    <w:rsid w:val="00D81D92"/>
    <w:rsid w:val="00D84E08"/>
    <w:rsid w:val="00D876F9"/>
    <w:rsid w:val="00DA0E6A"/>
    <w:rsid w:val="00DA4222"/>
    <w:rsid w:val="00DA7B5F"/>
    <w:rsid w:val="00DB2CB8"/>
    <w:rsid w:val="00DB772F"/>
    <w:rsid w:val="00DC02F1"/>
    <w:rsid w:val="00DC0D1A"/>
    <w:rsid w:val="00DC11E7"/>
    <w:rsid w:val="00DC1FFE"/>
    <w:rsid w:val="00DC24E3"/>
    <w:rsid w:val="00DC609A"/>
    <w:rsid w:val="00DC7023"/>
    <w:rsid w:val="00DC769A"/>
    <w:rsid w:val="00DD1689"/>
    <w:rsid w:val="00DD3D86"/>
    <w:rsid w:val="00DD4AD2"/>
    <w:rsid w:val="00DD5F0A"/>
    <w:rsid w:val="00DD629A"/>
    <w:rsid w:val="00DE09EB"/>
    <w:rsid w:val="00DE2862"/>
    <w:rsid w:val="00DF0CB5"/>
    <w:rsid w:val="00DF1EC4"/>
    <w:rsid w:val="00DF375B"/>
    <w:rsid w:val="00DF546E"/>
    <w:rsid w:val="00DF5A0C"/>
    <w:rsid w:val="00E02B95"/>
    <w:rsid w:val="00E02BCC"/>
    <w:rsid w:val="00E0340B"/>
    <w:rsid w:val="00E03973"/>
    <w:rsid w:val="00E04A90"/>
    <w:rsid w:val="00E0551F"/>
    <w:rsid w:val="00E12FB2"/>
    <w:rsid w:val="00E15740"/>
    <w:rsid w:val="00E219C7"/>
    <w:rsid w:val="00E25C54"/>
    <w:rsid w:val="00E305EB"/>
    <w:rsid w:val="00E31749"/>
    <w:rsid w:val="00E3393C"/>
    <w:rsid w:val="00E34AE7"/>
    <w:rsid w:val="00E4118C"/>
    <w:rsid w:val="00E43157"/>
    <w:rsid w:val="00E461CE"/>
    <w:rsid w:val="00E4729B"/>
    <w:rsid w:val="00E5698D"/>
    <w:rsid w:val="00E56DBC"/>
    <w:rsid w:val="00E573E4"/>
    <w:rsid w:val="00E64887"/>
    <w:rsid w:val="00E64C3D"/>
    <w:rsid w:val="00E66075"/>
    <w:rsid w:val="00E66305"/>
    <w:rsid w:val="00E720CA"/>
    <w:rsid w:val="00E84EB5"/>
    <w:rsid w:val="00E85662"/>
    <w:rsid w:val="00E8656B"/>
    <w:rsid w:val="00E8789F"/>
    <w:rsid w:val="00E878B4"/>
    <w:rsid w:val="00E922E3"/>
    <w:rsid w:val="00E965BC"/>
    <w:rsid w:val="00E97B71"/>
    <w:rsid w:val="00EA1028"/>
    <w:rsid w:val="00EA3D34"/>
    <w:rsid w:val="00EA4F24"/>
    <w:rsid w:val="00EB454D"/>
    <w:rsid w:val="00EB755E"/>
    <w:rsid w:val="00EC227B"/>
    <w:rsid w:val="00ED549D"/>
    <w:rsid w:val="00ED5E10"/>
    <w:rsid w:val="00ED728B"/>
    <w:rsid w:val="00ED76BE"/>
    <w:rsid w:val="00EE00E9"/>
    <w:rsid w:val="00EE160B"/>
    <w:rsid w:val="00EF0ADB"/>
    <w:rsid w:val="00EF1AAA"/>
    <w:rsid w:val="00EF619B"/>
    <w:rsid w:val="00EF62CF"/>
    <w:rsid w:val="00F00832"/>
    <w:rsid w:val="00F00B55"/>
    <w:rsid w:val="00F02AD1"/>
    <w:rsid w:val="00F032EB"/>
    <w:rsid w:val="00F067B1"/>
    <w:rsid w:val="00F1760D"/>
    <w:rsid w:val="00F234A8"/>
    <w:rsid w:val="00F253CC"/>
    <w:rsid w:val="00F26718"/>
    <w:rsid w:val="00F33EE9"/>
    <w:rsid w:val="00F37106"/>
    <w:rsid w:val="00F42B74"/>
    <w:rsid w:val="00F44E25"/>
    <w:rsid w:val="00F46E68"/>
    <w:rsid w:val="00F519CF"/>
    <w:rsid w:val="00F56BA5"/>
    <w:rsid w:val="00F56ECB"/>
    <w:rsid w:val="00F60E22"/>
    <w:rsid w:val="00F7363C"/>
    <w:rsid w:val="00F74238"/>
    <w:rsid w:val="00F805CB"/>
    <w:rsid w:val="00F81395"/>
    <w:rsid w:val="00F81BB8"/>
    <w:rsid w:val="00F90C29"/>
    <w:rsid w:val="00F90C64"/>
    <w:rsid w:val="00F917D1"/>
    <w:rsid w:val="00F92B46"/>
    <w:rsid w:val="00F9653B"/>
    <w:rsid w:val="00FA4DF7"/>
    <w:rsid w:val="00FB2157"/>
    <w:rsid w:val="00FB62CF"/>
    <w:rsid w:val="00FB692D"/>
    <w:rsid w:val="00FC20CB"/>
    <w:rsid w:val="00FD14D2"/>
    <w:rsid w:val="00FD2993"/>
    <w:rsid w:val="00FD3C3B"/>
    <w:rsid w:val="00FE00CE"/>
    <w:rsid w:val="00FE07DD"/>
    <w:rsid w:val="00FE54AB"/>
    <w:rsid w:val="00FE6260"/>
    <w:rsid w:val="00FE6B45"/>
    <w:rsid w:val="00FF318C"/>
    <w:rsid w:val="00FF4833"/>
    <w:rsid w:val="00FF55F3"/>
    <w:rsid w:val="00FF5851"/>
    <w:rsid w:val="00FF7B79"/>
    <w:rsid w:val="0DE6CA8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character" w:styleId="UnresolvedMention">
    <w:name w:val="Unresolved Mention"/>
    <w:basedOn w:val="DefaultParagraphFont"/>
    <w:uiPriority w:val="99"/>
    <w:semiHidden/>
    <w:unhideWhenUsed/>
    <w:rsid w:val="00357AF4"/>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902965"/>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CommentText">
    <w:name w:val="annotation text"/>
    <w:basedOn w:val="Normal"/>
    <w:link w:val="CommentTextChar"/>
    <w:uiPriority w:val="99"/>
    <w:unhideWhenUsed/>
    <w:rsid w:val="00631EBF"/>
    <w:rPr>
      <w:sz w:val="20"/>
      <w:szCs w:val="20"/>
    </w:rPr>
  </w:style>
  <w:style w:type="character" w:customStyle="1" w:styleId="CommentTextChar">
    <w:name w:val="Comment Text Char"/>
    <w:basedOn w:val="DefaultParagraphFont"/>
    <w:link w:val="CommentText"/>
    <w:uiPriority w:val="99"/>
    <w:rsid w:val="00631EBF"/>
    <w:rPr>
      <w:lang w:val="en-US" w:eastAsia="en-US"/>
    </w:rPr>
  </w:style>
  <w:style w:type="paragraph" w:styleId="CommentSubject">
    <w:name w:val="annotation subject"/>
    <w:basedOn w:val="CommentText"/>
    <w:next w:val="CommentText"/>
    <w:link w:val="CommentSubjectChar"/>
    <w:uiPriority w:val="99"/>
    <w:semiHidden/>
    <w:unhideWhenUsed/>
    <w:rsid w:val="00631EBF"/>
    <w:rPr>
      <w:b/>
      <w:bCs/>
    </w:rPr>
  </w:style>
  <w:style w:type="character" w:customStyle="1" w:styleId="CommentSubjectChar">
    <w:name w:val="Comment Subject Char"/>
    <w:basedOn w:val="CommentTextChar"/>
    <w:link w:val="CommentSubject"/>
    <w:uiPriority w:val="99"/>
    <w:semiHidden/>
    <w:rsid w:val="00631EBF"/>
    <w:rPr>
      <w:b/>
      <w:bCs/>
      <w:lang w:val="en-US" w:eastAsia="en-US"/>
    </w:rPr>
  </w:style>
  <w:style w:type="paragraph" w:customStyle="1" w:styleId="paragraph">
    <w:name w:val="paragraph"/>
    <w:basedOn w:val="Normal"/>
    <w:rsid w:val="00557F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557F57"/>
  </w:style>
  <w:style w:type="character" w:customStyle="1" w:styleId="eop">
    <w:name w:val="eop"/>
    <w:basedOn w:val="DefaultParagraphFont"/>
    <w:rsid w:val="0055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aracol.com.co/radio/2000/10/20/judicial/0972021600_07576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35107"/>
    <w:rsid w:val="00050266"/>
    <w:rsid w:val="00126D2E"/>
    <w:rsid w:val="00137F84"/>
    <w:rsid w:val="00200821"/>
    <w:rsid w:val="0021034F"/>
    <w:rsid w:val="00211BD7"/>
    <w:rsid w:val="0025245B"/>
    <w:rsid w:val="002705BF"/>
    <w:rsid w:val="002A07D6"/>
    <w:rsid w:val="002A3923"/>
    <w:rsid w:val="00323DD5"/>
    <w:rsid w:val="00335D68"/>
    <w:rsid w:val="00394049"/>
    <w:rsid w:val="003B0C71"/>
    <w:rsid w:val="003B795E"/>
    <w:rsid w:val="003E2DD8"/>
    <w:rsid w:val="003F616E"/>
    <w:rsid w:val="004B5BBB"/>
    <w:rsid w:val="004F2DF8"/>
    <w:rsid w:val="004F49F9"/>
    <w:rsid w:val="00517E2A"/>
    <w:rsid w:val="00586D04"/>
    <w:rsid w:val="00660C7A"/>
    <w:rsid w:val="006D3128"/>
    <w:rsid w:val="006F24A1"/>
    <w:rsid w:val="007C53D6"/>
    <w:rsid w:val="007C72C7"/>
    <w:rsid w:val="007C7F15"/>
    <w:rsid w:val="00807190"/>
    <w:rsid w:val="00875B8A"/>
    <w:rsid w:val="008937F7"/>
    <w:rsid w:val="008953BC"/>
    <w:rsid w:val="00901503"/>
    <w:rsid w:val="009A261B"/>
    <w:rsid w:val="009E4EBF"/>
    <w:rsid w:val="00AA2E17"/>
    <w:rsid w:val="00AC15A4"/>
    <w:rsid w:val="00AE628D"/>
    <w:rsid w:val="00B0336C"/>
    <w:rsid w:val="00BC521F"/>
    <w:rsid w:val="00BF1C28"/>
    <w:rsid w:val="00D241E9"/>
    <w:rsid w:val="00D3126A"/>
    <w:rsid w:val="00D7750D"/>
    <w:rsid w:val="00D85D33"/>
    <w:rsid w:val="00DD629A"/>
    <w:rsid w:val="00DD7E51"/>
    <w:rsid w:val="00E66075"/>
    <w:rsid w:val="00EA4F24"/>
    <w:rsid w:val="00ED728B"/>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0A0651F9-CC28-404F-B274-A23AE7AD69D3}">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8DC1425-24E2-4B34-8FF5-753D17D00E3D}">
  <ds:schemaRefs>
    <ds:schemaRef ds:uri="http://schemas.microsoft.com/sharepoint/v3/contenttype/forms"/>
  </ds:schemaRefs>
</ds:datastoreItem>
</file>

<file path=customXml/itemProps4.xml><?xml version="1.0" encoding="utf-8"?>
<ds:datastoreItem xmlns:ds="http://schemas.openxmlformats.org/officeDocument/2006/customXml" ds:itemID="{8F55644C-C702-43D5-832B-5B335FC3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2815</Words>
  <Characters>16047</Characters>
  <Application>Microsoft Office Word</Application>
  <DocSecurity>0</DocSecurity>
  <Lines>133</Lines>
  <Paragraphs>37</Paragraphs>
  <ScaleCrop>false</ScaleCrop>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2026-01-29T14:15:00Z</dcterms:created>
  <dcterms:modified xsi:type="dcterms:W3CDTF">2026-01-29T14:15:00Z</dcterms:modified>
</cp:coreProperties>
</file>