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37592D">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42E65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06E52F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93786">
                              <w:rPr>
                                <w:rFonts w:asciiTheme="majorHAnsi" w:hAnsiTheme="majorHAnsi" w:cs="Arial"/>
                                <w:b/>
                                <w:bCs/>
                                <w:color w:val="0D0D0D" w:themeColor="text1" w:themeTint="F2"/>
                                <w:sz w:val="36"/>
                                <w:szCs w:val="22"/>
                                <w:lang w:val="es-ES_tradnl"/>
                              </w:rPr>
                              <w:t>132</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D4823D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955C3">
                              <w:rPr>
                                <w:rFonts w:asciiTheme="majorHAnsi" w:hAnsiTheme="majorHAnsi" w:cs="Arial"/>
                                <w:b/>
                                <w:color w:val="0D0D0D" w:themeColor="text1" w:themeTint="F2"/>
                                <w:sz w:val="36"/>
                                <w:szCs w:val="22"/>
                                <w:lang w:val="es-ES_tradnl"/>
                              </w:rPr>
                              <w:t>317-15</w:t>
                            </w:r>
                          </w:p>
                          <w:p w14:paraId="188B4303" w14:textId="786245A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484C0D31" w:rsidR="005B52B0" w:rsidRPr="003955C3" w:rsidRDefault="009A23CB" w:rsidP="00997BC5">
                            <w:pPr>
                              <w:spacing w:line="276" w:lineRule="auto"/>
                              <w:rPr>
                                <w:rFonts w:asciiTheme="majorHAnsi" w:hAnsiTheme="majorHAnsi" w:cs="Arial"/>
                                <w:color w:val="0D0D0D" w:themeColor="text1" w:themeTint="F2"/>
                                <w:szCs w:val="22"/>
                                <w:lang w:val="es-CO"/>
                              </w:rPr>
                            </w:pPr>
                            <w:r w:rsidRPr="003955C3">
                              <w:rPr>
                                <w:rFonts w:asciiTheme="majorHAnsi" w:hAnsiTheme="majorHAnsi" w:cs="Arial"/>
                                <w:color w:val="0D0D0D" w:themeColor="text1" w:themeTint="F2"/>
                                <w:szCs w:val="22"/>
                                <w:lang w:val="es-CO"/>
                              </w:rPr>
                              <w:t>F</w:t>
                            </w:r>
                            <w:r>
                              <w:rPr>
                                <w:rFonts w:asciiTheme="majorHAnsi" w:hAnsiTheme="majorHAnsi" w:cs="Arial"/>
                                <w:color w:val="0D0D0D" w:themeColor="text1" w:themeTint="F2"/>
                                <w:szCs w:val="22"/>
                                <w:lang w:val="es-CO"/>
                              </w:rPr>
                              <w:t>AMILIARES</w:t>
                            </w:r>
                            <w:r w:rsidRPr="003955C3">
                              <w:rPr>
                                <w:rFonts w:asciiTheme="majorHAnsi" w:hAnsiTheme="majorHAnsi" w:cs="Arial"/>
                                <w:color w:val="0D0D0D" w:themeColor="text1" w:themeTint="F2"/>
                                <w:szCs w:val="22"/>
                                <w:lang w:val="es-CO"/>
                              </w:rPr>
                              <w:t xml:space="preserve"> </w:t>
                            </w:r>
                            <w:r>
                              <w:rPr>
                                <w:rFonts w:asciiTheme="majorHAnsi" w:hAnsiTheme="majorHAnsi" w:cs="Arial"/>
                                <w:color w:val="0D0D0D" w:themeColor="text1" w:themeTint="F2"/>
                                <w:szCs w:val="22"/>
                                <w:lang w:val="es-CO"/>
                              </w:rPr>
                              <w:t xml:space="preserve">DE </w:t>
                            </w:r>
                            <w:r w:rsidR="003955C3" w:rsidRPr="003955C3">
                              <w:rPr>
                                <w:rFonts w:asciiTheme="majorHAnsi" w:hAnsiTheme="majorHAnsi" w:cs="Arial"/>
                                <w:color w:val="0D0D0D" w:themeColor="text1" w:themeTint="F2"/>
                                <w:szCs w:val="22"/>
                                <w:lang w:val="es-CO"/>
                              </w:rPr>
                              <w:t>DIANA MUEGUES ROND</w:t>
                            </w:r>
                            <w:r w:rsidR="003955C3">
                              <w:rPr>
                                <w:rFonts w:asciiTheme="majorHAnsi" w:hAnsiTheme="majorHAnsi" w:cs="Arial"/>
                                <w:color w:val="0D0D0D" w:themeColor="text1" w:themeTint="F2"/>
                                <w:szCs w:val="22"/>
                                <w:lang w:val="es-CO"/>
                              </w:rPr>
                              <w:t>Ó</w:t>
                            </w:r>
                            <w:r w:rsidR="003955C3" w:rsidRPr="003955C3">
                              <w:rPr>
                                <w:rFonts w:asciiTheme="majorHAnsi" w:hAnsiTheme="majorHAnsi" w:cs="Arial"/>
                                <w:color w:val="0D0D0D" w:themeColor="text1" w:themeTint="F2"/>
                                <w:szCs w:val="22"/>
                                <w:lang w:val="es-CO"/>
                              </w:rPr>
                              <w:t>N</w:t>
                            </w:r>
                          </w:p>
                          <w:bookmarkEnd w:id="0"/>
                          <w:p w14:paraId="0B9F7D22" w14:textId="47ECE288" w:rsidR="005B52B0" w:rsidRPr="00F56ECB" w:rsidRDefault="003955C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706E52F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93786">
                        <w:rPr>
                          <w:rFonts w:asciiTheme="majorHAnsi" w:hAnsiTheme="majorHAnsi" w:cs="Arial"/>
                          <w:b/>
                          <w:bCs/>
                          <w:color w:val="0D0D0D" w:themeColor="text1" w:themeTint="F2"/>
                          <w:sz w:val="36"/>
                          <w:szCs w:val="22"/>
                          <w:lang w:val="es-ES_tradnl"/>
                        </w:rPr>
                        <w:t>132</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D4823D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3955C3">
                        <w:rPr>
                          <w:rFonts w:asciiTheme="majorHAnsi" w:hAnsiTheme="majorHAnsi" w:cs="Arial"/>
                          <w:b/>
                          <w:color w:val="0D0D0D" w:themeColor="text1" w:themeTint="F2"/>
                          <w:sz w:val="36"/>
                          <w:szCs w:val="22"/>
                          <w:lang w:val="es-ES_tradnl"/>
                        </w:rPr>
                        <w:t>317-15</w:t>
                      </w:r>
                    </w:p>
                    <w:p w14:paraId="188B4303" w14:textId="786245A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484C0D31" w:rsidR="005B52B0" w:rsidRPr="003955C3" w:rsidRDefault="009A23CB" w:rsidP="00997BC5">
                      <w:pPr>
                        <w:spacing w:line="276" w:lineRule="auto"/>
                        <w:rPr>
                          <w:rFonts w:asciiTheme="majorHAnsi" w:hAnsiTheme="majorHAnsi" w:cs="Arial"/>
                          <w:color w:val="0D0D0D" w:themeColor="text1" w:themeTint="F2"/>
                          <w:szCs w:val="22"/>
                          <w:lang w:val="es-CO"/>
                        </w:rPr>
                      </w:pPr>
                      <w:r w:rsidRPr="003955C3">
                        <w:rPr>
                          <w:rFonts w:asciiTheme="majorHAnsi" w:hAnsiTheme="majorHAnsi" w:cs="Arial"/>
                          <w:color w:val="0D0D0D" w:themeColor="text1" w:themeTint="F2"/>
                          <w:szCs w:val="22"/>
                          <w:lang w:val="es-CO"/>
                        </w:rPr>
                        <w:t>F</w:t>
                      </w:r>
                      <w:r>
                        <w:rPr>
                          <w:rFonts w:asciiTheme="majorHAnsi" w:hAnsiTheme="majorHAnsi" w:cs="Arial"/>
                          <w:color w:val="0D0D0D" w:themeColor="text1" w:themeTint="F2"/>
                          <w:szCs w:val="22"/>
                          <w:lang w:val="es-CO"/>
                        </w:rPr>
                        <w:t>AMILIARES</w:t>
                      </w:r>
                      <w:r w:rsidRPr="003955C3">
                        <w:rPr>
                          <w:rFonts w:asciiTheme="majorHAnsi" w:hAnsiTheme="majorHAnsi" w:cs="Arial"/>
                          <w:color w:val="0D0D0D" w:themeColor="text1" w:themeTint="F2"/>
                          <w:szCs w:val="22"/>
                          <w:lang w:val="es-CO"/>
                        </w:rPr>
                        <w:t xml:space="preserve"> </w:t>
                      </w:r>
                      <w:r>
                        <w:rPr>
                          <w:rFonts w:asciiTheme="majorHAnsi" w:hAnsiTheme="majorHAnsi" w:cs="Arial"/>
                          <w:color w:val="0D0D0D" w:themeColor="text1" w:themeTint="F2"/>
                          <w:szCs w:val="22"/>
                          <w:lang w:val="es-CO"/>
                        </w:rPr>
                        <w:t xml:space="preserve">DE </w:t>
                      </w:r>
                      <w:r w:rsidR="003955C3" w:rsidRPr="003955C3">
                        <w:rPr>
                          <w:rFonts w:asciiTheme="majorHAnsi" w:hAnsiTheme="majorHAnsi" w:cs="Arial"/>
                          <w:color w:val="0D0D0D" w:themeColor="text1" w:themeTint="F2"/>
                          <w:szCs w:val="22"/>
                          <w:lang w:val="es-CO"/>
                        </w:rPr>
                        <w:t>DIANA MUEGUES ROND</w:t>
                      </w:r>
                      <w:r w:rsidR="003955C3">
                        <w:rPr>
                          <w:rFonts w:asciiTheme="majorHAnsi" w:hAnsiTheme="majorHAnsi" w:cs="Arial"/>
                          <w:color w:val="0D0D0D" w:themeColor="text1" w:themeTint="F2"/>
                          <w:szCs w:val="22"/>
                          <w:lang w:val="es-CO"/>
                        </w:rPr>
                        <w:t>Ó</w:t>
                      </w:r>
                      <w:r w:rsidR="003955C3" w:rsidRPr="003955C3">
                        <w:rPr>
                          <w:rFonts w:asciiTheme="majorHAnsi" w:hAnsiTheme="majorHAnsi" w:cs="Arial"/>
                          <w:color w:val="0D0D0D" w:themeColor="text1" w:themeTint="F2"/>
                          <w:szCs w:val="22"/>
                          <w:lang w:val="es-CO"/>
                        </w:rPr>
                        <w:t>N</w:t>
                      </w:r>
                    </w:p>
                    <w:bookmarkEnd w:id="1"/>
                    <w:p w14:paraId="0B9F7D22" w14:textId="47ECE288" w:rsidR="005B52B0" w:rsidRPr="00F56ECB" w:rsidRDefault="003955C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3D027B2" w:rsidR="00627C9F" w:rsidRPr="006406BA" w:rsidRDefault="00834D49" w:rsidP="007A5817">
                            <w:pPr>
                              <w:spacing w:line="276" w:lineRule="auto"/>
                              <w:jc w:val="right"/>
                              <w:rPr>
                                <w:rFonts w:asciiTheme="minorHAnsi" w:hAnsiTheme="minorHAnsi"/>
                                <w:color w:val="FFFFFF" w:themeColor="background1"/>
                                <w:sz w:val="22"/>
                                <w:lang w:val="es-ES"/>
                              </w:rPr>
                            </w:pPr>
                            <w:r w:rsidRPr="006406BA">
                              <w:rPr>
                                <w:rFonts w:asciiTheme="minorHAnsi" w:hAnsiTheme="minorHAnsi"/>
                                <w:color w:val="FFFFFF" w:themeColor="background1"/>
                                <w:sz w:val="22"/>
                                <w:lang w:val="es-ES"/>
                              </w:rPr>
                              <w:t>OEA/Ser.L/V/II</w:t>
                            </w:r>
                          </w:p>
                          <w:p w14:paraId="71D2D5D2" w14:textId="06598040" w:rsidR="00627C9F" w:rsidRPr="006406BA" w:rsidRDefault="00627C9F" w:rsidP="007A5817">
                            <w:pPr>
                              <w:spacing w:line="276" w:lineRule="auto"/>
                              <w:jc w:val="right"/>
                              <w:rPr>
                                <w:rFonts w:asciiTheme="minorHAnsi" w:hAnsiTheme="minorHAnsi"/>
                                <w:color w:val="FFFFFF" w:themeColor="background1"/>
                                <w:sz w:val="22"/>
                                <w:lang w:val="es-ES"/>
                              </w:rPr>
                            </w:pPr>
                            <w:r w:rsidRPr="006406BA">
                              <w:rPr>
                                <w:rFonts w:asciiTheme="minorHAnsi" w:hAnsiTheme="minorHAnsi"/>
                                <w:color w:val="FFFFFF" w:themeColor="background1"/>
                                <w:sz w:val="22"/>
                                <w:lang w:val="es-ES"/>
                              </w:rPr>
                              <w:t xml:space="preserve">Doc. </w:t>
                            </w:r>
                            <w:r w:rsidR="006406BA">
                              <w:rPr>
                                <w:rFonts w:asciiTheme="minorHAnsi" w:hAnsiTheme="minorHAnsi"/>
                                <w:color w:val="FFFFFF" w:themeColor="background1"/>
                                <w:sz w:val="22"/>
                                <w:lang w:val="es-ES"/>
                              </w:rPr>
                              <w:t>138</w:t>
                            </w:r>
                          </w:p>
                          <w:p w14:paraId="4061DBBD" w14:textId="555A8717" w:rsidR="00627C9F" w:rsidRPr="00C25ADB" w:rsidRDefault="006406B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19 julio</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3D027B2" w:rsidR="00627C9F" w:rsidRPr="006406BA" w:rsidRDefault="00834D49" w:rsidP="007A5817">
                      <w:pPr>
                        <w:spacing w:line="276" w:lineRule="auto"/>
                        <w:jc w:val="right"/>
                        <w:rPr>
                          <w:rFonts w:asciiTheme="minorHAnsi" w:hAnsiTheme="minorHAnsi"/>
                          <w:color w:val="FFFFFF" w:themeColor="background1"/>
                          <w:sz w:val="22"/>
                          <w:lang w:val="es-ES"/>
                        </w:rPr>
                      </w:pPr>
                      <w:r w:rsidRPr="006406BA">
                        <w:rPr>
                          <w:rFonts w:asciiTheme="minorHAnsi" w:hAnsiTheme="minorHAnsi"/>
                          <w:color w:val="FFFFFF" w:themeColor="background1"/>
                          <w:sz w:val="22"/>
                          <w:lang w:val="es-ES"/>
                        </w:rPr>
                        <w:t>OEA/Ser.L/V/II</w:t>
                      </w:r>
                    </w:p>
                    <w:p w14:paraId="71D2D5D2" w14:textId="06598040" w:rsidR="00627C9F" w:rsidRPr="006406BA" w:rsidRDefault="00627C9F" w:rsidP="007A5817">
                      <w:pPr>
                        <w:spacing w:line="276" w:lineRule="auto"/>
                        <w:jc w:val="right"/>
                        <w:rPr>
                          <w:rFonts w:asciiTheme="minorHAnsi" w:hAnsiTheme="minorHAnsi"/>
                          <w:color w:val="FFFFFF" w:themeColor="background1"/>
                          <w:sz w:val="22"/>
                          <w:lang w:val="es-ES"/>
                        </w:rPr>
                      </w:pPr>
                      <w:r w:rsidRPr="006406BA">
                        <w:rPr>
                          <w:rFonts w:asciiTheme="minorHAnsi" w:hAnsiTheme="minorHAnsi"/>
                          <w:color w:val="FFFFFF" w:themeColor="background1"/>
                          <w:sz w:val="22"/>
                          <w:lang w:val="es-ES"/>
                        </w:rPr>
                        <w:t xml:space="preserve">Doc. </w:t>
                      </w:r>
                      <w:r w:rsidR="006406BA">
                        <w:rPr>
                          <w:rFonts w:asciiTheme="minorHAnsi" w:hAnsiTheme="minorHAnsi"/>
                          <w:color w:val="FFFFFF" w:themeColor="background1"/>
                          <w:sz w:val="22"/>
                          <w:lang w:val="es-ES"/>
                        </w:rPr>
                        <w:t>138</w:t>
                      </w:r>
                    </w:p>
                    <w:p w14:paraId="4061DBBD" w14:textId="555A8717" w:rsidR="00627C9F" w:rsidRPr="00C25ADB" w:rsidRDefault="006406BA"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19 julio</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535D1E15"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93786">
                              <w:rPr>
                                <w:rFonts w:asciiTheme="majorHAnsi" w:hAnsiTheme="majorHAnsi"/>
                                <w:color w:val="0D0D0D" w:themeColor="text1" w:themeTint="F2"/>
                                <w:sz w:val="18"/>
                                <w:szCs w:val="22"/>
                                <w:lang w:val="es-ES"/>
                              </w:rPr>
                              <w:t>19</w:t>
                            </w:r>
                            <w:r w:rsidRPr="00890650">
                              <w:rPr>
                                <w:rFonts w:asciiTheme="majorHAnsi" w:hAnsiTheme="majorHAnsi"/>
                                <w:color w:val="0D0D0D" w:themeColor="text1" w:themeTint="F2"/>
                                <w:sz w:val="18"/>
                                <w:szCs w:val="22"/>
                                <w:lang w:val="es-ES"/>
                              </w:rPr>
                              <w:t xml:space="preserve"> de </w:t>
                            </w:r>
                            <w:r w:rsidR="00B93786">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B93786">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535D1E15"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93786">
                        <w:rPr>
                          <w:rFonts w:asciiTheme="majorHAnsi" w:hAnsiTheme="majorHAnsi"/>
                          <w:color w:val="0D0D0D" w:themeColor="text1" w:themeTint="F2"/>
                          <w:sz w:val="18"/>
                          <w:szCs w:val="22"/>
                          <w:lang w:val="es-ES"/>
                        </w:rPr>
                        <w:t>19</w:t>
                      </w:r>
                      <w:r w:rsidRPr="00890650">
                        <w:rPr>
                          <w:rFonts w:asciiTheme="majorHAnsi" w:hAnsiTheme="majorHAnsi"/>
                          <w:color w:val="0D0D0D" w:themeColor="text1" w:themeTint="F2"/>
                          <w:sz w:val="18"/>
                          <w:szCs w:val="22"/>
                          <w:lang w:val="es-ES"/>
                        </w:rPr>
                        <w:t xml:space="preserve"> de </w:t>
                      </w:r>
                      <w:r w:rsidR="00B93786">
                        <w:rPr>
                          <w:rFonts w:asciiTheme="majorHAnsi" w:hAnsiTheme="majorHAnsi"/>
                          <w:color w:val="0D0D0D" w:themeColor="text1" w:themeTint="F2"/>
                          <w:sz w:val="18"/>
                          <w:szCs w:val="22"/>
                          <w:lang w:val="es-ES"/>
                        </w:rPr>
                        <w:t>julio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B93786">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9FAD6" w14:textId="0E768522" w:rsidR="00975DBA"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93786" w:rsidRPr="00B93786">
                              <w:rPr>
                                <w:rFonts w:asciiTheme="majorHAnsi" w:hAnsiTheme="majorHAnsi"/>
                                <w:color w:val="595959" w:themeColor="text1" w:themeTint="A6"/>
                                <w:sz w:val="18"/>
                                <w:szCs w:val="18"/>
                                <w:lang w:val="pt-BR"/>
                              </w:rPr>
                              <w:t>132</w:t>
                            </w:r>
                            <w:r w:rsidR="007B05C4" w:rsidRPr="00B93786">
                              <w:rPr>
                                <w:rFonts w:asciiTheme="majorHAnsi" w:hAnsiTheme="majorHAnsi"/>
                                <w:color w:val="595959" w:themeColor="text1" w:themeTint="A6"/>
                                <w:sz w:val="18"/>
                                <w:szCs w:val="18"/>
                                <w:lang w:val="pt-BR"/>
                              </w:rPr>
                              <w:t>/</w:t>
                            </w:r>
                            <w:r w:rsidR="00B93786" w:rsidRPr="00B93786">
                              <w:rPr>
                                <w:rFonts w:asciiTheme="majorHAnsi" w:hAnsiTheme="majorHAnsi"/>
                                <w:color w:val="595959" w:themeColor="text1" w:themeTint="A6"/>
                                <w:sz w:val="18"/>
                                <w:szCs w:val="18"/>
                                <w:lang w:val="pt-BR"/>
                              </w:rPr>
                              <w:t>25</w:t>
                            </w:r>
                            <w:r w:rsidRPr="00B9378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93786">
                              <w:rPr>
                                <w:rFonts w:asciiTheme="majorHAnsi" w:hAnsiTheme="majorHAnsi"/>
                                <w:color w:val="595959" w:themeColor="text1" w:themeTint="A6"/>
                                <w:sz w:val="18"/>
                                <w:szCs w:val="18"/>
                                <w:lang w:val="es-ES"/>
                              </w:rPr>
                              <w:t>317</w:t>
                            </w:r>
                            <w:r w:rsidR="000433C9">
                              <w:rPr>
                                <w:rFonts w:asciiTheme="majorHAnsi" w:hAnsiTheme="majorHAnsi"/>
                                <w:color w:val="595959" w:themeColor="text1" w:themeTint="A6"/>
                                <w:sz w:val="18"/>
                                <w:szCs w:val="18"/>
                                <w:lang w:val="es-ES"/>
                              </w:rPr>
                              <w:t>-</w:t>
                            </w:r>
                            <w:r w:rsidR="006A506C">
                              <w:rPr>
                                <w:rFonts w:asciiTheme="majorHAnsi" w:hAnsiTheme="majorHAnsi"/>
                                <w:color w:val="595959" w:themeColor="text1" w:themeTint="A6"/>
                                <w:sz w:val="18"/>
                                <w:szCs w:val="18"/>
                                <w:lang w:val="es-ES"/>
                              </w:rPr>
                              <w:t>1</w:t>
                            </w:r>
                            <w:r w:rsidR="00B93786">
                              <w:rPr>
                                <w:rFonts w:asciiTheme="majorHAnsi" w:hAnsiTheme="majorHAnsi"/>
                                <w:color w:val="595959" w:themeColor="text1" w:themeTint="A6"/>
                                <w:sz w:val="18"/>
                                <w:szCs w:val="18"/>
                                <w:lang w:val="es-ES"/>
                              </w:rPr>
                              <w:t>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7653F77A" w:rsidR="00113F73" w:rsidRPr="007B05C4" w:rsidRDefault="0095259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Familiares de Diana Muegues Rondón</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19 de julio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E49FAD6" w14:textId="0E768522" w:rsidR="00975DBA"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93786" w:rsidRPr="00B93786">
                        <w:rPr>
                          <w:rFonts w:asciiTheme="majorHAnsi" w:hAnsiTheme="majorHAnsi"/>
                          <w:color w:val="595959" w:themeColor="text1" w:themeTint="A6"/>
                          <w:sz w:val="18"/>
                          <w:szCs w:val="18"/>
                          <w:lang w:val="pt-BR"/>
                        </w:rPr>
                        <w:t>132</w:t>
                      </w:r>
                      <w:r w:rsidR="007B05C4" w:rsidRPr="00B93786">
                        <w:rPr>
                          <w:rFonts w:asciiTheme="majorHAnsi" w:hAnsiTheme="majorHAnsi"/>
                          <w:color w:val="595959" w:themeColor="text1" w:themeTint="A6"/>
                          <w:sz w:val="18"/>
                          <w:szCs w:val="18"/>
                          <w:lang w:val="pt-BR"/>
                        </w:rPr>
                        <w:t>/</w:t>
                      </w:r>
                      <w:r w:rsidR="00B93786" w:rsidRPr="00B93786">
                        <w:rPr>
                          <w:rFonts w:asciiTheme="majorHAnsi" w:hAnsiTheme="majorHAnsi"/>
                          <w:color w:val="595959" w:themeColor="text1" w:themeTint="A6"/>
                          <w:sz w:val="18"/>
                          <w:szCs w:val="18"/>
                          <w:lang w:val="pt-BR"/>
                        </w:rPr>
                        <w:t>25</w:t>
                      </w:r>
                      <w:r w:rsidRPr="00B9378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93786">
                        <w:rPr>
                          <w:rFonts w:asciiTheme="majorHAnsi" w:hAnsiTheme="majorHAnsi"/>
                          <w:color w:val="595959" w:themeColor="text1" w:themeTint="A6"/>
                          <w:sz w:val="18"/>
                          <w:szCs w:val="18"/>
                          <w:lang w:val="es-ES"/>
                        </w:rPr>
                        <w:t>317</w:t>
                      </w:r>
                      <w:r w:rsidR="000433C9">
                        <w:rPr>
                          <w:rFonts w:asciiTheme="majorHAnsi" w:hAnsiTheme="majorHAnsi"/>
                          <w:color w:val="595959" w:themeColor="text1" w:themeTint="A6"/>
                          <w:sz w:val="18"/>
                          <w:szCs w:val="18"/>
                          <w:lang w:val="es-ES"/>
                        </w:rPr>
                        <w:t>-</w:t>
                      </w:r>
                      <w:r w:rsidR="006A506C">
                        <w:rPr>
                          <w:rFonts w:asciiTheme="majorHAnsi" w:hAnsiTheme="majorHAnsi"/>
                          <w:color w:val="595959" w:themeColor="text1" w:themeTint="A6"/>
                          <w:sz w:val="18"/>
                          <w:szCs w:val="18"/>
                          <w:lang w:val="es-ES"/>
                        </w:rPr>
                        <w:t>1</w:t>
                      </w:r>
                      <w:r w:rsidR="00B93786">
                        <w:rPr>
                          <w:rFonts w:asciiTheme="majorHAnsi" w:hAnsiTheme="majorHAnsi"/>
                          <w:color w:val="595959" w:themeColor="text1" w:themeTint="A6"/>
                          <w:sz w:val="18"/>
                          <w:szCs w:val="18"/>
                          <w:lang w:val="es-ES"/>
                        </w:rPr>
                        <w:t>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7653F77A" w:rsidR="00113F73" w:rsidRPr="007B05C4" w:rsidRDefault="0095259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Familiares de Diana Muegues Rondón</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19 de julio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5924334F"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60B9E166">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5CD133B7" w:rsidR="0070697F" w:rsidRDefault="00952592"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06F14CD9">
                <wp:simplePos x="0" y="0"/>
                <wp:positionH relativeFrom="column">
                  <wp:posOffset>1311112</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3.2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55D6D8B6" w:rsidR="003239B8" w:rsidRPr="000D05CB" w:rsidRDefault="004B524E" w:rsidP="008D2290">
            <w:pPr>
              <w:jc w:val="both"/>
              <w:rPr>
                <w:rFonts w:ascii="Cambria" w:hAnsi="Cambria"/>
                <w:bCs/>
                <w:sz w:val="20"/>
                <w:szCs w:val="20"/>
              </w:rPr>
            </w:pPr>
            <w:r>
              <w:rPr>
                <w:rFonts w:ascii="Cambria" w:hAnsi="Cambria"/>
                <w:bCs/>
                <w:sz w:val="20"/>
                <w:szCs w:val="20"/>
              </w:rPr>
              <w:t xml:space="preserve">Con reserva de </w:t>
            </w:r>
            <w:r w:rsidR="00EF6B3B">
              <w:rPr>
                <w:rFonts w:ascii="Cambria" w:hAnsi="Cambria"/>
                <w:bCs/>
                <w:sz w:val="20"/>
                <w:szCs w:val="20"/>
              </w:rPr>
              <w:t>identidad</w:t>
            </w:r>
            <w:r w:rsidR="00EF6B3B">
              <w:rPr>
                <w:rStyle w:val="FootnoteReference"/>
                <w:rFonts w:ascii="Cambria" w:hAnsi="Cambria"/>
                <w:bCs/>
                <w:sz w:val="20"/>
                <w:szCs w:val="20"/>
              </w:rPr>
              <w:footnoteReference w:id="2"/>
            </w:r>
          </w:p>
        </w:tc>
      </w:tr>
      <w:tr w:rsidR="003239B8" w:rsidRPr="00A97912"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086640F6" w:rsidR="003239B8" w:rsidRPr="000D05CB" w:rsidRDefault="00D73CD8"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EF6B3B">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5008EFD5" w:rsidR="003239B8" w:rsidRPr="00A97912" w:rsidRDefault="00CB65E2" w:rsidP="008D2290">
            <w:pPr>
              <w:jc w:val="both"/>
              <w:rPr>
                <w:rFonts w:ascii="Cambria" w:hAnsi="Cambria"/>
                <w:bCs/>
                <w:sz w:val="20"/>
                <w:szCs w:val="20"/>
              </w:rPr>
            </w:pPr>
            <w:r w:rsidRPr="00A97912">
              <w:rPr>
                <w:rFonts w:ascii="Cambria" w:hAnsi="Cambria"/>
                <w:bCs/>
                <w:sz w:val="20"/>
                <w:szCs w:val="20"/>
              </w:rPr>
              <w:t>Diana Muegues Rond</w:t>
            </w:r>
            <w:r w:rsidR="009E39AD" w:rsidRPr="00A97912">
              <w:rPr>
                <w:rFonts w:ascii="Cambria" w:hAnsi="Cambria"/>
                <w:bCs/>
                <w:sz w:val="20"/>
                <w:szCs w:val="20"/>
              </w:rPr>
              <w:t>ó</w:t>
            </w:r>
            <w:r w:rsidRPr="00A97912">
              <w:rPr>
                <w:rFonts w:ascii="Cambria" w:hAnsi="Cambria"/>
                <w:bCs/>
                <w:sz w:val="20"/>
                <w:szCs w:val="20"/>
              </w:rPr>
              <w:t xml:space="preserve">n, </w:t>
            </w:r>
            <w:r w:rsidR="009E39AD" w:rsidRPr="00A97912">
              <w:rPr>
                <w:rFonts w:ascii="Cambria" w:hAnsi="Cambria"/>
                <w:bCs/>
                <w:sz w:val="20"/>
                <w:szCs w:val="20"/>
              </w:rPr>
              <w:t xml:space="preserve">Elsa Rondón </w:t>
            </w:r>
            <w:r w:rsidR="001C021E" w:rsidRPr="00A97912">
              <w:rPr>
                <w:rFonts w:ascii="Cambria" w:hAnsi="Cambria"/>
                <w:bCs/>
                <w:sz w:val="20"/>
                <w:szCs w:val="20"/>
              </w:rPr>
              <w:t xml:space="preserve">Ramírez, </w:t>
            </w:r>
            <w:r w:rsidR="00E54473" w:rsidRPr="00A97912">
              <w:rPr>
                <w:rFonts w:ascii="Cambria" w:hAnsi="Cambria"/>
                <w:bCs/>
                <w:sz w:val="20"/>
                <w:szCs w:val="20"/>
              </w:rPr>
              <w:t>Sergio José Muegues Salas, Eder</w:t>
            </w:r>
            <w:r w:rsidR="00DF3C5B" w:rsidRPr="00A97912">
              <w:rPr>
                <w:rFonts w:ascii="Cambria" w:hAnsi="Cambria"/>
                <w:bCs/>
                <w:sz w:val="20"/>
                <w:szCs w:val="20"/>
              </w:rPr>
              <w:t>dianis González Muegues, Yurandis Helena González Muegues, Eder Enrique Go</w:t>
            </w:r>
            <w:r w:rsidR="007C28F2" w:rsidRPr="00A97912">
              <w:rPr>
                <w:rFonts w:ascii="Cambria" w:hAnsi="Cambria"/>
                <w:bCs/>
                <w:sz w:val="20"/>
                <w:szCs w:val="20"/>
              </w:rPr>
              <w:t>nzález Murgas,</w:t>
            </w:r>
            <w:r w:rsidR="00A97912" w:rsidRPr="00A97912">
              <w:rPr>
                <w:rFonts w:ascii="Cambria" w:hAnsi="Cambria"/>
                <w:bCs/>
                <w:sz w:val="20"/>
                <w:szCs w:val="20"/>
              </w:rPr>
              <w:t xml:space="preserve"> Damaris Muegues Ramí</w:t>
            </w:r>
            <w:r w:rsidR="00A97912">
              <w:rPr>
                <w:rFonts w:ascii="Cambria" w:hAnsi="Cambria"/>
                <w:bCs/>
                <w:sz w:val="20"/>
                <w:szCs w:val="20"/>
              </w:rPr>
              <w:t xml:space="preserve">rez, </w:t>
            </w:r>
            <w:r w:rsidR="008822FD">
              <w:rPr>
                <w:rFonts w:ascii="Cambria" w:hAnsi="Cambria"/>
                <w:bCs/>
                <w:sz w:val="20"/>
                <w:szCs w:val="20"/>
              </w:rPr>
              <w:t xml:space="preserve">Geiner </w:t>
            </w:r>
            <w:r w:rsidR="008822FD" w:rsidRPr="00A97912">
              <w:rPr>
                <w:rFonts w:ascii="Cambria" w:hAnsi="Cambria"/>
                <w:bCs/>
                <w:sz w:val="20"/>
                <w:szCs w:val="20"/>
              </w:rPr>
              <w:t>Muegues Ramí</w:t>
            </w:r>
            <w:r w:rsidR="008822FD">
              <w:rPr>
                <w:rFonts w:ascii="Cambria" w:hAnsi="Cambria"/>
                <w:bCs/>
                <w:sz w:val="20"/>
                <w:szCs w:val="20"/>
              </w:rPr>
              <w:t xml:space="preserve">rez, Dalianis </w:t>
            </w:r>
            <w:r w:rsidR="008822FD" w:rsidRPr="00A97912">
              <w:rPr>
                <w:rFonts w:ascii="Cambria" w:hAnsi="Cambria"/>
                <w:bCs/>
                <w:sz w:val="20"/>
                <w:szCs w:val="20"/>
              </w:rPr>
              <w:t>Muegues Ramí</w:t>
            </w:r>
            <w:r w:rsidR="008822FD">
              <w:rPr>
                <w:rFonts w:ascii="Cambria" w:hAnsi="Cambria"/>
                <w:bCs/>
                <w:sz w:val="20"/>
                <w:szCs w:val="20"/>
              </w:rPr>
              <w:t xml:space="preserve">rez, Javier </w:t>
            </w:r>
            <w:r w:rsidR="008822FD" w:rsidRPr="00A97912">
              <w:rPr>
                <w:rFonts w:ascii="Cambria" w:hAnsi="Cambria"/>
                <w:bCs/>
                <w:sz w:val="20"/>
                <w:szCs w:val="20"/>
              </w:rPr>
              <w:t>Muegues R</w:t>
            </w:r>
            <w:r w:rsidR="008822FD">
              <w:rPr>
                <w:rFonts w:ascii="Cambria" w:hAnsi="Cambria"/>
                <w:bCs/>
                <w:sz w:val="20"/>
                <w:szCs w:val="20"/>
              </w:rPr>
              <w:t>ondón,</w:t>
            </w:r>
            <w:r w:rsidR="007C28F2" w:rsidRPr="00A97912">
              <w:rPr>
                <w:rFonts w:ascii="Cambria" w:hAnsi="Cambria"/>
                <w:bCs/>
                <w:sz w:val="20"/>
                <w:szCs w:val="20"/>
              </w:rPr>
              <w:t xml:space="preserve"> </w:t>
            </w:r>
            <w:r w:rsidR="00620DF2">
              <w:rPr>
                <w:rFonts w:ascii="Cambria" w:hAnsi="Cambria"/>
                <w:bCs/>
                <w:sz w:val="20"/>
                <w:szCs w:val="20"/>
              </w:rPr>
              <w:t xml:space="preserve">Saúl </w:t>
            </w:r>
            <w:r w:rsidR="00620DF2" w:rsidRPr="00A97912">
              <w:rPr>
                <w:rFonts w:ascii="Cambria" w:hAnsi="Cambria"/>
                <w:bCs/>
                <w:sz w:val="20"/>
                <w:szCs w:val="20"/>
              </w:rPr>
              <w:t>Muegues R</w:t>
            </w:r>
            <w:r w:rsidR="00620DF2">
              <w:rPr>
                <w:rFonts w:ascii="Cambria" w:hAnsi="Cambria"/>
                <w:bCs/>
                <w:sz w:val="20"/>
                <w:szCs w:val="20"/>
              </w:rPr>
              <w:t xml:space="preserve">ondón, Jimmy </w:t>
            </w:r>
            <w:r w:rsidR="00620DF2" w:rsidRPr="00A97912">
              <w:rPr>
                <w:rFonts w:ascii="Cambria" w:hAnsi="Cambria"/>
                <w:bCs/>
                <w:sz w:val="20"/>
                <w:szCs w:val="20"/>
              </w:rPr>
              <w:t>Muegues R</w:t>
            </w:r>
            <w:r w:rsidR="00620DF2">
              <w:rPr>
                <w:rFonts w:ascii="Cambria" w:hAnsi="Cambria"/>
                <w:bCs/>
                <w:sz w:val="20"/>
                <w:szCs w:val="20"/>
              </w:rPr>
              <w:t xml:space="preserve">ondón, Yeison </w:t>
            </w:r>
            <w:r w:rsidR="00620DF2" w:rsidRPr="00A97912">
              <w:rPr>
                <w:rFonts w:ascii="Cambria" w:hAnsi="Cambria"/>
                <w:bCs/>
                <w:sz w:val="20"/>
                <w:szCs w:val="20"/>
              </w:rPr>
              <w:t>Muegues R</w:t>
            </w:r>
            <w:r w:rsidR="00620DF2">
              <w:rPr>
                <w:rFonts w:ascii="Cambria" w:hAnsi="Cambria"/>
                <w:bCs/>
                <w:sz w:val="20"/>
                <w:szCs w:val="20"/>
              </w:rPr>
              <w:t xml:space="preserve">amírez, </w:t>
            </w:r>
            <w:r w:rsidR="00AA7228">
              <w:rPr>
                <w:rFonts w:ascii="Cambria" w:hAnsi="Cambria"/>
                <w:bCs/>
                <w:sz w:val="20"/>
                <w:szCs w:val="20"/>
              </w:rPr>
              <w:t xml:space="preserve">Carlos Alberto </w:t>
            </w:r>
            <w:r w:rsidR="00AA7228" w:rsidRPr="00A97912">
              <w:rPr>
                <w:rFonts w:ascii="Cambria" w:hAnsi="Cambria"/>
                <w:bCs/>
                <w:sz w:val="20"/>
                <w:szCs w:val="20"/>
              </w:rPr>
              <w:t>Muegues R</w:t>
            </w:r>
            <w:r w:rsidR="00AA7228">
              <w:rPr>
                <w:rFonts w:ascii="Cambria" w:hAnsi="Cambria"/>
                <w:bCs/>
                <w:sz w:val="20"/>
                <w:szCs w:val="20"/>
              </w:rPr>
              <w:t>ondón</w:t>
            </w:r>
            <w:r w:rsidR="00D63176">
              <w:rPr>
                <w:rFonts w:ascii="Cambria" w:hAnsi="Cambria"/>
                <w:bCs/>
                <w:sz w:val="20"/>
                <w:szCs w:val="20"/>
              </w:rPr>
              <w:t xml:space="preserve"> y</w:t>
            </w:r>
            <w:r w:rsidR="00AA7228">
              <w:rPr>
                <w:rFonts w:ascii="Cambria" w:hAnsi="Cambria"/>
                <w:bCs/>
                <w:sz w:val="20"/>
                <w:szCs w:val="20"/>
              </w:rPr>
              <w:t xml:space="preserve"> Sergio Muegues Rondón</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6F27EBC1" w:rsidR="003239B8" w:rsidRPr="000D05CB" w:rsidRDefault="00EC1343"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3"/>
            </w:r>
          </w:p>
        </w:tc>
      </w:tr>
      <w:tr w:rsidR="00223A29" w:rsidRPr="00915D5B"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7142867E" w:rsidR="00223A29" w:rsidRPr="00DD1DF6" w:rsidRDefault="002A2420" w:rsidP="008D2290">
            <w:pPr>
              <w:jc w:val="both"/>
              <w:rPr>
                <w:rFonts w:ascii="Cambria" w:hAnsi="Cambria"/>
                <w:bCs/>
                <w:sz w:val="20"/>
                <w:szCs w:val="20"/>
                <w:lang w:val="es-CO"/>
              </w:rPr>
            </w:pPr>
            <w:r w:rsidRPr="00DD1DF6">
              <w:rPr>
                <w:rFonts w:ascii="Cambria" w:hAnsi="Cambria"/>
                <w:bCs/>
                <w:sz w:val="20"/>
                <w:szCs w:val="20"/>
                <w:lang w:val="es-CO"/>
              </w:rPr>
              <w:t>Artículos 3 (</w:t>
            </w:r>
            <w:r w:rsidR="00A347EB" w:rsidRPr="00DD1DF6">
              <w:rPr>
                <w:rFonts w:ascii="Cambria" w:hAnsi="Cambria"/>
                <w:bCs/>
                <w:sz w:val="20"/>
                <w:szCs w:val="20"/>
                <w:lang w:val="es-CO"/>
              </w:rPr>
              <w:t xml:space="preserve">reconocimiento de la </w:t>
            </w:r>
            <w:r w:rsidRPr="00DD1DF6">
              <w:rPr>
                <w:rFonts w:ascii="Cambria" w:hAnsi="Cambria"/>
                <w:bCs/>
                <w:sz w:val="20"/>
                <w:szCs w:val="20"/>
                <w:lang w:val="es-CO"/>
              </w:rPr>
              <w:t xml:space="preserve">personalidad jurídica), </w:t>
            </w:r>
            <w:r w:rsidR="00DD1DF6">
              <w:rPr>
                <w:rFonts w:ascii="Cambria" w:hAnsi="Cambria"/>
                <w:bCs/>
                <w:sz w:val="20"/>
                <w:szCs w:val="20"/>
                <w:lang w:val="es-CO"/>
              </w:rPr>
              <w:t>4 (vida), 5 (integridad personal), 8 (garantías judiciales), 24 (igualdad ante la ley) y 25 (protección judicial) de la Convención Americana sobre Derechos Humanos</w:t>
            </w:r>
            <w:r w:rsidR="00DD1DF6">
              <w:rPr>
                <w:rStyle w:val="FootnoteReference"/>
                <w:rFonts w:ascii="Cambria" w:hAnsi="Cambria"/>
                <w:bCs/>
                <w:sz w:val="20"/>
                <w:szCs w:val="20"/>
                <w:lang w:val="es-CO"/>
              </w:rPr>
              <w:footnoteReference w:id="4"/>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5EAC801C" w:rsidR="004C2312" w:rsidRPr="003239B8" w:rsidRDefault="00A34068" w:rsidP="002625EA">
            <w:pPr>
              <w:jc w:val="both"/>
              <w:rPr>
                <w:rFonts w:ascii="Cambria" w:hAnsi="Cambria"/>
                <w:bCs/>
                <w:sz w:val="20"/>
                <w:szCs w:val="20"/>
                <w:lang w:val="es-ES"/>
              </w:rPr>
            </w:pPr>
            <w:r>
              <w:rPr>
                <w:rFonts w:ascii="Cambria" w:hAnsi="Cambria"/>
                <w:bCs/>
                <w:sz w:val="20"/>
                <w:szCs w:val="20"/>
                <w:lang w:val="es-ES"/>
              </w:rPr>
              <w:t>25 de febrero de 2015</w:t>
            </w:r>
          </w:p>
        </w:tc>
      </w:tr>
      <w:tr w:rsidR="004C2312" w:rsidRPr="008A4832"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78FA0A16" w:rsidR="004C2312" w:rsidRPr="003239B8" w:rsidRDefault="00994ABD" w:rsidP="008D2290">
            <w:pPr>
              <w:jc w:val="both"/>
              <w:rPr>
                <w:rFonts w:ascii="Cambria" w:hAnsi="Cambria"/>
                <w:bCs/>
                <w:sz w:val="20"/>
                <w:szCs w:val="20"/>
                <w:lang w:val="es-ES"/>
              </w:rPr>
            </w:pPr>
            <w:r>
              <w:rPr>
                <w:rFonts w:ascii="Cambria" w:hAnsi="Cambria"/>
                <w:bCs/>
                <w:sz w:val="20"/>
                <w:szCs w:val="20"/>
                <w:lang w:val="es-ES"/>
              </w:rPr>
              <w:t>26 de junio de 2023</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09F01194" w:rsidR="004C2312" w:rsidRPr="003239B8" w:rsidRDefault="00E5079B"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60A8B8AD" w:rsidR="004C2312" w:rsidRPr="003239B8" w:rsidRDefault="004865D8" w:rsidP="008D2290">
            <w:pPr>
              <w:jc w:val="both"/>
              <w:rPr>
                <w:rFonts w:ascii="Cambria" w:hAnsi="Cambria"/>
                <w:bCs/>
                <w:sz w:val="20"/>
                <w:szCs w:val="20"/>
                <w:lang w:val="es-ES"/>
              </w:rPr>
            </w:pPr>
            <w:r>
              <w:rPr>
                <w:rFonts w:ascii="Cambria" w:hAnsi="Cambria"/>
                <w:bCs/>
                <w:sz w:val="20"/>
                <w:szCs w:val="20"/>
                <w:lang w:val="es-ES"/>
              </w:rPr>
              <w:t>31 de octubre de 2023</w:t>
            </w:r>
          </w:p>
        </w:tc>
      </w:tr>
      <w:tr w:rsidR="00E5079B" w:rsidRPr="004A6A54" w14:paraId="5588DCB0" w14:textId="77777777" w:rsidTr="00394073">
        <w:tc>
          <w:tcPr>
            <w:tcW w:w="3600" w:type="dxa"/>
            <w:tcBorders>
              <w:top w:val="single" w:sz="6" w:space="0" w:color="auto"/>
              <w:bottom w:val="single" w:sz="6" w:space="0" w:color="auto"/>
            </w:tcBorders>
            <w:shd w:val="clear" w:color="auto" w:fill="386294"/>
            <w:vAlign w:val="center"/>
          </w:tcPr>
          <w:p w14:paraId="2B6CF74B" w14:textId="017CA0E4" w:rsidR="00E5079B" w:rsidRDefault="00E5079B" w:rsidP="00E5079B">
            <w:pPr>
              <w:jc w:val="center"/>
              <w:rPr>
                <w:rFonts w:ascii="Cambria" w:hAnsi="Cambria"/>
                <w:b/>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admisibilidad:</w:t>
            </w:r>
          </w:p>
        </w:tc>
        <w:tc>
          <w:tcPr>
            <w:tcW w:w="5647" w:type="dxa"/>
            <w:vAlign w:val="center"/>
          </w:tcPr>
          <w:p w14:paraId="0E57B35E" w14:textId="2534EDAC" w:rsidR="00E5079B" w:rsidRDefault="00E5079B" w:rsidP="00E5079B">
            <w:pPr>
              <w:jc w:val="both"/>
              <w:rPr>
                <w:rFonts w:ascii="Cambria" w:hAnsi="Cambria"/>
                <w:bCs/>
                <w:sz w:val="20"/>
                <w:szCs w:val="20"/>
                <w:lang w:val="es-ES"/>
              </w:rPr>
            </w:pPr>
            <w:r>
              <w:rPr>
                <w:rFonts w:ascii="Cambria" w:hAnsi="Cambria"/>
                <w:bCs/>
                <w:sz w:val="20"/>
                <w:szCs w:val="20"/>
                <w:lang w:val="es-ES"/>
              </w:rPr>
              <w:t>7 de diciembre de 2023</w:t>
            </w:r>
          </w:p>
        </w:tc>
      </w:tr>
      <w:tr w:rsidR="00E5079B" w:rsidRPr="00915D5B"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E5079B" w:rsidRPr="003239B8" w:rsidRDefault="00E5079B" w:rsidP="00E5079B">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787880FB" w:rsidR="00E5079B" w:rsidRPr="003239B8" w:rsidRDefault="00E5079B" w:rsidP="00E5079B">
            <w:pPr>
              <w:jc w:val="both"/>
              <w:rPr>
                <w:rFonts w:ascii="Cambria" w:hAnsi="Cambria"/>
                <w:bCs/>
                <w:sz w:val="20"/>
                <w:szCs w:val="20"/>
                <w:lang w:val="es-ES"/>
              </w:rPr>
            </w:pPr>
            <w:r>
              <w:rPr>
                <w:rFonts w:ascii="Cambria" w:hAnsi="Cambria"/>
                <w:bCs/>
                <w:sz w:val="20"/>
                <w:szCs w:val="20"/>
                <w:lang w:val="es-ES"/>
              </w:rPr>
              <w:t>14 de septiembre de 2020 y 5 de abril de 2023</w:t>
            </w:r>
          </w:p>
        </w:tc>
      </w:tr>
      <w:tr w:rsidR="00E5079B" w:rsidRPr="00915D5B"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E5079B" w:rsidRPr="003239B8" w:rsidRDefault="00E5079B" w:rsidP="00E5079B">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Pr="003239B8">
              <w:rPr>
                <w:rFonts w:ascii="Cambria" w:hAnsi="Cambria"/>
                <w:b/>
                <w:bCs/>
                <w:color w:val="FFFFFF" w:themeColor="background1"/>
                <w:sz w:val="20"/>
                <w:szCs w:val="20"/>
                <w:lang w:val="es-ES"/>
              </w:rPr>
              <w:t xml:space="preserve">espuesta de la parte peticionaria ante advertencia </w:t>
            </w:r>
            <w:r>
              <w:rPr>
                <w:rFonts w:ascii="Cambria" w:hAnsi="Cambria"/>
                <w:b/>
                <w:bCs/>
                <w:color w:val="FFFFFF" w:themeColor="background1"/>
                <w:sz w:val="20"/>
                <w:szCs w:val="20"/>
                <w:lang w:val="es-ES"/>
              </w:rPr>
              <w:t xml:space="preserve">de </w:t>
            </w:r>
            <w:r w:rsidRPr="003239B8">
              <w:rPr>
                <w:rFonts w:ascii="Cambria" w:hAnsi="Cambria"/>
                <w:b/>
                <w:bCs/>
                <w:color w:val="FFFFFF" w:themeColor="background1"/>
                <w:sz w:val="20"/>
                <w:szCs w:val="20"/>
                <w:lang w:val="es-ES"/>
              </w:rPr>
              <w:t>posible archivo:</w:t>
            </w:r>
          </w:p>
        </w:tc>
        <w:tc>
          <w:tcPr>
            <w:tcW w:w="5647" w:type="dxa"/>
            <w:vAlign w:val="center"/>
          </w:tcPr>
          <w:p w14:paraId="6E85D194" w14:textId="218A9985" w:rsidR="00E5079B" w:rsidRPr="003239B8" w:rsidRDefault="00E5079B" w:rsidP="00E5079B">
            <w:pPr>
              <w:jc w:val="both"/>
              <w:rPr>
                <w:rFonts w:ascii="Cambria" w:hAnsi="Cambria"/>
                <w:bCs/>
                <w:sz w:val="20"/>
                <w:szCs w:val="20"/>
                <w:lang w:val="es-ES"/>
              </w:rPr>
            </w:pPr>
            <w:r>
              <w:rPr>
                <w:rFonts w:ascii="Cambria" w:hAnsi="Cambria"/>
                <w:bCs/>
                <w:sz w:val="20"/>
                <w:szCs w:val="20"/>
                <w:lang w:val="es-ES"/>
              </w:rPr>
              <w:t>22 de septiembre de 2020 y 10 de abril de 2023</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79EE4C2C" w:rsidR="003239B8" w:rsidRPr="00B3745F" w:rsidRDefault="003953D9"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363D3B1A" w:rsidR="003239B8" w:rsidRPr="00B3745F" w:rsidRDefault="003953D9"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3A82EB34" w:rsidR="003239B8" w:rsidRPr="00B3745F" w:rsidRDefault="003953D9" w:rsidP="008D2290">
            <w:pPr>
              <w:rPr>
                <w:rFonts w:ascii="Cambria" w:hAnsi="Cambria"/>
                <w:bCs/>
                <w:sz w:val="20"/>
                <w:szCs w:val="20"/>
              </w:rPr>
            </w:pPr>
            <w:r>
              <w:rPr>
                <w:rFonts w:ascii="Cambria" w:hAnsi="Cambria"/>
                <w:bCs/>
                <w:sz w:val="20"/>
                <w:szCs w:val="20"/>
              </w:rPr>
              <w:t>Sí</w:t>
            </w:r>
          </w:p>
        </w:tc>
      </w:tr>
      <w:tr w:rsidR="003239B8" w:rsidRPr="00915D5B"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6C4FDD98" w:rsidR="003239B8" w:rsidRPr="00B3745F" w:rsidRDefault="00A028EF" w:rsidP="008D2290">
            <w:pPr>
              <w:jc w:val="both"/>
              <w:rPr>
                <w:rFonts w:ascii="Cambria" w:hAnsi="Cambria"/>
                <w:bCs/>
                <w:sz w:val="20"/>
                <w:szCs w:val="20"/>
                <w:lang w:val="es-ES"/>
              </w:rPr>
            </w:pPr>
            <w:r>
              <w:rPr>
                <w:rFonts w:ascii="Cambria" w:hAnsi="Cambria"/>
                <w:bCs/>
                <w:sz w:val="20"/>
                <w:szCs w:val="20"/>
                <w:lang w:val="es-ES"/>
              </w:rPr>
              <w:t xml:space="preserve">Sí, </w:t>
            </w:r>
            <w:r w:rsidR="008C4E5A" w:rsidRPr="00CB26AC">
              <w:rPr>
                <w:rFonts w:ascii="Cambria" w:hAnsi="Cambria"/>
                <w:bCs/>
                <w:sz w:val="20"/>
                <w:szCs w:val="20"/>
                <w:lang w:val="es-ES"/>
              </w:rPr>
              <w:t>Convención Americana (depósito del instrumento de ratificación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8A4832"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25EC25F4" w:rsidR="00EE00E9" w:rsidRPr="00DC24E3" w:rsidRDefault="008C4E5A"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3A012B84" w:rsidR="003239B8" w:rsidRPr="00DC24E3" w:rsidRDefault="00DF7221" w:rsidP="008D2290">
            <w:pPr>
              <w:jc w:val="both"/>
              <w:rPr>
                <w:rFonts w:ascii="Cambria" w:hAnsi="Cambria"/>
                <w:bCs/>
                <w:sz w:val="20"/>
                <w:szCs w:val="20"/>
              </w:rPr>
            </w:pPr>
            <w:r>
              <w:rPr>
                <w:rFonts w:ascii="Cambria" w:hAnsi="Cambria"/>
                <w:bCs/>
                <w:sz w:val="20"/>
                <w:szCs w:val="20"/>
              </w:rPr>
              <w:t>Ninguno</w:t>
            </w:r>
          </w:p>
        </w:tc>
      </w:tr>
      <w:tr w:rsidR="003239B8" w:rsidRPr="008A4832"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473A0416" w:rsidR="003239B8" w:rsidRPr="00DC24E3" w:rsidRDefault="00DF7221" w:rsidP="008D2290">
            <w:pPr>
              <w:rPr>
                <w:rFonts w:ascii="Cambria" w:hAnsi="Cambria"/>
                <w:bCs/>
                <w:sz w:val="20"/>
                <w:szCs w:val="20"/>
                <w:lang w:val="es-ES"/>
              </w:rPr>
            </w:pPr>
            <w:r>
              <w:rPr>
                <w:rFonts w:ascii="Cambria" w:hAnsi="Cambria"/>
                <w:bCs/>
                <w:sz w:val="20"/>
                <w:szCs w:val="20"/>
                <w:lang w:val="es-ES"/>
              </w:rPr>
              <w:t>Sí</w:t>
            </w:r>
          </w:p>
        </w:tc>
      </w:tr>
      <w:tr w:rsidR="003239B8" w:rsidRPr="007744C1"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5334E571" w:rsidR="003239B8" w:rsidRPr="007744C1" w:rsidRDefault="00DF7221" w:rsidP="008D2290">
            <w:pPr>
              <w:rPr>
                <w:rFonts w:ascii="Cambria" w:hAnsi="Cambria"/>
                <w:bCs/>
                <w:sz w:val="20"/>
                <w:szCs w:val="20"/>
                <w:lang w:val="es-CO"/>
              </w:rPr>
            </w:pPr>
            <w:r w:rsidRPr="007744C1">
              <w:rPr>
                <w:rFonts w:ascii="Cambria" w:hAnsi="Cambria"/>
                <w:bCs/>
                <w:sz w:val="20"/>
                <w:szCs w:val="20"/>
                <w:lang w:val="es-CO"/>
              </w:rPr>
              <w:t>Sí</w:t>
            </w:r>
          </w:p>
        </w:tc>
      </w:tr>
    </w:tbl>
    <w:p w14:paraId="251EA0C9" w14:textId="77777777" w:rsidR="000A7EEC" w:rsidRDefault="000A7EEC" w:rsidP="003239B8">
      <w:pPr>
        <w:spacing w:before="240" w:after="240"/>
        <w:ind w:firstLine="720"/>
        <w:jc w:val="both"/>
        <w:rPr>
          <w:rFonts w:asciiTheme="majorHAnsi" w:hAnsiTheme="majorHAnsi"/>
          <w:b/>
          <w:sz w:val="20"/>
          <w:szCs w:val="20"/>
          <w:lang w:val="es-UY"/>
        </w:rPr>
      </w:pPr>
    </w:p>
    <w:p w14:paraId="56FD5D57" w14:textId="7C5D5F51" w:rsidR="003239B8" w:rsidRPr="00733D9E" w:rsidRDefault="00223A29" w:rsidP="003239B8">
      <w:pPr>
        <w:spacing w:before="240" w:after="240"/>
        <w:ind w:firstLine="720"/>
        <w:jc w:val="both"/>
        <w:rPr>
          <w:rFonts w:asciiTheme="majorHAnsi" w:hAnsiTheme="majorHAnsi"/>
          <w:b/>
          <w:sz w:val="20"/>
          <w:szCs w:val="20"/>
          <w:lang w:val="es-ES_tradnl"/>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733D9E">
        <w:rPr>
          <w:rFonts w:asciiTheme="majorHAnsi" w:hAnsiTheme="majorHAnsi"/>
          <w:b/>
          <w:sz w:val="20"/>
          <w:szCs w:val="20"/>
          <w:lang w:val="es-ES_tradnl"/>
        </w:rPr>
        <w:t>POSICIÓN DE LAS PARTES</w:t>
      </w:r>
      <w:r w:rsidR="003239B8" w:rsidRPr="00733D9E">
        <w:rPr>
          <w:rFonts w:asciiTheme="majorHAnsi" w:hAnsiTheme="majorHAnsi"/>
          <w:b/>
          <w:sz w:val="20"/>
          <w:szCs w:val="20"/>
          <w:lang w:val="es-ES_tradnl"/>
        </w:rPr>
        <w:t xml:space="preserve"> </w:t>
      </w:r>
    </w:p>
    <w:p w14:paraId="6901F992" w14:textId="2868F9D8" w:rsidR="0008158C" w:rsidRPr="00733D9E" w:rsidRDefault="00125980" w:rsidP="002E5A4F">
      <w:pPr>
        <w:pStyle w:val="ListParagraph"/>
        <w:numPr>
          <w:ilvl w:val="0"/>
          <w:numId w:val="0"/>
        </w:numPr>
        <w:ind w:left="720"/>
        <w:jc w:val="both"/>
        <w:rPr>
          <w:rFonts w:asciiTheme="majorHAnsi" w:hAnsiTheme="majorHAnsi"/>
          <w:b/>
          <w:sz w:val="20"/>
          <w:szCs w:val="20"/>
          <w:lang w:val="es-ES_tradnl"/>
        </w:rPr>
      </w:pPr>
      <w:r w:rsidRPr="00733D9E">
        <w:rPr>
          <w:rFonts w:asciiTheme="majorHAnsi" w:hAnsiTheme="majorHAnsi"/>
          <w:b/>
          <w:sz w:val="20"/>
          <w:szCs w:val="20"/>
          <w:lang w:val="es-ES_tradnl"/>
        </w:rPr>
        <w:t>La p</w:t>
      </w:r>
      <w:r w:rsidR="0008158C" w:rsidRPr="00733D9E">
        <w:rPr>
          <w:rFonts w:asciiTheme="majorHAnsi" w:hAnsiTheme="majorHAnsi"/>
          <w:b/>
          <w:sz w:val="20"/>
          <w:szCs w:val="20"/>
          <w:lang w:val="es-ES_tradnl"/>
        </w:rPr>
        <w:t>arte peticionaria</w:t>
      </w:r>
    </w:p>
    <w:p w14:paraId="53BD3EF6" w14:textId="2E01268E" w:rsidR="006E621A" w:rsidRPr="00733D9E" w:rsidRDefault="00256537" w:rsidP="6A8988EC">
      <w:pPr>
        <w:pStyle w:val="ListParagraph"/>
        <w:jc w:val="both"/>
        <w:rPr>
          <w:rFonts w:asciiTheme="majorHAnsi" w:hAnsiTheme="majorHAnsi"/>
          <w:sz w:val="20"/>
          <w:szCs w:val="20"/>
          <w:lang w:val="es-ES"/>
        </w:rPr>
      </w:pPr>
      <w:r w:rsidRPr="6A8988EC">
        <w:rPr>
          <w:sz w:val="20"/>
          <w:szCs w:val="20"/>
          <w:lang w:val="es-ES"/>
        </w:rPr>
        <w:t xml:space="preserve">La parte peticionaria denuncia la </w:t>
      </w:r>
      <w:r w:rsidR="002845D3" w:rsidRPr="6A8988EC">
        <w:rPr>
          <w:sz w:val="20"/>
          <w:szCs w:val="20"/>
          <w:lang w:val="es-ES"/>
        </w:rPr>
        <w:t xml:space="preserve">negativa de los tribunales internos de reparar a los familiares de Diana Muegues Rondón </w:t>
      </w:r>
      <w:r w:rsidR="00E402A4" w:rsidRPr="6A8988EC">
        <w:rPr>
          <w:sz w:val="20"/>
          <w:szCs w:val="20"/>
          <w:lang w:val="es-ES"/>
        </w:rPr>
        <w:t>por su ejecución extrajudicial, presuntamente cometida por agentes de</w:t>
      </w:r>
      <w:r w:rsidR="00EA5103" w:rsidRPr="6A8988EC">
        <w:rPr>
          <w:sz w:val="20"/>
          <w:szCs w:val="20"/>
          <w:lang w:val="es-ES"/>
        </w:rPr>
        <w:t xml:space="preserve"> la policía</w:t>
      </w:r>
      <w:r w:rsidR="00ED65FA" w:rsidRPr="6A8988EC">
        <w:rPr>
          <w:sz w:val="20"/>
          <w:szCs w:val="20"/>
          <w:lang w:val="es-ES"/>
        </w:rPr>
        <w:t>.</w:t>
      </w:r>
    </w:p>
    <w:p w14:paraId="7CFB56BF" w14:textId="52EFAC92" w:rsidR="006E621A" w:rsidRPr="00733D9E" w:rsidRDefault="00ED65FA" w:rsidP="6A8988EC">
      <w:pPr>
        <w:pStyle w:val="ListParagraph"/>
        <w:jc w:val="both"/>
        <w:rPr>
          <w:rFonts w:asciiTheme="majorHAnsi" w:hAnsiTheme="majorHAnsi"/>
          <w:sz w:val="20"/>
          <w:szCs w:val="20"/>
          <w:lang w:val="es-ES"/>
        </w:rPr>
      </w:pPr>
      <w:r w:rsidRPr="6A8988EC">
        <w:rPr>
          <w:sz w:val="20"/>
          <w:szCs w:val="20"/>
          <w:lang w:val="es-ES"/>
        </w:rPr>
        <w:t xml:space="preserve">La parte peticionaria relata que </w:t>
      </w:r>
      <w:r w:rsidR="00A12C2A" w:rsidRPr="6A8988EC">
        <w:rPr>
          <w:sz w:val="20"/>
          <w:szCs w:val="20"/>
          <w:lang w:val="es-ES"/>
        </w:rPr>
        <w:t>cerca de</w:t>
      </w:r>
      <w:r w:rsidR="00C86FF5" w:rsidRPr="6A8988EC">
        <w:rPr>
          <w:sz w:val="20"/>
          <w:szCs w:val="20"/>
          <w:lang w:val="es-ES"/>
        </w:rPr>
        <w:t xml:space="preserve"> las 11:45 p.m.</w:t>
      </w:r>
      <w:r w:rsidR="00D97836" w:rsidRPr="6A8988EC">
        <w:rPr>
          <w:sz w:val="20"/>
          <w:szCs w:val="20"/>
          <w:lang w:val="es-ES"/>
        </w:rPr>
        <w:t xml:space="preserve"> del 2</w:t>
      </w:r>
      <w:r w:rsidR="00C86FF5" w:rsidRPr="6A8988EC">
        <w:rPr>
          <w:sz w:val="20"/>
          <w:szCs w:val="20"/>
          <w:lang w:val="es-ES"/>
        </w:rPr>
        <w:t>0</w:t>
      </w:r>
      <w:r w:rsidR="00D97836" w:rsidRPr="6A8988EC">
        <w:rPr>
          <w:sz w:val="20"/>
          <w:szCs w:val="20"/>
          <w:lang w:val="es-ES"/>
        </w:rPr>
        <w:t xml:space="preserve"> de enero de 2004 </w:t>
      </w:r>
      <w:r w:rsidR="00406BEE" w:rsidRPr="6A8988EC">
        <w:rPr>
          <w:sz w:val="20"/>
          <w:szCs w:val="20"/>
          <w:lang w:val="es-ES"/>
        </w:rPr>
        <w:t xml:space="preserve">sujetos </w:t>
      </w:r>
      <w:r w:rsidR="003B4E6C" w:rsidRPr="6A8988EC">
        <w:rPr>
          <w:sz w:val="20"/>
          <w:szCs w:val="20"/>
          <w:lang w:val="es-ES"/>
        </w:rPr>
        <w:t>desconocid</w:t>
      </w:r>
      <w:r w:rsidR="0071236C" w:rsidRPr="6A8988EC">
        <w:rPr>
          <w:sz w:val="20"/>
          <w:szCs w:val="20"/>
          <w:lang w:val="es-ES"/>
        </w:rPr>
        <w:t>o</w:t>
      </w:r>
      <w:r w:rsidR="003B4E6C" w:rsidRPr="6A8988EC">
        <w:rPr>
          <w:sz w:val="20"/>
          <w:szCs w:val="20"/>
          <w:lang w:val="es-ES"/>
        </w:rPr>
        <w:t xml:space="preserve">s arrojaron una granada de fragmentación en la residencia de la señora Diana Muegues Rondón en Santa Marta, donde pernoctaba con </w:t>
      </w:r>
      <w:r w:rsidR="004A4600" w:rsidRPr="6A8988EC">
        <w:rPr>
          <w:sz w:val="20"/>
          <w:szCs w:val="20"/>
          <w:lang w:val="es-ES"/>
        </w:rPr>
        <w:t>su conviviente y sus dos hijas. El ar</w:t>
      </w:r>
      <w:r w:rsidR="007D00A9" w:rsidRPr="6A8988EC">
        <w:rPr>
          <w:sz w:val="20"/>
          <w:szCs w:val="20"/>
          <w:lang w:val="es-ES"/>
        </w:rPr>
        <w:t xml:space="preserve">tefacto explotó en la habitación en que dormían ella y el señor </w:t>
      </w:r>
      <w:r w:rsidR="002906DD" w:rsidRPr="6A8988EC">
        <w:rPr>
          <w:sz w:val="20"/>
          <w:szCs w:val="20"/>
          <w:lang w:val="es-ES"/>
        </w:rPr>
        <w:t xml:space="preserve">Eder Enrique González Murgas, resultando en el fallecimiento de la primera y </w:t>
      </w:r>
      <w:r w:rsidR="006B7F47" w:rsidRPr="6A8988EC">
        <w:rPr>
          <w:sz w:val="20"/>
          <w:szCs w:val="20"/>
          <w:lang w:val="es-ES"/>
        </w:rPr>
        <w:t xml:space="preserve">en graves </w:t>
      </w:r>
      <w:r w:rsidR="007B7A0D" w:rsidRPr="6A8988EC">
        <w:rPr>
          <w:sz w:val="20"/>
          <w:szCs w:val="20"/>
          <w:lang w:val="es-ES"/>
        </w:rPr>
        <w:t>herid</w:t>
      </w:r>
      <w:r w:rsidR="006B7F47" w:rsidRPr="6A8988EC">
        <w:rPr>
          <w:sz w:val="20"/>
          <w:szCs w:val="20"/>
          <w:lang w:val="es-ES"/>
        </w:rPr>
        <w:t>as</w:t>
      </w:r>
      <w:r w:rsidR="007B7A0D" w:rsidRPr="6A8988EC">
        <w:rPr>
          <w:sz w:val="20"/>
          <w:szCs w:val="20"/>
          <w:lang w:val="es-ES"/>
        </w:rPr>
        <w:t xml:space="preserve"> </w:t>
      </w:r>
      <w:r w:rsidR="006B7F47" w:rsidRPr="6A8988EC">
        <w:rPr>
          <w:sz w:val="20"/>
          <w:szCs w:val="20"/>
          <w:lang w:val="es-ES"/>
        </w:rPr>
        <w:t xml:space="preserve">para </w:t>
      </w:r>
      <w:r w:rsidR="007B7A0D" w:rsidRPr="6A8988EC">
        <w:rPr>
          <w:sz w:val="20"/>
          <w:szCs w:val="20"/>
          <w:lang w:val="es-ES"/>
        </w:rPr>
        <w:t>el segundo.</w:t>
      </w:r>
    </w:p>
    <w:p w14:paraId="006B2515" w14:textId="51D1BB85" w:rsidR="006A2753" w:rsidRPr="00733D9E" w:rsidRDefault="000D4893" w:rsidP="6A8988EC">
      <w:pPr>
        <w:pStyle w:val="ListParagraph"/>
        <w:jc w:val="both"/>
        <w:rPr>
          <w:rFonts w:asciiTheme="majorHAnsi" w:hAnsiTheme="majorHAnsi"/>
          <w:sz w:val="20"/>
          <w:szCs w:val="20"/>
          <w:lang w:val="es-ES"/>
        </w:rPr>
      </w:pPr>
      <w:r w:rsidRPr="6A8988EC">
        <w:rPr>
          <w:sz w:val="20"/>
          <w:szCs w:val="20"/>
          <w:lang w:val="es-ES"/>
        </w:rPr>
        <w:t>E</w:t>
      </w:r>
      <w:r w:rsidR="006A2753" w:rsidRPr="6A8988EC">
        <w:rPr>
          <w:sz w:val="20"/>
          <w:szCs w:val="20"/>
          <w:lang w:val="es-ES"/>
        </w:rPr>
        <w:t>xplica que</w:t>
      </w:r>
      <w:r w:rsidR="002F7E21" w:rsidRPr="6A8988EC">
        <w:rPr>
          <w:sz w:val="20"/>
          <w:szCs w:val="20"/>
          <w:lang w:val="es-ES"/>
        </w:rPr>
        <w:t xml:space="preserve"> horas antes, </w:t>
      </w:r>
      <w:r w:rsidR="00B16A30" w:rsidRPr="6A8988EC">
        <w:rPr>
          <w:sz w:val="20"/>
          <w:szCs w:val="20"/>
          <w:lang w:val="es-ES"/>
        </w:rPr>
        <w:t xml:space="preserve">sobre las 4:00 p.m. </w:t>
      </w:r>
      <w:r w:rsidR="004014C9" w:rsidRPr="6A8988EC">
        <w:rPr>
          <w:sz w:val="20"/>
          <w:szCs w:val="20"/>
          <w:lang w:val="es-ES"/>
        </w:rPr>
        <w:t>de</w:t>
      </w:r>
      <w:r w:rsidR="003B5DEF" w:rsidRPr="6A8988EC">
        <w:rPr>
          <w:sz w:val="20"/>
          <w:szCs w:val="20"/>
          <w:lang w:val="es-ES"/>
        </w:rPr>
        <w:t xml:space="preserve"> ese día</w:t>
      </w:r>
      <w:r w:rsidR="004014C9" w:rsidRPr="6A8988EC">
        <w:rPr>
          <w:sz w:val="20"/>
          <w:szCs w:val="20"/>
          <w:lang w:val="es-ES"/>
        </w:rPr>
        <w:t xml:space="preserve">, </w:t>
      </w:r>
      <w:r w:rsidR="009B6B15" w:rsidRPr="6A8988EC">
        <w:rPr>
          <w:sz w:val="20"/>
          <w:szCs w:val="20"/>
          <w:lang w:val="es-ES"/>
        </w:rPr>
        <w:t>la Sra. Muegues Rondón</w:t>
      </w:r>
      <w:r w:rsidR="00233E98" w:rsidRPr="6A8988EC">
        <w:rPr>
          <w:sz w:val="20"/>
          <w:szCs w:val="20"/>
          <w:lang w:val="es-ES"/>
        </w:rPr>
        <w:t xml:space="preserve"> había participado en un altercado que se dio entre vecinos del sector y funcionarios de la </w:t>
      </w:r>
      <w:r w:rsidR="004354BF" w:rsidRPr="6A8988EC">
        <w:rPr>
          <w:sz w:val="20"/>
          <w:szCs w:val="20"/>
          <w:lang w:val="es-ES"/>
        </w:rPr>
        <w:t xml:space="preserve">Seccional de Investigación Criminal (en adelante “SIJIN”) de la Policía Nacional </w:t>
      </w:r>
      <w:r w:rsidR="005F40B8" w:rsidRPr="6A8988EC">
        <w:rPr>
          <w:sz w:val="20"/>
          <w:szCs w:val="20"/>
          <w:lang w:val="es-ES"/>
        </w:rPr>
        <w:t xml:space="preserve">por el presunto uso excesivo de la fuerza ejercido durante una captura de un vecino que resultó con una pierna fracturada. </w:t>
      </w:r>
      <w:r w:rsidR="000A7EEC" w:rsidRPr="6A8988EC">
        <w:rPr>
          <w:sz w:val="20"/>
          <w:szCs w:val="20"/>
          <w:lang w:val="es-ES"/>
        </w:rPr>
        <w:t>Luego,</w:t>
      </w:r>
      <w:r w:rsidR="00D263D7" w:rsidRPr="6A8988EC">
        <w:rPr>
          <w:sz w:val="20"/>
          <w:szCs w:val="20"/>
          <w:lang w:val="es-ES"/>
        </w:rPr>
        <w:t xml:space="preserve"> agentes de la SIJIN de la policía metropolitana del departamento la siguieron a casa de su hermano mayor, </w:t>
      </w:r>
      <w:r w:rsidR="005B1367" w:rsidRPr="6A8988EC">
        <w:rPr>
          <w:sz w:val="20"/>
          <w:szCs w:val="20"/>
          <w:lang w:val="es-ES"/>
        </w:rPr>
        <w:t>y allí le preguntaron dónde vivía ella, a lo que se rehusó a contestar, pero la habría</w:t>
      </w:r>
      <w:r w:rsidR="003C24E2" w:rsidRPr="6A8988EC">
        <w:rPr>
          <w:sz w:val="20"/>
          <w:szCs w:val="20"/>
          <w:lang w:val="es-ES"/>
        </w:rPr>
        <w:t>n</w:t>
      </w:r>
      <w:r w:rsidR="005B1367" w:rsidRPr="6A8988EC">
        <w:rPr>
          <w:sz w:val="20"/>
          <w:szCs w:val="20"/>
          <w:lang w:val="es-ES"/>
        </w:rPr>
        <w:t xml:space="preserve"> seguido hasta su residencia. </w:t>
      </w:r>
      <w:r w:rsidR="003C24E2" w:rsidRPr="6A8988EC">
        <w:rPr>
          <w:sz w:val="20"/>
          <w:szCs w:val="20"/>
          <w:lang w:val="es-ES"/>
        </w:rPr>
        <w:t>La parte peticionaria asegura que esos mismos agentes de la SIJIN arrojaron la granada de fragmentación que acabó con su vida.</w:t>
      </w:r>
    </w:p>
    <w:p w14:paraId="5B90AF6A" w14:textId="1C2A8DFB" w:rsidR="003C24E2" w:rsidRPr="00733D9E" w:rsidRDefault="000A7EEC" w:rsidP="6A8988EC">
      <w:pPr>
        <w:pStyle w:val="ListParagraph"/>
        <w:jc w:val="both"/>
        <w:rPr>
          <w:rFonts w:asciiTheme="majorHAnsi" w:hAnsiTheme="majorHAnsi"/>
          <w:sz w:val="20"/>
          <w:szCs w:val="20"/>
          <w:lang w:val="es-ES"/>
        </w:rPr>
      </w:pPr>
      <w:r w:rsidRPr="6A8988EC">
        <w:rPr>
          <w:sz w:val="20"/>
          <w:szCs w:val="20"/>
          <w:lang w:val="es-ES"/>
        </w:rPr>
        <w:t xml:space="preserve">Los familiares de la Sra. Muegues Rondón </w:t>
      </w:r>
      <w:r w:rsidR="00923E03" w:rsidRPr="6A8988EC">
        <w:rPr>
          <w:sz w:val="20"/>
          <w:szCs w:val="20"/>
          <w:lang w:val="es-ES"/>
        </w:rPr>
        <w:t xml:space="preserve">promovieron una demanda de reparación directa por </w:t>
      </w:r>
      <w:r w:rsidR="00CF1BAC" w:rsidRPr="6A8988EC">
        <w:rPr>
          <w:sz w:val="20"/>
          <w:szCs w:val="20"/>
          <w:lang w:val="es-ES"/>
        </w:rPr>
        <w:t>su asesinato</w:t>
      </w:r>
      <w:r w:rsidR="00537C4B" w:rsidRPr="6A8988EC">
        <w:rPr>
          <w:sz w:val="20"/>
          <w:szCs w:val="20"/>
          <w:lang w:val="es-ES"/>
        </w:rPr>
        <w:t xml:space="preserve"> en vista de que ella era la principal proveedora </w:t>
      </w:r>
      <w:r w:rsidR="00484AE5" w:rsidRPr="6A8988EC">
        <w:rPr>
          <w:sz w:val="20"/>
          <w:szCs w:val="20"/>
          <w:lang w:val="es-ES"/>
        </w:rPr>
        <w:t xml:space="preserve">para sus padres, hijos, pareja y hermanos. </w:t>
      </w:r>
      <w:r w:rsidR="001446D8" w:rsidRPr="6A8988EC">
        <w:rPr>
          <w:sz w:val="20"/>
          <w:szCs w:val="20"/>
          <w:lang w:val="es-ES"/>
        </w:rPr>
        <w:t>E</w:t>
      </w:r>
      <w:r w:rsidR="00484AE5" w:rsidRPr="6A8988EC">
        <w:rPr>
          <w:sz w:val="20"/>
          <w:szCs w:val="20"/>
          <w:lang w:val="es-ES"/>
        </w:rPr>
        <w:t xml:space="preserve">l </w:t>
      </w:r>
      <w:r w:rsidR="008B3FB9" w:rsidRPr="6A8988EC">
        <w:rPr>
          <w:sz w:val="20"/>
          <w:szCs w:val="20"/>
          <w:lang w:val="es-ES"/>
        </w:rPr>
        <w:t xml:space="preserve">15 de diciembre </w:t>
      </w:r>
      <w:r w:rsidR="00484AE5" w:rsidRPr="6A8988EC">
        <w:rPr>
          <w:sz w:val="20"/>
          <w:szCs w:val="20"/>
          <w:lang w:val="es-ES"/>
        </w:rPr>
        <w:t>de 2006 el Tribunal Administrativo del Ma</w:t>
      </w:r>
      <w:r w:rsidR="008B3FB9" w:rsidRPr="6A8988EC">
        <w:rPr>
          <w:sz w:val="20"/>
          <w:szCs w:val="20"/>
          <w:lang w:val="es-ES"/>
        </w:rPr>
        <w:t>gdalena admitió la demanda</w:t>
      </w:r>
      <w:r w:rsidR="002917B1" w:rsidRPr="6A8988EC">
        <w:rPr>
          <w:sz w:val="20"/>
          <w:szCs w:val="20"/>
          <w:lang w:val="es-ES"/>
        </w:rPr>
        <w:t>, aunque por competencia la remitió al Juzgado Sexto Administrativo del circuito de Santa Marta.</w:t>
      </w:r>
      <w:r w:rsidR="005630AD" w:rsidRPr="6A8988EC">
        <w:rPr>
          <w:sz w:val="20"/>
          <w:szCs w:val="20"/>
          <w:lang w:val="es-ES"/>
        </w:rPr>
        <w:t xml:space="preserve"> </w:t>
      </w:r>
      <w:r w:rsidR="001448CD" w:rsidRPr="6A8988EC">
        <w:rPr>
          <w:sz w:val="20"/>
          <w:szCs w:val="20"/>
          <w:lang w:val="es-ES"/>
        </w:rPr>
        <w:t>E</w:t>
      </w:r>
      <w:r w:rsidR="008C407A" w:rsidRPr="6A8988EC">
        <w:rPr>
          <w:sz w:val="20"/>
          <w:szCs w:val="20"/>
          <w:lang w:val="es-ES"/>
        </w:rPr>
        <w:t xml:space="preserve">l </w:t>
      </w:r>
      <w:r w:rsidR="00735E95" w:rsidRPr="6A8988EC">
        <w:rPr>
          <w:sz w:val="20"/>
          <w:szCs w:val="20"/>
          <w:lang w:val="es-ES"/>
        </w:rPr>
        <w:t xml:space="preserve">31 de enero de 2014 el juzgado emitió </w:t>
      </w:r>
      <w:r w:rsidR="00A64522" w:rsidRPr="6A8988EC">
        <w:rPr>
          <w:sz w:val="20"/>
          <w:szCs w:val="20"/>
          <w:lang w:val="es-ES"/>
        </w:rPr>
        <w:t xml:space="preserve">una sentencia </w:t>
      </w:r>
      <w:r w:rsidR="00A73813" w:rsidRPr="6A8988EC">
        <w:rPr>
          <w:sz w:val="20"/>
          <w:szCs w:val="20"/>
          <w:lang w:val="es-ES"/>
        </w:rPr>
        <w:t xml:space="preserve">por medio de la que denegó las pretensiones de los demandantes y absolvió a </w:t>
      </w:r>
      <w:r w:rsidR="00A64522" w:rsidRPr="6A8988EC">
        <w:rPr>
          <w:sz w:val="20"/>
          <w:szCs w:val="20"/>
          <w:lang w:val="es-ES"/>
        </w:rPr>
        <w:t>la Nación</w:t>
      </w:r>
      <w:r w:rsidR="00A73813" w:rsidRPr="6A8988EC">
        <w:rPr>
          <w:sz w:val="20"/>
          <w:szCs w:val="20"/>
          <w:lang w:val="es-ES"/>
        </w:rPr>
        <w:t xml:space="preserve"> de responsabilidad administrativa por el hecho</w:t>
      </w:r>
      <w:r w:rsidR="00057BBC" w:rsidRPr="6A8988EC">
        <w:rPr>
          <w:sz w:val="20"/>
          <w:szCs w:val="20"/>
          <w:lang w:val="es-ES"/>
        </w:rPr>
        <w:t xml:space="preserve">. La parte peticionaria señala que apeló dicha decisión, </w:t>
      </w:r>
      <w:r w:rsidR="008405DE" w:rsidRPr="6A8988EC">
        <w:rPr>
          <w:sz w:val="20"/>
          <w:szCs w:val="20"/>
          <w:lang w:val="es-ES"/>
        </w:rPr>
        <w:t xml:space="preserve">pero en septiembre de 2014 el Tribunal Administrativo de Magdalena confirmó </w:t>
      </w:r>
      <w:r w:rsidR="008D4A0E" w:rsidRPr="6A8988EC">
        <w:rPr>
          <w:sz w:val="20"/>
          <w:szCs w:val="20"/>
          <w:lang w:val="es-ES"/>
        </w:rPr>
        <w:t>el fallo de primera instancia, y lo notificó mediante un edicto fijado del 25 al 29 de septiembre de 2014.</w:t>
      </w:r>
    </w:p>
    <w:p w14:paraId="0DA73B91" w14:textId="6BC78C37" w:rsidR="008D4A0E" w:rsidRPr="00733D9E" w:rsidRDefault="008D4A0E" w:rsidP="006E621A">
      <w:pPr>
        <w:pStyle w:val="ListParagraph"/>
        <w:numPr>
          <w:ilvl w:val="0"/>
          <w:numId w:val="61"/>
        </w:numPr>
        <w:ind w:left="0" w:firstLine="720"/>
        <w:jc w:val="both"/>
        <w:rPr>
          <w:rFonts w:asciiTheme="majorHAnsi" w:hAnsiTheme="majorHAnsi"/>
          <w:bCs/>
          <w:sz w:val="20"/>
          <w:szCs w:val="20"/>
          <w:lang w:val="es-ES_tradnl"/>
        </w:rPr>
      </w:pPr>
      <w:r w:rsidRPr="00733D9E">
        <w:rPr>
          <w:bCs/>
          <w:sz w:val="20"/>
          <w:szCs w:val="20"/>
          <w:lang w:val="es-ES_tradnl"/>
        </w:rPr>
        <w:t xml:space="preserve">La parte peticionaria aduce que </w:t>
      </w:r>
      <w:r w:rsidR="006F4573" w:rsidRPr="00733D9E">
        <w:rPr>
          <w:bCs/>
          <w:sz w:val="20"/>
          <w:szCs w:val="20"/>
          <w:lang w:val="es-ES_tradnl"/>
        </w:rPr>
        <w:t xml:space="preserve">las sentencias </w:t>
      </w:r>
      <w:r w:rsidR="00220B47" w:rsidRPr="00733D9E">
        <w:rPr>
          <w:bCs/>
          <w:sz w:val="20"/>
          <w:szCs w:val="20"/>
          <w:lang w:val="es-ES_tradnl"/>
        </w:rPr>
        <w:t xml:space="preserve">se sustentaron en que los actos no tuvieron relación con el servicio, pues los agentes de la SIJIN actuaron como </w:t>
      </w:r>
      <w:r w:rsidR="00181E3F" w:rsidRPr="00733D9E">
        <w:rPr>
          <w:bCs/>
          <w:sz w:val="20"/>
          <w:szCs w:val="20"/>
          <w:lang w:val="es-ES_tradnl"/>
        </w:rPr>
        <w:t>ciudadanos particulares al cometer el delito</w:t>
      </w:r>
      <w:r w:rsidR="00F845EF" w:rsidRPr="00733D9E">
        <w:rPr>
          <w:bCs/>
          <w:sz w:val="20"/>
          <w:szCs w:val="20"/>
          <w:lang w:val="es-ES_tradnl"/>
        </w:rPr>
        <w:t xml:space="preserve">, además, consideró que no se probó que </w:t>
      </w:r>
      <w:r w:rsidR="007D2E7F" w:rsidRPr="00733D9E">
        <w:rPr>
          <w:bCs/>
          <w:sz w:val="20"/>
          <w:szCs w:val="20"/>
          <w:lang w:val="es-ES_tradnl"/>
        </w:rPr>
        <w:t xml:space="preserve">éste hubiera sido cometido por </w:t>
      </w:r>
      <w:r w:rsidR="00905DAA" w:rsidRPr="00733D9E">
        <w:rPr>
          <w:bCs/>
          <w:sz w:val="20"/>
          <w:szCs w:val="20"/>
          <w:lang w:val="es-ES_tradnl"/>
        </w:rPr>
        <w:t>miembros activos de la Policía Nacional.</w:t>
      </w:r>
      <w:r w:rsidR="005120E0" w:rsidRPr="00733D9E">
        <w:rPr>
          <w:bCs/>
          <w:sz w:val="20"/>
          <w:szCs w:val="20"/>
          <w:lang w:val="es-ES_tradnl"/>
        </w:rPr>
        <w:t xml:space="preserve"> No obstante, la parte peticionaria </w:t>
      </w:r>
      <w:r w:rsidR="00343660" w:rsidRPr="00733D9E">
        <w:rPr>
          <w:bCs/>
          <w:sz w:val="20"/>
          <w:szCs w:val="20"/>
          <w:lang w:val="es-ES_tradnl"/>
        </w:rPr>
        <w:t>sostiene que sí era posible inferir la participación de agentes estatales en el suceso</w:t>
      </w:r>
      <w:r w:rsidR="005D4BD1" w:rsidRPr="00733D9E">
        <w:rPr>
          <w:bCs/>
          <w:sz w:val="20"/>
          <w:szCs w:val="20"/>
          <w:lang w:val="es-ES_tradnl"/>
        </w:rPr>
        <w:t xml:space="preserve"> conforme a la sana crítica, ya que</w:t>
      </w:r>
      <w:r w:rsidR="00961CA0" w:rsidRPr="00733D9E">
        <w:rPr>
          <w:bCs/>
          <w:sz w:val="20"/>
          <w:szCs w:val="20"/>
          <w:lang w:val="es-ES_tradnl"/>
        </w:rPr>
        <w:t xml:space="preserve"> los tribunales internos debían valorar que los funcionarios de policía se encargaron de </w:t>
      </w:r>
      <w:r w:rsidR="00A52D54" w:rsidRPr="00733D9E">
        <w:rPr>
          <w:bCs/>
          <w:sz w:val="20"/>
          <w:szCs w:val="20"/>
          <w:lang w:val="es-ES_tradnl"/>
        </w:rPr>
        <w:t>ocultar y desaparecer cualquier evidencia</w:t>
      </w:r>
      <w:r w:rsidR="00E41B7A" w:rsidRPr="00733D9E">
        <w:rPr>
          <w:bCs/>
          <w:sz w:val="20"/>
          <w:szCs w:val="20"/>
          <w:lang w:val="es-ES_tradnl"/>
        </w:rPr>
        <w:t xml:space="preserve">, pero hubo dos testigos que presenciaron </w:t>
      </w:r>
      <w:r w:rsidR="001253E0" w:rsidRPr="00733D9E">
        <w:rPr>
          <w:bCs/>
          <w:sz w:val="20"/>
          <w:szCs w:val="20"/>
          <w:lang w:val="es-ES_tradnl"/>
        </w:rPr>
        <w:t>que los agentes de la SIJIN se desplazaron al sitio y arrojaron la granada.</w:t>
      </w:r>
      <w:r w:rsidR="00CD0A6B" w:rsidRPr="00733D9E">
        <w:rPr>
          <w:bCs/>
          <w:sz w:val="20"/>
          <w:szCs w:val="20"/>
          <w:lang w:val="es-ES_tradnl"/>
        </w:rPr>
        <w:t xml:space="preserve"> Por ello, considera que </w:t>
      </w:r>
      <w:r w:rsidR="00EC71E1" w:rsidRPr="00733D9E">
        <w:rPr>
          <w:bCs/>
          <w:sz w:val="20"/>
          <w:szCs w:val="20"/>
          <w:lang w:val="es-ES_tradnl"/>
        </w:rPr>
        <w:t xml:space="preserve">fueron fallos parcializados que restaron efectividad probatoria a </w:t>
      </w:r>
      <w:r w:rsidR="00167D59" w:rsidRPr="00733D9E">
        <w:rPr>
          <w:bCs/>
          <w:sz w:val="20"/>
          <w:szCs w:val="20"/>
          <w:lang w:val="es-ES_tradnl"/>
        </w:rPr>
        <w:t>estos testimonios para favorecer al Estado.</w:t>
      </w:r>
      <w:r w:rsidR="00A03947" w:rsidRPr="00733D9E">
        <w:rPr>
          <w:bCs/>
          <w:sz w:val="20"/>
          <w:szCs w:val="20"/>
          <w:lang w:val="es-ES_tradnl"/>
        </w:rPr>
        <w:t xml:space="preserve"> Con ello, alega que los tribunales violaron los derechos al debido proceso, al acceso a la administración de justicia y a la igualdad.</w:t>
      </w:r>
    </w:p>
    <w:p w14:paraId="2AFB6B8A" w14:textId="352E2860" w:rsidR="00322C04" w:rsidRPr="00733D9E" w:rsidRDefault="00322C04" w:rsidP="6A8988EC">
      <w:pPr>
        <w:pStyle w:val="ListParagraph"/>
        <w:jc w:val="both"/>
        <w:rPr>
          <w:rFonts w:asciiTheme="majorHAnsi" w:hAnsiTheme="majorHAnsi"/>
          <w:sz w:val="20"/>
          <w:szCs w:val="20"/>
          <w:lang w:val="es-ES"/>
        </w:rPr>
      </w:pPr>
      <w:r w:rsidRPr="6A8988EC">
        <w:rPr>
          <w:sz w:val="20"/>
          <w:szCs w:val="20"/>
          <w:lang w:val="es-ES"/>
        </w:rPr>
        <w:t xml:space="preserve">En respuesta a los alegatos del Estado, la parte peticionaria </w:t>
      </w:r>
      <w:r w:rsidR="007C12DA" w:rsidRPr="6A8988EC">
        <w:rPr>
          <w:sz w:val="20"/>
          <w:szCs w:val="20"/>
          <w:lang w:val="es-ES"/>
        </w:rPr>
        <w:t xml:space="preserve">asevera que la petición no incurre en la denominada ‘fórmula de la cuarta instancia internacional’ porque ocurrió una manipulación de la escena de los hechos por parte de los policías y </w:t>
      </w:r>
      <w:r w:rsidR="001C43A8" w:rsidRPr="6A8988EC">
        <w:rPr>
          <w:sz w:val="20"/>
          <w:szCs w:val="20"/>
          <w:lang w:val="es-ES"/>
        </w:rPr>
        <w:t xml:space="preserve">porque los tribunales internos realizaron </w:t>
      </w:r>
      <w:r w:rsidR="00A81299" w:rsidRPr="6A8988EC">
        <w:rPr>
          <w:sz w:val="20"/>
          <w:szCs w:val="20"/>
          <w:lang w:val="es-ES"/>
        </w:rPr>
        <w:t xml:space="preserve">una “ponderación rígida” de pruebas </w:t>
      </w:r>
      <w:r w:rsidR="000B4872" w:rsidRPr="6A8988EC">
        <w:rPr>
          <w:sz w:val="20"/>
          <w:szCs w:val="20"/>
          <w:lang w:val="es-ES"/>
        </w:rPr>
        <w:t xml:space="preserve">y </w:t>
      </w:r>
      <w:r w:rsidR="00A81299" w:rsidRPr="6A8988EC">
        <w:rPr>
          <w:sz w:val="20"/>
          <w:szCs w:val="20"/>
          <w:lang w:val="es-ES"/>
        </w:rPr>
        <w:t>desestimar</w:t>
      </w:r>
      <w:r w:rsidR="000B4872" w:rsidRPr="6A8988EC">
        <w:rPr>
          <w:sz w:val="20"/>
          <w:szCs w:val="20"/>
          <w:lang w:val="es-ES"/>
        </w:rPr>
        <w:t>on</w:t>
      </w:r>
      <w:r w:rsidR="00A81299" w:rsidRPr="6A8988EC">
        <w:rPr>
          <w:sz w:val="20"/>
          <w:szCs w:val="20"/>
          <w:lang w:val="es-ES"/>
        </w:rPr>
        <w:t xml:space="preserve"> testimonios por razones triviales, </w:t>
      </w:r>
      <w:r w:rsidR="00FB76F7" w:rsidRPr="6A8988EC">
        <w:rPr>
          <w:sz w:val="20"/>
          <w:szCs w:val="20"/>
          <w:lang w:val="es-ES"/>
        </w:rPr>
        <w:t>por lo que ello resulta en una violación de los derechos a la vida, a la integridad persona</w:t>
      </w:r>
      <w:r w:rsidR="00BF6708" w:rsidRPr="6A8988EC">
        <w:rPr>
          <w:sz w:val="20"/>
          <w:szCs w:val="20"/>
          <w:lang w:val="es-ES"/>
        </w:rPr>
        <w:t>l</w:t>
      </w:r>
      <w:r w:rsidR="00FB76F7" w:rsidRPr="6A8988EC">
        <w:rPr>
          <w:sz w:val="20"/>
          <w:szCs w:val="20"/>
          <w:lang w:val="es-ES"/>
        </w:rPr>
        <w:t xml:space="preserve">, a las garantías judiciales y a la protección judicial </w:t>
      </w:r>
      <w:r w:rsidR="008155E4" w:rsidRPr="6A8988EC">
        <w:rPr>
          <w:sz w:val="20"/>
          <w:szCs w:val="20"/>
          <w:lang w:val="es-ES"/>
        </w:rPr>
        <w:t>en perjuicio de la Sra. Muegues Rondón y sus familiares.</w:t>
      </w:r>
    </w:p>
    <w:p w14:paraId="142267EB" w14:textId="246EE217" w:rsidR="00890DA0" w:rsidRPr="00733D9E" w:rsidRDefault="00125980" w:rsidP="002E5A4F">
      <w:pPr>
        <w:pStyle w:val="ListParagraph"/>
        <w:numPr>
          <w:ilvl w:val="0"/>
          <w:numId w:val="0"/>
        </w:numPr>
        <w:ind w:left="720"/>
        <w:jc w:val="both"/>
        <w:rPr>
          <w:rFonts w:asciiTheme="majorHAnsi" w:hAnsiTheme="majorHAnsi"/>
          <w:b/>
          <w:bCs/>
          <w:sz w:val="20"/>
          <w:szCs w:val="20"/>
          <w:lang w:val="es-ES_tradnl"/>
        </w:rPr>
      </w:pPr>
      <w:r w:rsidRPr="00733D9E">
        <w:rPr>
          <w:b/>
          <w:bCs/>
          <w:sz w:val="20"/>
          <w:szCs w:val="20"/>
          <w:lang w:val="es-ES_tradnl"/>
        </w:rPr>
        <w:t xml:space="preserve">El </w:t>
      </w:r>
      <w:r w:rsidR="00890DA0" w:rsidRPr="00733D9E">
        <w:rPr>
          <w:b/>
          <w:bCs/>
          <w:sz w:val="20"/>
          <w:szCs w:val="20"/>
          <w:lang w:val="es-ES_tradnl"/>
        </w:rPr>
        <w:t>Estado</w:t>
      </w:r>
      <w:r w:rsidRPr="00733D9E">
        <w:rPr>
          <w:b/>
          <w:bCs/>
          <w:sz w:val="20"/>
          <w:szCs w:val="20"/>
          <w:lang w:val="es-ES_tradnl"/>
        </w:rPr>
        <w:t xml:space="preserve"> </w:t>
      </w:r>
      <w:r w:rsidR="00B36771" w:rsidRPr="00733D9E">
        <w:rPr>
          <w:b/>
          <w:bCs/>
          <w:sz w:val="20"/>
          <w:szCs w:val="20"/>
          <w:lang w:val="es-ES_tradnl"/>
        </w:rPr>
        <w:t>colombiano</w:t>
      </w:r>
    </w:p>
    <w:p w14:paraId="68A417B2" w14:textId="35740AAE" w:rsidR="00B93D7F" w:rsidRPr="00733D9E" w:rsidRDefault="0001390E" w:rsidP="006E621A">
      <w:pPr>
        <w:pStyle w:val="ListParagraph"/>
        <w:numPr>
          <w:ilvl w:val="0"/>
          <w:numId w:val="61"/>
        </w:numPr>
        <w:ind w:left="0" w:firstLine="720"/>
        <w:jc w:val="both"/>
        <w:rPr>
          <w:rFonts w:asciiTheme="majorHAnsi" w:hAnsiTheme="majorHAnsi"/>
          <w:bCs/>
          <w:sz w:val="20"/>
          <w:szCs w:val="20"/>
          <w:lang w:val="es-ES_tradnl"/>
        </w:rPr>
      </w:pPr>
      <w:r w:rsidRPr="00733D9E">
        <w:rPr>
          <w:sz w:val="20"/>
          <w:szCs w:val="20"/>
          <w:lang w:val="es-ES_tradnl"/>
        </w:rPr>
        <w:t>E</w:t>
      </w:r>
      <w:r w:rsidR="00B93D7F" w:rsidRPr="00733D9E">
        <w:rPr>
          <w:sz w:val="20"/>
          <w:szCs w:val="20"/>
          <w:lang w:val="es-ES_tradnl"/>
        </w:rPr>
        <w:t>l Es</w:t>
      </w:r>
      <w:r w:rsidR="003F5154" w:rsidRPr="00733D9E">
        <w:rPr>
          <w:sz w:val="20"/>
          <w:szCs w:val="20"/>
          <w:lang w:val="es-ES_tradnl"/>
        </w:rPr>
        <w:t>tado</w:t>
      </w:r>
      <w:r w:rsidRPr="00733D9E">
        <w:rPr>
          <w:sz w:val="20"/>
          <w:szCs w:val="20"/>
          <w:lang w:val="es-ES_tradnl"/>
        </w:rPr>
        <w:t xml:space="preserve"> replica que la presente</w:t>
      </w:r>
      <w:r w:rsidR="00377454" w:rsidRPr="00733D9E">
        <w:rPr>
          <w:sz w:val="20"/>
          <w:szCs w:val="20"/>
          <w:lang w:val="es-ES_tradnl"/>
        </w:rPr>
        <w:t xml:space="preserve"> petición es inadmisible</w:t>
      </w:r>
      <w:r w:rsidR="00317F7D" w:rsidRPr="00733D9E">
        <w:rPr>
          <w:sz w:val="20"/>
          <w:szCs w:val="20"/>
          <w:lang w:val="es-ES_tradnl"/>
        </w:rPr>
        <w:t xml:space="preserve"> por la configuración de la denominada doctrina de la ‘cuarta instancia internacional’</w:t>
      </w:r>
      <w:r w:rsidR="005D6210" w:rsidRPr="00733D9E">
        <w:rPr>
          <w:sz w:val="20"/>
          <w:szCs w:val="20"/>
          <w:lang w:val="es-ES_tradnl"/>
        </w:rPr>
        <w:t>, en la medida en que la parte peticionaria p</w:t>
      </w:r>
      <w:r w:rsidR="002B1DE4" w:rsidRPr="00733D9E">
        <w:rPr>
          <w:sz w:val="20"/>
          <w:szCs w:val="20"/>
          <w:lang w:val="es-ES_tradnl"/>
        </w:rPr>
        <w:t>lante</w:t>
      </w:r>
      <w:r w:rsidR="005D6210" w:rsidRPr="00733D9E">
        <w:rPr>
          <w:sz w:val="20"/>
          <w:szCs w:val="20"/>
          <w:lang w:val="es-ES_tradnl"/>
        </w:rPr>
        <w:t xml:space="preserve">a una mera disconformidad con las sentencias </w:t>
      </w:r>
      <w:r w:rsidR="00F26EE6" w:rsidRPr="00733D9E">
        <w:rPr>
          <w:sz w:val="20"/>
          <w:szCs w:val="20"/>
          <w:lang w:val="es-ES_tradnl"/>
        </w:rPr>
        <w:t>adoptadas en la jurisdicción interna</w:t>
      </w:r>
      <w:r w:rsidR="003F5154" w:rsidRPr="00733D9E">
        <w:rPr>
          <w:sz w:val="20"/>
          <w:szCs w:val="20"/>
          <w:lang w:val="es-ES_tradnl"/>
        </w:rPr>
        <w:t>.</w:t>
      </w:r>
    </w:p>
    <w:p w14:paraId="11239CC7" w14:textId="05329F25" w:rsidR="00377454" w:rsidRPr="00733D9E" w:rsidRDefault="00377454" w:rsidP="006E621A">
      <w:pPr>
        <w:pStyle w:val="ListParagraph"/>
        <w:numPr>
          <w:ilvl w:val="0"/>
          <w:numId w:val="61"/>
        </w:numPr>
        <w:ind w:left="0" w:firstLine="720"/>
        <w:jc w:val="both"/>
        <w:rPr>
          <w:rFonts w:asciiTheme="majorHAnsi" w:hAnsiTheme="majorHAnsi"/>
          <w:bCs/>
          <w:sz w:val="20"/>
          <w:szCs w:val="20"/>
          <w:lang w:val="es-ES_tradnl"/>
        </w:rPr>
      </w:pPr>
      <w:r w:rsidRPr="00733D9E">
        <w:rPr>
          <w:sz w:val="20"/>
          <w:szCs w:val="20"/>
          <w:lang w:val="es-ES_tradnl"/>
        </w:rPr>
        <w:lastRenderedPageBreak/>
        <w:t xml:space="preserve">Con respecto a los hechos denunciados, </w:t>
      </w:r>
      <w:r w:rsidR="00163C21" w:rsidRPr="00733D9E">
        <w:rPr>
          <w:sz w:val="20"/>
          <w:szCs w:val="20"/>
          <w:lang w:val="es-ES_tradnl"/>
        </w:rPr>
        <w:t>detall</w:t>
      </w:r>
      <w:r w:rsidR="009B2B89" w:rsidRPr="00733D9E">
        <w:rPr>
          <w:sz w:val="20"/>
          <w:szCs w:val="20"/>
          <w:lang w:val="es-ES_tradnl"/>
        </w:rPr>
        <w:t xml:space="preserve">a que el Juzgado Primero Administrativo de Descongestión de Santa Marta </w:t>
      </w:r>
      <w:r w:rsidR="0039640C" w:rsidRPr="00733D9E">
        <w:rPr>
          <w:sz w:val="20"/>
          <w:szCs w:val="20"/>
          <w:lang w:val="es-ES_tradnl"/>
        </w:rPr>
        <w:t xml:space="preserve">fue el encargado de decidir el proceso y absolvió a la Nación de responsabilidad administrativa porque </w:t>
      </w:r>
      <w:r w:rsidR="007358F6" w:rsidRPr="00733D9E">
        <w:rPr>
          <w:sz w:val="20"/>
          <w:szCs w:val="20"/>
          <w:lang w:val="es-ES_tradnl"/>
        </w:rPr>
        <w:t>consideró que no existía prueba que acreditara que la granada era de dotación oficial de la policía y dado que los dos testimonios presentados por los demandantes eran contradictorios con las versiones rendidas por los mismos testigos ante las autoridades, por lo que no resultaban creíbles.</w:t>
      </w:r>
      <w:r w:rsidR="00A436A8" w:rsidRPr="00733D9E">
        <w:rPr>
          <w:sz w:val="20"/>
          <w:szCs w:val="20"/>
          <w:lang w:val="es-ES_tradnl"/>
        </w:rPr>
        <w:t xml:space="preserve"> </w:t>
      </w:r>
      <w:r w:rsidR="00060E31" w:rsidRPr="00733D9E">
        <w:rPr>
          <w:sz w:val="20"/>
          <w:szCs w:val="20"/>
          <w:lang w:val="es-ES_tradnl"/>
        </w:rPr>
        <w:t xml:space="preserve">Reseña que el Tribunal Administrativo del Magdalena confirmó esa determinación en segunda instancia el </w:t>
      </w:r>
      <w:r w:rsidR="00E434CE" w:rsidRPr="00733D9E">
        <w:rPr>
          <w:sz w:val="20"/>
          <w:szCs w:val="20"/>
          <w:lang w:val="es-ES_tradnl"/>
        </w:rPr>
        <w:t xml:space="preserve">10 de septiembre de 2014 después de valorar todas las pruebas nuevamente y encontrar las mismas contradicciones testimoniales, y </w:t>
      </w:r>
      <w:r w:rsidR="003D5123" w:rsidRPr="00733D9E">
        <w:rPr>
          <w:sz w:val="20"/>
          <w:szCs w:val="20"/>
          <w:lang w:val="es-ES_tradnl"/>
        </w:rPr>
        <w:t>descreditar estos dichos porque podían estar parcializados en vista de que las testigos eran familiares de la persona que hab</w:t>
      </w:r>
      <w:r w:rsidR="00D7287F" w:rsidRPr="00733D9E">
        <w:rPr>
          <w:sz w:val="20"/>
          <w:szCs w:val="20"/>
          <w:lang w:val="es-ES_tradnl"/>
        </w:rPr>
        <w:t>ía sido detenida por la SIJIN el día anterior.</w:t>
      </w:r>
    </w:p>
    <w:p w14:paraId="299D5D8F" w14:textId="684728A6" w:rsidR="00446A49" w:rsidRPr="00733D9E" w:rsidRDefault="00446A49" w:rsidP="6A8988EC">
      <w:pPr>
        <w:pStyle w:val="ListParagraph"/>
        <w:jc w:val="both"/>
        <w:rPr>
          <w:rFonts w:asciiTheme="majorHAnsi" w:hAnsiTheme="majorHAnsi"/>
          <w:sz w:val="20"/>
          <w:szCs w:val="20"/>
          <w:lang w:val="es-ES"/>
        </w:rPr>
      </w:pPr>
      <w:r w:rsidRPr="6A8988EC">
        <w:rPr>
          <w:sz w:val="20"/>
          <w:szCs w:val="20"/>
          <w:lang w:val="es-ES"/>
        </w:rPr>
        <w:t xml:space="preserve">Acerca de la investigación penal adelantada por el asesinato de la Sra. Muegues </w:t>
      </w:r>
      <w:r w:rsidR="002467ED" w:rsidRPr="6A8988EC">
        <w:rPr>
          <w:sz w:val="20"/>
          <w:szCs w:val="20"/>
          <w:lang w:val="es-ES"/>
        </w:rPr>
        <w:t>Rondón, el Estado informa que el 20 de enero de 2004 la Fiscalía 18 delegada ante los Juzgados Penales del Circuito de Santa Ma</w:t>
      </w:r>
      <w:r w:rsidR="003B52E3" w:rsidRPr="6A8988EC">
        <w:rPr>
          <w:sz w:val="20"/>
          <w:szCs w:val="20"/>
          <w:lang w:val="es-ES"/>
        </w:rPr>
        <w:t xml:space="preserve">rta abrió la indagación correspondiente, </w:t>
      </w:r>
      <w:r w:rsidR="0088098E" w:rsidRPr="6A8988EC">
        <w:rPr>
          <w:sz w:val="20"/>
          <w:szCs w:val="20"/>
          <w:lang w:val="es-ES"/>
        </w:rPr>
        <w:t xml:space="preserve">pero el 30 de julio de 2004 emitió una resolución por la cual se abstuvo de iniciar instrucción penal por el hecho </w:t>
      </w:r>
      <w:r w:rsidR="000A1F2E" w:rsidRPr="6A8988EC">
        <w:rPr>
          <w:sz w:val="20"/>
          <w:szCs w:val="20"/>
          <w:lang w:val="es-ES"/>
        </w:rPr>
        <w:t>por imposibilidad de obtener información sobre los posibles responsables.</w:t>
      </w:r>
    </w:p>
    <w:p w14:paraId="3B298ECE" w14:textId="4BBE87D9" w:rsidR="00E36AAE" w:rsidRPr="00733D9E" w:rsidRDefault="005E0901" w:rsidP="6A8988EC">
      <w:pPr>
        <w:pStyle w:val="ListParagraph"/>
        <w:jc w:val="both"/>
        <w:rPr>
          <w:rFonts w:asciiTheme="majorHAnsi" w:hAnsiTheme="majorHAnsi"/>
          <w:sz w:val="20"/>
          <w:szCs w:val="20"/>
          <w:lang w:val="es-ES"/>
        </w:rPr>
      </w:pPr>
      <w:r w:rsidRPr="6A8988EC">
        <w:rPr>
          <w:sz w:val="20"/>
          <w:szCs w:val="20"/>
          <w:lang w:val="es-ES"/>
        </w:rPr>
        <w:t>Colombia a</w:t>
      </w:r>
      <w:r w:rsidR="009806E5" w:rsidRPr="6A8988EC">
        <w:rPr>
          <w:sz w:val="20"/>
          <w:szCs w:val="20"/>
          <w:lang w:val="es-ES"/>
        </w:rPr>
        <w:t>segur</w:t>
      </w:r>
      <w:r w:rsidRPr="6A8988EC">
        <w:rPr>
          <w:sz w:val="20"/>
          <w:szCs w:val="20"/>
          <w:lang w:val="es-ES"/>
        </w:rPr>
        <w:t xml:space="preserve">a que, de la lectura minuciosa del escrito de petición inicial y sus anexos, considera que su objeto principal </w:t>
      </w:r>
      <w:r w:rsidR="000A17A0" w:rsidRPr="6A8988EC">
        <w:rPr>
          <w:sz w:val="20"/>
          <w:szCs w:val="20"/>
          <w:lang w:val="es-ES"/>
        </w:rPr>
        <w:t>se centra en un desacuerdo con las decisiones proferidas por la jurisdicción contencioso-administrativa sobre la responsabilidad administrativa del Estado.</w:t>
      </w:r>
      <w:r w:rsidR="002A6EBC" w:rsidRPr="6A8988EC">
        <w:rPr>
          <w:sz w:val="20"/>
          <w:szCs w:val="20"/>
          <w:lang w:val="es-ES"/>
        </w:rPr>
        <w:t xml:space="preserve"> Ello por cuanto no present</w:t>
      </w:r>
      <w:r w:rsidR="007149B4" w:rsidRPr="6A8988EC">
        <w:rPr>
          <w:sz w:val="20"/>
          <w:szCs w:val="20"/>
          <w:lang w:val="es-ES"/>
        </w:rPr>
        <w:t>ó</w:t>
      </w:r>
      <w:r w:rsidR="002A6EBC" w:rsidRPr="6A8988EC">
        <w:rPr>
          <w:sz w:val="20"/>
          <w:szCs w:val="20"/>
          <w:lang w:val="es-ES"/>
        </w:rPr>
        <w:t xml:space="preserve"> alegato alguno relacionado con la investigaci</w:t>
      </w:r>
      <w:r w:rsidR="00712699" w:rsidRPr="6A8988EC">
        <w:rPr>
          <w:sz w:val="20"/>
          <w:szCs w:val="20"/>
          <w:lang w:val="es-ES"/>
        </w:rPr>
        <w:t>ón penal</w:t>
      </w:r>
      <w:r w:rsidR="00EA3043" w:rsidRPr="6A8988EC">
        <w:rPr>
          <w:sz w:val="20"/>
          <w:szCs w:val="20"/>
          <w:lang w:val="es-ES"/>
        </w:rPr>
        <w:t xml:space="preserve"> del asesinato de la Sra. Muegues Rondón</w:t>
      </w:r>
      <w:r w:rsidR="00712699" w:rsidRPr="6A8988EC">
        <w:rPr>
          <w:sz w:val="20"/>
          <w:szCs w:val="20"/>
          <w:lang w:val="es-ES"/>
        </w:rPr>
        <w:t>.</w:t>
      </w:r>
    </w:p>
    <w:p w14:paraId="4BF63F1E" w14:textId="77777777" w:rsidR="0078113D" w:rsidRPr="00733D9E" w:rsidRDefault="00172F4C" w:rsidP="006E621A">
      <w:pPr>
        <w:pStyle w:val="ListParagraph"/>
        <w:numPr>
          <w:ilvl w:val="0"/>
          <w:numId w:val="61"/>
        </w:numPr>
        <w:ind w:left="0" w:firstLine="720"/>
        <w:jc w:val="both"/>
        <w:rPr>
          <w:rFonts w:asciiTheme="majorHAnsi" w:hAnsiTheme="majorHAnsi"/>
          <w:bCs/>
          <w:sz w:val="20"/>
          <w:szCs w:val="20"/>
          <w:lang w:val="es-ES_tradnl"/>
        </w:rPr>
      </w:pPr>
      <w:r w:rsidRPr="00733D9E">
        <w:rPr>
          <w:sz w:val="20"/>
          <w:szCs w:val="20"/>
          <w:lang w:val="es-ES_tradnl"/>
        </w:rPr>
        <w:t xml:space="preserve">Bajo este entendido, el Estado colombiano alega que </w:t>
      </w:r>
      <w:r w:rsidR="0071394B" w:rsidRPr="00733D9E">
        <w:rPr>
          <w:sz w:val="20"/>
          <w:szCs w:val="20"/>
          <w:lang w:val="es-ES_tradnl"/>
        </w:rPr>
        <w:t xml:space="preserve">la parte peticionaria incurre en la denominada ‘fórmula de la cuarta instancia internacional’, lo que resulta inadmisible, ya que, según ésta, </w:t>
      </w:r>
      <w:r w:rsidR="003B4FA8" w:rsidRPr="00733D9E">
        <w:rPr>
          <w:sz w:val="20"/>
          <w:szCs w:val="20"/>
          <w:lang w:val="es-ES_tradnl"/>
        </w:rPr>
        <w:t xml:space="preserve">la CIDH no tiene facultad de revisar las providencias que emanan los tribunales nacionales </w:t>
      </w:r>
      <w:r w:rsidR="0022736E" w:rsidRPr="00733D9E">
        <w:rPr>
          <w:sz w:val="20"/>
          <w:szCs w:val="20"/>
          <w:lang w:val="es-ES_tradnl"/>
        </w:rPr>
        <w:t xml:space="preserve">en la esfera de su competencia y en aplicación de las garantías judiciales, </w:t>
      </w:r>
      <w:r w:rsidR="00182A69" w:rsidRPr="00733D9E">
        <w:rPr>
          <w:sz w:val="20"/>
          <w:szCs w:val="20"/>
          <w:lang w:val="es-ES_tradnl"/>
        </w:rPr>
        <w:t xml:space="preserve">a menos que el fallo verse sobre una vulneración de un derecho contenido en la Convención. De manera que </w:t>
      </w:r>
      <w:r w:rsidR="0047264C" w:rsidRPr="00733D9E">
        <w:rPr>
          <w:sz w:val="20"/>
          <w:szCs w:val="20"/>
          <w:lang w:val="es-ES_tradnl"/>
        </w:rPr>
        <w:t>la Comisión no puede hacer las veces de tribunal de alzada internacional para examinar supuestos errores de hecho o de derecho</w:t>
      </w:r>
      <w:r w:rsidR="000E5402" w:rsidRPr="00733D9E">
        <w:rPr>
          <w:sz w:val="20"/>
          <w:szCs w:val="20"/>
          <w:lang w:val="es-ES_tradnl"/>
        </w:rPr>
        <w:t xml:space="preserve"> que puedan haber cometido los jueces a nivel interno</w:t>
      </w:r>
      <w:r w:rsidR="0047264C" w:rsidRPr="00733D9E">
        <w:rPr>
          <w:sz w:val="20"/>
          <w:szCs w:val="20"/>
          <w:lang w:val="es-ES_tradnl"/>
        </w:rPr>
        <w:t>.</w:t>
      </w:r>
    </w:p>
    <w:p w14:paraId="07AFDC56" w14:textId="6204A5C2" w:rsidR="00172F4C" w:rsidRPr="00733D9E" w:rsidRDefault="00A97C31" w:rsidP="006E621A">
      <w:pPr>
        <w:pStyle w:val="ListParagraph"/>
        <w:numPr>
          <w:ilvl w:val="0"/>
          <w:numId w:val="61"/>
        </w:numPr>
        <w:ind w:left="0" w:firstLine="720"/>
        <w:jc w:val="both"/>
        <w:rPr>
          <w:rFonts w:asciiTheme="majorHAnsi" w:hAnsiTheme="majorHAnsi"/>
          <w:bCs/>
          <w:sz w:val="20"/>
          <w:szCs w:val="20"/>
          <w:lang w:val="es-ES_tradnl"/>
        </w:rPr>
      </w:pPr>
      <w:r w:rsidRPr="00733D9E">
        <w:rPr>
          <w:sz w:val="20"/>
          <w:szCs w:val="20"/>
          <w:lang w:val="es-ES_tradnl"/>
        </w:rPr>
        <w:t xml:space="preserve">En ese sentido, </w:t>
      </w:r>
      <w:r w:rsidR="00437787" w:rsidRPr="00733D9E">
        <w:rPr>
          <w:sz w:val="20"/>
          <w:szCs w:val="20"/>
          <w:lang w:val="es-ES_tradnl"/>
        </w:rPr>
        <w:t xml:space="preserve">asevera que la parte peticionaria pretende que la CIDH revise y revoque </w:t>
      </w:r>
      <w:r w:rsidR="0094397E" w:rsidRPr="00733D9E">
        <w:rPr>
          <w:sz w:val="20"/>
          <w:szCs w:val="20"/>
          <w:lang w:val="es-ES_tradnl"/>
        </w:rPr>
        <w:t xml:space="preserve">como tribunal de alzada </w:t>
      </w:r>
      <w:r w:rsidR="00437787" w:rsidRPr="00733D9E">
        <w:rPr>
          <w:sz w:val="20"/>
          <w:szCs w:val="20"/>
          <w:lang w:val="es-ES_tradnl"/>
        </w:rPr>
        <w:t xml:space="preserve">las sentencias </w:t>
      </w:r>
      <w:r w:rsidR="0094397E" w:rsidRPr="00733D9E">
        <w:rPr>
          <w:sz w:val="20"/>
          <w:szCs w:val="20"/>
          <w:lang w:val="es-ES_tradnl"/>
        </w:rPr>
        <w:t>adoptadas en la jurisdicción contencioso-administrativa</w:t>
      </w:r>
      <w:r w:rsidR="0078113D" w:rsidRPr="00733D9E">
        <w:rPr>
          <w:sz w:val="20"/>
          <w:szCs w:val="20"/>
          <w:lang w:val="es-ES_tradnl"/>
        </w:rPr>
        <w:t xml:space="preserve"> sólo porque resultaron desfavorables a sus intereses</w:t>
      </w:r>
      <w:r w:rsidR="0094397E" w:rsidRPr="00733D9E">
        <w:rPr>
          <w:sz w:val="20"/>
          <w:szCs w:val="20"/>
          <w:lang w:val="es-ES_tradnl"/>
        </w:rPr>
        <w:t xml:space="preserve">, pese a que ambos fallos se encuentran debidamente motivados, </w:t>
      </w:r>
      <w:r w:rsidR="005A6C0B" w:rsidRPr="00733D9E">
        <w:rPr>
          <w:sz w:val="20"/>
          <w:szCs w:val="20"/>
          <w:lang w:val="es-ES_tradnl"/>
        </w:rPr>
        <w:t>de acuerdo con el derecho interno, y respetaron las garantías del debido proceso</w:t>
      </w:r>
      <w:r w:rsidR="00131258" w:rsidRPr="00733D9E">
        <w:rPr>
          <w:sz w:val="20"/>
          <w:szCs w:val="20"/>
          <w:lang w:val="es-ES_tradnl"/>
        </w:rPr>
        <w:t>.</w:t>
      </w:r>
      <w:r w:rsidR="0078113D" w:rsidRPr="00733D9E">
        <w:rPr>
          <w:sz w:val="20"/>
          <w:szCs w:val="20"/>
          <w:lang w:val="es-ES_tradnl"/>
        </w:rPr>
        <w:t xml:space="preserve"> Por consiguiente, </w:t>
      </w:r>
      <w:r w:rsidR="009568B4" w:rsidRPr="00733D9E">
        <w:rPr>
          <w:sz w:val="20"/>
          <w:szCs w:val="20"/>
          <w:lang w:val="es-ES_tradnl"/>
        </w:rPr>
        <w:t>solicita a la Comisión que declare la inadmisibilidad de la petición</w:t>
      </w:r>
      <w:r w:rsidR="00B21F63" w:rsidRPr="00733D9E">
        <w:rPr>
          <w:sz w:val="20"/>
          <w:szCs w:val="20"/>
          <w:lang w:val="es-ES_tradnl"/>
        </w:rPr>
        <w:t xml:space="preserve"> de </w:t>
      </w:r>
      <w:r w:rsidR="00CD74F5" w:rsidRPr="00733D9E">
        <w:rPr>
          <w:sz w:val="20"/>
          <w:szCs w:val="20"/>
          <w:lang w:val="es-ES_tradnl"/>
        </w:rPr>
        <w:t>conformidad</w:t>
      </w:r>
      <w:r w:rsidR="00B21F63" w:rsidRPr="00733D9E">
        <w:rPr>
          <w:sz w:val="20"/>
          <w:szCs w:val="20"/>
          <w:lang w:val="es-ES_tradnl"/>
        </w:rPr>
        <w:t xml:space="preserve"> con </w:t>
      </w:r>
      <w:r w:rsidR="00CD74F5" w:rsidRPr="00733D9E">
        <w:rPr>
          <w:sz w:val="20"/>
          <w:szCs w:val="20"/>
          <w:lang w:val="es-ES_tradnl"/>
        </w:rPr>
        <w:t>e</w:t>
      </w:r>
      <w:r w:rsidR="00B21F63" w:rsidRPr="00733D9E">
        <w:rPr>
          <w:sz w:val="20"/>
          <w:szCs w:val="20"/>
          <w:lang w:val="es-ES_tradnl"/>
        </w:rPr>
        <w:t>l artículo 47.b de la Convención Americana.</w:t>
      </w:r>
    </w:p>
    <w:p w14:paraId="51F68C92" w14:textId="77777777" w:rsidR="003239B8" w:rsidRPr="00733D9E" w:rsidRDefault="003239B8" w:rsidP="003239B8">
      <w:pPr>
        <w:spacing w:before="240" w:after="240"/>
        <w:ind w:firstLine="720"/>
        <w:jc w:val="both"/>
        <w:rPr>
          <w:rFonts w:ascii="Cambria" w:hAnsi="Cambria"/>
          <w:sz w:val="20"/>
          <w:szCs w:val="20"/>
          <w:lang w:val="es-ES_tradnl"/>
        </w:rPr>
      </w:pPr>
      <w:r w:rsidRPr="00733D9E">
        <w:rPr>
          <w:rFonts w:asciiTheme="majorHAnsi" w:eastAsia="Cambria" w:hAnsiTheme="majorHAnsi" w:cs="Cambria"/>
          <w:b/>
          <w:bCs/>
          <w:color w:val="000000"/>
          <w:sz w:val="20"/>
          <w:szCs w:val="20"/>
          <w:u w:color="000000"/>
          <w:lang w:val="es-ES_tradnl" w:eastAsia="es-ES"/>
        </w:rPr>
        <w:t>VI.</w:t>
      </w:r>
      <w:r w:rsidRPr="00733D9E">
        <w:rPr>
          <w:rFonts w:asciiTheme="majorHAnsi" w:eastAsia="Cambria" w:hAnsiTheme="majorHAnsi" w:cs="Cambria"/>
          <w:b/>
          <w:bCs/>
          <w:color w:val="000000"/>
          <w:sz w:val="20"/>
          <w:szCs w:val="20"/>
          <w:u w:color="000000"/>
          <w:lang w:val="es-ES_tradnl" w:eastAsia="es-ES"/>
        </w:rPr>
        <w:tab/>
      </w:r>
      <w:r w:rsidR="004A6A54" w:rsidRPr="00733D9E">
        <w:rPr>
          <w:rFonts w:asciiTheme="majorHAnsi" w:hAnsiTheme="majorHAnsi"/>
          <w:b/>
          <w:bCs/>
          <w:sz w:val="20"/>
          <w:szCs w:val="20"/>
          <w:lang w:val="es-ES_tradnl"/>
        </w:rPr>
        <w:t xml:space="preserve">ANÁLISIS DE </w:t>
      </w:r>
      <w:r w:rsidR="00C21FEF" w:rsidRPr="00733D9E">
        <w:rPr>
          <w:rFonts w:asciiTheme="majorHAnsi" w:hAnsiTheme="majorHAnsi"/>
          <w:b/>
          <w:sz w:val="20"/>
          <w:szCs w:val="20"/>
          <w:lang w:val="es-ES_tradnl"/>
        </w:rPr>
        <w:t>AGOTAMIENTO DE LOS RECURSOS INTERNOS Y PLAZO DE PRESENTACIÓN</w:t>
      </w:r>
      <w:r w:rsidR="00C21FEF" w:rsidRPr="00733D9E">
        <w:rPr>
          <w:rFonts w:asciiTheme="majorHAnsi" w:eastAsia="Cambria" w:hAnsiTheme="majorHAnsi" w:cs="Cambria"/>
          <w:b/>
          <w:bCs/>
          <w:color w:val="000000"/>
          <w:sz w:val="20"/>
          <w:szCs w:val="20"/>
          <w:u w:color="000000"/>
          <w:lang w:val="es-ES_tradnl" w:eastAsia="es-ES"/>
        </w:rPr>
        <w:t xml:space="preserve"> </w:t>
      </w:r>
    </w:p>
    <w:p w14:paraId="7A7BA3C3" w14:textId="3522798E" w:rsidR="006C0ECF" w:rsidRPr="00733D9E" w:rsidRDefault="00152359" w:rsidP="6A8988E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sz w:val="20"/>
          <w:szCs w:val="20"/>
          <w:lang w:val="es-ES"/>
        </w:rPr>
      </w:pPr>
      <w:r w:rsidRPr="6A8988EC">
        <w:rPr>
          <w:sz w:val="20"/>
          <w:szCs w:val="20"/>
          <w:lang w:val="es-ES"/>
        </w:rPr>
        <w:t xml:space="preserve">La presente petición versa </w:t>
      </w:r>
      <w:r w:rsidR="00B305C1" w:rsidRPr="6A8988EC">
        <w:rPr>
          <w:sz w:val="20"/>
          <w:szCs w:val="20"/>
          <w:lang w:val="es-ES"/>
        </w:rPr>
        <w:t xml:space="preserve">específicamente </w:t>
      </w:r>
      <w:r w:rsidRPr="6A8988EC">
        <w:rPr>
          <w:sz w:val="20"/>
          <w:szCs w:val="20"/>
          <w:lang w:val="es-ES"/>
        </w:rPr>
        <w:t xml:space="preserve">sobre la negativa judicial de </w:t>
      </w:r>
      <w:r w:rsidR="007C6829" w:rsidRPr="6A8988EC">
        <w:rPr>
          <w:sz w:val="20"/>
          <w:szCs w:val="20"/>
          <w:lang w:val="es-ES"/>
        </w:rPr>
        <w:t>otorgar una reparación por el asesinato de la señora Diana Muegues Rondón</w:t>
      </w:r>
      <w:r w:rsidR="00AD3A14" w:rsidRPr="6A8988EC">
        <w:rPr>
          <w:sz w:val="20"/>
          <w:szCs w:val="20"/>
          <w:lang w:val="es-ES"/>
        </w:rPr>
        <w:t xml:space="preserve">. El Estado no controvierte el </w:t>
      </w:r>
      <w:r w:rsidR="00527267" w:rsidRPr="6A8988EC">
        <w:rPr>
          <w:sz w:val="20"/>
          <w:szCs w:val="20"/>
          <w:lang w:val="es-ES"/>
        </w:rPr>
        <w:t xml:space="preserve">agotamiento de </w:t>
      </w:r>
      <w:r w:rsidR="00B3752E" w:rsidRPr="6A8988EC">
        <w:rPr>
          <w:sz w:val="20"/>
          <w:szCs w:val="20"/>
          <w:lang w:val="es-ES"/>
        </w:rPr>
        <w:t>los recursos internos, ni presenta observaciones a este respecto.</w:t>
      </w:r>
    </w:p>
    <w:p w14:paraId="7446712A" w14:textId="04E4EA65" w:rsidR="00ED5E10" w:rsidRPr="00733D9E" w:rsidRDefault="0033202A"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_tradnl"/>
        </w:rPr>
      </w:pPr>
      <w:r w:rsidRPr="00733D9E">
        <w:rPr>
          <w:sz w:val="20"/>
          <w:szCs w:val="20"/>
          <w:lang w:val="es-ES_tradnl"/>
        </w:rPr>
        <w:t xml:space="preserve">La Comisión observa que </w:t>
      </w:r>
      <w:r w:rsidR="003B6D88" w:rsidRPr="00733D9E">
        <w:rPr>
          <w:sz w:val="20"/>
          <w:szCs w:val="20"/>
          <w:lang w:val="es-ES_tradnl"/>
        </w:rPr>
        <w:t xml:space="preserve">la decisión que agotó los recursos internos en la jurisdicción </w:t>
      </w:r>
      <w:r w:rsidR="007744C1" w:rsidRPr="00733D9E">
        <w:rPr>
          <w:sz w:val="20"/>
          <w:szCs w:val="20"/>
          <w:lang w:val="es-ES_tradnl"/>
        </w:rPr>
        <w:t>contencioso-administrativa</w:t>
      </w:r>
      <w:r w:rsidR="003B6D88" w:rsidRPr="00733D9E">
        <w:rPr>
          <w:sz w:val="20"/>
          <w:szCs w:val="20"/>
          <w:lang w:val="es-ES_tradnl"/>
        </w:rPr>
        <w:t xml:space="preserve"> fue la sentencia proferida en segunda instancia por el Consejo de Estado </w:t>
      </w:r>
      <w:r w:rsidR="00DF7221" w:rsidRPr="00733D9E">
        <w:rPr>
          <w:sz w:val="20"/>
          <w:szCs w:val="20"/>
          <w:lang w:val="es-ES_tradnl"/>
        </w:rPr>
        <w:t xml:space="preserve">el </w:t>
      </w:r>
      <w:r w:rsidR="00610673" w:rsidRPr="00733D9E">
        <w:rPr>
          <w:sz w:val="20"/>
          <w:szCs w:val="20"/>
          <w:lang w:val="es-ES_tradnl"/>
        </w:rPr>
        <w:t>10 de sep</w:t>
      </w:r>
      <w:r w:rsidR="00D64986" w:rsidRPr="00733D9E">
        <w:rPr>
          <w:sz w:val="20"/>
          <w:szCs w:val="20"/>
          <w:lang w:val="es-ES_tradnl"/>
        </w:rPr>
        <w:t>tiembre de 2014</w:t>
      </w:r>
      <w:r w:rsidR="007744C1" w:rsidRPr="00733D9E">
        <w:rPr>
          <w:sz w:val="20"/>
          <w:szCs w:val="20"/>
          <w:lang w:val="es-ES_tradnl"/>
        </w:rPr>
        <w:t>, y dado que la petición fue presentada el 25 de febrero de 2015, concluye que cumple con los requisitos establecidos en los artículos 46.1.a) y b) de la Convención Americana.</w:t>
      </w:r>
    </w:p>
    <w:p w14:paraId="673598AF" w14:textId="77777777" w:rsidR="003239B8" w:rsidRPr="00733D9E" w:rsidRDefault="003239B8" w:rsidP="002E5A4F">
      <w:pPr>
        <w:pStyle w:val="ListParagraph"/>
        <w:numPr>
          <w:ilvl w:val="0"/>
          <w:numId w:val="0"/>
        </w:numPr>
        <w:ind w:left="720"/>
        <w:jc w:val="both"/>
        <w:rPr>
          <w:rFonts w:asciiTheme="majorHAnsi" w:hAnsiTheme="majorHAnsi"/>
          <w:b/>
          <w:bCs/>
          <w:sz w:val="20"/>
          <w:szCs w:val="20"/>
          <w:lang w:val="es-ES_tradnl"/>
        </w:rPr>
      </w:pPr>
      <w:r w:rsidRPr="00733D9E">
        <w:rPr>
          <w:rFonts w:asciiTheme="majorHAnsi" w:hAnsiTheme="majorHAnsi"/>
          <w:b/>
          <w:bCs/>
          <w:sz w:val="20"/>
          <w:szCs w:val="20"/>
          <w:lang w:val="es-ES_tradnl"/>
        </w:rPr>
        <w:t>VII.</w:t>
      </w:r>
      <w:r w:rsidRPr="00733D9E">
        <w:rPr>
          <w:rFonts w:asciiTheme="majorHAnsi" w:hAnsiTheme="majorHAnsi"/>
          <w:b/>
          <w:bCs/>
          <w:sz w:val="20"/>
          <w:szCs w:val="20"/>
          <w:lang w:val="es-ES_tradnl"/>
        </w:rPr>
        <w:tab/>
      </w:r>
      <w:r w:rsidR="004A6A54" w:rsidRPr="00733D9E">
        <w:rPr>
          <w:rFonts w:asciiTheme="majorHAnsi" w:hAnsiTheme="majorHAnsi"/>
          <w:b/>
          <w:bCs/>
          <w:sz w:val="20"/>
          <w:szCs w:val="20"/>
          <w:lang w:val="es-ES_tradnl"/>
        </w:rPr>
        <w:t xml:space="preserve">ANÁLISIS DE </w:t>
      </w:r>
      <w:r w:rsidR="00C21FEF" w:rsidRPr="00733D9E">
        <w:rPr>
          <w:rFonts w:asciiTheme="majorHAnsi" w:hAnsiTheme="majorHAnsi"/>
          <w:b/>
          <w:bCs/>
          <w:sz w:val="20"/>
          <w:szCs w:val="20"/>
          <w:lang w:val="es-ES_tradnl"/>
        </w:rPr>
        <w:t>CARACTERIZACIÓN DE LOS HECHOS ALEGADOS</w:t>
      </w:r>
    </w:p>
    <w:p w14:paraId="2DDF1999" w14:textId="4AC868B1" w:rsidR="006E621A" w:rsidRPr="00733D9E"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_tradnl"/>
        </w:rPr>
      </w:pPr>
      <w:r w:rsidRPr="00733D9E">
        <w:rPr>
          <w:sz w:val="20"/>
          <w:szCs w:val="20"/>
          <w:lang w:val="es-ES_tradnl"/>
        </w:rPr>
        <w:t>La Comisión a</w:t>
      </w:r>
      <w:r w:rsidR="008A7952" w:rsidRPr="00733D9E">
        <w:rPr>
          <w:sz w:val="20"/>
          <w:szCs w:val="20"/>
          <w:lang w:val="es-ES_tradnl"/>
        </w:rPr>
        <w:t>dvierte</w:t>
      </w:r>
      <w:r w:rsidRPr="00733D9E">
        <w:rPr>
          <w:sz w:val="20"/>
          <w:szCs w:val="20"/>
          <w:lang w:val="es-ES_tradnl"/>
        </w:rPr>
        <w:t xml:space="preserve"> que la presente petición </w:t>
      </w:r>
      <w:r w:rsidR="007A2FF1" w:rsidRPr="00733D9E">
        <w:rPr>
          <w:sz w:val="20"/>
          <w:szCs w:val="20"/>
          <w:lang w:val="es-ES_tradnl"/>
        </w:rPr>
        <w:t>plantea concretamente</w:t>
      </w:r>
      <w:r w:rsidR="004B421C" w:rsidRPr="00733D9E">
        <w:rPr>
          <w:sz w:val="20"/>
          <w:szCs w:val="20"/>
          <w:lang w:val="es-ES_tradnl"/>
        </w:rPr>
        <w:t xml:space="preserve"> </w:t>
      </w:r>
      <w:r w:rsidR="00ED17FE" w:rsidRPr="00733D9E">
        <w:rPr>
          <w:sz w:val="20"/>
          <w:szCs w:val="20"/>
          <w:lang w:val="es-ES_tradnl"/>
        </w:rPr>
        <w:t>la valoración inadecuada de pruebas y la falta de imparcialidad en el proceso contencioso-administrativo.</w:t>
      </w:r>
      <w:r w:rsidR="00263319" w:rsidRPr="00733D9E">
        <w:rPr>
          <w:sz w:val="20"/>
          <w:szCs w:val="20"/>
          <w:lang w:val="es-ES_tradnl"/>
        </w:rPr>
        <w:t xml:space="preserve"> El Estado replica que la parte peticionaria pretende hacer uso de la CIDH como tribunal de alzada internacional para que revise las decisiones adoptadas </w:t>
      </w:r>
      <w:r w:rsidR="00B526A0" w:rsidRPr="00733D9E">
        <w:rPr>
          <w:sz w:val="20"/>
          <w:szCs w:val="20"/>
          <w:lang w:val="es-ES_tradnl"/>
        </w:rPr>
        <w:t>a nivel interno, en aplicación de las garantías judiciales del debido proceso.</w:t>
      </w:r>
    </w:p>
    <w:p w14:paraId="6EB7ACE2" w14:textId="6F959D12" w:rsidR="00697949" w:rsidRPr="00733D9E" w:rsidRDefault="009266BF" w:rsidP="00697949">
      <w:pPr>
        <w:pStyle w:val="ListParagraph"/>
        <w:numPr>
          <w:ilvl w:val="0"/>
          <w:numId w:val="61"/>
        </w:numPr>
        <w:suppressAutoHyphens/>
        <w:ind w:left="0" w:firstLine="720"/>
        <w:jc w:val="both"/>
        <w:rPr>
          <w:sz w:val="20"/>
          <w:szCs w:val="20"/>
          <w:lang w:val="es-ES_tradnl"/>
        </w:rPr>
      </w:pPr>
      <w:r w:rsidRPr="00733D9E">
        <w:rPr>
          <w:sz w:val="20"/>
          <w:szCs w:val="20"/>
          <w:lang w:val="es-ES_tradnl"/>
        </w:rPr>
        <w:lastRenderedPageBreak/>
        <w:t>E</w:t>
      </w:r>
      <w:r w:rsidR="00D469B9" w:rsidRPr="00733D9E">
        <w:rPr>
          <w:sz w:val="20"/>
          <w:szCs w:val="20"/>
          <w:lang w:val="es-ES_tradnl"/>
        </w:rPr>
        <w:t xml:space="preserve">l criterio de evaluación de la fase de admisibilidad difiere del que se utiliza para pronunciarse sobre el fondo de una petición; la CIDH debe realizar en esta etapa una evaluación </w:t>
      </w:r>
      <w:r w:rsidR="00D469B9" w:rsidRPr="00733D9E">
        <w:rPr>
          <w:i/>
          <w:iCs/>
          <w:sz w:val="20"/>
          <w:szCs w:val="20"/>
          <w:lang w:val="es-ES_tradnl"/>
        </w:rPr>
        <w:t>prima facie</w:t>
      </w:r>
      <w:r w:rsidR="00D469B9" w:rsidRPr="00733D9E">
        <w:rPr>
          <w:sz w:val="20"/>
          <w:szCs w:val="20"/>
          <w:lang w:val="es-ES_tradnl"/>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77BF498E" w14:textId="6D6BFF5D" w:rsidR="00B56DAD" w:rsidRPr="00733D9E" w:rsidRDefault="00550C9B" w:rsidP="00B56DAD">
      <w:pPr>
        <w:pStyle w:val="ListParagraph"/>
        <w:numPr>
          <w:ilvl w:val="0"/>
          <w:numId w:val="61"/>
        </w:numPr>
        <w:suppressAutoHyphens/>
        <w:ind w:left="0" w:firstLine="720"/>
        <w:jc w:val="both"/>
        <w:rPr>
          <w:bCs/>
          <w:sz w:val="20"/>
          <w:szCs w:val="20"/>
          <w:lang w:val="es-ES_tradnl"/>
        </w:rPr>
      </w:pPr>
      <w:r w:rsidRPr="00733D9E">
        <w:rPr>
          <w:bCs/>
          <w:sz w:val="20"/>
          <w:szCs w:val="20"/>
          <w:lang w:val="es-ES_tradnl"/>
        </w:rPr>
        <w:t>La CIDH re</w:t>
      </w:r>
      <w:r w:rsidR="00E17078" w:rsidRPr="00733D9E">
        <w:rPr>
          <w:bCs/>
          <w:sz w:val="20"/>
          <w:szCs w:val="20"/>
          <w:lang w:val="es-ES_tradnl"/>
        </w:rPr>
        <w:t>cuerd</w:t>
      </w:r>
      <w:r w:rsidRPr="00733D9E">
        <w:rPr>
          <w:bCs/>
          <w:sz w:val="20"/>
          <w:szCs w:val="20"/>
          <w:lang w:val="es-ES_tradnl"/>
        </w:rPr>
        <w:t>a que la mera discrepancia de los peticionarios con la interpretación que los tribunales internos hayan hecho de las normas legales pertinentes no basta para configurar violaciones a la Convención. La interpretación de la ley, el procedimiento pertinente y la valoración de la prueba es, entre otros, el ejercicio de la función de la jurisdicción interna, que no puede ser remplazado por la CIDH</w:t>
      </w:r>
      <w:r w:rsidRPr="00733D9E">
        <w:rPr>
          <w:rStyle w:val="FootnoteReference"/>
          <w:bCs/>
          <w:sz w:val="20"/>
          <w:szCs w:val="20"/>
          <w:lang w:val="es-ES_tradnl"/>
        </w:rPr>
        <w:footnoteReference w:id="6"/>
      </w:r>
      <w:r w:rsidRPr="00733D9E">
        <w:rPr>
          <w:bCs/>
          <w:sz w:val="20"/>
          <w:szCs w:val="20"/>
          <w:lang w:val="es-ES_tradnl"/>
        </w:rPr>
        <w:t>.</w:t>
      </w:r>
      <w:r w:rsidR="00B56DAD" w:rsidRPr="00733D9E">
        <w:rPr>
          <w:bCs/>
          <w:sz w:val="20"/>
          <w:szCs w:val="20"/>
          <w:lang w:val="es-ES_tradnl"/>
        </w:rPr>
        <w:t xml:space="preserve"> De igual manera, reitera que la efectividad de los recursos internos no se evalúa en función de una eventual resolución favorable a los intereses de la presunta víctima</w:t>
      </w:r>
      <w:r w:rsidR="00B56DAD" w:rsidRPr="00733D9E">
        <w:rPr>
          <w:bCs/>
          <w:sz w:val="20"/>
          <w:szCs w:val="20"/>
          <w:vertAlign w:val="superscript"/>
          <w:lang w:val="es-ES_tradnl"/>
        </w:rPr>
        <w:footnoteReference w:id="7"/>
      </w:r>
      <w:r w:rsidR="00B56DAD" w:rsidRPr="00733D9E">
        <w:rPr>
          <w:bCs/>
          <w:sz w:val="20"/>
          <w:szCs w:val="20"/>
          <w:lang w:val="es-ES_tradnl"/>
        </w:rPr>
        <w:t xml:space="preserve">, y un resultado contrario a los reclamos planteados no implica </w:t>
      </w:r>
      <w:r w:rsidR="00B56DAD" w:rsidRPr="00733D9E">
        <w:rPr>
          <w:bCs/>
          <w:i/>
          <w:iCs/>
          <w:sz w:val="20"/>
          <w:szCs w:val="20"/>
          <w:lang w:val="es-ES_tradnl"/>
        </w:rPr>
        <w:t>per se</w:t>
      </w:r>
      <w:r w:rsidR="00B56DAD" w:rsidRPr="00733D9E">
        <w:rPr>
          <w:bCs/>
          <w:sz w:val="20"/>
          <w:szCs w:val="20"/>
          <w:lang w:val="es-ES_tradnl"/>
        </w:rPr>
        <w:t xml:space="preserve"> una violación de sus derechos convencionales</w:t>
      </w:r>
      <w:r w:rsidR="00B56DAD" w:rsidRPr="00733D9E">
        <w:rPr>
          <w:bCs/>
          <w:sz w:val="20"/>
          <w:szCs w:val="20"/>
          <w:vertAlign w:val="superscript"/>
          <w:lang w:val="es-ES_tradnl"/>
        </w:rPr>
        <w:footnoteReference w:id="8"/>
      </w:r>
      <w:r w:rsidR="00B56DAD" w:rsidRPr="00733D9E">
        <w:rPr>
          <w:bCs/>
          <w:sz w:val="20"/>
          <w:szCs w:val="20"/>
          <w:lang w:val="es-ES_tradnl"/>
        </w:rPr>
        <w:t>.</w:t>
      </w:r>
    </w:p>
    <w:p w14:paraId="7E3D59C9" w14:textId="77777777" w:rsidR="00665C86" w:rsidRPr="00733D9E" w:rsidRDefault="004C3D20" w:rsidP="6A36D157">
      <w:pPr>
        <w:pStyle w:val="ListParagraph"/>
        <w:suppressAutoHyphens/>
        <w:jc w:val="both"/>
        <w:rPr>
          <w:sz w:val="20"/>
          <w:szCs w:val="20"/>
          <w:lang w:val="es-ES"/>
        </w:rPr>
      </w:pPr>
      <w:r w:rsidRPr="6A36D157">
        <w:rPr>
          <w:sz w:val="20"/>
          <w:szCs w:val="20"/>
          <w:lang w:val="es-ES"/>
        </w:rPr>
        <w:t xml:space="preserve">En el presente caso, la Comisión nota que los alegatos de la parte peticionaria se centran en </w:t>
      </w:r>
      <w:r w:rsidR="00884B87" w:rsidRPr="6A36D157">
        <w:rPr>
          <w:sz w:val="20"/>
          <w:szCs w:val="20"/>
          <w:lang w:val="es-ES"/>
        </w:rPr>
        <w:t xml:space="preserve">la supuesta indebida valoración de las pruebas obrantes en el proceso, en particular, de los dos testimonios </w:t>
      </w:r>
      <w:r w:rsidR="00F3665F" w:rsidRPr="6A36D157">
        <w:rPr>
          <w:sz w:val="20"/>
          <w:szCs w:val="20"/>
          <w:lang w:val="es-ES"/>
        </w:rPr>
        <w:t xml:space="preserve">que indicaban haber visto a los funcionarios de la SIJIN arrojar la granada que acabó con la vida de la Sra. Muegues Rondón. </w:t>
      </w:r>
      <w:r w:rsidR="00EA1BE8" w:rsidRPr="6A36D157">
        <w:rPr>
          <w:sz w:val="20"/>
          <w:szCs w:val="20"/>
          <w:lang w:val="es-ES"/>
        </w:rPr>
        <w:t>De allí, derivan</w:t>
      </w:r>
      <w:r w:rsidR="007A6627" w:rsidRPr="6A36D157">
        <w:rPr>
          <w:sz w:val="20"/>
          <w:szCs w:val="20"/>
          <w:lang w:val="es-ES"/>
        </w:rPr>
        <w:t>, además,</w:t>
      </w:r>
      <w:r w:rsidR="00EA1BE8" w:rsidRPr="6A36D157">
        <w:rPr>
          <w:sz w:val="20"/>
          <w:szCs w:val="20"/>
          <w:lang w:val="es-ES"/>
        </w:rPr>
        <w:t xml:space="preserve"> que los tribunales en ambas instancias actuaron de manera parcializada para favorecer al Estado. Sin embargo, </w:t>
      </w:r>
      <w:r w:rsidR="007A6627" w:rsidRPr="6A36D157">
        <w:rPr>
          <w:sz w:val="20"/>
          <w:szCs w:val="20"/>
          <w:lang w:val="es-ES"/>
        </w:rPr>
        <w:t xml:space="preserve">la CIDH reitera que no tiene facultad para decidir como un tribunal de alzada </w:t>
      </w:r>
      <w:r w:rsidR="0001045C" w:rsidRPr="6A36D157">
        <w:rPr>
          <w:sz w:val="20"/>
          <w:szCs w:val="20"/>
          <w:lang w:val="es-ES"/>
        </w:rPr>
        <w:t xml:space="preserve">sobre la correcta o incorrecta apreciación de las pruebas, o </w:t>
      </w:r>
      <w:r w:rsidR="00712DB4" w:rsidRPr="6A36D157">
        <w:rPr>
          <w:sz w:val="20"/>
          <w:szCs w:val="20"/>
          <w:lang w:val="es-ES"/>
        </w:rPr>
        <w:t xml:space="preserve">sobre </w:t>
      </w:r>
      <w:r w:rsidR="0001045C" w:rsidRPr="6A36D157">
        <w:rPr>
          <w:sz w:val="20"/>
          <w:szCs w:val="20"/>
          <w:lang w:val="es-ES"/>
        </w:rPr>
        <w:t xml:space="preserve">cómo éstas se deberían evaluar a nivel interno. </w:t>
      </w:r>
      <w:r w:rsidR="00BF67D2" w:rsidRPr="6A36D157">
        <w:rPr>
          <w:sz w:val="20"/>
          <w:szCs w:val="20"/>
          <w:lang w:val="es-ES"/>
        </w:rPr>
        <w:t xml:space="preserve">El único alegato relacionado con derechos contemplados en la Convención Americana que plantean los peticionarios es el relativo a la falta de imparcialidad; no obstante, </w:t>
      </w:r>
      <w:r w:rsidR="005837D1" w:rsidRPr="6A36D157">
        <w:rPr>
          <w:sz w:val="20"/>
          <w:szCs w:val="20"/>
          <w:lang w:val="es-ES"/>
        </w:rPr>
        <w:t xml:space="preserve">no </w:t>
      </w:r>
      <w:r w:rsidR="00A348E7" w:rsidRPr="6A36D157">
        <w:rPr>
          <w:sz w:val="20"/>
          <w:szCs w:val="20"/>
          <w:lang w:val="es-ES"/>
        </w:rPr>
        <w:t xml:space="preserve">presentan </w:t>
      </w:r>
      <w:r w:rsidR="005837D1" w:rsidRPr="6A36D157">
        <w:rPr>
          <w:sz w:val="20"/>
          <w:szCs w:val="20"/>
          <w:lang w:val="es-ES"/>
        </w:rPr>
        <w:t xml:space="preserve">ningún elemento para determinar siquiera </w:t>
      </w:r>
      <w:r w:rsidR="005837D1" w:rsidRPr="6A36D157">
        <w:rPr>
          <w:i/>
          <w:iCs/>
          <w:sz w:val="20"/>
          <w:szCs w:val="20"/>
          <w:lang w:val="es-ES"/>
        </w:rPr>
        <w:t>prima facie</w:t>
      </w:r>
      <w:r w:rsidR="005837D1" w:rsidRPr="6A36D157">
        <w:rPr>
          <w:sz w:val="20"/>
          <w:szCs w:val="20"/>
          <w:lang w:val="es-ES"/>
        </w:rPr>
        <w:t xml:space="preserve"> una vulneración a esta garantía</w:t>
      </w:r>
      <w:r w:rsidR="00A348E7" w:rsidRPr="6A36D157">
        <w:rPr>
          <w:sz w:val="20"/>
          <w:szCs w:val="20"/>
          <w:lang w:val="es-ES"/>
        </w:rPr>
        <w:t>, más allá de</w:t>
      </w:r>
      <w:r w:rsidR="00665C86" w:rsidRPr="6A36D157">
        <w:rPr>
          <w:sz w:val="20"/>
          <w:szCs w:val="20"/>
          <w:lang w:val="es-ES"/>
        </w:rPr>
        <w:t xml:space="preserve"> su inconformidad porque </w:t>
      </w:r>
      <w:r w:rsidR="00A348E7" w:rsidRPr="6A36D157">
        <w:rPr>
          <w:sz w:val="20"/>
          <w:szCs w:val="20"/>
          <w:lang w:val="es-ES"/>
        </w:rPr>
        <w:t>las sentencias resultaron desfavorables a sus intereses</w:t>
      </w:r>
      <w:r w:rsidR="005837D1" w:rsidRPr="6A36D157">
        <w:rPr>
          <w:sz w:val="20"/>
          <w:szCs w:val="20"/>
          <w:lang w:val="es-ES"/>
        </w:rPr>
        <w:t>.</w:t>
      </w:r>
    </w:p>
    <w:p w14:paraId="3E791B9E" w14:textId="344AD752" w:rsidR="00A076B7" w:rsidRPr="00733D9E" w:rsidRDefault="00665C86" w:rsidP="6A36D157">
      <w:pPr>
        <w:pStyle w:val="ListParagraph"/>
        <w:suppressAutoHyphens/>
        <w:jc w:val="both"/>
        <w:rPr>
          <w:sz w:val="20"/>
          <w:szCs w:val="20"/>
          <w:lang w:val="es-ES"/>
        </w:rPr>
      </w:pPr>
      <w:r w:rsidRPr="6A36D157">
        <w:rPr>
          <w:sz w:val="20"/>
          <w:szCs w:val="20"/>
          <w:lang w:val="es-ES"/>
        </w:rPr>
        <w:t>En consecuencia, la Comisión Interamericana</w:t>
      </w:r>
      <w:r w:rsidR="00D43C8B" w:rsidRPr="6A36D157">
        <w:rPr>
          <w:sz w:val="20"/>
          <w:szCs w:val="20"/>
          <w:lang w:val="es-ES"/>
        </w:rPr>
        <w:t xml:space="preserve"> concluye que la presente petición se torna inadmisible a la</w:t>
      </w:r>
      <w:r w:rsidR="000F5F78" w:rsidRPr="6A36D157">
        <w:rPr>
          <w:sz w:val="20"/>
          <w:szCs w:val="20"/>
          <w:lang w:val="es-ES"/>
        </w:rPr>
        <w:t xml:space="preserve"> luz del artículo 47.b) de la Convención Americana sobre Derechos Humanos.</w:t>
      </w:r>
    </w:p>
    <w:p w14:paraId="445BF42E" w14:textId="77777777" w:rsidR="003239B8" w:rsidRPr="00733D9E" w:rsidRDefault="003239B8" w:rsidP="002E5A4F">
      <w:pPr>
        <w:pStyle w:val="ListParagraph"/>
        <w:numPr>
          <w:ilvl w:val="0"/>
          <w:numId w:val="0"/>
        </w:numPr>
        <w:ind w:left="720"/>
        <w:jc w:val="both"/>
        <w:rPr>
          <w:rFonts w:asciiTheme="majorHAnsi" w:hAnsiTheme="majorHAnsi"/>
          <w:b/>
          <w:bCs/>
          <w:sz w:val="20"/>
          <w:szCs w:val="20"/>
          <w:lang w:val="es-ES_tradnl"/>
        </w:rPr>
      </w:pPr>
      <w:r w:rsidRPr="00733D9E">
        <w:rPr>
          <w:rFonts w:asciiTheme="majorHAnsi" w:hAnsiTheme="majorHAnsi"/>
          <w:b/>
          <w:bCs/>
          <w:sz w:val="20"/>
          <w:szCs w:val="20"/>
          <w:lang w:val="es-ES_tradnl"/>
        </w:rPr>
        <w:t xml:space="preserve">VIII. </w:t>
      </w:r>
      <w:r w:rsidRPr="00733D9E">
        <w:rPr>
          <w:rFonts w:asciiTheme="majorHAnsi" w:hAnsiTheme="majorHAnsi"/>
          <w:b/>
          <w:bCs/>
          <w:sz w:val="20"/>
          <w:szCs w:val="20"/>
          <w:lang w:val="es-ES_tradnl"/>
        </w:rPr>
        <w:tab/>
        <w:t>DECISIÓN</w:t>
      </w:r>
    </w:p>
    <w:p w14:paraId="16B36F97" w14:textId="571FCDA4" w:rsidR="003239B8" w:rsidRPr="00733D9E"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_tradnl"/>
        </w:rPr>
      </w:pPr>
      <w:r w:rsidRPr="00733D9E">
        <w:rPr>
          <w:rFonts w:asciiTheme="majorHAnsi" w:hAnsiTheme="majorHAnsi"/>
          <w:sz w:val="20"/>
          <w:szCs w:val="20"/>
          <w:lang w:val="es-ES_tradnl"/>
        </w:rPr>
        <w:t xml:space="preserve">Declarar </w:t>
      </w:r>
      <w:r w:rsidR="00DD706E" w:rsidRPr="00733D9E">
        <w:rPr>
          <w:rFonts w:asciiTheme="majorHAnsi" w:hAnsiTheme="majorHAnsi"/>
          <w:sz w:val="20"/>
          <w:szCs w:val="20"/>
          <w:lang w:val="es-ES_tradnl"/>
        </w:rPr>
        <w:t>in</w:t>
      </w:r>
      <w:r w:rsidRPr="00733D9E">
        <w:rPr>
          <w:rFonts w:asciiTheme="majorHAnsi" w:hAnsiTheme="majorHAnsi"/>
          <w:sz w:val="20"/>
          <w:szCs w:val="20"/>
          <w:lang w:val="es-ES_tradnl"/>
        </w:rPr>
        <w:t>admisible la presente petición</w:t>
      </w:r>
      <w:r w:rsidR="00A758AA" w:rsidRPr="00733D9E">
        <w:rPr>
          <w:rFonts w:asciiTheme="majorHAnsi" w:hAnsiTheme="majorHAnsi"/>
          <w:sz w:val="20"/>
          <w:szCs w:val="20"/>
          <w:lang w:val="es-ES_tradnl"/>
        </w:rPr>
        <w:t>;</w:t>
      </w:r>
      <w:r w:rsidR="007B76D3" w:rsidRPr="00733D9E">
        <w:rPr>
          <w:rFonts w:asciiTheme="majorHAnsi" w:hAnsiTheme="majorHAnsi"/>
          <w:sz w:val="20"/>
          <w:szCs w:val="20"/>
          <w:lang w:val="es-ES_tradnl"/>
        </w:rPr>
        <w:t xml:space="preserve"> y</w:t>
      </w:r>
    </w:p>
    <w:p w14:paraId="02C904B2" w14:textId="19744892" w:rsidR="009A56CE" w:rsidRDefault="004A6A54" w:rsidP="005173A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733D9E">
        <w:rPr>
          <w:rFonts w:asciiTheme="majorHAnsi" w:hAnsiTheme="majorHAnsi"/>
          <w:sz w:val="20"/>
          <w:szCs w:val="20"/>
          <w:lang w:val="es-ES_tradnl"/>
        </w:rPr>
        <w:t>Notificar a las partes la presente decisión; y publicar esta decisión e incluirla en su Informe Anual a la Asamblea General de la Org</w:t>
      </w:r>
      <w:r w:rsidRPr="009B7794">
        <w:rPr>
          <w:rFonts w:asciiTheme="majorHAnsi" w:hAnsiTheme="majorHAnsi"/>
          <w:sz w:val="20"/>
          <w:szCs w:val="20"/>
          <w:lang w:val="es-ES"/>
        </w:rPr>
        <w:t>anización de los Estados Americanos.</w:t>
      </w:r>
    </w:p>
    <w:p w14:paraId="054126A0" w14:textId="3695EC93" w:rsidR="00C603E1" w:rsidRPr="00915D5B" w:rsidRDefault="00C603E1" w:rsidP="00915D5B">
      <w:pPr>
        <w:suppressAutoHyphens/>
        <w:ind w:firstLine="720"/>
        <w:jc w:val="both"/>
        <w:rPr>
          <w:rFonts w:ascii="Segoe UI" w:hAnsi="Segoe UI" w:cs="Segoe UI"/>
          <w:sz w:val="18"/>
          <w:szCs w:val="18"/>
          <w:lang w:val="es-ES"/>
        </w:rPr>
      </w:pPr>
      <w:r w:rsidRPr="00272A90">
        <w:rPr>
          <w:rStyle w:val="normaltextrun"/>
          <w:rFonts w:ascii="Cambria" w:hAnsi="Cambria" w:cs="Segoe UI"/>
          <w:sz w:val="20"/>
          <w:szCs w:val="20"/>
          <w:lang w:val="es-CL"/>
        </w:rPr>
        <w:t xml:space="preserve">Aprobado por la Comisión Interamericana de Derechos Humanos a los </w:t>
      </w:r>
      <w:r w:rsidR="00444C9D">
        <w:rPr>
          <w:rStyle w:val="normaltextrun"/>
          <w:rFonts w:ascii="Cambria" w:hAnsi="Cambria" w:cs="Segoe UI"/>
          <w:sz w:val="20"/>
          <w:szCs w:val="20"/>
          <w:lang w:val="es-CL"/>
        </w:rPr>
        <w:t>19</w:t>
      </w:r>
      <w:r w:rsidRPr="00272A90">
        <w:rPr>
          <w:rStyle w:val="normaltextrun"/>
          <w:rFonts w:ascii="Cambria" w:hAnsi="Cambria" w:cs="Segoe UI"/>
          <w:sz w:val="20"/>
          <w:szCs w:val="20"/>
          <w:lang w:val="es-CL"/>
        </w:rPr>
        <w:t xml:space="preserve"> días del mes de julio de 2025.  (Firmado): José Luis Caballero Ochoa, Presidente; Arif Bulkan, Segundo Vicepresidente; Roberta Clarke y Gloria Monique de Mees, </w:t>
      </w:r>
      <w:r w:rsidR="003B6F03">
        <w:rPr>
          <w:rStyle w:val="normaltextrun"/>
          <w:rFonts w:ascii="Cambria" w:hAnsi="Cambria" w:cs="Segoe UI"/>
          <w:sz w:val="20"/>
          <w:szCs w:val="20"/>
          <w:lang w:val="es-CL"/>
        </w:rPr>
        <w:t>m</w:t>
      </w:r>
      <w:r w:rsidRPr="00272A90">
        <w:rPr>
          <w:rStyle w:val="normaltextrun"/>
          <w:rFonts w:ascii="Cambria" w:hAnsi="Cambria" w:cs="Segoe UI"/>
          <w:sz w:val="20"/>
          <w:szCs w:val="20"/>
          <w:lang w:val="es-CL"/>
        </w:rPr>
        <w:t xml:space="preserve">iembros de la Comisión. </w:t>
      </w:r>
      <w:r w:rsidRPr="00272A90">
        <w:rPr>
          <w:rStyle w:val="eop"/>
          <w:rFonts w:ascii="Cambria" w:hAnsi="Cambria" w:cs="Segoe UI"/>
          <w:sz w:val="20"/>
          <w:szCs w:val="20"/>
          <w:lang w:val="es-ES"/>
        </w:rPr>
        <w:t> </w:t>
      </w:r>
    </w:p>
    <w:sectPr w:rsidR="00C603E1" w:rsidRPr="00915D5B"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B6C6" w14:textId="77777777" w:rsidR="009D7AC5" w:rsidRDefault="009D7AC5">
      <w:r>
        <w:separator/>
      </w:r>
    </w:p>
  </w:endnote>
  <w:endnote w:type="continuationSeparator" w:id="0">
    <w:p w14:paraId="163C371C" w14:textId="77777777" w:rsidR="009D7AC5" w:rsidRDefault="009D7AC5">
      <w:r>
        <w:continuationSeparator/>
      </w:r>
    </w:p>
  </w:endnote>
  <w:endnote w:type="continuationNotice" w:id="1">
    <w:p w14:paraId="64C7565F" w14:textId="77777777" w:rsidR="009D7AC5" w:rsidRDefault="009D7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752E" w14:textId="77777777" w:rsidR="009D7AC5" w:rsidRPr="000F35ED" w:rsidRDefault="009D7AC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53CCD9F" w14:textId="77777777" w:rsidR="009D7AC5" w:rsidRPr="000F35ED" w:rsidRDefault="009D7AC5" w:rsidP="000F35ED">
      <w:pPr>
        <w:rPr>
          <w:rFonts w:asciiTheme="majorHAnsi" w:hAnsiTheme="majorHAnsi"/>
          <w:sz w:val="16"/>
          <w:szCs w:val="16"/>
        </w:rPr>
      </w:pPr>
      <w:r w:rsidRPr="000F35ED">
        <w:rPr>
          <w:rFonts w:asciiTheme="majorHAnsi" w:hAnsiTheme="majorHAnsi"/>
          <w:sz w:val="16"/>
          <w:szCs w:val="16"/>
        </w:rPr>
        <w:separator/>
      </w:r>
    </w:p>
    <w:p w14:paraId="28A90496" w14:textId="77777777" w:rsidR="009D7AC5" w:rsidRPr="000F35ED" w:rsidRDefault="009D7AC5"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229C36D" w14:textId="77777777" w:rsidR="009D7AC5" w:rsidRPr="000F35ED" w:rsidRDefault="009D7AC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E449290" w14:textId="651F1FFE" w:rsidR="00EF6B3B" w:rsidRPr="00EF6B3B" w:rsidRDefault="00EF6B3B" w:rsidP="00EF6B3B">
      <w:pPr>
        <w:pStyle w:val="Notasalpie"/>
      </w:pPr>
      <w:r>
        <w:rPr>
          <w:rStyle w:val="FootnoteReference"/>
        </w:rPr>
        <w:footnoteRef/>
      </w:r>
      <w:r w:rsidRPr="00EF6B3B">
        <w:t xml:space="preserve"> </w:t>
      </w:r>
      <w:r w:rsidR="001961CF">
        <w:t xml:space="preserve">En el curso del procedimiento, </w:t>
      </w:r>
      <w:r>
        <w:t>la parte peticionaria solicitó que su identidad fuera mantenida en reserva</w:t>
      </w:r>
      <w:r w:rsidR="001961CF">
        <w:t>,</w:t>
      </w:r>
      <w:r w:rsidR="001961CF" w:rsidRPr="001961CF">
        <w:t xml:space="preserve"> </w:t>
      </w:r>
      <w:r w:rsidR="001961CF">
        <w:t>de conformidad con el artículo 28.2 del Reglamento de la CIDH</w:t>
      </w:r>
      <w:r>
        <w:t>.</w:t>
      </w:r>
      <w:r w:rsidR="00956F9B">
        <w:t xml:space="preserve"> La Comisión concedió la solicitud.</w:t>
      </w:r>
    </w:p>
  </w:footnote>
  <w:footnote w:id="3">
    <w:p w14:paraId="66E930B8" w14:textId="55B8458F"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6F3219">
        <w:t>Carlos Bernal Pulido</w:t>
      </w:r>
      <w:r w:rsidRPr="00306F33">
        <w:t xml:space="preserve">, de nacionalidad </w:t>
      </w:r>
      <w:r w:rsidR="006F3219">
        <w:t>colombiana</w:t>
      </w:r>
      <w:r w:rsidRPr="00306F33">
        <w:t>, no participó en el debate ni en la decisión del presente asunto.</w:t>
      </w:r>
    </w:p>
  </w:footnote>
  <w:footnote w:id="4">
    <w:p w14:paraId="202E8796" w14:textId="06BE6B83" w:rsidR="00DD1DF6" w:rsidRPr="00DD1DF6" w:rsidRDefault="00DD1DF6" w:rsidP="00DD1DF6">
      <w:pPr>
        <w:pStyle w:val="Notasalpie"/>
      </w:pPr>
      <w:r>
        <w:rPr>
          <w:rStyle w:val="FootnoteReference"/>
        </w:rPr>
        <w:footnoteRef/>
      </w:r>
      <w:r w:rsidRPr="00DD1DF6">
        <w:t xml:space="preserve"> </w:t>
      </w:r>
      <w:r>
        <w:t>En adelante “la Convención Americana” o “la Convención”.</w:t>
      </w:r>
    </w:p>
  </w:footnote>
  <w:footnote w:id="5">
    <w:p w14:paraId="1AFEF3B0" w14:textId="166E4DC2" w:rsidR="008E3BFE" w:rsidRPr="00306F33" w:rsidRDefault="008E3BFE" w:rsidP="00306F33">
      <w:pPr>
        <w:pStyle w:val="FootnoteText"/>
        <w:ind w:firstLine="720"/>
        <w:jc w:val="both"/>
        <w:rPr>
          <w:rFonts w:asciiTheme="majorHAnsi" w:hAnsiTheme="majorHAnsi"/>
          <w:sz w:val="16"/>
          <w:szCs w:val="16"/>
          <w:lang w:val="es-ES"/>
        </w:rPr>
      </w:pPr>
      <w:r w:rsidRPr="009B10FE">
        <w:rPr>
          <w:rStyle w:val="FootnoteReference"/>
          <w:rFonts w:asciiTheme="majorHAnsi" w:hAnsiTheme="majorHAnsi"/>
          <w:sz w:val="16"/>
          <w:szCs w:val="16"/>
        </w:rPr>
        <w:footnoteRef/>
      </w:r>
      <w:r w:rsidRPr="009B10FE">
        <w:rPr>
          <w:rFonts w:asciiTheme="majorHAnsi" w:hAnsiTheme="majorHAnsi"/>
          <w:sz w:val="16"/>
          <w:szCs w:val="16"/>
          <w:lang w:val="es-ES"/>
        </w:rPr>
        <w:t xml:space="preserve"> Las observaciones de cada parte fueron debidamente trasladadas a la parte contraria.</w:t>
      </w:r>
    </w:p>
  </w:footnote>
  <w:footnote w:id="6">
    <w:p w14:paraId="6C5A3887" w14:textId="77777777" w:rsidR="00550C9B" w:rsidRPr="00A11B3B" w:rsidRDefault="00550C9B" w:rsidP="00550C9B">
      <w:pPr>
        <w:pStyle w:val="FootnoteText"/>
        <w:ind w:firstLine="720"/>
        <w:jc w:val="both"/>
        <w:rPr>
          <w:rFonts w:ascii="Cambria" w:hAnsi="Cambria"/>
          <w:sz w:val="16"/>
          <w:szCs w:val="16"/>
          <w:lang w:val="es-US"/>
        </w:rPr>
      </w:pPr>
      <w:r w:rsidRPr="00A11B3B">
        <w:rPr>
          <w:rStyle w:val="FootnoteReference"/>
          <w:rFonts w:ascii="Cambria" w:hAnsi="Cambria"/>
          <w:sz w:val="16"/>
          <w:szCs w:val="16"/>
        </w:rPr>
        <w:footnoteRef/>
      </w:r>
      <w:r w:rsidRPr="00A11B3B">
        <w:rPr>
          <w:rFonts w:ascii="Cambria" w:hAnsi="Cambria"/>
          <w:sz w:val="16"/>
          <w:szCs w:val="16"/>
          <w:lang w:val="es-US"/>
        </w:rPr>
        <w:t xml:space="preserve"> CIDH, Informe Nº 83/05 (Inadmisibilidad), Petición 644/00, Carlos Alberto López Urquía, Honduras, 24 de octubre de 2005, párr. </w:t>
      </w:r>
      <w:r w:rsidRPr="00A11B3B">
        <w:rPr>
          <w:rFonts w:ascii="Cambria" w:hAnsi="Cambria"/>
          <w:sz w:val="16"/>
          <w:szCs w:val="16"/>
          <w:lang w:val="es-ES"/>
        </w:rPr>
        <w:t>72.</w:t>
      </w:r>
    </w:p>
  </w:footnote>
  <w:footnote w:id="7">
    <w:p w14:paraId="3EDA1A30" w14:textId="77777777" w:rsidR="00B56DAD" w:rsidRPr="002E7A28" w:rsidRDefault="00B56DAD" w:rsidP="00DE2F6E">
      <w:pPr>
        <w:pStyle w:val="Notasalpie"/>
      </w:pPr>
      <w:r>
        <w:rPr>
          <w:rStyle w:val="FootnoteReference"/>
        </w:rPr>
        <w:footnoteRef/>
      </w:r>
      <w:r w:rsidRPr="00A36AC5">
        <w:t xml:space="preserve"> Corte IDH. Caso Cajahuanca Vásquez Vs. Perú. Excepciones Preliminares y Fondo. </w:t>
      </w:r>
      <w:r w:rsidRPr="007B56B6">
        <w:t xml:space="preserve">Sentencia de 27 de noviembre de 2023. Serie C No. 509, párr. 124; Caso Ramírez Escobar y otros Vs. Guatemala. Fondo, Reparaciones y Costas. Sentencia de 9 de marzo de 2018. Serie C No. 351, párr. 252, y Caso María y otros Vs. Argentina. Fondo, Reparaciones y Costas. Sentencia de 22 de agosto de 2023. </w:t>
      </w:r>
      <w:r w:rsidRPr="0061371A">
        <w:t>Serie C No. 494, párr. 151.</w:t>
      </w:r>
    </w:p>
  </w:footnote>
  <w:footnote w:id="8">
    <w:p w14:paraId="502B6E5E" w14:textId="77777777" w:rsidR="00B56DAD" w:rsidRPr="00310A0D" w:rsidRDefault="00B56DAD" w:rsidP="00DE2F6E">
      <w:pPr>
        <w:pStyle w:val="Notasalpie"/>
        <w:rPr>
          <w:lang w:val="pt-BR"/>
        </w:rPr>
      </w:pPr>
      <w:r>
        <w:rPr>
          <w:rStyle w:val="FootnoteReference"/>
        </w:rPr>
        <w:footnoteRef/>
      </w:r>
      <w:r w:rsidRPr="00915D5B">
        <w:rPr>
          <w:lang w:val="pt-PT"/>
        </w:rPr>
        <w:t xml:space="preserve"> Corte IDH. Caso Bendezú Tuncar Vs. </w:t>
      </w:r>
      <w:r w:rsidRPr="000573D3">
        <w:t xml:space="preserve">Perú. Excepciones Preliminares y Fondo. </w:t>
      </w:r>
      <w:r w:rsidRPr="00310A0D">
        <w:rPr>
          <w:lang w:val="pt-BR"/>
        </w:rPr>
        <w:t>Sentencia de 29 de agosto de 2023. Serie C No. 497, párr.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D73CD8"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37368080"/>
    <w:lvl w:ilvl="0" w:tplc="36CA7246">
      <w:start w:val="1"/>
      <w:numFmt w:val="decimal"/>
      <w:pStyle w:val="parrafos"/>
      <w:lvlText w:val="%1."/>
      <w:lvlJc w:val="left"/>
      <w:pPr>
        <w:ind w:left="360" w:hanging="360"/>
      </w:pPr>
      <w:rPr>
        <w:rFonts w:ascii="Cambria" w:hAnsi="Cambria" w:hint="default"/>
        <w:b w:val="0"/>
        <w:color w:val="auto"/>
        <w:sz w:val="20"/>
        <w:szCs w:val="20"/>
        <w:lang w:val="es-MX"/>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210963960">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045C"/>
    <w:rsid w:val="0001390E"/>
    <w:rsid w:val="0001788C"/>
    <w:rsid w:val="0002349D"/>
    <w:rsid w:val="000337EF"/>
    <w:rsid w:val="00040C3A"/>
    <w:rsid w:val="000419AD"/>
    <w:rsid w:val="000433C9"/>
    <w:rsid w:val="00057BBC"/>
    <w:rsid w:val="00060E31"/>
    <w:rsid w:val="000619E3"/>
    <w:rsid w:val="00071174"/>
    <w:rsid w:val="000716C5"/>
    <w:rsid w:val="00075E23"/>
    <w:rsid w:val="0008158C"/>
    <w:rsid w:val="0009344A"/>
    <w:rsid w:val="000A17A0"/>
    <w:rsid w:val="000A1F2E"/>
    <w:rsid w:val="000A392E"/>
    <w:rsid w:val="000A4968"/>
    <w:rsid w:val="000A575F"/>
    <w:rsid w:val="000A7EEC"/>
    <w:rsid w:val="000B4872"/>
    <w:rsid w:val="000D05CB"/>
    <w:rsid w:val="000D10DB"/>
    <w:rsid w:val="000D4893"/>
    <w:rsid w:val="000E5402"/>
    <w:rsid w:val="000E5EB5"/>
    <w:rsid w:val="000F35ED"/>
    <w:rsid w:val="000F5F78"/>
    <w:rsid w:val="001004FE"/>
    <w:rsid w:val="00107131"/>
    <w:rsid w:val="0010736F"/>
    <w:rsid w:val="00113F73"/>
    <w:rsid w:val="00121CC2"/>
    <w:rsid w:val="001253E0"/>
    <w:rsid w:val="00125980"/>
    <w:rsid w:val="00131258"/>
    <w:rsid w:val="00131425"/>
    <w:rsid w:val="00133EE5"/>
    <w:rsid w:val="001446D8"/>
    <w:rsid w:val="001448CD"/>
    <w:rsid w:val="00152359"/>
    <w:rsid w:val="00157525"/>
    <w:rsid w:val="00163C21"/>
    <w:rsid w:val="00167A34"/>
    <w:rsid w:val="00167D59"/>
    <w:rsid w:val="00172F4C"/>
    <w:rsid w:val="00181E3F"/>
    <w:rsid w:val="00182A69"/>
    <w:rsid w:val="001961CF"/>
    <w:rsid w:val="001A520D"/>
    <w:rsid w:val="001A5F4E"/>
    <w:rsid w:val="001A7870"/>
    <w:rsid w:val="001B3A00"/>
    <w:rsid w:val="001B478B"/>
    <w:rsid w:val="001C021E"/>
    <w:rsid w:val="001C1B41"/>
    <w:rsid w:val="001C43A8"/>
    <w:rsid w:val="001D65EF"/>
    <w:rsid w:val="001D7F96"/>
    <w:rsid w:val="001E49E7"/>
    <w:rsid w:val="001F7201"/>
    <w:rsid w:val="00200EF2"/>
    <w:rsid w:val="00220B47"/>
    <w:rsid w:val="00223A29"/>
    <w:rsid w:val="002250A3"/>
    <w:rsid w:val="0022736E"/>
    <w:rsid w:val="00233E98"/>
    <w:rsid w:val="00235217"/>
    <w:rsid w:val="002378BD"/>
    <w:rsid w:val="00244867"/>
    <w:rsid w:val="00245C2E"/>
    <w:rsid w:val="002467ED"/>
    <w:rsid w:val="00246D1F"/>
    <w:rsid w:val="00247403"/>
    <w:rsid w:val="00247542"/>
    <w:rsid w:val="00247ED8"/>
    <w:rsid w:val="002535DC"/>
    <w:rsid w:val="002543F0"/>
    <w:rsid w:val="00256537"/>
    <w:rsid w:val="00263319"/>
    <w:rsid w:val="00266B61"/>
    <w:rsid w:val="0026712A"/>
    <w:rsid w:val="002704DB"/>
    <w:rsid w:val="002845D3"/>
    <w:rsid w:val="002906DD"/>
    <w:rsid w:val="002917B1"/>
    <w:rsid w:val="002A0AAE"/>
    <w:rsid w:val="002A2420"/>
    <w:rsid w:val="002A5820"/>
    <w:rsid w:val="002A6EBC"/>
    <w:rsid w:val="002B1DE4"/>
    <w:rsid w:val="002B4A86"/>
    <w:rsid w:val="002C4E78"/>
    <w:rsid w:val="002C5EB8"/>
    <w:rsid w:val="002C7A5A"/>
    <w:rsid w:val="002D2B26"/>
    <w:rsid w:val="002D7EA2"/>
    <w:rsid w:val="002E10C8"/>
    <w:rsid w:val="002E187C"/>
    <w:rsid w:val="002E5A4F"/>
    <w:rsid w:val="002F7E21"/>
    <w:rsid w:val="00302733"/>
    <w:rsid w:val="00305835"/>
    <w:rsid w:val="00306F33"/>
    <w:rsid w:val="00314078"/>
    <w:rsid w:val="0031535D"/>
    <w:rsid w:val="00317F7D"/>
    <w:rsid w:val="00322C04"/>
    <w:rsid w:val="003239B8"/>
    <w:rsid w:val="00323DD5"/>
    <w:rsid w:val="0033169F"/>
    <w:rsid w:val="0033202A"/>
    <w:rsid w:val="00335D68"/>
    <w:rsid w:val="00343660"/>
    <w:rsid w:val="00344977"/>
    <w:rsid w:val="00346C95"/>
    <w:rsid w:val="00356185"/>
    <w:rsid w:val="00360380"/>
    <w:rsid w:val="0036336C"/>
    <w:rsid w:val="0037519E"/>
    <w:rsid w:val="00377454"/>
    <w:rsid w:val="00386CF0"/>
    <w:rsid w:val="00394049"/>
    <w:rsid w:val="00394073"/>
    <w:rsid w:val="003953D9"/>
    <w:rsid w:val="003955C3"/>
    <w:rsid w:val="0039640C"/>
    <w:rsid w:val="003B4E6C"/>
    <w:rsid w:val="003B4FA8"/>
    <w:rsid w:val="003B52E3"/>
    <w:rsid w:val="003B5DEF"/>
    <w:rsid w:val="003B6D88"/>
    <w:rsid w:val="003B6F03"/>
    <w:rsid w:val="003B70FB"/>
    <w:rsid w:val="003B795E"/>
    <w:rsid w:val="003C24E2"/>
    <w:rsid w:val="003C676B"/>
    <w:rsid w:val="003D3566"/>
    <w:rsid w:val="003D3BC2"/>
    <w:rsid w:val="003D5123"/>
    <w:rsid w:val="003E6CA1"/>
    <w:rsid w:val="003F27AE"/>
    <w:rsid w:val="003F5154"/>
    <w:rsid w:val="004014C9"/>
    <w:rsid w:val="00405F9C"/>
    <w:rsid w:val="004065A8"/>
    <w:rsid w:val="00406BEE"/>
    <w:rsid w:val="00414C6D"/>
    <w:rsid w:val="004165C2"/>
    <w:rsid w:val="004241A0"/>
    <w:rsid w:val="004354BF"/>
    <w:rsid w:val="00437787"/>
    <w:rsid w:val="00441ECB"/>
    <w:rsid w:val="00444C9D"/>
    <w:rsid w:val="00445193"/>
    <w:rsid w:val="00446A49"/>
    <w:rsid w:val="00462C1B"/>
    <w:rsid w:val="00467B7E"/>
    <w:rsid w:val="0047264C"/>
    <w:rsid w:val="00473BB4"/>
    <w:rsid w:val="00477592"/>
    <w:rsid w:val="00477887"/>
    <w:rsid w:val="00484AE5"/>
    <w:rsid w:val="004865D8"/>
    <w:rsid w:val="00486F1C"/>
    <w:rsid w:val="0049003A"/>
    <w:rsid w:val="0049419D"/>
    <w:rsid w:val="004A057B"/>
    <w:rsid w:val="004A4600"/>
    <w:rsid w:val="004A6A54"/>
    <w:rsid w:val="004B421C"/>
    <w:rsid w:val="004B524E"/>
    <w:rsid w:val="004C20D2"/>
    <w:rsid w:val="004C2312"/>
    <w:rsid w:val="004C3D20"/>
    <w:rsid w:val="004C4B62"/>
    <w:rsid w:val="004C54C9"/>
    <w:rsid w:val="004D4ABA"/>
    <w:rsid w:val="004D6025"/>
    <w:rsid w:val="004E2649"/>
    <w:rsid w:val="004F626F"/>
    <w:rsid w:val="00501399"/>
    <w:rsid w:val="005047ED"/>
    <w:rsid w:val="0050633D"/>
    <w:rsid w:val="00507BC4"/>
    <w:rsid w:val="005120E0"/>
    <w:rsid w:val="005128E4"/>
    <w:rsid w:val="005133DB"/>
    <w:rsid w:val="00514504"/>
    <w:rsid w:val="005173A3"/>
    <w:rsid w:val="00521E1F"/>
    <w:rsid w:val="00525560"/>
    <w:rsid w:val="005255EA"/>
    <w:rsid w:val="00527267"/>
    <w:rsid w:val="00537C4B"/>
    <w:rsid w:val="00544C49"/>
    <w:rsid w:val="00550C9B"/>
    <w:rsid w:val="005516A1"/>
    <w:rsid w:val="005559EF"/>
    <w:rsid w:val="00561BE6"/>
    <w:rsid w:val="005630AD"/>
    <w:rsid w:val="00563557"/>
    <w:rsid w:val="0057402A"/>
    <w:rsid w:val="00576BD2"/>
    <w:rsid w:val="005771D0"/>
    <w:rsid w:val="005837D1"/>
    <w:rsid w:val="005851FF"/>
    <w:rsid w:val="0059191A"/>
    <w:rsid w:val="005921FF"/>
    <w:rsid w:val="005A24ED"/>
    <w:rsid w:val="005A6C0B"/>
    <w:rsid w:val="005A6D0E"/>
    <w:rsid w:val="005B1367"/>
    <w:rsid w:val="005B31B0"/>
    <w:rsid w:val="005B52B0"/>
    <w:rsid w:val="005B6806"/>
    <w:rsid w:val="005C4225"/>
    <w:rsid w:val="005D4BD1"/>
    <w:rsid w:val="005D6210"/>
    <w:rsid w:val="005E0901"/>
    <w:rsid w:val="005F0DAD"/>
    <w:rsid w:val="005F0F33"/>
    <w:rsid w:val="005F24C4"/>
    <w:rsid w:val="005F40B8"/>
    <w:rsid w:val="00600DEB"/>
    <w:rsid w:val="00610673"/>
    <w:rsid w:val="00620DF2"/>
    <w:rsid w:val="00627C9F"/>
    <w:rsid w:val="006311E9"/>
    <w:rsid w:val="00632354"/>
    <w:rsid w:val="00635421"/>
    <w:rsid w:val="006406BA"/>
    <w:rsid w:val="00642810"/>
    <w:rsid w:val="00652333"/>
    <w:rsid w:val="00665C86"/>
    <w:rsid w:val="0068009E"/>
    <w:rsid w:val="006845D1"/>
    <w:rsid w:val="00692219"/>
    <w:rsid w:val="00697949"/>
    <w:rsid w:val="006A17D2"/>
    <w:rsid w:val="006A2753"/>
    <w:rsid w:val="006A506C"/>
    <w:rsid w:val="006A6D06"/>
    <w:rsid w:val="006A73E6"/>
    <w:rsid w:val="006B2D5C"/>
    <w:rsid w:val="006B7F47"/>
    <w:rsid w:val="006C0ECF"/>
    <w:rsid w:val="006C4EB1"/>
    <w:rsid w:val="006E0166"/>
    <w:rsid w:val="006E2FFB"/>
    <w:rsid w:val="006E621A"/>
    <w:rsid w:val="006E7B34"/>
    <w:rsid w:val="006F3219"/>
    <w:rsid w:val="006F4573"/>
    <w:rsid w:val="0070697F"/>
    <w:rsid w:val="007103C4"/>
    <w:rsid w:val="0071236C"/>
    <w:rsid w:val="00712699"/>
    <w:rsid w:val="00712DB4"/>
    <w:rsid w:val="0071394B"/>
    <w:rsid w:val="007149B4"/>
    <w:rsid w:val="0072199C"/>
    <w:rsid w:val="00722C9F"/>
    <w:rsid w:val="007253B8"/>
    <w:rsid w:val="00733D9E"/>
    <w:rsid w:val="007358F6"/>
    <w:rsid w:val="00735E95"/>
    <w:rsid w:val="0073741F"/>
    <w:rsid w:val="0076643F"/>
    <w:rsid w:val="00772AFD"/>
    <w:rsid w:val="007744C1"/>
    <w:rsid w:val="00777F63"/>
    <w:rsid w:val="0078113D"/>
    <w:rsid w:val="00782269"/>
    <w:rsid w:val="0079188B"/>
    <w:rsid w:val="007A2FF1"/>
    <w:rsid w:val="007A5817"/>
    <w:rsid w:val="007A6627"/>
    <w:rsid w:val="007A790D"/>
    <w:rsid w:val="007B05C4"/>
    <w:rsid w:val="007B60E9"/>
    <w:rsid w:val="007B6CC3"/>
    <w:rsid w:val="007B76D3"/>
    <w:rsid w:val="007B7A0D"/>
    <w:rsid w:val="007C12DA"/>
    <w:rsid w:val="007C28F2"/>
    <w:rsid w:val="007C3334"/>
    <w:rsid w:val="007C6829"/>
    <w:rsid w:val="007C72C7"/>
    <w:rsid w:val="007D00A9"/>
    <w:rsid w:val="007D2B98"/>
    <w:rsid w:val="007D2E7F"/>
    <w:rsid w:val="007E21BC"/>
    <w:rsid w:val="007E7C82"/>
    <w:rsid w:val="007F2AA1"/>
    <w:rsid w:val="007F588D"/>
    <w:rsid w:val="00803F1C"/>
    <w:rsid w:val="0080600E"/>
    <w:rsid w:val="00814688"/>
    <w:rsid w:val="008155E4"/>
    <w:rsid w:val="00817612"/>
    <w:rsid w:val="00832EFB"/>
    <w:rsid w:val="008338A4"/>
    <w:rsid w:val="00834D49"/>
    <w:rsid w:val="00837C45"/>
    <w:rsid w:val="008405DE"/>
    <w:rsid w:val="00844730"/>
    <w:rsid w:val="008457C2"/>
    <w:rsid w:val="00852955"/>
    <w:rsid w:val="00857A82"/>
    <w:rsid w:val="00862E03"/>
    <w:rsid w:val="00873836"/>
    <w:rsid w:val="0088098E"/>
    <w:rsid w:val="008822FD"/>
    <w:rsid w:val="00884B87"/>
    <w:rsid w:val="00885737"/>
    <w:rsid w:val="00887DEC"/>
    <w:rsid w:val="00890650"/>
    <w:rsid w:val="00890DA0"/>
    <w:rsid w:val="008944DC"/>
    <w:rsid w:val="00897E12"/>
    <w:rsid w:val="008A4832"/>
    <w:rsid w:val="008A7952"/>
    <w:rsid w:val="008A7A40"/>
    <w:rsid w:val="008A7E0F"/>
    <w:rsid w:val="008B12F5"/>
    <w:rsid w:val="008B3FB9"/>
    <w:rsid w:val="008C407A"/>
    <w:rsid w:val="008C4E09"/>
    <w:rsid w:val="008C4E5A"/>
    <w:rsid w:val="008C5E2D"/>
    <w:rsid w:val="008D4A0E"/>
    <w:rsid w:val="008D768D"/>
    <w:rsid w:val="008E3759"/>
    <w:rsid w:val="008E3BFE"/>
    <w:rsid w:val="008E5524"/>
    <w:rsid w:val="008F1912"/>
    <w:rsid w:val="00901503"/>
    <w:rsid w:val="0090270B"/>
    <w:rsid w:val="009041DC"/>
    <w:rsid w:val="00905DAA"/>
    <w:rsid w:val="00915D5B"/>
    <w:rsid w:val="00917B5A"/>
    <w:rsid w:val="00920A58"/>
    <w:rsid w:val="00920A8C"/>
    <w:rsid w:val="00923E03"/>
    <w:rsid w:val="00923E78"/>
    <w:rsid w:val="009266BF"/>
    <w:rsid w:val="00934A2C"/>
    <w:rsid w:val="0094397E"/>
    <w:rsid w:val="00950C33"/>
    <w:rsid w:val="00952592"/>
    <w:rsid w:val="009568B4"/>
    <w:rsid w:val="00956F9B"/>
    <w:rsid w:val="00961CA0"/>
    <w:rsid w:val="0096706E"/>
    <w:rsid w:val="00974276"/>
    <w:rsid w:val="00974491"/>
    <w:rsid w:val="00975AE3"/>
    <w:rsid w:val="00975C4E"/>
    <w:rsid w:val="00975DBA"/>
    <w:rsid w:val="009806E5"/>
    <w:rsid w:val="00981FBA"/>
    <w:rsid w:val="009901FF"/>
    <w:rsid w:val="00994ABD"/>
    <w:rsid w:val="00997BC5"/>
    <w:rsid w:val="009A23CB"/>
    <w:rsid w:val="009A4F41"/>
    <w:rsid w:val="009A56CE"/>
    <w:rsid w:val="009B10FE"/>
    <w:rsid w:val="009B2B89"/>
    <w:rsid w:val="009B381B"/>
    <w:rsid w:val="009B6B15"/>
    <w:rsid w:val="009D1753"/>
    <w:rsid w:val="009D7611"/>
    <w:rsid w:val="009D7AC5"/>
    <w:rsid w:val="009E0B61"/>
    <w:rsid w:val="009E39AD"/>
    <w:rsid w:val="009E4EBF"/>
    <w:rsid w:val="009E53DE"/>
    <w:rsid w:val="00A028EF"/>
    <w:rsid w:val="00A03947"/>
    <w:rsid w:val="00A03F6A"/>
    <w:rsid w:val="00A076B7"/>
    <w:rsid w:val="00A11212"/>
    <w:rsid w:val="00A11E44"/>
    <w:rsid w:val="00A12C2A"/>
    <w:rsid w:val="00A15562"/>
    <w:rsid w:val="00A30100"/>
    <w:rsid w:val="00A328B3"/>
    <w:rsid w:val="00A34068"/>
    <w:rsid w:val="00A347EB"/>
    <w:rsid w:val="00A348E7"/>
    <w:rsid w:val="00A436A8"/>
    <w:rsid w:val="00A50FCF"/>
    <w:rsid w:val="00A528D1"/>
    <w:rsid w:val="00A52D54"/>
    <w:rsid w:val="00A610CD"/>
    <w:rsid w:val="00A64522"/>
    <w:rsid w:val="00A6733D"/>
    <w:rsid w:val="00A73813"/>
    <w:rsid w:val="00A73947"/>
    <w:rsid w:val="00A758AA"/>
    <w:rsid w:val="00A81299"/>
    <w:rsid w:val="00A97912"/>
    <w:rsid w:val="00A97C31"/>
    <w:rsid w:val="00AA09A2"/>
    <w:rsid w:val="00AA7228"/>
    <w:rsid w:val="00AA7996"/>
    <w:rsid w:val="00AC19CB"/>
    <w:rsid w:val="00AD3A14"/>
    <w:rsid w:val="00AE5488"/>
    <w:rsid w:val="00AE628D"/>
    <w:rsid w:val="00AE6F91"/>
    <w:rsid w:val="00AF0A32"/>
    <w:rsid w:val="00AF5571"/>
    <w:rsid w:val="00B04818"/>
    <w:rsid w:val="00B05BFE"/>
    <w:rsid w:val="00B07341"/>
    <w:rsid w:val="00B16A30"/>
    <w:rsid w:val="00B21F63"/>
    <w:rsid w:val="00B30539"/>
    <w:rsid w:val="00B305C1"/>
    <w:rsid w:val="00B314DB"/>
    <w:rsid w:val="00B361F2"/>
    <w:rsid w:val="00B36771"/>
    <w:rsid w:val="00B3718B"/>
    <w:rsid w:val="00B3745F"/>
    <w:rsid w:val="00B3752E"/>
    <w:rsid w:val="00B41A8D"/>
    <w:rsid w:val="00B4632A"/>
    <w:rsid w:val="00B526A0"/>
    <w:rsid w:val="00B530F1"/>
    <w:rsid w:val="00B56DAD"/>
    <w:rsid w:val="00B6765D"/>
    <w:rsid w:val="00B80A2C"/>
    <w:rsid w:val="00B93786"/>
    <w:rsid w:val="00B93D7F"/>
    <w:rsid w:val="00BA276C"/>
    <w:rsid w:val="00BB019D"/>
    <w:rsid w:val="00BB306F"/>
    <w:rsid w:val="00BD0FF5"/>
    <w:rsid w:val="00BD4B89"/>
    <w:rsid w:val="00BD5922"/>
    <w:rsid w:val="00BF02CB"/>
    <w:rsid w:val="00BF134A"/>
    <w:rsid w:val="00BF6708"/>
    <w:rsid w:val="00BF67D2"/>
    <w:rsid w:val="00BF6FD8"/>
    <w:rsid w:val="00C03680"/>
    <w:rsid w:val="00C054DF"/>
    <w:rsid w:val="00C21762"/>
    <w:rsid w:val="00C21FEF"/>
    <w:rsid w:val="00C23BA4"/>
    <w:rsid w:val="00C24543"/>
    <w:rsid w:val="00C256A2"/>
    <w:rsid w:val="00C25ADB"/>
    <w:rsid w:val="00C51515"/>
    <w:rsid w:val="00C5660B"/>
    <w:rsid w:val="00C603E1"/>
    <w:rsid w:val="00C66B72"/>
    <w:rsid w:val="00C81FA6"/>
    <w:rsid w:val="00C86FF5"/>
    <w:rsid w:val="00C87AC4"/>
    <w:rsid w:val="00C9567A"/>
    <w:rsid w:val="00CB1316"/>
    <w:rsid w:val="00CB183E"/>
    <w:rsid w:val="00CB212D"/>
    <w:rsid w:val="00CB2660"/>
    <w:rsid w:val="00CB65E2"/>
    <w:rsid w:val="00CC5E90"/>
    <w:rsid w:val="00CD046C"/>
    <w:rsid w:val="00CD0A6B"/>
    <w:rsid w:val="00CD607F"/>
    <w:rsid w:val="00CD74F5"/>
    <w:rsid w:val="00CE076C"/>
    <w:rsid w:val="00CE5199"/>
    <w:rsid w:val="00CE66D5"/>
    <w:rsid w:val="00CF1BAC"/>
    <w:rsid w:val="00CF637A"/>
    <w:rsid w:val="00D049A2"/>
    <w:rsid w:val="00D059DE"/>
    <w:rsid w:val="00D05ABD"/>
    <w:rsid w:val="00D13FCE"/>
    <w:rsid w:val="00D22E30"/>
    <w:rsid w:val="00D263D7"/>
    <w:rsid w:val="00D306D1"/>
    <w:rsid w:val="00D30800"/>
    <w:rsid w:val="00D34786"/>
    <w:rsid w:val="00D37BFC"/>
    <w:rsid w:val="00D4293B"/>
    <w:rsid w:val="00D43C8B"/>
    <w:rsid w:val="00D469B9"/>
    <w:rsid w:val="00D47A8E"/>
    <w:rsid w:val="00D52D14"/>
    <w:rsid w:val="00D63176"/>
    <w:rsid w:val="00D64986"/>
    <w:rsid w:val="00D712D3"/>
    <w:rsid w:val="00D71422"/>
    <w:rsid w:val="00D7287F"/>
    <w:rsid w:val="00D72DC6"/>
    <w:rsid w:val="00D73CD8"/>
    <w:rsid w:val="00D7558D"/>
    <w:rsid w:val="00D81D92"/>
    <w:rsid w:val="00D876F9"/>
    <w:rsid w:val="00D97836"/>
    <w:rsid w:val="00DA19CE"/>
    <w:rsid w:val="00DA7B5F"/>
    <w:rsid w:val="00DB772F"/>
    <w:rsid w:val="00DC0D1A"/>
    <w:rsid w:val="00DC11E7"/>
    <w:rsid w:val="00DC24E3"/>
    <w:rsid w:val="00DC7023"/>
    <w:rsid w:val="00DC769A"/>
    <w:rsid w:val="00DD1DF6"/>
    <w:rsid w:val="00DD3D86"/>
    <w:rsid w:val="00DD4AD2"/>
    <w:rsid w:val="00DD629A"/>
    <w:rsid w:val="00DD706E"/>
    <w:rsid w:val="00DE2862"/>
    <w:rsid w:val="00DE2F6E"/>
    <w:rsid w:val="00DF0056"/>
    <w:rsid w:val="00DF1EC4"/>
    <w:rsid w:val="00DF3C5B"/>
    <w:rsid w:val="00DF7221"/>
    <w:rsid w:val="00DF72C2"/>
    <w:rsid w:val="00E0340B"/>
    <w:rsid w:val="00E03973"/>
    <w:rsid w:val="00E04A90"/>
    <w:rsid w:val="00E0551F"/>
    <w:rsid w:val="00E17078"/>
    <w:rsid w:val="00E219C7"/>
    <w:rsid w:val="00E305EB"/>
    <w:rsid w:val="00E31749"/>
    <w:rsid w:val="00E31FB7"/>
    <w:rsid w:val="00E36AAE"/>
    <w:rsid w:val="00E402A4"/>
    <w:rsid w:val="00E4118C"/>
    <w:rsid w:val="00E41B7A"/>
    <w:rsid w:val="00E4222E"/>
    <w:rsid w:val="00E43157"/>
    <w:rsid w:val="00E434CE"/>
    <w:rsid w:val="00E461CE"/>
    <w:rsid w:val="00E4729B"/>
    <w:rsid w:val="00E5079B"/>
    <w:rsid w:val="00E509CF"/>
    <w:rsid w:val="00E526D1"/>
    <w:rsid w:val="00E54473"/>
    <w:rsid w:val="00E573E4"/>
    <w:rsid w:val="00E64C3D"/>
    <w:rsid w:val="00E66075"/>
    <w:rsid w:val="00E720CA"/>
    <w:rsid w:val="00E809AF"/>
    <w:rsid w:val="00E84EB5"/>
    <w:rsid w:val="00E85662"/>
    <w:rsid w:val="00E8789F"/>
    <w:rsid w:val="00E97B71"/>
    <w:rsid w:val="00EA1BE8"/>
    <w:rsid w:val="00EA3043"/>
    <w:rsid w:val="00EA3D34"/>
    <w:rsid w:val="00EA4F24"/>
    <w:rsid w:val="00EA5103"/>
    <w:rsid w:val="00EB454D"/>
    <w:rsid w:val="00EC1343"/>
    <w:rsid w:val="00EC71E1"/>
    <w:rsid w:val="00ED17FE"/>
    <w:rsid w:val="00ED549D"/>
    <w:rsid w:val="00ED5E10"/>
    <w:rsid w:val="00ED65FA"/>
    <w:rsid w:val="00ED76BE"/>
    <w:rsid w:val="00EE00E9"/>
    <w:rsid w:val="00EF1AAA"/>
    <w:rsid w:val="00EF619B"/>
    <w:rsid w:val="00EF6B3B"/>
    <w:rsid w:val="00F00B55"/>
    <w:rsid w:val="00F02AD1"/>
    <w:rsid w:val="00F17387"/>
    <w:rsid w:val="00F253CC"/>
    <w:rsid w:val="00F26EE6"/>
    <w:rsid w:val="00F3665F"/>
    <w:rsid w:val="00F37106"/>
    <w:rsid w:val="00F44E25"/>
    <w:rsid w:val="00F519CF"/>
    <w:rsid w:val="00F56BA5"/>
    <w:rsid w:val="00F56ECB"/>
    <w:rsid w:val="00F60E22"/>
    <w:rsid w:val="00F751B5"/>
    <w:rsid w:val="00F81395"/>
    <w:rsid w:val="00F81BB8"/>
    <w:rsid w:val="00F845EF"/>
    <w:rsid w:val="00F90C64"/>
    <w:rsid w:val="00F917D1"/>
    <w:rsid w:val="00F9653B"/>
    <w:rsid w:val="00FB62CF"/>
    <w:rsid w:val="00FB76F7"/>
    <w:rsid w:val="00FD3C3B"/>
    <w:rsid w:val="00FE07DD"/>
    <w:rsid w:val="00FE54AB"/>
    <w:rsid w:val="00FE6B45"/>
    <w:rsid w:val="00FF55F3"/>
    <w:rsid w:val="00FF5851"/>
    <w:rsid w:val="00FF7B79"/>
    <w:rsid w:val="6A36D157"/>
    <w:rsid w:val="6A8988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550C9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rafos">
    <w:name w:val="parrafos"/>
    <w:basedOn w:val="Normal"/>
    <w:qFormat/>
    <w:rsid w:val="00B56DAD"/>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customStyle="1" w:styleId="paragraph">
    <w:name w:val="paragraph"/>
    <w:basedOn w:val="Normal"/>
    <w:rsid w:val="00C603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603E1"/>
  </w:style>
  <w:style w:type="character" w:customStyle="1" w:styleId="eop">
    <w:name w:val="eop"/>
    <w:basedOn w:val="DefaultParagraphFont"/>
    <w:rsid w:val="00C6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31E59"/>
    <w:rsid w:val="000E05FA"/>
    <w:rsid w:val="00157525"/>
    <w:rsid w:val="00200821"/>
    <w:rsid w:val="00244867"/>
    <w:rsid w:val="0025245B"/>
    <w:rsid w:val="002A3923"/>
    <w:rsid w:val="00323DD5"/>
    <w:rsid w:val="00335D68"/>
    <w:rsid w:val="00394049"/>
    <w:rsid w:val="003B0C71"/>
    <w:rsid w:val="003B795E"/>
    <w:rsid w:val="003E2DD8"/>
    <w:rsid w:val="004B5BBB"/>
    <w:rsid w:val="004F2DF8"/>
    <w:rsid w:val="00517E2A"/>
    <w:rsid w:val="006D3128"/>
    <w:rsid w:val="006F24A1"/>
    <w:rsid w:val="00763178"/>
    <w:rsid w:val="007C72C7"/>
    <w:rsid w:val="00875B8A"/>
    <w:rsid w:val="008937F7"/>
    <w:rsid w:val="008953BC"/>
    <w:rsid w:val="00901503"/>
    <w:rsid w:val="009A261B"/>
    <w:rsid w:val="009E4EBF"/>
    <w:rsid w:val="00A6733D"/>
    <w:rsid w:val="00AA2E17"/>
    <w:rsid w:val="00AC15A4"/>
    <w:rsid w:val="00AE628D"/>
    <w:rsid w:val="00B0336C"/>
    <w:rsid w:val="00C81FA6"/>
    <w:rsid w:val="00D22E30"/>
    <w:rsid w:val="00D241E9"/>
    <w:rsid w:val="00D3126A"/>
    <w:rsid w:val="00D7750D"/>
    <w:rsid w:val="00DD629A"/>
    <w:rsid w:val="00E66075"/>
    <w:rsid w:val="00E809AF"/>
    <w:rsid w:val="00EA4F2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1CD34D98-60A5-447D-967C-66EDAE23400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6D74B57B-AD33-4038-92D2-031D99900349}">
  <ds:schemaRefs>
    <ds:schemaRef ds:uri="http://schemas.microsoft.com/sharepoint/v3/contenttype/forms"/>
  </ds:schemaRefs>
</ds:datastoreItem>
</file>

<file path=customXml/itemProps4.xml><?xml version="1.0" encoding="utf-8"?>
<ds:datastoreItem xmlns:ds="http://schemas.openxmlformats.org/officeDocument/2006/customXml" ds:itemID="{59AB987E-D507-4608-96C8-5E84156C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2025-09-25T21:06:00Z</dcterms:created>
  <dcterms:modified xsi:type="dcterms:W3CDTF">2025-09-25T21:06:00Z</dcterms:modified>
</cp:coreProperties>
</file>