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F316D1">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E1CF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0DEBC35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63120">
                              <w:rPr>
                                <w:rFonts w:asciiTheme="majorHAnsi" w:hAnsiTheme="majorHAnsi" w:cs="Arial"/>
                                <w:b/>
                                <w:bCs/>
                                <w:color w:val="0D0D0D" w:themeColor="text1" w:themeTint="F2"/>
                                <w:sz w:val="36"/>
                                <w:szCs w:val="22"/>
                                <w:lang w:val="es-ES_tradnl"/>
                              </w:rPr>
                              <w:t>126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AC72CA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5D300A">
                              <w:rPr>
                                <w:rFonts w:asciiTheme="majorHAnsi" w:hAnsiTheme="majorHAnsi" w:cs="Arial"/>
                                <w:b/>
                                <w:color w:val="0D0D0D" w:themeColor="text1" w:themeTint="F2"/>
                                <w:sz w:val="36"/>
                                <w:szCs w:val="22"/>
                                <w:lang w:val="es-ES_tradnl"/>
                              </w:rPr>
                              <w:t xml:space="preserve"> 940-15</w:t>
                            </w:r>
                          </w:p>
                          <w:p w14:paraId="70CF6833" w14:textId="5F4B5570"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48DB56AC" w:rsidR="00EB197F" w:rsidRPr="00A9608A" w:rsidRDefault="005D300A" w:rsidP="00997BC5">
                            <w:pPr>
                              <w:spacing w:line="276" w:lineRule="auto"/>
                              <w:rPr>
                                <w:rFonts w:asciiTheme="majorHAnsi" w:hAnsiTheme="majorHAnsi" w:cs="Arial"/>
                                <w:color w:val="0D0D0D" w:themeColor="text1" w:themeTint="F2"/>
                                <w:szCs w:val="22"/>
                                <w:lang w:val="es-ES_tradnl"/>
                              </w:rPr>
                            </w:pPr>
                            <w:r w:rsidRPr="00A9608A">
                              <w:rPr>
                                <w:rFonts w:asciiTheme="majorHAnsi" w:hAnsiTheme="majorHAnsi" w:cs="Arial"/>
                                <w:color w:val="0D0D0D" w:themeColor="text1" w:themeTint="F2"/>
                                <w:szCs w:val="22"/>
                                <w:lang w:val="es-ES_tradnl"/>
                              </w:rPr>
                              <w:t>DANIELA TRUJILLO MARTÍNEZ</w:t>
                            </w:r>
                            <w:r w:rsidR="00A9608A" w:rsidRPr="00A9608A">
                              <w:rPr>
                                <w:rFonts w:asciiTheme="majorHAnsi" w:hAnsiTheme="majorHAnsi" w:cs="Arial"/>
                                <w:color w:val="0D0D0D" w:themeColor="text1" w:themeTint="F2"/>
                                <w:szCs w:val="22"/>
                                <w:lang w:val="es-ES_tradnl"/>
                              </w:rPr>
                              <w:t xml:space="preserve"> Y FAMILIARES</w:t>
                            </w:r>
                          </w:p>
                          <w:p w14:paraId="575DFD52" w14:textId="318C6E8D" w:rsidR="005B52B0" w:rsidRPr="00EB197F" w:rsidRDefault="005D300A"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0DEBC35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63120">
                        <w:rPr>
                          <w:rFonts w:asciiTheme="majorHAnsi" w:hAnsiTheme="majorHAnsi" w:cs="Arial"/>
                          <w:b/>
                          <w:bCs/>
                          <w:color w:val="0D0D0D" w:themeColor="text1" w:themeTint="F2"/>
                          <w:sz w:val="36"/>
                          <w:szCs w:val="22"/>
                          <w:lang w:val="es-ES_tradnl"/>
                        </w:rPr>
                        <w:t>126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AC72CA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5D300A">
                        <w:rPr>
                          <w:rFonts w:asciiTheme="majorHAnsi" w:hAnsiTheme="majorHAnsi" w:cs="Arial"/>
                          <w:b/>
                          <w:color w:val="0D0D0D" w:themeColor="text1" w:themeTint="F2"/>
                          <w:sz w:val="36"/>
                          <w:szCs w:val="22"/>
                          <w:lang w:val="es-ES_tradnl"/>
                        </w:rPr>
                        <w:t xml:space="preserve"> 940-15</w:t>
                      </w:r>
                    </w:p>
                    <w:p w14:paraId="70CF6833" w14:textId="5F4B5570"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48DB56AC" w:rsidR="00EB197F" w:rsidRPr="00A9608A" w:rsidRDefault="005D300A" w:rsidP="00997BC5">
                      <w:pPr>
                        <w:spacing w:line="276" w:lineRule="auto"/>
                        <w:rPr>
                          <w:rFonts w:asciiTheme="majorHAnsi" w:hAnsiTheme="majorHAnsi" w:cs="Arial"/>
                          <w:color w:val="0D0D0D" w:themeColor="text1" w:themeTint="F2"/>
                          <w:szCs w:val="22"/>
                          <w:lang w:val="es-ES_tradnl"/>
                        </w:rPr>
                      </w:pPr>
                      <w:r w:rsidRPr="00A9608A">
                        <w:rPr>
                          <w:rFonts w:asciiTheme="majorHAnsi" w:hAnsiTheme="majorHAnsi" w:cs="Arial"/>
                          <w:color w:val="0D0D0D" w:themeColor="text1" w:themeTint="F2"/>
                          <w:szCs w:val="22"/>
                          <w:lang w:val="es-ES_tradnl"/>
                        </w:rPr>
                        <w:t>DANIELA TRUJILLO MARTÍNEZ</w:t>
                      </w:r>
                      <w:r w:rsidR="00A9608A" w:rsidRPr="00A9608A">
                        <w:rPr>
                          <w:rFonts w:asciiTheme="majorHAnsi" w:hAnsiTheme="majorHAnsi" w:cs="Arial"/>
                          <w:color w:val="0D0D0D" w:themeColor="text1" w:themeTint="F2"/>
                          <w:szCs w:val="22"/>
                          <w:lang w:val="es-ES_tradnl"/>
                        </w:rPr>
                        <w:t xml:space="preserve"> Y FAMILIARES</w:t>
                      </w:r>
                    </w:p>
                    <w:p w14:paraId="575DFD52" w14:textId="318C6E8D" w:rsidR="005B52B0" w:rsidRPr="00EB197F" w:rsidRDefault="005D300A"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2E1B0A5F" w:rsidR="00627C9F" w:rsidRPr="00501D22" w:rsidRDefault="00834D49" w:rsidP="007A5817">
                            <w:pPr>
                              <w:spacing w:line="276" w:lineRule="auto"/>
                              <w:jc w:val="right"/>
                              <w:rPr>
                                <w:rFonts w:asciiTheme="minorHAnsi" w:hAnsiTheme="minorHAnsi"/>
                                <w:color w:val="FFFFFF" w:themeColor="background1"/>
                                <w:sz w:val="22"/>
                                <w:lang w:val="es-ES"/>
                              </w:rPr>
                            </w:pPr>
                            <w:r w:rsidRPr="00501D22">
                              <w:rPr>
                                <w:rFonts w:asciiTheme="minorHAnsi" w:hAnsiTheme="minorHAnsi"/>
                                <w:color w:val="FFFFFF" w:themeColor="background1"/>
                                <w:sz w:val="22"/>
                                <w:lang w:val="es-ES"/>
                              </w:rPr>
                              <w:t>OEA/Ser.L/V/II</w:t>
                            </w:r>
                          </w:p>
                          <w:p w14:paraId="6A41611B" w14:textId="6266726E" w:rsidR="00627C9F" w:rsidRPr="00501D22" w:rsidRDefault="00627C9F" w:rsidP="007A5817">
                            <w:pPr>
                              <w:spacing w:line="276" w:lineRule="auto"/>
                              <w:jc w:val="right"/>
                              <w:rPr>
                                <w:rFonts w:asciiTheme="minorHAnsi" w:hAnsiTheme="minorHAnsi"/>
                                <w:color w:val="FFFFFF" w:themeColor="background1"/>
                                <w:sz w:val="22"/>
                                <w:lang w:val="es-ES"/>
                              </w:rPr>
                            </w:pPr>
                            <w:r w:rsidRPr="00501D22">
                              <w:rPr>
                                <w:rFonts w:asciiTheme="minorHAnsi" w:hAnsiTheme="minorHAnsi"/>
                                <w:color w:val="FFFFFF" w:themeColor="background1"/>
                                <w:sz w:val="22"/>
                                <w:lang w:val="es-ES"/>
                              </w:rPr>
                              <w:t xml:space="preserve">Doc. </w:t>
                            </w:r>
                            <w:r w:rsidR="00656A30" w:rsidRPr="00501D22">
                              <w:rPr>
                                <w:rFonts w:asciiTheme="minorHAnsi" w:hAnsiTheme="minorHAnsi"/>
                                <w:color w:val="FFFFFF" w:themeColor="background1"/>
                                <w:sz w:val="22"/>
                                <w:lang w:val="es-ES"/>
                              </w:rPr>
                              <w:t>132</w:t>
                            </w:r>
                          </w:p>
                          <w:p w14:paraId="69373ED2" w14:textId="0141C6E4" w:rsidR="00627C9F" w:rsidRPr="00C25ADB" w:rsidRDefault="00656A3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2E1B0A5F" w:rsidR="00627C9F" w:rsidRPr="00501D22" w:rsidRDefault="00834D49" w:rsidP="007A5817">
                      <w:pPr>
                        <w:spacing w:line="276" w:lineRule="auto"/>
                        <w:jc w:val="right"/>
                        <w:rPr>
                          <w:rFonts w:asciiTheme="minorHAnsi" w:hAnsiTheme="minorHAnsi"/>
                          <w:color w:val="FFFFFF" w:themeColor="background1"/>
                          <w:sz w:val="22"/>
                          <w:lang w:val="es-ES"/>
                        </w:rPr>
                      </w:pPr>
                      <w:r w:rsidRPr="00501D22">
                        <w:rPr>
                          <w:rFonts w:asciiTheme="minorHAnsi" w:hAnsiTheme="minorHAnsi"/>
                          <w:color w:val="FFFFFF" w:themeColor="background1"/>
                          <w:sz w:val="22"/>
                          <w:lang w:val="es-ES"/>
                        </w:rPr>
                        <w:t>OEA/Ser.L/V/II</w:t>
                      </w:r>
                    </w:p>
                    <w:p w14:paraId="6A41611B" w14:textId="6266726E" w:rsidR="00627C9F" w:rsidRPr="00501D22" w:rsidRDefault="00627C9F" w:rsidP="007A5817">
                      <w:pPr>
                        <w:spacing w:line="276" w:lineRule="auto"/>
                        <w:jc w:val="right"/>
                        <w:rPr>
                          <w:rFonts w:asciiTheme="minorHAnsi" w:hAnsiTheme="minorHAnsi"/>
                          <w:color w:val="FFFFFF" w:themeColor="background1"/>
                          <w:sz w:val="22"/>
                          <w:lang w:val="es-ES"/>
                        </w:rPr>
                      </w:pPr>
                      <w:r w:rsidRPr="00501D22">
                        <w:rPr>
                          <w:rFonts w:asciiTheme="minorHAnsi" w:hAnsiTheme="minorHAnsi"/>
                          <w:color w:val="FFFFFF" w:themeColor="background1"/>
                          <w:sz w:val="22"/>
                          <w:lang w:val="es-ES"/>
                        </w:rPr>
                        <w:t xml:space="preserve">Doc. </w:t>
                      </w:r>
                      <w:r w:rsidR="00656A30" w:rsidRPr="00501D22">
                        <w:rPr>
                          <w:rFonts w:asciiTheme="minorHAnsi" w:hAnsiTheme="minorHAnsi"/>
                          <w:color w:val="FFFFFF" w:themeColor="background1"/>
                          <w:sz w:val="22"/>
                          <w:lang w:val="es-ES"/>
                        </w:rPr>
                        <w:t>132</w:t>
                      </w:r>
                    </w:p>
                    <w:p w14:paraId="69373ED2" w14:textId="0141C6E4" w:rsidR="00627C9F" w:rsidRPr="00C25ADB" w:rsidRDefault="00656A3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julio</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04CC1B60"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63120">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A63120">
                              <w:rPr>
                                <w:rFonts w:asciiTheme="majorHAnsi" w:hAnsiTheme="majorHAnsi"/>
                                <w:color w:val="0D0D0D" w:themeColor="text1" w:themeTint="F2"/>
                                <w:sz w:val="18"/>
                                <w:szCs w:val="22"/>
                                <w:lang w:val="es-ES"/>
                              </w:rPr>
                              <w:t xml:space="preserve">julio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A6312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04CC1B60"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63120">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A63120">
                        <w:rPr>
                          <w:rFonts w:asciiTheme="majorHAnsi" w:hAnsiTheme="majorHAnsi"/>
                          <w:color w:val="0D0D0D" w:themeColor="text1" w:themeTint="F2"/>
                          <w:sz w:val="18"/>
                          <w:szCs w:val="22"/>
                          <w:lang w:val="es-ES"/>
                        </w:rPr>
                        <w:t xml:space="preserve">julio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A6312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136CD" w14:textId="77777777" w:rsidR="00017A3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63120" w:rsidRPr="00A63120">
                              <w:rPr>
                                <w:rFonts w:asciiTheme="majorHAnsi" w:hAnsiTheme="majorHAnsi"/>
                                <w:color w:val="595959" w:themeColor="text1" w:themeTint="A6"/>
                                <w:sz w:val="18"/>
                                <w:szCs w:val="18"/>
                                <w:lang w:val="pt-BR"/>
                              </w:rPr>
                              <w:t>126</w:t>
                            </w:r>
                            <w:r w:rsidR="007B05C4" w:rsidRPr="00A63120">
                              <w:rPr>
                                <w:rFonts w:asciiTheme="majorHAnsi" w:hAnsiTheme="majorHAnsi"/>
                                <w:color w:val="595959" w:themeColor="text1" w:themeTint="A6"/>
                                <w:sz w:val="18"/>
                                <w:szCs w:val="18"/>
                                <w:lang w:val="pt-BR"/>
                              </w:rPr>
                              <w:t>/</w:t>
                            </w:r>
                            <w:r w:rsidR="00A63120" w:rsidRPr="00A63120">
                              <w:rPr>
                                <w:rFonts w:asciiTheme="majorHAnsi" w:hAnsiTheme="majorHAnsi"/>
                                <w:color w:val="595959" w:themeColor="text1" w:themeTint="A6"/>
                                <w:sz w:val="18"/>
                                <w:szCs w:val="18"/>
                                <w:lang w:val="pt-BR"/>
                              </w:rPr>
                              <w:t>25</w:t>
                            </w:r>
                            <w:r w:rsidRPr="00A6312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5D300A">
                              <w:rPr>
                                <w:rFonts w:asciiTheme="majorHAnsi" w:hAnsiTheme="majorHAnsi"/>
                                <w:color w:val="595959" w:themeColor="text1" w:themeTint="A6"/>
                                <w:sz w:val="18"/>
                                <w:szCs w:val="18"/>
                                <w:lang w:val="es-ES"/>
                              </w:rPr>
                              <w:t xml:space="preserve"> 940-15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9D3556E" w:rsidR="00113F73" w:rsidRPr="007B05C4" w:rsidRDefault="005D300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Daniela Trujillo Martínez</w:t>
                            </w:r>
                            <w:r w:rsidR="00A9608A">
                              <w:rPr>
                                <w:rFonts w:asciiTheme="majorHAnsi" w:hAnsiTheme="majorHAnsi"/>
                                <w:color w:val="595959" w:themeColor="text1" w:themeTint="A6"/>
                                <w:sz w:val="18"/>
                                <w:szCs w:val="18"/>
                                <w:lang w:val="es-ES_tradnl"/>
                              </w:rPr>
                              <w:t xml:space="preserve"> y familiares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A63120">
                              <w:rPr>
                                <w:rFonts w:asciiTheme="majorHAnsi" w:hAnsiTheme="majorHAnsi"/>
                                <w:color w:val="595959" w:themeColor="text1" w:themeTint="A6"/>
                                <w:sz w:val="18"/>
                                <w:szCs w:val="18"/>
                                <w:lang w:val="es-ES"/>
                              </w:rPr>
                              <w:t>2 de julio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B8136CD" w14:textId="77777777" w:rsidR="00017A3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63120" w:rsidRPr="00A63120">
                        <w:rPr>
                          <w:rFonts w:asciiTheme="majorHAnsi" w:hAnsiTheme="majorHAnsi"/>
                          <w:color w:val="595959" w:themeColor="text1" w:themeTint="A6"/>
                          <w:sz w:val="18"/>
                          <w:szCs w:val="18"/>
                          <w:lang w:val="pt-BR"/>
                        </w:rPr>
                        <w:t>126</w:t>
                      </w:r>
                      <w:r w:rsidR="007B05C4" w:rsidRPr="00A63120">
                        <w:rPr>
                          <w:rFonts w:asciiTheme="majorHAnsi" w:hAnsiTheme="majorHAnsi"/>
                          <w:color w:val="595959" w:themeColor="text1" w:themeTint="A6"/>
                          <w:sz w:val="18"/>
                          <w:szCs w:val="18"/>
                          <w:lang w:val="pt-BR"/>
                        </w:rPr>
                        <w:t>/</w:t>
                      </w:r>
                      <w:r w:rsidR="00A63120" w:rsidRPr="00A63120">
                        <w:rPr>
                          <w:rFonts w:asciiTheme="majorHAnsi" w:hAnsiTheme="majorHAnsi"/>
                          <w:color w:val="595959" w:themeColor="text1" w:themeTint="A6"/>
                          <w:sz w:val="18"/>
                          <w:szCs w:val="18"/>
                          <w:lang w:val="pt-BR"/>
                        </w:rPr>
                        <w:t>25</w:t>
                      </w:r>
                      <w:r w:rsidRPr="00A6312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5D300A">
                        <w:rPr>
                          <w:rFonts w:asciiTheme="majorHAnsi" w:hAnsiTheme="majorHAnsi"/>
                          <w:color w:val="595959" w:themeColor="text1" w:themeTint="A6"/>
                          <w:sz w:val="18"/>
                          <w:szCs w:val="18"/>
                          <w:lang w:val="es-ES"/>
                        </w:rPr>
                        <w:t xml:space="preserve"> 940-15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59D3556E" w:rsidR="00113F73" w:rsidRPr="007B05C4" w:rsidRDefault="005D300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Daniela Trujillo Martínez</w:t>
                      </w:r>
                      <w:r w:rsidR="00A9608A">
                        <w:rPr>
                          <w:rFonts w:asciiTheme="majorHAnsi" w:hAnsiTheme="majorHAnsi"/>
                          <w:color w:val="595959" w:themeColor="text1" w:themeTint="A6"/>
                          <w:sz w:val="18"/>
                          <w:szCs w:val="18"/>
                          <w:lang w:val="es-ES_tradnl"/>
                        </w:rPr>
                        <w:t xml:space="preserve"> y familiares</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A63120">
                        <w:rPr>
                          <w:rFonts w:asciiTheme="majorHAnsi" w:hAnsiTheme="majorHAnsi"/>
                          <w:color w:val="595959" w:themeColor="text1" w:themeTint="A6"/>
                          <w:sz w:val="18"/>
                          <w:szCs w:val="18"/>
                          <w:lang w:val="es-ES"/>
                        </w:rPr>
                        <w:t>2 de julio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5F961A41"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15EB1DB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C7A2BB2" w:rsidR="0070697F" w:rsidRDefault="00F2571A"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1B01A50E">
                <wp:simplePos x="0" y="0"/>
                <wp:positionH relativeFrom="column">
                  <wp:posOffset>1308262</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289B786" w:rsidR="00D72DC6" w:rsidRPr="00D72DC6" w:rsidRDefault="003F4210" w:rsidP="00F02AD1">
                            <w:pPr>
                              <w:rPr>
                                <w:color w:val="FFFFFF" w:themeColor="background1"/>
                                <w14:textFill>
                                  <w14:noFill/>
                                </w14:textFill>
                              </w:rPr>
                            </w:pPr>
                            <w:r>
                              <w:rPr>
                                <w:noProof/>
                                <w:color w:val="FFFFFF" w:themeColor="background1"/>
                              </w:rPr>
                              <w:drawing>
                                <wp:inline distT="0" distB="0" distL="0" distR="0" wp14:anchorId="185266F9" wp14:editId="2C452963">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3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" fillcolor="white [3201]" stroked="f" strokeweight=".5pt">
                <v:textbox>
                  <w:txbxContent>
                    <w:p w14:paraId="2A1ECD3C" w14:textId="2289B786" w:rsidR="00D72DC6" w:rsidRPr="00D72DC6" w:rsidRDefault="003F4210" w:rsidP="00F02AD1">
                      <w:pPr>
                        <w:rPr>
                          <w:color w:val="FFFFFF" w:themeColor="background1"/>
                          <w14:textFill>
                            <w14:noFill/>
                          </w14:textFill>
                        </w:rPr>
                      </w:pPr>
                      <w:r>
                        <w:rPr>
                          <w:noProof/>
                          <w:color w:val="FFFFFF" w:themeColor="background1"/>
                        </w:rPr>
                        <w:drawing>
                          <wp:inline distT="0" distB="0" distL="0" distR="0" wp14:anchorId="185266F9" wp14:editId="2C452963">
                            <wp:extent cx="1824355" cy="469265"/>
                            <wp:effectExtent l="0" t="0" r="4445" b="6985"/>
                            <wp:docPr id="1823065258" name="Picture 1823065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117F5181" w:rsidR="003239B8" w:rsidRPr="00D87C0E" w:rsidRDefault="00B9468D" w:rsidP="00D13530">
            <w:pPr>
              <w:jc w:val="both"/>
              <w:rPr>
                <w:rFonts w:ascii="Cambria" w:hAnsi="Cambria"/>
                <w:bCs/>
                <w:sz w:val="20"/>
                <w:szCs w:val="20"/>
                <w:lang w:val="es-PE"/>
              </w:rPr>
            </w:pPr>
            <w:r w:rsidRPr="00D87C0E">
              <w:rPr>
                <w:rFonts w:ascii="Cambria" w:hAnsi="Cambria"/>
                <w:bCs/>
                <w:sz w:val="20"/>
                <w:szCs w:val="20"/>
                <w:lang w:val="es-PE"/>
              </w:rPr>
              <w:t>Diego Alejandro Loaiza García</w:t>
            </w:r>
          </w:p>
        </w:tc>
      </w:tr>
      <w:tr w:rsidR="003239B8" w:rsidRPr="00501D22"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4A0ADA"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655196C1" w:rsidR="003239B8" w:rsidRPr="00D87C0E" w:rsidRDefault="00B9468D" w:rsidP="008D2290">
            <w:pPr>
              <w:jc w:val="both"/>
              <w:rPr>
                <w:rFonts w:ascii="Cambria" w:hAnsi="Cambria"/>
                <w:bCs/>
                <w:sz w:val="20"/>
                <w:szCs w:val="20"/>
                <w:lang w:val="es-PE"/>
              </w:rPr>
            </w:pPr>
            <w:r w:rsidRPr="00D87C0E">
              <w:rPr>
                <w:rFonts w:ascii="Cambria" w:hAnsi="Cambria"/>
                <w:bCs/>
                <w:sz w:val="20"/>
                <w:szCs w:val="20"/>
                <w:lang w:val="es-PE"/>
              </w:rPr>
              <w:t xml:space="preserve">Daniela Trujillo Martínez </w:t>
            </w:r>
            <w:r w:rsidR="00D87C0E" w:rsidRPr="00D87C0E">
              <w:rPr>
                <w:rFonts w:ascii="Cambria" w:hAnsi="Cambria"/>
                <w:bCs/>
                <w:sz w:val="20"/>
                <w:szCs w:val="20"/>
                <w:lang w:val="es-PE"/>
              </w:rPr>
              <w:t>y familiares</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25CAC660" w:rsidR="003239B8" w:rsidRPr="000D05CB" w:rsidRDefault="00AA45B3" w:rsidP="008D2290">
            <w:pPr>
              <w:jc w:val="both"/>
              <w:rPr>
                <w:rFonts w:ascii="Cambria" w:hAnsi="Cambria"/>
                <w:bCs/>
                <w:sz w:val="20"/>
                <w:szCs w:val="20"/>
              </w:rPr>
            </w:pPr>
            <w:r>
              <w:rPr>
                <w:rFonts w:ascii="Cambria" w:hAnsi="Cambria"/>
                <w:bCs/>
                <w:sz w:val="20"/>
                <w:szCs w:val="20"/>
              </w:rPr>
              <w:t>Colombia</w:t>
            </w:r>
            <w:r w:rsidR="00716C90" w:rsidRPr="000D05CB">
              <w:rPr>
                <w:rStyle w:val="FootnoteReference"/>
                <w:rFonts w:ascii="Cambria" w:hAnsi="Cambria"/>
                <w:bCs/>
                <w:sz w:val="20"/>
                <w:szCs w:val="20"/>
              </w:rPr>
              <w:footnoteReference w:id="2"/>
            </w:r>
          </w:p>
        </w:tc>
      </w:tr>
      <w:tr w:rsidR="00223A29" w:rsidRPr="00501D22"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1A1CCA47" w:rsidR="00223A29" w:rsidRPr="00AA45B3" w:rsidRDefault="00A9608A" w:rsidP="008D2290">
            <w:pPr>
              <w:jc w:val="both"/>
              <w:rPr>
                <w:rFonts w:ascii="Cambria" w:hAnsi="Cambria"/>
                <w:bCs/>
                <w:sz w:val="20"/>
                <w:szCs w:val="20"/>
                <w:lang w:val="es-PE"/>
              </w:rPr>
            </w:pPr>
            <w:r>
              <w:rPr>
                <w:rFonts w:ascii="Cambria" w:hAnsi="Cambria"/>
                <w:bCs/>
                <w:sz w:val="20"/>
                <w:szCs w:val="20"/>
                <w:lang w:val="es-MX"/>
              </w:rPr>
              <w:t>Artículos 4 (vida), 8 (garantías judiciales) y 25 (protección judicial)</w:t>
            </w:r>
            <w:r w:rsidR="00AA45B3">
              <w:rPr>
                <w:rFonts w:ascii="Cambria" w:hAnsi="Cambria"/>
                <w:bCs/>
                <w:sz w:val="20"/>
                <w:szCs w:val="20"/>
                <w:lang w:val="es-MX"/>
              </w:rPr>
              <w:t xml:space="preserve"> </w:t>
            </w:r>
            <w:r w:rsidR="00AA45B3" w:rsidRPr="00DF4403">
              <w:rPr>
                <w:rFonts w:ascii="Cambria" w:hAnsi="Cambria"/>
                <w:bCs/>
                <w:sz w:val="20"/>
                <w:szCs w:val="20"/>
                <w:lang w:val="es-MX"/>
              </w:rPr>
              <w:t>de la Convención Americana sobre Derechos Humanos</w:t>
            </w:r>
            <w:r w:rsidR="00AA45B3" w:rsidRPr="00DF4403">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47592A0C" w:rsidR="004C2312" w:rsidRPr="003239B8" w:rsidRDefault="00A5234F" w:rsidP="002625EA">
            <w:pPr>
              <w:jc w:val="both"/>
              <w:rPr>
                <w:rFonts w:ascii="Cambria" w:hAnsi="Cambria"/>
                <w:bCs/>
                <w:sz w:val="20"/>
                <w:szCs w:val="20"/>
                <w:lang w:val="es-ES"/>
              </w:rPr>
            </w:pPr>
            <w:r>
              <w:rPr>
                <w:rFonts w:ascii="Cambria" w:hAnsi="Cambria"/>
                <w:bCs/>
                <w:sz w:val="20"/>
                <w:szCs w:val="20"/>
                <w:lang w:val="es-ES"/>
              </w:rPr>
              <w:t>2 de junio de 2015</w:t>
            </w:r>
          </w:p>
        </w:tc>
      </w:tr>
      <w:tr w:rsidR="00131425" w:rsidRPr="00716C90"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00B86549" w:rsidR="00131425" w:rsidRPr="003239B8" w:rsidRDefault="00130823" w:rsidP="002625EA">
            <w:pPr>
              <w:jc w:val="both"/>
              <w:rPr>
                <w:rFonts w:ascii="Cambria" w:hAnsi="Cambria"/>
                <w:bCs/>
                <w:sz w:val="20"/>
                <w:szCs w:val="20"/>
                <w:lang w:val="es-ES"/>
              </w:rPr>
            </w:pPr>
            <w:r>
              <w:rPr>
                <w:rFonts w:ascii="Cambria" w:hAnsi="Cambria"/>
                <w:bCs/>
                <w:sz w:val="20"/>
                <w:szCs w:val="20"/>
                <w:lang w:val="es-ES"/>
              </w:rPr>
              <w:t>11 de febrero de 2021</w:t>
            </w:r>
          </w:p>
        </w:tc>
      </w:tr>
      <w:tr w:rsidR="004C2312" w:rsidRPr="00716C90"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6AD9EE0E" w:rsidR="004C2312" w:rsidRPr="003239B8" w:rsidRDefault="00130823" w:rsidP="008D2290">
            <w:pPr>
              <w:jc w:val="both"/>
              <w:rPr>
                <w:rFonts w:ascii="Cambria" w:hAnsi="Cambria"/>
                <w:bCs/>
                <w:sz w:val="20"/>
                <w:szCs w:val="20"/>
                <w:lang w:val="es-ES"/>
              </w:rPr>
            </w:pPr>
            <w:r>
              <w:rPr>
                <w:rFonts w:ascii="Cambria" w:hAnsi="Cambria"/>
                <w:bCs/>
                <w:sz w:val="20"/>
                <w:szCs w:val="20"/>
                <w:lang w:val="es-ES"/>
              </w:rPr>
              <w:t>8 de abril de 2022</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4F577FD6" w:rsidR="004C2312" w:rsidRPr="003239B8" w:rsidRDefault="00130823" w:rsidP="008D2290">
            <w:pPr>
              <w:jc w:val="both"/>
              <w:rPr>
                <w:rFonts w:ascii="Cambria" w:hAnsi="Cambria"/>
                <w:bCs/>
                <w:sz w:val="20"/>
                <w:szCs w:val="20"/>
                <w:lang w:val="es-ES"/>
              </w:rPr>
            </w:pPr>
            <w:r>
              <w:rPr>
                <w:rFonts w:ascii="Cambria" w:hAnsi="Cambria"/>
                <w:bCs/>
                <w:sz w:val="20"/>
                <w:szCs w:val="20"/>
                <w:lang w:val="es-ES"/>
              </w:rPr>
              <w:t>10 de agosto de 2022</w:t>
            </w:r>
          </w:p>
        </w:tc>
      </w:tr>
      <w:tr w:rsidR="001E49E7" w:rsidRPr="00501D22"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1C35F82B" w:rsidR="001E49E7" w:rsidRPr="003239B8" w:rsidRDefault="00B55B87" w:rsidP="002625EA">
            <w:pPr>
              <w:jc w:val="both"/>
              <w:rPr>
                <w:rFonts w:ascii="Cambria" w:hAnsi="Cambria"/>
                <w:bCs/>
                <w:sz w:val="20"/>
                <w:szCs w:val="20"/>
                <w:lang w:val="es-ES"/>
              </w:rPr>
            </w:pPr>
            <w:r>
              <w:rPr>
                <w:rFonts w:ascii="Cambria" w:hAnsi="Cambria"/>
                <w:bCs/>
                <w:sz w:val="20"/>
                <w:szCs w:val="20"/>
                <w:lang w:val="es-ES"/>
              </w:rPr>
              <w:t>29 de octubre de 2020</w:t>
            </w:r>
            <w:r w:rsidR="00130823">
              <w:rPr>
                <w:rFonts w:ascii="Cambria" w:hAnsi="Cambria"/>
                <w:bCs/>
                <w:sz w:val="20"/>
                <w:szCs w:val="20"/>
                <w:lang w:val="es-ES"/>
              </w:rPr>
              <w:t xml:space="preserve"> y 11 de marzo de 2025</w:t>
            </w:r>
          </w:p>
        </w:tc>
      </w:tr>
      <w:tr w:rsidR="001E49E7" w:rsidRPr="00501D22"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6162BCB1" w:rsidR="001E49E7" w:rsidRPr="003239B8" w:rsidRDefault="00B6335B" w:rsidP="002625EA">
            <w:pPr>
              <w:jc w:val="both"/>
              <w:rPr>
                <w:rFonts w:ascii="Cambria" w:hAnsi="Cambria"/>
                <w:bCs/>
                <w:sz w:val="20"/>
                <w:szCs w:val="20"/>
                <w:lang w:val="es-ES"/>
              </w:rPr>
            </w:pPr>
            <w:r>
              <w:rPr>
                <w:rFonts w:ascii="Cambria" w:hAnsi="Cambria"/>
                <w:bCs/>
                <w:sz w:val="20"/>
                <w:szCs w:val="20"/>
                <w:lang w:val="es-ES"/>
              </w:rPr>
              <w:t>11 de noviembre de 2020</w:t>
            </w:r>
            <w:r w:rsidR="00130823">
              <w:rPr>
                <w:rFonts w:ascii="Cambria" w:hAnsi="Cambria"/>
                <w:bCs/>
                <w:sz w:val="20"/>
                <w:szCs w:val="20"/>
                <w:lang w:val="es-ES"/>
              </w:rPr>
              <w:t xml:space="preserve"> y 8 de mayo de 2025</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7707F3E9" w14:textId="1EE92DF3" w:rsidR="003239B8" w:rsidRPr="00B3745F" w:rsidRDefault="00AE4175"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57B3B613" w:rsidR="003239B8" w:rsidRPr="00B3745F" w:rsidRDefault="00AE4175"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1A0B4051" w:rsidR="003239B8" w:rsidRPr="00B3745F" w:rsidRDefault="00AE4175" w:rsidP="008D2290">
            <w:pPr>
              <w:rPr>
                <w:rFonts w:ascii="Cambria" w:hAnsi="Cambria"/>
                <w:bCs/>
                <w:sz w:val="20"/>
                <w:szCs w:val="20"/>
              </w:rPr>
            </w:pPr>
            <w:r>
              <w:rPr>
                <w:rFonts w:ascii="Cambria" w:hAnsi="Cambria"/>
                <w:bCs/>
                <w:sz w:val="20"/>
                <w:szCs w:val="20"/>
              </w:rPr>
              <w:t>Sí</w:t>
            </w:r>
          </w:p>
        </w:tc>
      </w:tr>
      <w:tr w:rsidR="003239B8" w:rsidRPr="001E49E7"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4714DF49" w14:textId="77777777" w:rsidR="00EB090F" w:rsidRPr="00463185" w:rsidRDefault="00EB090F" w:rsidP="00EB090F">
            <w:pPr>
              <w:jc w:val="both"/>
              <w:rPr>
                <w:rFonts w:ascii="Cambria" w:hAnsi="Cambria"/>
                <w:bCs/>
                <w:sz w:val="20"/>
                <w:szCs w:val="20"/>
                <w:lang w:val="es-ES"/>
              </w:rPr>
            </w:pPr>
            <w:r w:rsidRPr="00463185">
              <w:rPr>
                <w:rFonts w:ascii="Cambria" w:hAnsi="Cambria"/>
                <w:bCs/>
                <w:sz w:val="20"/>
                <w:szCs w:val="20"/>
                <w:lang w:val="es-ES"/>
              </w:rPr>
              <w:t>Sí, la Convención Americana (depósito de instrumento realizado</w:t>
            </w:r>
          </w:p>
          <w:p w14:paraId="0C122F44" w14:textId="06C6D2AF" w:rsidR="003239B8" w:rsidRPr="00B3745F" w:rsidRDefault="00EB090F" w:rsidP="00EB090F">
            <w:pPr>
              <w:jc w:val="both"/>
              <w:rPr>
                <w:rFonts w:ascii="Cambria" w:hAnsi="Cambria"/>
                <w:bCs/>
                <w:sz w:val="20"/>
                <w:szCs w:val="20"/>
                <w:lang w:val="es-ES"/>
              </w:rPr>
            </w:pPr>
            <w:r w:rsidRPr="00463185">
              <w:rPr>
                <w:rFonts w:ascii="Cambria" w:hAnsi="Cambria"/>
                <w:bCs/>
                <w:sz w:val="20"/>
                <w:szCs w:val="20"/>
                <w:lang w:val="es-ES"/>
              </w:rPr>
              <w:t>el 31 de julio de 1973)</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785CD5"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240941E6" w14:textId="395CEF99" w:rsidR="00EE00E9" w:rsidRPr="00531CD0" w:rsidRDefault="00E74925" w:rsidP="008D2290">
            <w:pPr>
              <w:jc w:val="both"/>
              <w:rPr>
                <w:rFonts w:ascii="Cambria" w:hAnsi="Cambria"/>
                <w:bCs/>
                <w:sz w:val="20"/>
                <w:szCs w:val="20"/>
                <w:lang w:val="es-PE"/>
              </w:rPr>
            </w:pPr>
            <w:r w:rsidRPr="00531CD0">
              <w:rPr>
                <w:rFonts w:ascii="Cambria" w:hAnsi="Cambria"/>
                <w:bCs/>
                <w:sz w:val="20"/>
                <w:szCs w:val="20"/>
                <w:lang w:val="es-PE"/>
              </w:rPr>
              <w:t>No</w:t>
            </w:r>
          </w:p>
        </w:tc>
      </w:tr>
      <w:tr w:rsidR="003239B8" w:rsidRPr="002021CE"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6310C8F7" w14:textId="6C9A8799" w:rsidR="003239B8" w:rsidRPr="00531CD0" w:rsidRDefault="00095DBC" w:rsidP="008D2290">
            <w:pPr>
              <w:jc w:val="both"/>
              <w:rPr>
                <w:rFonts w:ascii="Cambria" w:hAnsi="Cambria"/>
                <w:bCs/>
                <w:sz w:val="20"/>
                <w:szCs w:val="20"/>
                <w:lang w:val="es-PE"/>
              </w:rPr>
            </w:pPr>
            <w:r w:rsidRPr="00531CD0">
              <w:rPr>
                <w:rFonts w:ascii="Cambria" w:hAnsi="Cambria"/>
                <w:bCs/>
                <w:sz w:val="20"/>
                <w:szCs w:val="20"/>
                <w:lang w:val="es-PE"/>
              </w:rPr>
              <w:t>Ninguno</w:t>
            </w:r>
          </w:p>
        </w:tc>
      </w:tr>
      <w:tr w:rsidR="003239B8" w:rsidRPr="00501D22"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69C53E8A" w14:textId="7B655C34" w:rsidR="003239B8" w:rsidRPr="00531CD0" w:rsidRDefault="00E74925" w:rsidP="008D2290">
            <w:pPr>
              <w:rPr>
                <w:rFonts w:ascii="Cambria" w:hAnsi="Cambria"/>
                <w:bCs/>
                <w:sz w:val="20"/>
                <w:szCs w:val="20"/>
                <w:lang w:val="es-PE"/>
              </w:rPr>
            </w:pPr>
            <w:r w:rsidRPr="00531CD0">
              <w:rPr>
                <w:rFonts w:ascii="Cambria" w:hAnsi="Cambria"/>
                <w:bCs/>
                <w:sz w:val="20"/>
                <w:szCs w:val="20"/>
                <w:lang w:val="es-PE"/>
              </w:rPr>
              <w:t>Sí, en los términos de la sección VI</w:t>
            </w:r>
          </w:p>
        </w:tc>
      </w:tr>
      <w:tr w:rsidR="003239B8" w:rsidRPr="00501D22"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4A2A4569" w14:textId="0D0FC38E" w:rsidR="003239B8" w:rsidRPr="00E74925" w:rsidRDefault="00E74925" w:rsidP="008D2290">
            <w:pPr>
              <w:rPr>
                <w:rFonts w:ascii="Cambria" w:hAnsi="Cambria"/>
                <w:bCs/>
                <w:sz w:val="20"/>
                <w:szCs w:val="20"/>
                <w:lang w:val="es-PE"/>
              </w:rPr>
            </w:pPr>
            <w:r w:rsidRPr="00E74925">
              <w:rPr>
                <w:rFonts w:ascii="Cambria" w:hAnsi="Cambria"/>
                <w:bCs/>
                <w:sz w:val="20"/>
                <w:szCs w:val="20"/>
                <w:lang w:val="es-PE"/>
              </w:rPr>
              <w:t>Sí, en los términos d</w:t>
            </w:r>
            <w:r>
              <w:rPr>
                <w:rFonts w:ascii="Cambria" w:hAnsi="Cambria"/>
                <w:bCs/>
                <w:sz w:val="20"/>
                <w:szCs w:val="20"/>
                <w:lang w:val="es-PE"/>
              </w:rPr>
              <w:t>e la sección VI</w:t>
            </w:r>
          </w:p>
        </w:tc>
      </w:tr>
    </w:tbl>
    <w:p w14:paraId="18E6423B" w14:textId="0107F3A7" w:rsidR="003239B8" w:rsidRPr="00E348CF" w:rsidRDefault="00223A29" w:rsidP="00EF76F5">
      <w:pPr>
        <w:spacing w:before="240" w:after="240"/>
        <w:ind w:firstLine="720"/>
        <w:jc w:val="both"/>
        <w:rPr>
          <w:rFonts w:asciiTheme="majorHAnsi" w:hAnsiTheme="majorHAnsi"/>
          <w:b/>
          <w:sz w:val="20"/>
          <w:szCs w:val="20"/>
          <w:lang w:val="es-ES_tradnl"/>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E348CF">
        <w:rPr>
          <w:rFonts w:asciiTheme="majorHAnsi" w:hAnsiTheme="majorHAnsi"/>
          <w:b/>
          <w:sz w:val="20"/>
          <w:szCs w:val="20"/>
          <w:lang w:val="es-ES_tradnl"/>
        </w:rPr>
        <w:t>POSICIÓN DE LAS PARTES</w:t>
      </w:r>
    </w:p>
    <w:p w14:paraId="16FB6418" w14:textId="0E59A609" w:rsidR="0083100C" w:rsidRPr="00E348CF" w:rsidRDefault="008A5E7E" w:rsidP="00EF76F5">
      <w:pPr>
        <w:spacing w:before="240" w:after="240"/>
        <w:ind w:firstLine="720"/>
        <w:jc w:val="both"/>
        <w:rPr>
          <w:rFonts w:asciiTheme="majorHAnsi" w:hAnsiTheme="majorHAnsi"/>
          <w:b/>
          <w:sz w:val="20"/>
          <w:szCs w:val="20"/>
          <w:lang w:val="es-ES_tradnl"/>
        </w:rPr>
      </w:pPr>
      <w:r w:rsidRPr="00E348CF">
        <w:rPr>
          <w:rFonts w:asciiTheme="majorHAnsi" w:hAnsiTheme="majorHAnsi"/>
          <w:b/>
          <w:sz w:val="20"/>
          <w:szCs w:val="20"/>
          <w:lang w:val="es-ES_tradnl"/>
        </w:rPr>
        <w:t xml:space="preserve">La parte peticionaria </w:t>
      </w:r>
    </w:p>
    <w:p w14:paraId="2F9E3653" w14:textId="73473412" w:rsidR="00596C2E" w:rsidRPr="00E348CF" w:rsidRDefault="00C5741D"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La</w:t>
      </w:r>
      <w:r w:rsidR="00CA6DDE" w:rsidRPr="0825EC64">
        <w:rPr>
          <w:rFonts w:asciiTheme="majorHAnsi" w:hAnsiTheme="majorHAnsi"/>
          <w:sz w:val="20"/>
          <w:szCs w:val="20"/>
          <w:lang w:val="es-ES"/>
        </w:rPr>
        <w:t xml:space="preserve"> parte peticionaria alega que el Estado colombiano a través de sus autoridades judiciales ha incumplido su obligación de investigar seria y diligentemente la muerte de la </w:t>
      </w:r>
      <w:r w:rsidR="00785CD5" w:rsidRPr="0825EC64">
        <w:rPr>
          <w:rFonts w:asciiTheme="majorHAnsi" w:hAnsiTheme="majorHAnsi"/>
          <w:sz w:val="20"/>
          <w:szCs w:val="20"/>
          <w:lang w:val="es-ES"/>
        </w:rPr>
        <w:t>adolescente</w:t>
      </w:r>
      <w:r w:rsidR="00CA6DDE" w:rsidRPr="0825EC64">
        <w:rPr>
          <w:rFonts w:asciiTheme="majorHAnsi" w:hAnsiTheme="majorHAnsi"/>
          <w:sz w:val="20"/>
          <w:szCs w:val="20"/>
          <w:lang w:val="es-ES"/>
        </w:rPr>
        <w:t xml:space="preserve"> Daniela Trujillo Martínez, ocurrida el 22 de junio de 2008 en la ciudad de Cali. </w:t>
      </w:r>
    </w:p>
    <w:p w14:paraId="5CDEF68E" w14:textId="022E05B8" w:rsidR="00A45494" w:rsidRPr="00E348CF" w:rsidRDefault="00B376B3" w:rsidP="00A4549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348CF">
        <w:rPr>
          <w:rFonts w:asciiTheme="majorHAnsi" w:hAnsiTheme="majorHAnsi"/>
          <w:sz w:val="20"/>
          <w:szCs w:val="20"/>
          <w:lang w:val="es-ES_tradnl"/>
        </w:rPr>
        <w:t xml:space="preserve">La parte peticionaria señala </w:t>
      </w:r>
      <w:r w:rsidR="00CA6DDE" w:rsidRPr="00E348CF">
        <w:rPr>
          <w:rFonts w:asciiTheme="majorHAnsi" w:hAnsiTheme="majorHAnsi"/>
          <w:sz w:val="20"/>
          <w:szCs w:val="20"/>
          <w:lang w:val="es-ES_tradnl"/>
        </w:rPr>
        <w:t xml:space="preserve">que la </w:t>
      </w:r>
      <w:r w:rsidR="00785CD5" w:rsidRPr="00E348CF">
        <w:rPr>
          <w:rFonts w:asciiTheme="majorHAnsi" w:hAnsiTheme="majorHAnsi"/>
          <w:sz w:val="20"/>
          <w:szCs w:val="20"/>
          <w:lang w:val="es-ES_tradnl"/>
        </w:rPr>
        <w:t>presunta víctima</w:t>
      </w:r>
      <w:r w:rsidR="00CA6DDE" w:rsidRPr="00E348CF">
        <w:rPr>
          <w:rFonts w:asciiTheme="majorHAnsi" w:hAnsiTheme="majorHAnsi"/>
          <w:sz w:val="20"/>
          <w:szCs w:val="20"/>
          <w:lang w:val="es-ES_tradnl"/>
        </w:rPr>
        <w:t xml:space="preserve">, de 16 años, fue atropellada por un vehículo oficial de placas ONI-022, conducido por el señor Víctor Manuel Morales López, quien presuntamente se encontraba en estado de embriaguez al momento del siniestro, hecho que fue registrado en una prueba de alcoholemia que arrojó un resultado de 1.5 grados de alcohol, indicativo de alteración psicofísica grave. Aduce </w:t>
      </w:r>
      <w:r w:rsidR="00CA6DDE" w:rsidRPr="00E348CF">
        <w:rPr>
          <w:rFonts w:asciiTheme="majorHAnsi" w:hAnsiTheme="majorHAnsi"/>
          <w:sz w:val="20"/>
          <w:szCs w:val="20"/>
          <w:lang w:val="es-ES_tradnl"/>
        </w:rPr>
        <w:lastRenderedPageBreak/>
        <w:t>que la investigación penal se habría iniciado poco después de los hechos, en 2008, bajo el radicado 760016000193200892252, adelantada inicialmente por la Fiscalía 32 de Delitos contra la Vida de la ciudad de Cali.</w:t>
      </w:r>
    </w:p>
    <w:p w14:paraId="3DD33107" w14:textId="68060D1D" w:rsidR="00A45494" w:rsidRPr="00E348CF" w:rsidRDefault="00CA6DDE"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El peticionario afirma que a pesar de la gravedad de los hechos y de existir indicios claros de la comisión de un delito, la Fiscalía General de la Nación habría actuado con negligencia, omisión e incluso con presunta intención dolosa, al no adelantar una investigación penal seria, efectiva ni coherente con los deberes constitucionales y convencionales del Estado. Aduce que dicha entidad omitió tomar medidas contra el conductor involucrado, no impulsó debidamente la recolección de pruebas, ni realizó gestiones mínimas como la inclusión de una anotación de “pendiente judicial” en el registro del vehículo, ni se vinculó a la entidad estatal propietaria del automotor oficial para responder administrativa o patrimonialmente por los daños, a pesar de que se trataba de un vehículo de placas oficiales adscrito a la Secretaría de Tránsito de la ciudad de Cali.</w:t>
      </w:r>
    </w:p>
    <w:p w14:paraId="39E22E56" w14:textId="31A5BB39" w:rsidR="00A45494" w:rsidRPr="00E348CF" w:rsidRDefault="004B4D9B"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Asimismo</w:t>
      </w:r>
      <w:r w:rsidR="00CA6DDE" w:rsidRPr="0825EC64">
        <w:rPr>
          <w:rFonts w:asciiTheme="majorHAnsi" w:hAnsiTheme="majorHAnsi"/>
          <w:sz w:val="20"/>
          <w:szCs w:val="20"/>
          <w:lang w:val="es-ES"/>
        </w:rPr>
        <w:t xml:space="preserve">, la parte peticionaria </w:t>
      </w:r>
      <w:r w:rsidR="00DD5184" w:rsidRPr="0825EC64">
        <w:rPr>
          <w:rFonts w:asciiTheme="majorHAnsi" w:hAnsiTheme="majorHAnsi"/>
          <w:sz w:val="20"/>
          <w:szCs w:val="20"/>
          <w:lang w:val="es-ES"/>
        </w:rPr>
        <w:t>sostiene</w:t>
      </w:r>
      <w:r w:rsidR="00CA6DDE" w:rsidRPr="0825EC64">
        <w:rPr>
          <w:rFonts w:asciiTheme="majorHAnsi" w:hAnsiTheme="majorHAnsi"/>
          <w:sz w:val="20"/>
          <w:szCs w:val="20"/>
          <w:lang w:val="es-ES"/>
        </w:rPr>
        <w:t xml:space="preserve"> que desde el inicio del proceso penal la Fiscalía habría incurrido en omisiones manifiestas, como no ubicar ni interrogar al testigo del accidente, el señor Óscar Alberto Salazar, a pesar de que su dirección fue suministrada de manera reiterada. Aduce que incluso cuando dicho testigo se presentó por voluntad propia a la sede de la Fiscalía, no se le recibió declaración alguna, omisión que comprometería gravemente el deber estatal de esclarecer los hechos.</w:t>
      </w:r>
    </w:p>
    <w:p w14:paraId="2D91796E" w14:textId="5E3C313A" w:rsidR="00A45494" w:rsidRPr="00E348CF" w:rsidRDefault="004B4D9B"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Como resultado</w:t>
      </w:r>
      <w:r w:rsidR="00CA6DDE" w:rsidRPr="0825EC64">
        <w:rPr>
          <w:rFonts w:asciiTheme="majorHAnsi" w:hAnsiTheme="majorHAnsi"/>
          <w:sz w:val="20"/>
          <w:szCs w:val="20"/>
          <w:lang w:val="es-ES"/>
        </w:rPr>
        <w:t>, la parte denunciante sostiene que la investigación fue archivada de forma prematura y sin una adecuada valoración de la prueba disponible. Indica que al intentar reactivar el caso, se solicitó e</w:t>
      </w:r>
      <w:r w:rsidR="00397616" w:rsidRPr="0825EC64">
        <w:rPr>
          <w:rFonts w:asciiTheme="majorHAnsi" w:hAnsiTheme="majorHAnsi"/>
          <w:sz w:val="20"/>
          <w:szCs w:val="20"/>
          <w:lang w:val="es-ES"/>
        </w:rPr>
        <w:t>l 2</w:t>
      </w:r>
      <w:r w:rsidR="00CA6DDE" w:rsidRPr="0825EC64">
        <w:rPr>
          <w:rFonts w:asciiTheme="majorHAnsi" w:hAnsiTheme="majorHAnsi"/>
          <w:sz w:val="20"/>
          <w:szCs w:val="20"/>
          <w:lang w:val="es-ES"/>
        </w:rPr>
        <w:t xml:space="preserve"> diciembre de 2014 </w:t>
      </w:r>
      <w:r w:rsidR="000336E0" w:rsidRPr="0825EC64">
        <w:rPr>
          <w:rFonts w:asciiTheme="majorHAnsi" w:hAnsiTheme="majorHAnsi"/>
          <w:sz w:val="20"/>
          <w:szCs w:val="20"/>
          <w:lang w:val="es-ES"/>
        </w:rPr>
        <w:t xml:space="preserve">mediante </w:t>
      </w:r>
      <w:r w:rsidR="00CA6DDE" w:rsidRPr="0825EC64">
        <w:rPr>
          <w:rFonts w:asciiTheme="majorHAnsi" w:hAnsiTheme="majorHAnsi"/>
          <w:sz w:val="20"/>
          <w:szCs w:val="20"/>
          <w:lang w:val="es-ES"/>
        </w:rPr>
        <w:t xml:space="preserve">audiencia </w:t>
      </w:r>
      <w:r w:rsidR="000336E0" w:rsidRPr="0825EC64">
        <w:rPr>
          <w:rFonts w:asciiTheme="majorHAnsi" w:hAnsiTheme="majorHAnsi"/>
          <w:sz w:val="20"/>
          <w:szCs w:val="20"/>
          <w:lang w:val="es-ES"/>
        </w:rPr>
        <w:t>el</w:t>
      </w:r>
      <w:r w:rsidR="00CA6DDE" w:rsidRPr="0825EC64">
        <w:rPr>
          <w:rFonts w:asciiTheme="majorHAnsi" w:hAnsiTheme="majorHAnsi"/>
          <w:sz w:val="20"/>
          <w:szCs w:val="20"/>
          <w:lang w:val="es-ES"/>
        </w:rPr>
        <w:t xml:space="preserve"> desarchivo ante el Juzgado 12 Penal Municipal con función de garantías</w:t>
      </w:r>
      <w:r w:rsidR="000336E0" w:rsidRPr="0825EC64">
        <w:rPr>
          <w:rFonts w:asciiTheme="majorHAnsi" w:hAnsiTheme="majorHAnsi"/>
          <w:sz w:val="20"/>
          <w:szCs w:val="20"/>
          <w:lang w:val="es-ES"/>
        </w:rPr>
        <w:t>. No obstante, este pedido</w:t>
      </w:r>
      <w:r w:rsidR="00CA6DDE" w:rsidRPr="0825EC64">
        <w:rPr>
          <w:rFonts w:asciiTheme="majorHAnsi" w:hAnsiTheme="majorHAnsi"/>
          <w:sz w:val="20"/>
          <w:szCs w:val="20"/>
          <w:lang w:val="es-ES"/>
        </w:rPr>
        <w:t xml:space="preserve"> fue denegad</w:t>
      </w:r>
      <w:r w:rsidR="000336E0" w:rsidRPr="0825EC64">
        <w:rPr>
          <w:rFonts w:asciiTheme="majorHAnsi" w:hAnsiTheme="majorHAnsi"/>
          <w:sz w:val="20"/>
          <w:szCs w:val="20"/>
          <w:lang w:val="es-ES"/>
        </w:rPr>
        <w:t>o</w:t>
      </w:r>
      <w:r w:rsidR="00CA6DDE" w:rsidRPr="0825EC64">
        <w:rPr>
          <w:rFonts w:asciiTheme="majorHAnsi" w:hAnsiTheme="majorHAnsi"/>
          <w:sz w:val="20"/>
          <w:szCs w:val="20"/>
          <w:lang w:val="es-ES"/>
        </w:rPr>
        <w:t xml:space="preserve"> por el juez</w:t>
      </w:r>
      <w:r w:rsidR="00397616" w:rsidRPr="0825EC64">
        <w:rPr>
          <w:rFonts w:asciiTheme="majorHAnsi" w:hAnsiTheme="majorHAnsi"/>
          <w:sz w:val="20"/>
          <w:szCs w:val="20"/>
          <w:lang w:val="es-ES"/>
        </w:rPr>
        <w:t xml:space="preserve"> ese mismo día</w:t>
      </w:r>
      <w:r w:rsidR="00CA6DDE" w:rsidRPr="0825EC64">
        <w:rPr>
          <w:rFonts w:asciiTheme="majorHAnsi" w:hAnsiTheme="majorHAnsi"/>
          <w:sz w:val="20"/>
          <w:szCs w:val="20"/>
          <w:lang w:val="es-ES"/>
        </w:rPr>
        <w:t xml:space="preserve">, quien sostuvo erróneamente que era la víctima quien debía localizar y presentar al testigo. Esta decisión, según se alega, </w:t>
      </w:r>
      <w:r w:rsidR="00481577" w:rsidRPr="0825EC64">
        <w:rPr>
          <w:rFonts w:asciiTheme="majorHAnsi" w:hAnsiTheme="majorHAnsi"/>
          <w:sz w:val="20"/>
          <w:szCs w:val="20"/>
          <w:lang w:val="es-ES"/>
        </w:rPr>
        <w:t>ig</w:t>
      </w:r>
      <w:r w:rsidR="00641E01" w:rsidRPr="0825EC64">
        <w:rPr>
          <w:rFonts w:asciiTheme="majorHAnsi" w:hAnsiTheme="majorHAnsi"/>
          <w:sz w:val="20"/>
          <w:szCs w:val="20"/>
          <w:lang w:val="es-ES"/>
        </w:rPr>
        <w:t>nora</w:t>
      </w:r>
      <w:r w:rsidR="00CA6DDE" w:rsidRPr="0825EC64">
        <w:rPr>
          <w:rFonts w:asciiTheme="majorHAnsi" w:hAnsiTheme="majorHAnsi"/>
          <w:sz w:val="20"/>
          <w:szCs w:val="20"/>
          <w:lang w:val="es-ES"/>
        </w:rPr>
        <w:t xml:space="preserve"> el rol que corresponde a las autoridades en la conducción de la investigación penal y agrava la situación de indefensión de la familia de la </w:t>
      </w:r>
      <w:r w:rsidR="00026249" w:rsidRPr="0825EC64">
        <w:rPr>
          <w:rFonts w:asciiTheme="majorHAnsi" w:hAnsiTheme="majorHAnsi"/>
          <w:sz w:val="20"/>
          <w:szCs w:val="20"/>
          <w:lang w:val="es-ES"/>
        </w:rPr>
        <w:t>adolescente</w:t>
      </w:r>
      <w:r w:rsidR="00CA6DDE" w:rsidRPr="0825EC64">
        <w:rPr>
          <w:rFonts w:asciiTheme="majorHAnsi" w:hAnsiTheme="majorHAnsi"/>
          <w:sz w:val="20"/>
          <w:szCs w:val="20"/>
          <w:lang w:val="es-ES"/>
        </w:rPr>
        <w:t xml:space="preserve"> fallecida.</w:t>
      </w:r>
    </w:p>
    <w:p w14:paraId="53BF9257" w14:textId="77777777" w:rsidR="00A45494" w:rsidRPr="00E348CF" w:rsidRDefault="00CA6DDE" w:rsidP="00A4549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348CF">
        <w:rPr>
          <w:rFonts w:asciiTheme="majorHAnsi" w:hAnsiTheme="majorHAnsi"/>
          <w:sz w:val="20"/>
          <w:szCs w:val="20"/>
          <w:lang w:val="es-ES_tradnl"/>
        </w:rPr>
        <w:t>La parte peticionaria también aduce que la Fiscalía justificó el archivo de la investigación bajo una argumentación técnica basada en la ausencia de violación al deber objetivo de cuidado por parte del conductor, apoyándose en informes periciales que concluyen que el vehículo se desplazaba a una velocidad moderada y que el accidente pudo haber sido causado por un cruce intempestivo de los peatones. No obstante, el peticionario cuestiona la imparcialidad de estos análisis, al considerar que no se valoró adecuadamente el estado de embriaguez del conductor, ni se exploraron otras hipótesis plausibles sobre su responsabilidad penal.</w:t>
      </w:r>
    </w:p>
    <w:p w14:paraId="3F84B81D" w14:textId="7439AF51" w:rsidR="00A45494" w:rsidRPr="00E348CF" w:rsidRDefault="00CA6DDE"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 xml:space="preserve">En ese sentido, alega que las autoridades </w:t>
      </w:r>
      <w:r w:rsidR="00C710B6" w:rsidRPr="0825EC64">
        <w:rPr>
          <w:rFonts w:asciiTheme="majorHAnsi" w:hAnsiTheme="majorHAnsi"/>
          <w:sz w:val="20"/>
          <w:szCs w:val="20"/>
          <w:lang w:val="es-ES"/>
        </w:rPr>
        <w:t>aplicaron</w:t>
      </w:r>
      <w:r w:rsidRPr="0825EC64">
        <w:rPr>
          <w:rFonts w:asciiTheme="majorHAnsi" w:hAnsiTheme="majorHAnsi"/>
          <w:sz w:val="20"/>
          <w:szCs w:val="20"/>
          <w:lang w:val="es-ES"/>
        </w:rPr>
        <w:t xml:space="preserve"> un juicio de tipicidad deficiente, fundado en una interpretación excesivamente subjetiva de los elementos del tipo penal, en contravía de la doctrina y jurisprudencia nacional. Sostiene que en lugar de promover el ejercicio de la acción penal, la Fiscalía optó por una decisión de archivo que evade su deber constitucional de promover la justicia y proteger a las víctimas.</w:t>
      </w:r>
    </w:p>
    <w:p w14:paraId="79AFC988" w14:textId="136F78D9" w:rsidR="00CA6DDE" w:rsidRPr="00E348CF" w:rsidRDefault="00CA6DDE" w:rsidP="003E1AF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348CF">
        <w:rPr>
          <w:rFonts w:asciiTheme="majorHAnsi" w:hAnsiTheme="majorHAnsi"/>
          <w:sz w:val="20"/>
          <w:szCs w:val="20"/>
          <w:lang w:val="es-ES_tradnl"/>
        </w:rPr>
        <w:t xml:space="preserve">Actualmente, el proceso se encuentra archivado de manera definitiva, y según se afirma, las autoridades judiciales han rechazado toda posibilidad de reabrirlo, incluso cuando se han presentado solicitudes fundamentadas. En conclusión, la parte peticionaria alega que el Estado ha incumplido sus obligaciones internacionales al permitir que la muerte de Daniela Trujillo Martínez permanezca en la impunidad, sin verdad, justicia ni reparación para su familia. Sostiene que las autoridades, en lugar de actuar con imparcialidad y diligencia, han obrado en forma sesgada, omisiva y desproporcionadamente garantista con el presunto responsable, generando una revictimización adicional a los familiares de la </w:t>
      </w:r>
      <w:r w:rsidR="00026249" w:rsidRPr="00E348CF">
        <w:rPr>
          <w:rFonts w:asciiTheme="majorHAnsi" w:hAnsiTheme="majorHAnsi"/>
          <w:sz w:val="20"/>
          <w:szCs w:val="20"/>
          <w:lang w:val="es-ES_tradnl"/>
        </w:rPr>
        <w:t>adolescente</w:t>
      </w:r>
      <w:r w:rsidRPr="00E348CF">
        <w:rPr>
          <w:rFonts w:asciiTheme="majorHAnsi" w:hAnsiTheme="majorHAnsi"/>
          <w:sz w:val="20"/>
          <w:szCs w:val="20"/>
          <w:lang w:val="es-ES_tradnl"/>
        </w:rPr>
        <w:t xml:space="preserve"> y frustrando las expectativas legítimas de justicia.</w:t>
      </w:r>
    </w:p>
    <w:p w14:paraId="129AF6A6" w14:textId="6C1E4A80" w:rsidR="00EF76F5" w:rsidRPr="00E348CF" w:rsidRDefault="008A5E7E"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b/>
          <w:bCs/>
          <w:sz w:val="20"/>
          <w:szCs w:val="20"/>
          <w:lang w:val="es-ES_tradnl"/>
        </w:rPr>
      </w:pPr>
      <w:r w:rsidRPr="00E348CF">
        <w:rPr>
          <w:rFonts w:asciiTheme="majorHAnsi" w:hAnsiTheme="majorHAnsi"/>
          <w:b/>
          <w:bCs/>
          <w:sz w:val="20"/>
          <w:szCs w:val="20"/>
          <w:lang w:val="es-ES_tradnl"/>
        </w:rPr>
        <w:t>E</w:t>
      </w:r>
      <w:r w:rsidR="00EF76F5" w:rsidRPr="00E348CF">
        <w:rPr>
          <w:rFonts w:asciiTheme="majorHAnsi" w:hAnsiTheme="majorHAnsi"/>
          <w:b/>
          <w:bCs/>
          <w:sz w:val="20"/>
          <w:szCs w:val="20"/>
          <w:lang w:val="es-ES_tradnl"/>
        </w:rPr>
        <w:t>l Estado</w:t>
      </w:r>
      <w:r w:rsidRPr="00E348CF">
        <w:rPr>
          <w:rFonts w:asciiTheme="majorHAnsi" w:hAnsiTheme="majorHAnsi"/>
          <w:b/>
          <w:bCs/>
          <w:sz w:val="20"/>
          <w:szCs w:val="20"/>
          <w:lang w:val="es-ES_tradnl"/>
        </w:rPr>
        <w:t xml:space="preserve"> </w:t>
      </w:r>
      <w:r w:rsidR="00566555" w:rsidRPr="00E348CF">
        <w:rPr>
          <w:rFonts w:asciiTheme="majorHAnsi" w:hAnsiTheme="majorHAnsi"/>
          <w:b/>
          <w:bCs/>
          <w:sz w:val="20"/>
          <w:szCs w:val="20"/>
          <w:lang w:val="es-ES_tradnl"/>
        </w:rPr>
        <w:t>colombiano</w:t>
      </w:r>
    </w:p>
    <w:p w14:paraId="2D800E2A" w14:textId="26D99CE3" w:rsidR="007E2D30" w:rsidRPr="00E348CF" w:rsidRDefault="00D04ECC" w:rsidP="0825EC64">
      <w:pPr>
        <w:pStyle w:val="ListParagraph"/>
        <w:numPr>
          <w:ilvl w:val="0"/>
          <w:numId w:val="103"/>
        </w:numPr>
        <w:jc w:val="both"/>
        <w:rPr>
          <w:rFonts w:asciiTheme="majorHAnsi" w:eastAsia="Arial Unicode MS" w:hAnsiTheme="majorHAnsi" w:cs="Times New Roman"/>
          <w:color w:val="auto"/>
          <w:sz w:val="20"/>
          <w:szCs w:val="20"/>
          <w:lang w:val="es-ES" w:eastAsia="en-US"/>
        </w:rPr>
      </w:pPr>
      <w:r w:rsidRPr="0825EC64">
        <w:rPr>
          <w:rFonts w:asciiTheme="majorHAnsi" w:hAnsiTheme="majorHAnsi"/>
          <w:sz w:val="20"/>
          <w:szCs w:val="20"/>
          <w:lang w:val="es-ES"/>
        </w:rPr>
        <w:t xml:space="preserve">Por su parte, el Estado replica que la petición es inadmisible por falta de agotamiento de la jurisdicción interna. </w:t>
      </w:r>
      <w:r w:rsidR="00881717" w:rsidRPr="0825EC64">
        <w:rPr>
          <w:rFonts w:asciiTheme="majorHAnsi" w:hAnsiTheme="majorHAnsi"/>
          <w:sz w:val="20"/>
          <w:szCs w:val="20"/>
          <w:lang w:val="es-ES"/>
        </w:rPr>
        <w:t>Aduce</w:t>
      </w:r>
      <w:r w:rsidRPr="0825EC64">
        <w:rPr>
          <w:rFonts w:asciiTheme="majorHAnsi" w:hAnsiTheme="majorHAnsi"/>
          <w:sz w:val="20"/>
          <w:szCs w:val="20"/>
          <w:lang w:val="es-ES"/>
        </w:rPr>
        <w:t xml:space="preserve"> que </w:t>
      </w:r>
      <w:r w:rsidR="00BF7FF1" w:rsidRPr="0825EC64">
        <w:rPr>
          <w:rFonts w:asciiTheme="majorHAnsi" w:hAnsiTheme="majorHAnsi"/>
          <w:sz w:val="20"/>
          <w:szCs w:val="20"/>
          <w:lang w:val="es-ES"/>
        </w:rPr>
        <w:t>la parte peticionaria no interpuso recurso alguno contra la decisión que negó el desarchivo del caso, ni acudió a mecanismos extraordinarios como la acción de tutela, ni agotó la vía de reparación directa ante la jurisdicción contencioso-administrativa.</w:t>
      </w:r>
      <w:r w:rsidR="007E2D30" w:rsidRPr="0825EC64">
        <w:rPr>
          <w:rFonts w:asciiTheme="majorHAnsi" w:hAnsiTheme="majorHAnsi"/>
          <w:sz w:val="20"/>
          <w:szCs w:val="20"/>
          <w:lang w:val="es-ES"/>
        </w:rPr>
        <w:t xml:space="preserve"> </w:t>
      </w:r>
      <w:r w:rsidR="00E04D54" w:rsidRPr="0825EC64">
        <w:rPr>
          <w:rFonts w:asciiTheme="majorHAnsi" w:eastAsia="Arial Unicode MS" w:hAnsiTheme="majorHAnsi" w:cs="Times New Roman"/>
          <w:color w:val="auto"/>
          <w:sz w:val="20"/>
          <w:szCs w:val="20"/>
          <w:lang w:val="es-ES" w:eastAsia="en-US"/>
        </w:rPr>
        <w:t>A su criterio, esto demuestra que</w:t>
      </w:r>
      <w:r w:rsidR="007E2D30" w:rsidRPr="0825EC64">
        <w:rPr>
          <w:rFonts w:asciiTheme="majorHAnsi" w:eastAsia="Arial Unicode MS" w:hAnsiTheme="majorHAnsi" w:cs="Times New Roman"/>
          <w:color w:val="auto"/>
          <w:sz w:val="20"/>
          <w:szCs w:val="20"/>
          <w:lang w:val="es-ES" w:eastAsia="en-US"/>
        </w:rPr>
        <w:t xml:space="preserve"> la falta de </w:t>
      </w:r>
      <w:r w:rsidR="007E2D30" w:rsidRPr="0825EC64">
        <w:rPr>
          <w:rFonts w:asciiTheme="majorHAnsi" w:eastAsia="Arial Unicode MS" w:hAnsiTheme="majorHAnsi" w:cs="Times New Roman"/>
          <w:color w:val="auto"/>
          <w:sz w:val="20"/>
          <w:szCs w:val="20"/>
          <w:lang w:val="es-ES" w:eastAsia="en-US"/>
        </w:rPr>
        <w:lastRenderedPageBreak/>
        <w:t>agotamiento de los recursos internos es atribuible exclusivamente a la inacción de la parte peticionaria, quien, pese a tener conocimiento del archivo y de la negativa a reabrir la investigación, no desplegó los recursos disponibles para insistir en la investigación o para reclamar por la eventual responsabilidad patrimonial del Estado</w:t>
      </w:r>
      <w:r w:rsidR="002F682A" w:rsidRPr="0825EC64">
        <w:rPr>
          <w:rFonts w:asciiTheme="majorHAnsi" w:eastAsia="Arial Unicode MS" w:hAnsiTheme="majorHAnsi" w:cs="Times New Roman"/>
          <w:color w:val="auto"/>
          <w:sz w:val="20"/>
          <w:szCs w:val="20"/>
          <w:lang w:val="es-ES" w:eastAsia="en-US"/>
        </w:rPr>
        <w:t>, por lo cual</w:t>
      </w:r>
      <w:r w:rsidR="007E2D30" w:rsidRPr="0825EC64">
        <w:rPr>
          <w:rFonts w:asciiTheme="majorHAnsi" w:eastAsia="Arial Unicode MS" w:hAnsiTheme="majorHAnsi" w:cs="Times New Roman"/>
          <w:color w:val="auto"/>
          <w:sz w:val="20"/>
          <w:szCs w:val="20"/>
          <w:lang w:val="es-ES" w:eastAsia="en-US"/>
        </w:rPr>
        <w:t xml:space="preserve"> la petición </w:t>
      </w:r>
      <w:r w:rsidR="002F682A" w:rsidRPr="0825EC64">
        <w:rPr>
          <w:rFonts w:asciiTheme="majorHAnsi" w:eastAsia="Arial Unicode MS" w:hAnsiTheme="majorHAnsi" w:cs="Times New Roman"/>
          <w:color w:val="auto"/>
          <w:sz w:val="20"/>
          <w:szCs w:val="20"/>
          <w:lang w:val="es-ES" w:eastAsia="en-US"/>
        </w:rPr>
        <w:t>no cumple con el requisito previsto en el artículo 46.1.a) de la Convención.</w:t>
      </w:r>
    </w:p>
    <w:p w14:paraId="691DABDE" w14:textId="77777777" w:rsidR="007E2D30" w:rsidRPr="00E348CF" w:rsidRDefault="007E2D30" w:rsidP="007E2D30">
      <w:pPr>
        <w:pStyle w:val="ListParagraph"/>
        <w:jc w:val="both"/>
        <w:rPr>
          <w:rFonts w:asciiTheme="majorHAnsi" w:eastAsia="Arial Unicode MS" w:hAnsiTheme="majorHAnsi" w:cs="Times New Roman"/>
          <w:color w:val="auto"/>
          <w:sz w:val="20"/>
          <w:szCs w:val="20"/>
          <w:lang w:val="es-ES_tradnl" w:eastAsia="en-US"/>
        </w:rPr>
      </w:pPr>
    </w:p>
    <w:p w14:paraId="5FE4FAB8" w14:textId="78F94D4F" w:rsidR="00596C2E" w:rsidRPr="00E348CF" w:rsidRDefault="00596C2E" w:rsidP="00596C2E">
      <w:pPr>
        <w:pStyle w:val="ListParagraph"/>
        <w:numPr>
          <w:ilvl w:val="0"/>
          <w:numId w:val="103"/>
        </w:numPr>
        <w:jc w:val="both"/>
        <w:rPr>
          <w:rFonts w:asciiTheme="majorHAnsi" w:eastAsia="Arial Unicode MS" w:hAnsiTheme="majorHAnsi" w:cs="Times New Roman"/>
          <w:color w:val="auto"/>
          <w:sz w:val="20"/>
          <w:szCs w:val="20"/>
          <w:lang w:val="es-ES_tradnl" w:eastAsia="en-US"/>
        </w:rPr>
      </w:pPr>
      <w:r w:rsidRPr="00E348CF">
        <w:rPr>
          <w:rFonts w:asciiTheme="majorHAnsi" w:hAnsiTheme="majorHAnsi"/>
          <w:sz w:val="20"/>
          <w:szCs w:val="20"/>
          <w:lang w:val="es-ES_tradnl"/>
        </w:rPr>
        <w:t xml:space="preserve">Sin perjuicio de lo anterior, Colombia considera que la petición seguiría siendo inadmisible, pues las alegaciones del peticionario carecen de sustento suficiente para caracterizar una posible violación de los derechos humanos establecidos en la Convención. </w:t>
      </w:r>
      <w:r w:rsidRPr="00E348CF">
        <w:rPr>
          <w:rFonts w:asciiTheme="majorHAnsi" w:eastAsia="Arial Unicode MS" w:hAnsiTheme="majorHAnsi" w:cs="Times New Roman"/>
          <w:color w:val="auto"/>
          <w:sz w:val="20"/>
          <w:szCs w:val="20"/>
          <w:lang w:val="es-ES_tradnl" w:eastAsia="en-US"/>
        </w:rPr>
        <w:t>Por el contrario, argumenta que la parte peticionaria pretende que la Comisión actúe como una cuarta instancia judicial y revise las valoraciones de hecho y de derecho efectuadas por los jueces y tribunales internos, quienes actuaron dentro de su esfera de competencia.</w:t>
      </w:r>
    </w:p>
    <w:p w14:paraId="5942448D" w14:textId="77777777" w:rsidR="00596C2E" w:rsidRPr="00E348CF" w:rsidRDefault="00596C2E" w:rsidP="00596C2E">
      <w:pPr>
        <w:pStyle w:val="ListParagraph"/>
        <w:rPr>
          <w:rFonts w:asciiTheme="majorHAnsi" w:eastAsia="Arial Unicode MS" w:hAnsiTheme="majorHAnsi" w:cs="Times New Roman"/>
          <w:color w:val="auto"/>
          <w:sz w:val="20"/>
          <w:szCs w:val="20"/>
          <w:lang w:val="es-ES_tradnl" w:eastAsia="en-US"/>
        </w:rPr>
      </w:pPr>
    </w:p>
    <w:p w14:paraId="4D7314FD" w14:textId="77777777" w:rsidR="001E7336" w:rsidRPr="00E348CF" w:rsidRDefault="001E7336" w:rsidP="0825EC64">
      <w:pPr>
        <w:pStyle w:val="ListParagraph"/>
        <w:numPr>
          <w:ilvl w:val="0"/>
          <w:numId w:val="103"/>
        </w:numPr>
        <w:jc w:val="both"/>
        <w:rPr>
          <w:rFonts w:asciiTheme="majorHAnsi" w:eastAsia="Arial Unicode MS" w:hAnsiTheme="majorHAnsi" w:cs="Times New Roman"/>
          <w:color w:val="auto"/>
          <w:sz w:val="20"/>
          <w:szCs w:val="20"/>
          <w:lang w:val="es-ES" w:eastAsia="en-US"/>
        </w:rPr>
      </w:pPr>
      <w:r w:rsidRPr="0825EC64">
        <w:rPr>
          <w:rFonts w:asciiTheme="majorHAnsi" w:eastAsia="Arial Unicode MS" w:hAnsiTheme="majorHAnsi" w:cs="Times New Roman"/>
          <w:color w:val="auto"/>
          <w:sz w:val="20"/>
          <w:szCs w:val="20"/>
          <w:lang w:val="es-ES" w:eastAsia="en-US"/>
        </w:rPr>
        <w:t>Según el Estado, los informes rendidos por los peritos del Instituto de Medicina Legal y por la Policía Judicial concluyeron que el conductor del vehículo oficial se desplazaba a una velocidad moderada y que el cruce intempestivo de los peatones, sumado a la falta de visibilidad en la vía, constituía la causa probable del accidente. A partir de estos elementos, y conforme a los estándares del derecho penal interno, la Fiscalía concluyó que no se configuraban los elementos del tipo penal de homicidio culposo. Por tanto, sostiene que no hubo arbitrariedad ni violación manifiesta del debido proceso, sino una actuación basada en criterios técnicos y jurídicos legítimos.</w:t>
      </w:r>
    </w:p>
    <w:p w14:paraId="52F9026E" w14:textId="77777777" w:rsidR="001E7336" w:rsidRPr="00E348CF" w:rsidRDefault="001E7336" w:rsidP="001E7336">
      <w:pPr>
        <w:pStyle w:val="ListParagraph"/>
        <w:jc w:val="both"/>
        <w:rPr>
          <w:rFonts w:asciiTheme="majorHAnsi" w:eastAsia="Arial Unicode MS" w:hAnsiTheme="majorHAnsi" w:cs="Times New Roman"/>
          <w:color w:val="auto"/>
          <w:sz w:val="20"/>
          <w:szCs w:val="20"/>
          <w:lang w:val="es-ES_tradnl" w:eastAsia="en-US"/>
        </w:rPr>
      </w:pPr>
    </w:p>
    <w:p w14:paraId="54878D86" w14:textId="20941E27" w:rsidR="00A11E44" w:rsidRPr="00E348CF" w:rsidRDefault="001E7336" w:rsidP="0825EC64">
      <w:pPr>
        <w:pStyle w:val="ListParagraph"/>
        <w:numPr>
          <w:ilvl w:val="0"/>
          <w:numId w:val="103"/>
        </w:numPr>
        <w:jc w:val="both"/>
        <w:rPr>
          <w:rFonts w:asciiTheme="majorHAnsi" w:eastAsia="Arial Unicode MS" w:hAnsiTheme="majorHAnsi" w:cs="Times New Roman"/>
          <w:color w:val="auto"/>
          <w:sz w:val="20"/>
          <w:szCs w:val="20"/>
          <w:lang w:val="es-ES" w:eastAsia="en-US"/>
        </w:rPr>
      </w:pPr>
      <w:r w:rsidRPr="0825EC64">
        <w:rPr>
          <w:rFonts w:asciiTheme="majorHAnsi" w:eastAsia="Arial Unicode MS" w:hAnsiTheme="majorHAnsi" w:cs="Times New Roman"/>
          <w:color w:val="auto"/>
          <w:sz w:val="20"/>
          <w:szCs w:val="20"/>
          <w:lang w:val="es-ES" w:eastAsia="en-US"/>
        </w:rPr>
        <w:t>Desde esta perspectiva, el Estado afirma que el peticionario no está cuestionando un</w:t>
      </w:r>
      <w:r w:rsidR="00A74E03" w:rsidRPr="0825EC64">
        <w:rPr>
          <w:rFonts w:asciiTheme="majorHAnsi" w:eastAsia="Arial Unicode MS" w:hAnsiTheme="majorHAnsi" w:cs="Times New Roman"/>
          <w:color w:val="auto"/>
          <w:sz w:val="20"/>
          <w:szCs w:val="20"/>
          <w:lang w:val="es-ES" w:eastAsia="en-US"/>
        </w:rPr>
        <w:t xml:space="preserve"> cuadro de</w:t>
      </w:r>
      <w:r w:rsidRPr="0825EC64">
        <w:rPr>
          <w:rFonts w:asciiTheme="majorHAnsi" w:eastAsia="Arial Unicode MS" w:hAnsiTheme="majorHAnsi" w:cs="Times New Roman"/>
          <w:color w:val="auto"/>
          <w:sz w:val="20"/>
          <w:szCs w:val="20"/>
          <w:lang w:val="es-ES" w:eastAsia="en-US"/>
        </w:rPr>
        <w:t xml:space="preserve"> denegación de justicia ni una falta estructural del sistema judicial, sino que simplemente discrepa de las conclusiones alcanzadas por las autoridades nacionales sobre los hechos. </w:t>
      </w:r>
      <w:r w:rsidR="009946CB" w:rsidRPr="0825EC64">
        <w:rPr>
          <w:rFonts w:asciiTheme="majorHAnsi" w:eastAsia="Arial Unicode MS" w:hAnsiTheme="majorHAnsi" w:cs="Times New Roman"/>
          <w:color w:val="auto"/>
          <w:sz w:val="20"/>
          <w:szCs w:val="20"/>
          <w:lang w:val="es-ES" w:eastAsia="en-US"/>
        </w:rPr>
        <w:t>E</w:t>
      </w:r>
      <w:r w:rsidRPr="0825EC64">
        <w:rPr>
          <w:rFonts w:asciiTheme="majorHAnsi" w:eastAsia="Arial Unicode MS" w:hAnsiTheme="majorHAnsi" w:cs="Times New Roman"/>
          <w:color w:val="auto"/>
          <w:sz w:val="20"/>
          <w:szCs w:val="20"/>
          <w:lang w:val="es-ES" w:eastAsia="en-US"/>
        </w:rPr>
        <w:t>ste tipo de discrepancias no habilita la competencia de la Comisión Interamericana para fungir como tribunal de revisión penal, ya que, de hacerlo, se desnaturalizaría su rol subsidiario y complementario de sentencias internas. En suma, a juicio del Estado colombiano, la petición pretende que la Comisión reabra una investigación penal archivada, revise decisiones judiciales válidamente adoptadas y ordene sancionar a una persona previamente considerada no responsable, lo cual excede el alcance del sistema interamericano.</w:t>
      </w:r>
    </w:p>
    <w:p w14:paraId="6F4D4171" w14:textId="61F41104" w:rsidR="003239B8" w:rsidRPr="00E348CF" w:rsidRDefault="003239B8" w:rsidP="003239B8">
      <w:pPr>
        <w:spacing w:before="240" w:after="240"/>
        <w:ind w:firstLine="720"/>
        <w:jc w:val="both"/>
        <w:rPr>
          <w:rFonts w:asciiTheme="majorHAnsi" w:hAnsiTheme="majorHAnsi"/>
          <w:sz w:val="20"/>
          <w:szCs w:val="20"/>
          <w:lang w:val="es-ES_tradnl"/>
        </w:rPr>
      </w:pPr>
      <w:r w:rsidRPr="00E348CF">
        <w:rPr>
          <w:rFonts w:asciiTheme="majorHAnsi" w:eastAsia="Cambria" w:hAnsiTheme="majorHAnsi" w:cs="Cambria"/>
          <w:b/>
          <w:bCs/>
          <w:color w:val="000000"/>
          <w:sz w:val="20"/>
          <w:szCs w:val="20"/>
          <w:u w:color="000000"/>
          <w:lang w:val="es-ES_tradnl" w:eastAsia="es-ES"/>
        </w:rPr>
        <w:t>VI.</w:t>
      </w:r>
      <w:r w:rsidRPr="00E348CF">
        <w:rPr>
          <w:rFonts w:asciiTheme="majorHAnsi" w:eastAsia="Cambria" w:hAnsiTheme="majorHAnsi" w:cs="Cambria"/>
          <w:b/>
          <w:bCs/>
          <w:color w:val="000000"/>
          <w:sz w:val="20"/>
          <w:szCs w:val="20"/>
          <w:u w:color="000000"/>
          <w:lang w:val="es-ES_tradnl" w:eastAsia="es-ES"/>
        </w:rPr>
        <w:tab/>
      </w:r>
      <w:r w:rsidR="004A6A54" w:rsidRPr="00E348CF">
        <w:rPr>
          <w:rFonts w:asciiTheme="majorHAnsi" w:hAnsiTheme="majorHAnsi"/>
          <w:b/>
          <w:bCs/>
          <w:sz w:val="20"/>
          <w:szCs w:val="20"/>
          <w:lang w:val="es-ES_tradnl"/>
        </w:rPr>
        <w:t xml:space="preserve">ANÁLISIS DE </w:t>
      </w:r>
      <w:r w:rsidR="00C21FEF" w:rsidRPr="00E348CF">
        <w:rPr>
          <w:rFonts w:asciiTheme="majorHAnsi" w:hAnsiTheme="majorHAnsi"/>
          <w:b/>
          <w:sz w:val="20"/>
          <w:szCs w:val="20"/>
          <w:lang w:val="es-ES_tradnl"/>
        </w:rPr>
        <w:t>AGOTAMIENTO DE LOS RECURSOS INTERNOS Y PLAZO DE PRESENTACIÓN</w:t>
      </w:r>
      <w:r w:rsidR="00C21FEF" w:rsidRPr="00E348CF">
        <w:rPr>
          <w:rFonts w:asciiTheme="majorHAnsi" w:eastAsia="Cambria" w:hAnsiTheme="majorHAnsi" w:cs="Cambria"/>
          <w:b/>
          <w:bCs/>
          <w:color w:val="000000"/>
          <w:sz w:val="20"/>
          <w:szCs w:val="20"/>
          <w:u w:color="000000"/>
          <w:lang w:val="es-ES_tradnl" w:eastAsia="es-ES"/>
        </w:rPr>
        <w:t xml:space="preserve"> </w:t>
      </w:r>
    </w:p>
    <w:p w14:paraId="01D47E3F" w14:textId="7D919A9F" w:rsidR="003239B8" w:rsidRPr="00E348CF" w:rsidRDefault="00EB71F4" w:rsidP="0825EC6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825EC64">
        <w:rPr>
          <w:rFonts w:asciiTheme="majorHAnsi" w:hAnsiTheme="majorHAnsi"/>
          <w:sz w:val="20"/>
          <w:szCs w:val="20"/>
          <w:lang w:val="es-ES"/>
        </w:rPr>
        <w:t>La parte peticionaria afirma que agotó la jurisdicción interna, pues solicitó el desarchivo de la investigación</w:t>
      </w:r>
      <w:r w:rsidR="007A1CE0" w:rsidRPr="0825EC64">
        <w:rPr>
          <w:rFonts w:asciiTheme="majorHAnsi" w:hAnsiTheme="majorHAnsi"/>
          <w:sz w:val="20"/>
          <w:szCs w:val="20"/>
          <w:lang w:val="es-ES"/>
        </w:rPr>
        <w:t>,</w:t>
      </w:r>
      <w:r w:rsidRPr="0825EC64">
        <w:rPr>
          <w:rFonts w:asciiTheme="majorHAnsi" w:hAnsiTheme="majorHAnsi"/>
          <w:sz w:val="20"/>
          <w:szCs w:val="20"/>
          <w:lang w:val="es-ES"/>
        </w:rPr>
        <w:t xml:space="preserve"> y el 2 de diciembre de 2014 el Juzgado 12 Penal Municipal con función de garantías lo rechazo. Por su parte, el Estado replica que no interpuso recurso alguno contra esta decisión que negó el desarchivo del caso, ni acudió a mecanismos extraordinarios como la acción de tutela, ni agotó la vía de reparación directa ante la jurisdicción contencioso-administrativa.</w:t>
      </w:r>
    </w:p>
    <w:p w14:paraId="5973F499" w14:textId="3EED21F8" w:rsidR="00EC4191" w:rsidRPr="00E348CF" w:rsidRDefault="00EC4191" w:rsidP="00EC419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ES_tradnl"/>
        </w:rPr>
      </w:pPr>
      <w:r w:rsidRPr="00E348CF">
        <w:rPr>
          <w:rFonts w:asciiTheme="majorHAnsi" w:hAnsiTheme="majorHAnsi"/>
          <w:color w:val="000000" w:themeColor="text1"/>
          <w:sz w:val="20"/>
          <w:szCs w:val="20"/>
          <w:lang w:val="es-ES_tradnl"/>
        </w:rPr>
        <w:t>La Comisión recuerda que, en casos de delitos perseguibles de oficio, como homicidios, secuestros o torturas, el Estado tiene la obligación de promover e impulsar el proceso penal, el cual constituye la vía idónea para esclarecer los hechos, juzgar a los responsables y establecer las sanciones penales correspondientes, además de permitir la aplicación de otras formas de reparación pecuniaria</w:t>
      </w:r>
      <w:r w:rsidRPr="00E348CF">
        <w:rPr>
          <w:rStyle w:val="FootnoteReference"/>
          <w:rFonts w:asciiTheme="majorHAnsi" w:hAnsiTheme="majorHAnsi"/>
          <w:color w:val="000000" w:themeColor="text1"/>
          <w:sz w:val="20"/>
          <w:szCs w:val="20"/>
          <w:lang w:val="es-ES_tradnl" w:eastAsia="es-PE"/>
        </w:rPr>
        <w:footnoteReference w:id="5"/>
      </w:r>
      <w:r w:rsidRPr="00E348CF">
        <w:rPr>
          <w:rFonts w:asciiTheme="majorHAnsi" w:hAnsiTheme="majorHAnsi"/>
          <w:color w:val="000000" w:themeColor="text1"/>
          <w:sz w:val="20"/>
          <w:szCs w:val="20"/>
          <w:lang w:val="es-ES_tradnl"/>
        </w:rPr>
        <w:t>. Esta obligación no se limita a una fase específica del proceso, sino que se extiende a su totalidad, incluyendo la etapa de los recursos. En consecuencia, en casos como el presente el impulso de los procesos internos no debe depender únicamente de la iniciativa de los familiares de las víctimas, sino que corresponde al Estado garantizar el acceso a la justicia y la investigación efectiva de los hechos.</w:t>
      </w:r>
    </w:p>
    <w:p w14:paraId="0E76FE9D" w14:textId="726C0232" w:rsidR="008A0655" w:rsidRPr="00E348CF" w:rsidRDefault="0094294A" w:rsidP="008A0655">
      <w:pPr>
        <w:pStyle w:val="ListParagraph"/>
        <w:numPr>
          <w:ilvl w:val="0"/>
          <w:numId w:val="103"/>
        </w:numPr>
        <w:suppressAutoHyphens/>
        <w:spacing w:before="240" w:after="240"/>
        <w:jc w:val="both"/>
        <w:rPr>
          <w:rFonts w:asciiTheme="majorHAnsi" w:hAnsiTheme="majorHAnsi"/>
          <w:bCs/>
          <w:sz w:val="20"/>
          <w:szCs w:val="20"/>
          <w:lang w:val="es-ES_tradnl"/>
        </w:rPr>
      </w:pPr>
      <w:r w:rsidRPr="00E348CF">
        <w:rPr>
          <w:rFonts w:asciiTheme="majorHAnsi" w:hAnsiTheme="majorHAnsi"/>
          <w:bCs/>
          <w:sz w:val="20"/>
          <w:szCs w:val="20"/>
          <w:lang w:val="es-ES_tradnl"/>
        </w:rPr>
        <w:t xml:space="preserve">Asimismo, la Comisión recuerda que, como regla general, la parte peticionaria solo tiene en principio la obligación de agotar las vías judiciales ordinarias a nivel interno. Por ello, la CIDH considera que cuando se alegan irregularidades a lo largo de distintas etapas de una investigación o proceso penal, no es necesario, en principio, un recurso extraordinario o una vía procesal adicional para cumplir con el requisito establecido en el artículo 46.1.a) de la Convención. </w:t>
      </w:r>
    </w:p>
    <w:p w14:paraId="7EFCE1EB" w14:textId="3DF8D7AE" w:rsidR="008A0655" w:rsidRPr="00E348CF" w:rsidRDefault="008A0655" w:rsidP="0825EC64">
      <w:pPr>
        <w:pStyle w:val="ListParagraph"/>
        <w:numPr>
          <w:ilvl w:val="0"/>
          <w:numId w:val="103"/>
        </w:numPr>
        <w:suppressAutoHyphens/>
        <w:spacing w:before="240" w:after="240"/>
        <w:jc w:val="both"/>
        <w:rPr>
          <w:rFonts w:asciiTheme="majorHAnsi" w:hAnsiTheme="majorHAnsi"/>
          <w:sz w:val="20"/>
          <w:szCs w:val="20"/>
          <w:lang w:val="es-ES"/>
        </w:rPr>
      </w:pPr>
      <w:r w:rsidRPr="0825EC64">
        <w:rPr>
          <w:rFonts w:asciiTheme="majorHAnsi" w:hAnsiTheme="majorHAnsi"/>
          <w:sz w:val="20"/>
          <w:szCs w:val="20"/>
          <w:lang w:val="es-ES"/>
        </w:rPr>
        <w:lastRenderedPageBreak/>
        <w:t>Con base en las consideraciones expuestas, la Comisión considera que, en el presente asunto, la parte peticionaria utilizó un mecanismo previsto en el marco del propio proceso penal para cuestionar el desarchivo de la investigación. Sin embargo, el Juzgado 12 Penal Municipal con función de garantías lo desestimó. Aunque el Estado sostiene que era necesario recurrir dicha decisión, la CIDH destaca que los recursos mencionados por la representación de Colombia son de carácter extraordinario o tienen como finalidad cuestionar aspectos patrimoniales. Además, no se proporciona una fundamentación que demuestre por qué dichos recursos serían adecuados y efectivos para el caso concreto. Por ello, la Comisión concluye que la parte peticionaria agotó la jurisdicción interna con la decisión proferida el 2 de diciembre de 2014, y que, en consecuencia, se cumple con el requisito previsto en el artículo 46.1.a) de la Convención. Asimismo, dado que la petición fue presentada el 2 de junio de 2015, también se considera cumplido el plazo establecido en el artículo 46.1.b) de la Convención Americana.</w:t>
      </w:r>
    </w:p>
    <w:p w14:paraId="4FFBE378" w14:textId="64322DE9" w:rsidR="003239B8" w:rsidRPr="00E348CF" w:rsidRDefault="003239B8" w:rsidP="003239B8">
      <w:pPr>
        <w:pStyle w:val="ListParagraph"/>
        <w:spacing w:before="240" w:after="240"/>
        <w:jc w:val="both"/>
        <w:rPr>
          <w:rFonts w:asciiTheme="majorHAnsi" w:hAnsiTheme="majorHAnsi"/>
          <w:b/>
          <w:sz w:val="20"/>
          <w:szCs w:val="20"/>
          <w:lang w:val="es-ES_tradnl"/>
        </w:rPr>
      </w:pPr>
      <w:r w:rsidRPr="00E348CF">
        <w:rPr>
          <w:rFonts w:asciiTheme="majorHAnsi" w:hAnsiTheme="majorHAnsi"/>
          <w:b/>
          <w:bCs/>
          <w:sz w:val="20"/>
          <w:szCs w:val="20"/>
          <w:lang w:val="es-ES_tradnl"/>
        </w:rPr>
        <w:t>VII.</w:t>
      </w:r>
      <w:r w:rsidRPr="00E348CF">
        <w:rPr>
          <w:rFonts w:asciiTheme="majorHAnsi" w:hAnsiTheme="majorHAnsi"/>
          <w:b/>
          <w:bCs/>
          <w:sz w:val="20"/>
          <w:szCs w:val="20"/>
          <w:lang w:val="es-ES_tradnl"/>
        </w:rPr>
        <w:tab/>
      </w:r>
      <w:r w:rsidR="004A6A54" w:rsidRPr="00E348CF">
        <w:rPr>
          <w:rFonts w:asciiTheme="majorHAnsi" w:hAnsiTheme="majorHAnsi"/>
          <w:b/>
          <w:bCs/>
          <w:sz w:val="20"/>
          <w:szCs w:val="20"/>
          <w:lang w:val="es-ES_tradnl"/>
        </w:rPr>
        <w:t xml:space="preserve">ANÁLISIS DE </w:t>
      </w:r>
      <w:r w:rsidR="00C21FEF" w:rsidRPr="00E348CF">
        <w:rPr>
          <w:rFonts w:asciiTheme="majorHAnsi" w:hAnsiTheme="majorHAnsi"/>
          <w:b/>
          <w:bCs/>
          <w:sz w:val="20"/>
          <w:szCs w:val="20"/>
          <w:lang w:val="es-ES_tradnl"/>
        </w:rPr>
        <w:t>CARACTERIZACIÓN DE LOS HECHOS ALEGADOS</w:t>
      </w:r>
    </w:p>
    <w:p w14:paraId="45EEDF68" w14:textId="77777777" w:rsidR="0030191F" w:rsidRPr="00E348CF" w:rsidRDefault="0030191F" w:rsidP="0030191F">
      <w:pPr>
        <w:pStyle w:val="ListParagraph"/>
        <w:numPr>
          <w:ilvl w:val="0"/>
          <w:numId w:val="103"/>
        </w:numPr>
        <w:suppressAutoHyphens/>
        <w:spacing w:before="240" w:after="240"/>
        <w:jc w:val="both"/>
        <w:rPr>
          <w:rFonts w:asciiTheme="majorHAnsi" w:hAnsiTheme="majorHAnsi"/>
          <w:sz w:val="20"/>
          <w:szCs w:val="20"/>
          <w:lang w:val="es-ES_tradnl"/>
        </w:rPr>
      </w:pPr>
      <w:r w:rsidRPr="00E348CF">
        <w:rPr>
          <w:rFonts w:asciiTheme="majorHAnsi" w:hAnsiTheme="majorHAnsi"/>
          <w:sz w:val="20"/>
          <w:szCs w:val="20"/>
          <w:lang w:val="es-ES_tradnl"/>
        </w:rPr>
        <w:t xml:space="preserve">La Comisión reitera que el criterio de evaluación de la fase de admisibilidad difiere del que se utiliza para pronunciarse sobre el fondo de una petición; la CIDH debe realizar en esta etapa una evaluación </w:t>
      </w:r>
      <w:r w:rsidRPr="00E348CF">
        <w:rPr>
          <w:rFonts w:asciiTheme="majorHAnsi" w:hAnsiTheme="majorHAnsi"/>
          <w:i/>
          <w:iCs/>
          <w:sz w:val="20"/>
          <w:szCs w:val="20"/>
          <w:lang w:val="es-ES_tradnl"/>
        </w:rPr>
        <w:t>prima facie</w:t>
      </w:r>
      <w:r w:rsidRPr="00E348CF">
        <w:rPr>
          <w:rFonts w:asciiTheme="majorHAnsi" w:hAnsiTheme="majorHAnsi"/>
          <w:sz w:val="20"/>
          <w:szCs w:val="20"/>
          <w:lang w:val="es-ES_tradnl"/>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6EBF2459" w14:textId="77777777" w:rsidR="0007266C" w:rsidRPr="00E348CF" w:rsidRDefault="0069635B" w:rsidP="0825EC64">
      <w:pPr>
        <w:pStyle w:val="ListParagraph"/>
        <w:numPr>
          <w:ilvl w:val="0"/>
          <w:numId w:val="103"/>
        </w:numPr>
        <w:suppressAutoHyphens/>
        <w:spacing w:before="240" w:after="240"/>
        <w:jc w:val="both"/>
        <w:rPr>
          <w:rFonts w:asciiTheme="majorHAnsi" w:hAnsiTheme="majorHAnsi"/>
          <w:color w:val="auto"/>
          <w:sz w:val="20"/>
          <w:szCs w:val="20"/>
        </w:rPr>
      </w:pPr>
      <w:r w:rsidRPr="0825EC64">
        <w:rPr>
          <w:rFonts w:asciiTheme="majorHAnsi" w:hAnsiTheme="majorHAnsi"/>
          <w:color w:val="auto"/>
          <w:sz w:val="20"/>
          <w:szCs w:val="20"/>
        </w:rPr>
        <w:t>Sin perjuicio de ello, la Comisión reitera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0825EC64">
        <w:rPr>
          <w:rStyle w:val="FootnoteReference"/>
          <w:rFonts w:asciiTheme="majorHAnsi" w:hAnsiTheme="majorHAnsi"/>
          <w:color w:val="auto"/>
          <w:sz w:val="20"/>
          <w:szCs w:val="20"/>
        </w:rPr>
        <w:footnoteReference w:id="6"/>
      </w:r>
      <w:r w:rsidRPr="0825EC64">
        <w:rPr>
          <w:rFonts w:asciiTheme="majorHAnsi" w:hAnsiTheme="majorHAnsi"/>
          <w:color w:val="auto"/>
          <w:sz w:val="20"/>
          <w:szCs w:val="20"/>
        </w:rPr>
        <w:t>. En ese sentido, la función de la Comisión consiste en garantizar la observancia de las obligaciones asumidas por los Estados parte de la Convención Americana, pero no puede hacer las veces de un tribunal de alzada para examinar supuestos errores de derecho o de hecho que puedan haber cometido los tribunales nacionales que hayan actuado dentro de los límites de su competencia</w:t>
      </w:r>
      <w:r w:rsidRPr="0825EC64">
        <w:rPr>
          <w:rStyle w:val="FootnoteReference"/>
          <w:rFonts w:asciiTheme="majorHAnsi" w:hAnsiTheme="majorHAnsi"/>
          <w:color w:val="auto"/>
          <w:sz w:val="20"/>
          <w:szCs w:val="20"/>
        </w:rPr>
        <w:footnoteReference w:id="7"/>
      </w:r>
      <w:r w:rsidRPr="0825EC64">
        <w:rPr>
          <w:rFonts w:asciiTheme="majorHAnsi" w:hAnsiTheme="majorHAnsi"/>
          <w:color w:val="auto"/>
          <w:sz w:val="20"/>
          <w:szCs w:val="20"/>
        </w:rPr>
        <w:t xml:space="preserve">.  </w:t>
      </w:r>
    </w:p>
    <w:p w14:paraId="6857ECBF" w14:textId="690EAE86" w:rsidR="0007266C" w:rsidRPr="00E348CF" w:rsidRDefault="0007266C" w:rsidP="0825EC64">
      <w:pPr>
        <w:pStyle w:val="ListParagraph"/>
        <w:numPr>
          <w:ilvl w:val="0"/>
          <w:numId w:val="103"/>
        </w:numPr>
        <w:suppressAutoHyphens/>
        <w:spacing w:before="240" w:after="240"/>
        <w:jc w:val="both"/>
        <w:rPr>
          <w:rFonts w:asciiTheme="majorHAnsi" w:hAnsiTheme="majorHAnsi"/>
          <w:color w:val="auto"/>
          <w:sz w:val="20"/>
          <w:szCs w:val="20"/>
          <w:lang w:val="es-ES"/>
        </w:rPr>
      </w:pPr>
      <w:r w:rsidRPr="0825EC64">
        <w:rPr>
          <w:rFonts w:asciiTheme="majorHAnsi" w:hAnsiTheme="majorHAnsi"/>
          <w:sz w:val="20"/>
          <w:szCs w:val="20"/>
          <w:lang w:val="es-ES"/>
        </w:rPr>
        <w:t>En el presente asunto, los documentos aportados permiten apreciar que la Fiscalía inició una investigación por los hechos denunciados</w:t>
      </w:r>
      <w:r w:rsidR="00E348CF" w:rsidRPr="0825EC64">
        <w:rPr>
          <w:rFonts w:asciiTheme="majorHAnsi" w:hAnsiTheme="majorHAnsi"/>
          <w:sz w:val="20"/>
          <w:szCs w:val="20"/>
          <w:lang w:val="es-ES"/>
        </w:rPr>
        <w:t>,</w:t>
      </w:r>
      <w:r w:rsidRPr="0825EC64">
        <w:rPr>
          <w:rFonts w:asciiTheme="majorHAnsi" w:hAnsiTheme="majorHAnsi"/>
          <w:sz w:val="20"/>
          <w:szCs w:val="20"/>
          <w:lang w:val="es-ES"/>
        </w:rPr>
        <w:t xml:space="preserve"> y tras reunir diversos elementos de prueba, determinó que correspondía archivar el caso al no configurarse los elementos del tipo penal de homicidio culposo. Para arribar a tal conclusión, dicha autoridad examinó distintos peritajes y evidencias, y constató que, si bien el conductor del vehículo presentaba 1.5 grados de alcohol en la sangre, la adolescente Daniela Trujillo Martínez cruzó la vía a pesar de la existencia de dos puentes peatonales en las inmediaciones. Además, se identificó que en la zona había vegetación que dificultaba la visibilidad de los peatones para los conductores que transitaban por esa vía.</w:t>
      </w:r>
    </w:p>
    <w:p w14:paraId="6D4B8876" w14:textId="77777777" w:rsidR="0007266C" w:rsidRPr="00E348CF" w:rsidRDefault="0007266C" w:rsidP="0007266C">
      <w:pPr>
        <w:pStyle w:val="ListParagraph"/>
        <w:numPr>
          <w:ilvl w:val="0"/>
          <w:numId w:val="103"/>
        </w:numPr>
        <w:suppressAutoHyphens/>
        <w:spacing w:before="240" w:after="240"/>
        <w:jc w:val="both"/>
        <w:rPr>
          <w:rFonts w:asciiTheme="majorHAnsi" w:hAnsiTheme="majorHAnsi"/>
          <w:color w:val="auto"/>
          <w:sz w:val="20"/>
          <w:szCs w:val="20"/>
          <w:lang w:val="es-ES_tradnl"/>
        </w:rPr>
      </w:pPr>
      <w:r w:rsidRPr="00E348CF">
        <w:rPr>
          <w:rFonts w:asciiTheme="majorHAnsi" w:hAnsiTheme="majorHAnsi"/>
          <w:sz w:val="20"/>
          <w:szCs w:val="20"/>
          <w:lang w:val="es-ES_tradnl"/>
        </w:rPr>
        <w:t>Asimismo, se tuvo en cuenta que el conductor se desplazaba a una velocidad inferior al límite permitido en ese sector. En el lugar de los hechos se identificó una huella de frenado de 7 metros en diagonal, lo que permitía inferir que se intentó detener el vehículo. A juicio del fiscal, esta maniobra evidenciaba una reacción inmediata ante la presencia de la víctima, lo cual incidía en la exclusión del nexo causal directo requerido para configurar el tipo penal imputado. En consecuencia, concluyó que, a pesar del estado de embriaguez del conductor, este no fue la causa eficiente ni determinante de la muerte de la presunta víctima.</w:t>
      </w:r>
    </w:p>
    <w:p w14:paraId="2361D015" w14:textId="77777777" w:rsidR="0007266C" w:rsidRPr="00E348CF" w:rsidRDefault="0007266C" w:rsidP="0007266C">
      <w:pPr>
        <w:pStyle w:val="ListParagraph"/>
        <w:numPr>
          <w:ilvl w:val="0"/>
          <w:numId w:val="103"/>
        </w:numPr>
        <w:suppressAutoHyphens/>
        <w:spacing w:before="240" w:after="240"/>
        <w:jc w:val="both"/>
        <w:rPr>
          <w:rFonts w:asciiTheme="majorHAnsi" w:hAnsiTheme="majorHAnsi"/>
          <w:color w:val="auto"/>
          <w:sz w:val="20"/>
          <w:szCs w:val="20"/>
          <w:lang w:val="es-ES_tradnl"/>
        </w:rPr>
      </w:pPr>
      <w:r w:rsidRPr="00E348CF">
        <w:rPr>
          <w:rFonts w:asciiTheme="majorHAnsi" w:hAnsiTheme="majorHAnsi"/>
          <w:sz w:val="20"/>
          <w:szCs w:val="20"/>
          <w:lang w:val="es-ES_tradnl"/>
        </w:rPr>
        <w:lastRenderedPageBreak/>
        <w:t>Aunque la parte peticionaria cuestionó esta decisión, el Juzgado 12 Penal Municipal con función de garantías desestimó su solicitud, luego de analizar los elementos probatorios obrantes en el expediente.</w:t>
      </w:r>
    </w:p>
    <w:p w14:paraId="3B52F65D" w14:textId="77777777" w:rsidR="0007266C" w:rsidRPr="00E348CF" w:rsidRDefault="0007266C" w:rsidP="0825EC64">
      <w:pPr>
        <w:pStyle w:val="ListParagraph"/>
        <w:numPr>
          <w:ilvl w:val="0"/>
          <w:numId w:val="103"/>
        </w:numPr>
        <w:suppressAutoHyphens/>
        <w:spacing w:before="240" w:after="240"/>
        <w:jc w:val="both"/>
        <w:rPr>
          <w:rFonts w:asciiTheme="majorHAnsi" w:hAnsiTheme="majorHAnsi"/>
          <w:color w:val="auto"/>
          <w:sz w:val="20"/>
          <w:szCs w:val="20"/>
          <w:lang w:val="es-ES"/>
        </w:rPr>
      </w:pPr>
      <w:r w:rsidRPr="0825EC64">
        <w:rPr>
          <w:rFonts w:asciiTheme="majorHAnsi" w:hAnsiTheme="majorHAnsi"/>
          <w:sz w:val="20"/>
          <w:szCs w:val="20"/>
          <w:lang w:val="es-ES"/>
        </w:rPr>
        <w:t>Con base en lo anterior, la Comisión observa que, si bien la parte peticionaria alega que no se otorgó el peso adecuado a los exámenes de alcoholemia, dicho aspecto fue considerado en el análisis realizado por las autoridades. La Fiscalía efectuó una valoración integral de todos los medios disponibles y fundamentó por qué, pese a dicho resultado, no se reunían los requisitos legales para iniciar una acción penal.</w:t>
      </w:r>
    </w:p>
    <w:p w14:paraId="7638040D" w14:textId="347EE4CB" w:rsidR="0007266C" w:rsidRPr="00E348CF" w:rsidRDefault="0007266C" w:rsidP="0007266C">
      <w:pPr>
        <w:pStyle w:val="ListParagraph"/>
        <w:numPr>
          <w:ilvl w:val="0"/>
          <w:numId w:val="103"/>
        </w:numPr>
        <w:suppressAutoHyphens/>
        <w:spacing w:before="240" w:after="240"/>
        <w:jc w:val="both"/>
        <w:rPr>
          <w:rFonts w:asciiTheme="majorHAnsi" w:hAnsiTheme="majorHAnsi"/>
          <w:color w:val="auto"/>
          <w:sz w:val="20"/>
          <w:szCs w:val="20"/>
          <w:lang w:val="es-ES_tradnl"/>
        </w:rPr>
      </w:pPr>
      <w:r w:rsidRPr="00E348CF">
        <w:rPr>
          <w:rFonts w:asciiTheme="majorHAnsi" w:hAnsiTheme="majorHAnsi"/>
          <w:sz w:val="20"/>
          <w:szCs w:val="20"/>
          <w:lang w:val="es-ES_tradnl"/>
        </w:rPr>
        <w:t xml:space="preserve">A juicio de la CIDH, la parte peticionaria no presenta argumentos concretos ni pruebas que permitan identificar, </w:t>
      </w:r>
      <w:r w:rsidR="00E348CF" w:rsidRPr="00E348CF">
        <w:rPr>
          <w:rFonts w:asciiTheme="majorHAnsi" w:hAnsiTheme="majorHAnsi"/>
          <w:sz w:val="20"/>
          <w:szCs w:val="20"/>
          <w:lang w:val="es-ES_tradnl"/>
        </w:rPr>
        <w:t xml:space="preserve">al menos </w:t>
      </w:r>
      <w:r w:rsidR="00E348CF" w:rsidRPr="00E348CF">
        <w:rPr>
          <w:rFonts w:asciiTheme="majorHAnsi" w:hAnsiTheme="majorHAnsi"/>
          <w:i/>
          <w:iCs/>
          <w:sz w:val="20"/>
          <w:szCs w:val="20"/>
          <w:lang w:val="es-ES_tradnl"/>
        </w:rPr>
        <w:t>prima facie</w:t>
      </w:r>
      <w:r w:rsidRPr="00E348CF">
        <w:rPr>
          <w:rFonts w:asciiTheme="majorHAnsi" w:hAnsiTheme="majorHAnsi"/>
          <w:sz w:val="20"/>
          <w:szCs w:val="20"/>
          <w:lang w:val="es-ES_tradnl"/>
        </w:rPr>
        <w:t xml:space="preserve">, el incumplimiento </w:t>
      </w:r>
      <w:r w:rsidR="00E348CF" w:rsidRPr="00E348CF">
        <w:rPr>
          <w:rFonts w:asciiTheme="majorHAnsi" w:hAnsiTheme="majorHAnsi"/>
          <w:sz w:val="20"/>
          <w:szCs w:val="20"/>
          <w:lang w:val="es-ES_tradnl"/>
        </w:rPr>
        <w:t>de las obligaciones de acceso a la justicia sustentadas en los artículos 8 y 25 de la Convención Americana, y por extensión de algún otro derecho</w:t>
      </w:r>
      <w:r w:rsidRPr="00E348CF">
        <w:rPr>
          <w:rFonts w:asciiTheme="majorHAnsi" w:hAnsiTheme="majorHAnsi"/>
          <w:sz w:val="20"/>
          <w:szCs w:val="20"/>
          <w:lang w:val="es-ES_tradnl"/>
        </w:rPr>
        <w:t xml:space="preserve">. Por el contrario, </w:t>
      </w:r>
      <w:r w:rsidR="00E348CF" w:rsidRPr="00E348CF">
        <w:rPr>
          <w:rFonts w:asciiTheme="majorHAnsi" w:hAnsiTheme="majorHAnsi"/>
          <w:sz w:val="20"/>
          <w:szCs w:val="20"/>
          <w:lang w:val="es-ES_tradnl"/>
        </w:rPr>
        <w:t>las autoridades judiciales domésticas</w:t>
      </w:r>
      <w:r w:rsidRPr="00E348CF">
        <w:rPr>
          <w:rFonts w:asciiTheme="majorHAnsi" w:hAnsiTheme="majorHAnsi"/>
          <w:sz w:val="20"/>
          <w:szCs w:val="20"/>
          <w:lang w:val="es-ES_tradnl"/>
        </w:rPr>
        <w:t xml:space="preserve"> habrían llevado a cabo una investigación, recabado pruebas relevantes y emitido una decisión razonada con base en el material disponible.</w:t>
      </w:r>
    </w:p>
    <w:p w14:paraId="4CC984BD" w14:textId="53F12377" w:rsidR="00441F11" w:rsidRPr="00E348CF" w:rsidRDefault="00441F11" w:rsidP="00C52F1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348CF">
        <w:rPr>
          <w:rFonts w:asciiTheme="majorHAnsi" w:hAnsiTheme="majorHAnsi"/>
          <w:bCs/>
          <w:sz w:val="20"/>
          <w:szCs w:val="20"/>
          <w:lang w:val="es-ES_tradnl"/>
        </w:rPr>
        <w:t xml:space="preserve">Por las citadas razones, la Comisión considera que los hechos expuestos por la parte peticionaria no muestran, </w:t>
      </w:r>
      <w:r w:rsidRPr="00E348CF">
        <w:rPr>
          <w:rFonts w:asciiTheme="majorHAnsi" w:hAnsiTheme="majorHAnsi"/>
          <w:bCs/>
          <w:i/>
          <w:iCs/>
          <w:sz w:val="20"/>
          <w:szCs w:val="20"/>
          <w:lang w:val="es-ES_tradnl"/>
        </w:rPr>
        <w:t>prima facie</w:t>
      </w:r>
      <w:r w:rsidRPr="00E348CF">
        <w:rPr>
          <w:rFonts w:asciiTheme="majorHAnsi" w:hAnsiTheme="majorHAnsi"/>
          <w:bCs/>
          <w:sz w:val="20"/>
          <w:szCs w:val="20"/>
          <w:lang w:val="es-ES_tradnl"/>
        </w:rPr>
        <w:t xml:space="preserve">, una posible vulneración de derechos y, en consecuencia, con base en </w:t>
      </w:r>
      <w:r w:rsidRPr="00E348CF">
        <w:rPr>
          <w:rFonts w:asciiTheme="majorHAnsi" w:hAnsiTheme="majorHAnsi"/>
          <w:sz w:val="20"/>
          <w:szCs w:val="20"/>
          <w:lang w:val="es-ES_tradnl"/>
        </w:rPr>
        <w:t xml:space="preserve">el artículo 47.b) de la Convención, corresponde declarar la inadmisibilidad de este asunto. </w:t>
      </w:r>
    </w:p>
    <w:p w14:paraId="29BB41F5" w14:textId="77777777" w:rsidR="003239B8" w:rsidRPr="00E348CF" w:rsidRDefault="003239B8" w:rsidP="003239B8">
      <w:pPr>
        <w:pStyle w:val="ListParagraph"/>
        <w:spacing w:before="240" w:after="240"/>
        <w:jc w:val="both"/>
        <w:rPr>
          <w:rFonts w:asciiTheme="majorHAnsi" w:hAnsiTheme="majorHAnsi"/>
          <w:b/>
          <w:bCs/>
          <w:sz w:val="20"/>
          <w:szCs w:val="20"/>
          <w:lang w:val="es-ES_tradnl"/>
        </w:rPr>
      </w:pPr>
      <w:r w:rsidRPr="00E348CF">
        <w:rPr>
          <w:rFonts w:asciiTheme="majorHAnsi" w:hAnsiTheme="majorHAnsi"/>
          <w:b/>
          <w:bCs/>
          <w:sz w:val="20"/>
          <w:szCs w:val="20"/>
          <w:lang w:val="es-ES_tradnl"/>
        </w:rPr>
        <w:t xml:space="preserve">VIII. </w:t>
      </w:r>
      <w:r w:rsidRPr="00E348CF">
        <w:rPr>
          <w:rFonts w:asciiTheme="majorHAnsi" w:hAnsiTheme="majorHAnsi"/>
          <w:b/>
          <w:bCs/>
          <w:sz w:val="20"/>
          <w:szCs w:val="20"/>
          <w:lang w:val="es-ES_tradnl"/>
        </w:rPr>
        <w:tab/>
        <w:t>DECISIÓN</w:t>
      </w:r>
    </w:p>
    <w:p w14:paraId="570DA61C" w14:textId="1558BD11" w:rsidR="000419AD" w:rsidRPr="00E348CF" w:rsidRDefault="000419AD" w:rsidP="000419AD">
      <w:pPr>
        <w:pStyle w:val="ListParagraph"/>
        <w:numPr>
          <w:ilvl w:val="0"/>
          <w:numId w:val="109"/>
        </w:numPr>
        <w:rPr>
          <w:rFonts w:asciiTheme="majorHAnsi" w:eastAsia="Arial Unicode MS" w:hAnsiTheme="majorHAnsi" w:cs="Times New Roman"/>
          <w:color w:val="auto"/>
          <w:sz w:val="20"/>
          <w:szCs w:val="20"/>
          <w:lang w:val="es-ES_tradnl" w:eastAsia="en-US"/>
        </w:rPr>
      </w:pPr>
      <w:r w:rsidRPr="00E348CF">
        <w:rPr>
          <w:rFonts w:asciiTheme="majorHAnsi" w:eastAsia="Arial Unicode MS" w:hAnsiTheme="majorHAnsi" w:cs="Times New Roman"/>
          <w:color w:val="auto"/>
          <w:sz w:val="20"/>
          <w:szCs w:val="20"/>
          <w:lang w:val="es-ES_tradnl" w:eastAsia="en-US"/>
        </w:rPr>
        <w:t>Decla</w:t>
      </w:r>
      <w:r w:rsidRPr="00751132">
        <w:rPr>
          <w:rFonts w:asciiTheme="majorHAnsi" w:eastAsia="Arial Unicode MS" w:hAnsiTheme="majorHAnsi" w:cs="Times New Roman"/>
          <w:color w:val="auto"/>
          <w:sz w:val="20"/>
          <w:szCs w:val="20"/>
          <w:lang w:val="es-ES_tradnl" w:eastAsia="en-US"/>
        </w:rPr>
        <w:t>rar inadmisible la presen</w:t>
      </w:r>
      <w:r w:rsidRPr="00E348CF">
        <w:rPr>
          <w:rFonts w:asciiTheme="majorHAnsi" w:eastAsia="Arial Unicode MS" w:hAnsiTheme="majorHAnsi" w:cs="Times New Roman"/>
          <w:color w:val="auto"/>
          <w:sz w:val="20"/>
          <w:szCs w:val="20"/>
          <w:lang w:val="es-ES_tradnl" w:eastAsia="en-US"/>
        </w:rPr>
        <w:t>te petición</w:t>
      </w:r>
      <w:r w:rsidR="00A758AA" w:rsidRPr="00E348CF">
        <w:rPr>
          <w:rFonts w:asciiTheme="majorHAnsi" w:eastAsia="Arial Unicode MS" w:hAnsiTheme="majorHAnsi" w:cs="Times New Roman"/>
          <w:color w:val="auto"/>
          <w:sz w:val="20"/>
          <w:szCs w:val="20"/>
          <w:lang w:val="es-ES_tradnl" w:eastAsia="en-US"/>
        </w:rPr>
        <w:t>;</w:t>
      </w:r>
      <w:r w:rsidR="004A6A54" w:rsidRPr="00E348CF">
        <w:rPr>
          <w:rFonts w:asciiTheme="majorHAnsi" w:eastAsia="Arial Unicode MS" w:hAnsiTheme="majorHAnsi" w:cs="Times New Roman"/>
          <w:color w:val="auto"/>
          <w:sz w:val="20"/>
          <w:szCs w:val="20"/>
          <w:lang w:val="es-ES_tradnl" w:eastAsia="en-US"/>
        </w:rPr>
        <w:t xml:space="preserve"> y</w:t>
      </w:r>
    </w:p>
    <w:p w14:paraId="41AA5BF6" w14:textId="77777777" w:rsidR="000419AD" w:rsidRPr="00E348CF" w:rsidRDefault="000419AD" w:rsidP="000419AD">
      <w:pPr>
        <w:pStyle w:val="ListParagraph"/>
        <w:rPr>
          <w:rFonts w:asciiTheme="majorHAnsi" w:eastAsia="Arial Unicode MS" w:hAnsiTheme="majorHAnsi" w:cs="Times New Roman"/>
          <w:color w:val="auto"/>
          <w:sz w:val="20"/>
          <w:szCs w:val="20"/>
          <w:lang w:val="es-ES_tradnl" w:eastAsia="en-US"/>
        </w:rPr>
      </w:pPr>
    </w:p>
    <w:p w14:paraId="12A7002C" w14:textId="7D71FCE7" w:rsidR="004A6A54" w:rsidRPr="00E348CF" w:rsidRDefault="004A6A54" w:rsidP="004A6A5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E348CF">
        <w:rPr>
          <w:rFonts w:asciiTheme="majorHAnsi" w:hAnsiTheme="majorHAnsi"/>
          <w:sz w:val="20"/>
          <w:szCs w:val="20"/>
          <w:lang w:val="es-ES_tradnl"/>
        </w:rPr>
        <w:t>Notificar a las partes la presente decisión; y publicar esta decisión e incluirla en su Informe Anual a la Asamblea General de la Organización de los Estados Americanos.</w:t>
      </w:r>
    </w:p>
    <w:p w14:paraId="6AC80CA6" w14:textId="14562907" w:rsidR="00722C9F" w:rsidRPr="00501D22" w:rsidRDefault="00823575" w:rsidP="00501D22">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2 días del mes de julio de 2025.  (Firmado): José Luis Caballero Ochoa, Presidente; Arif Bulkan, Segundo Vicepresidente; Roberta Clarke y Gloria Monique de Mees, </w:t>
      </w:r>
      <w:r w:rsidR="00980F45">
        <w:rPr>
          <w:rStyle w:val="normaltextrun"/>
          <w:rFonts w:ascii="Cambria" w:hAnsi="Cambria" w:cs="Segoe UI"/>
          <w:sz w:val="20"/>
          <w:szCs w:val="20"/>
          <w:lang w:val="es-CL"/>
        </w:rPr>
        <w:t>m</w:t>
      </w:r>
      <w:r w:rsidRPr="00272A90">
        <w:rPr>
          <w:rStyle w:val="normaltextrun"/>
          <w:rFonts w:ascii="Cambria" w:hAnsi="Cambria" w:cs="Segoe UI"/>
          <w:sz w:val="20"/>
          <w:szCs w:val="20"/>
          <w:lang w:val="es-CL"/>
        </w:rPr>
        <w:t>iembros de la Comisión.</w:t>
      </w:r>
    </w:p>
    <w:sectPr w:rsidR="00722C9F" w:rsidRPr="00501D22"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A9C3" w14:textId="77777777" w:rsidR="00FC33DF" w:rsidRDefault="00FC33DF">
      <w:r>
        <w:separator/>
      </w:r>
    </w:p>
  </w:endnote>
  <w:endnote w:type="continuationSeparator" w:id="0">
    <w:p w14:paraId="080091DF" w14:textId="77777777" w:rsidR="00FC33DF" w:rsidRDefault="00FC33DF">
      <w:r>
        <w:continuationSeparator/>
      </w:r>
    </w:p>
  </w:endnote>
  <w:endnote w:type="continuationNotice" w:id="1">
    <w:p w14:paraId="355641B5" w14:textId="77777777" w:rsidR="00FC33DF" w:rsidRDefault="00FC3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D3A4" w14:textId="77777777" w:rsidR="00FC33DF" w:rsidRPr="000F35ED" w:rsidRDefault="00FC33D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2319AEC" w14:textId="77777777" w:rsidR="00FC33DF" w:rsidRPr="000F35ED" w:rsidRDefault="00FC33DF" w:rsidP="000F35ED">
      <w:pPr>
        <w:rPr>
          <w:rFonts w:asciiTheme="majorHAnsi" w:hAnsiTheme="majorHAnsi"/>
          <w:sz w:val="16"/>
          <w:szCs w:val="16"/>
        </w:rPr>
      </w:pPr>
      <w:r w:rsidRPr="000F35ED">
        <w:rPr>
          <w:rFonts w:asciiTheme="majorHAnsi" w:hAnsiTheme="majorHAnsi"/>
          <w:sz w:val="16"/>
          <w:szCs w:val="16"/>
        </w:rPr>
        <w:separator/>
      </w:r>
    </w:p>
    <w:p w14:paraId="241128FA" w14:textId="77777777" w:rsidR="00FC33DF" w:rsidRPr="000F35ED" w:rsidRDefault="00FC33D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479692B" w14:textId="77777777" w:rsidR="00FC33DF" w:rsidRPr="000F35ED" w:rsidRDefault="00FC33D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F2920AC" w14:textId="77777777" w:rsidR="00716C90" w:rsidRPr="00CF02F2" w:rsidRDefault="00716C90" w:rsidP="00C166D6">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el Comisionado</w:t>
      </w:r>
      <w:r w:rsidRPr="009D4060">
        <w:rPr>
          <w:rFonts w:asciiTheme="majorHAnsi" w:hAnsiTheme="majorHAnsi"/>
          <w:sz w:val="16"/>
          <w:szCs w:val="16"/>
          <w:lang w:val="es-ES"/>
        </w:rPr>
        <w:t xml:space="preserve"> </w:t>
      </w:r>
      <w:r>
        <w:rPr>
          <w:rFonts w:asciiTheme="majorHAnsi" w:hAnsiTheme="majorHAnsi"/>
          <w:sz w:val="16"/>
          <w:szCs w:val="16"/>
          <w:lang w:val="es-ES"/>
        </w:rPr>
        <w:t>Carlos Bernal Pulido</w:t>
      </w:r>
      <w:r w:rsidRPr="009D4060">
        <w:rPr>
          <w:rFonts w:asciiTheme="majorHAnsi" w:hAnsiTheme="majorHAnsi"/>
          <w:sz w:val="16"/>
          <w:szCs w:val="16"/>
          <w:lang w:val="es-ES"/>
        </w:rPr>
        <w:t xml:space="preserve">, de nacionalidad </w:t>
      </w:r>
      <w:r>
        <w:rPr>
          <w:rFonts w:asciiTheme="majorHAnsi" w:hAnsiTheme="majorHAnsi"/>
          <w:sz w:val="16"/>
          <w:szCs w:val="16"/>
          <w:lang w:val="es-ES"/>
        </w:rPr>
        <w:t>colombiana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3">
    <w:p w14:paraId="5E95DECD" w14:textId="77777777" w:rsidR="00AA45B3" w:rsidRPr="00E16652" w:rsidRDefault="00AA45B3" w:rsidP="00C166D6">
      <w:pPr>
        <w:pStyle w:val="FootnoteText"/>
        <w:jc w:val="both"/>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“La Convención” o “Convención Americana”.</w:t>
      </w:r>
    </w:p>
  </w:footnote>
  <w:footnote w:id="4">
    <w:p w14:paraId="79F07139" w14:textId="77777777" w:rsidR="008E3BFE" w:rsidRPr="00537490" w:rsidRDefault="008E3BFE" w:rsidP="00C166D6">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507B6C8B" w14:textId="77777777" w:rsidR="00EC4191" w:rsidRPr="00FC1463" w:rsidRDefault="00EC4191" w:rsidP="00C166D6">
      <w:pPr>
        <w:pStyle w:val="FootnoteText"/>
        <w:ind w:firstLine="720"/>
        <w:jc w:val="both"/>
        <w:rPr>
          <w:rFonts w:asciiTheme="majorHAnsi" w:hAnsiTheme="majorHAnsi"/>
          <w:sz w:val="16"/>
          <w:szCs w:val="16"/>
          <w:lang w:val="es-PE"/>
        </w:rPr>
      </w:pPr>
      <w:r w:rsidRPr="00FC1463">
        <w:rPr>
          <w:rStyle w:val="FootnoteReference"/>
          <w:rFonts w:asciiTheme="majorHAnsi" w:hAnsiTheme="majorHAnsi"/>
          <w:sz w:val="16"/>
          <w:szCs w:val="16"/>
        </w:rPr>
        <w:footnoteRef/>
      </w:r>
      <w:r w:rsidRPr="00FC1463">
        <w:rPr>
          <w:rFonts w:asciiTheme="majorHAnsi" w:hAnsiTheme="majorHAnsi"/>
          <w:sz w:val="16"/>
          <w:szCs w:val="16"/>
          <w:lang w:val="es-PE"/>
        </w:rPr>
        <w:t xml:space="preserve"> CIDH, Informe No. 155/17, Petición 1470-08</w:t>
      </w:r>
      <w:r>
        <w:rPr>
          <w:rFonts w:asciiTheme="majorHAnsi" w:hAnsiTheme="majorHAnsi"/>
          <w:sz w:val="16"/>
          <w:szCs w:val="16"/>
          <w:lang w:val="es-PE"/>
        </w:rPr>
        <w:t>,</w:t>
      </w:r>
      <w:r w:rsidRPr="00FC1463">
        <w:rPr>
          <w:rFonts w:asciiTheme="majorHAnsi" w:hAnsiTheme="majorHAnsi"/>
          <w:sz w:val="16"/>
          <w:szCs w:val="16"/>
          <w:lang w:val="es-PE"/>
        </w:rPr>
        <w:t xml:space="preserve"> Admisibilidad. Beatriz Elena San Miguel Bastidas y familia</w:t>
      </w:r>
      <w:r>
        <w:rPr>
          <w:rFonts w:asciiTheme="majorHAnsi" w:hAnsiTheme="majorHAnsi"/>
          <w:sz w:val="16"/>
          <w:szCs w:val="16"/>
          <w:lang w:val="es-PE"/>
        </w:rPr>
        <w:t>,</w:t>
      </w:r>
      <w:r w:rsidRPr="00FC1463">
        <w:rPr>
          <w:rFonts w:asciiTheme="majorHAnsi" w:hAnsiTheme="majorHAnsi"/>
          <w:sz w:val="16"/>
          <w:szCs w:val="16"/>
          <w:lang w:val="es-PE"/>
        </w:rPr>
        <w:t xml:space="preserve"> Colombia. 30 noviembre de 2017, párr. 9.</w:t>
      </w:r>
    </w:p>
  </w:footnote>
  <w:footnote w:id="6">
    <w:p w14:paraId="2B6F3006" w14:textId="77777777" w:rsidR="0069635B" w:rsidRPr="00A11B3B" w:rsidRDefault="0069635B" w:rsidP="00C166D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83/05 (Inadmisibilidad), Petición 644/00, Carlos Alberto López Urquía, Honduras, 24 de octubre de 2005, párr. </w:t>
      </w:r>
      <w:r w:rsidRPr="00A11B3B">
        <w:rPr>
          <w:rFonts w:ascii="Cambria" w:hAnsi="Cambria"/>
          <w:sz w:val="16"/>
          <w:szCs w:val="16"/>
          <w:lang w:val="es-ES"/>
        </w:rPr>
        <w:t>72.</w:t>
      </w:r>
    </w:p>
  </w:footnote>
  <w:footnote w:id="7">
    <w:p w14:paraId="63921066" w14:textId="77777777" w:rsidR="0069635B" w:rsidRPr="00A11B3B" w:rsidRDefault="0069635B" w:rsidP="00C166D6">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70/08, (Admisibilidad), Petición 12.242, Clínica Pediátrica de la Región de los Lago, Brasil, 16 de octubre de 2008, párr.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4A0ADA"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A9E242E"/>
    <w:multiLevelType w:val="hybridMultilevel"/>
    <w:tmpl w:val="EF9235F6"/>
    <w:lvl w:ilvl="0" w:tplc="7D20BF36">
      <w:start w:val="1"/>
      <w:numFmt w:val="decimal"/>
      <w:lvlText w:val="%1."/>
      <w:lvlJc w:val="left"/>
      <w:pPr>
        <w:ind w:left="1440" w:hanging="720"/>
      </w:pPr>
      <w:rPr>
        <w:rFonts w:hint="default"/>
        <w:b w:val="0"/>
        <w:bCs/>
        <w:i w:val="0"/>
        <w:iCs w:val="0"/>
        <w:sz w:val="20"/>
        <w:szCs w:val="20"/>
        <w:lang w:val="es-E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1"/>
  </w:num>
  <w:num w:numId="8" w16cid:durableId="2068602545">
    <w:abstractNumId w:val="24"/>
  </w:num>
  <w:num w:numId="9" w16cid:durableId="1616525600">
    <w:abstractNumId w:val="52"/>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30"/>
  </w:num>
  <w:num w:numId="12" w16cid:durableId="998582662">
    <w:abstractNumId w:val="59"/>
  </w:num>
  <w:num w:numId="13" w16cid:durableId="1175270658">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20"/>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2"/>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6"/>
  </w:num>
  <w:num w:numId="53" w16cid:durableId="251017014">
    <w:abstractNumId w:val="0"/>
  </w:num>
  <w:num w:numId="54" w16cid:durableId="2134210098">
    <w:abstractNumId w:val="41"/>
  </w:num>
  <w:num w:numId="55" w16cid:durableId="608663301">
    <w:abstractNumId w:val="42"/>
  </w:num>
  <w:num w:numId="56" w16cid:durableId="255601910">
    <w:abstractNumId w:val="48"/>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1"/>
  </w:num>
  <w:num w:numId="69" w16cid:durableId="48573556">
    <w:abstractNumId w:val="22"/>
  </w:num>
  <w:num w:numId="70" w16cid:durableId="1714845553">
    <w:abstractNumId w:val="25"/>
  </w:num>
  <w:num w:numId="71" w16cid:durableId="43258639">
    <w:abstractNumId w:val="26"/>
  </w:num>
  <w:num w:numId="72" w16cid:durableId="1533766946">
    <w:abstractNumId w:val="27"/>
  </w:num>
  <w:num w:numId="73" w16cid:durableId="1375960398">
    <w:abstractNumId w:val="29"/>
  </w:num>
  <w:num w:numId="74" w16cid:durableId="142351334">
    <w:abstractNumId w:val="31"/>
  </w:num>
  <w:num w:numId="75" w16cid:durableId="179467967">
    <w:abstractNumId w:val="33"/>
  </w:num>
  <w:num w:numId="76" w16cid:durableId="1445685242">
    <w:abstractNumId w:val="34"/>
  </w:num>
  <w:num w:numId="77" w16cid:durableId="2049792361">
    <w:abstractNumId w:val="35"/>
  </w:num>
  <w:num w:numId="78" w16cid:durableId="1766075673">
    <w:abstractNumId w:val="36"/>
  </w:num>
  <w:num w:numId="79" w16cid:durableId="1193613694">
    <w:abstractNumId w:val="37"/>
  </w:num>
  <w:num w:numId="80" w16cid:durableId="1731923604">
    <w:abstractNumId w:val="38"/>
  </w:num>
  <w:num w:numId="81" w16cid:durableId="1266036850">
    <w:abstractNumId w:val="39"/>
  </w:num>
  <w:num w:numId="82" w16cid:durableId="1881671385">
    <w:abstractNumId w:val="43"/>
  </w:num>
  <w:num w:numId="83" w16cid:durableId="1301611395">
    <w:abstractNumId w:val="44"/>
  </w:num>
  <w:num w:numId="84" w16cid:durableId="1131166778">
    <w:abstractNumId w:val="50"/>
  </w:num>
  <w:num w:numId="85" w16cid:durableId="507405131">
    <w:abstractNumId w:val="53"/>
  </w:num>
  <w:num w:numId="86" w16cid:durableId="147091870">
    <w:abstractNumId w:val="56"/>
  </w:num>
  <w:num w:numId="87" w16cid:durableId="655454458">
    <w:abstractNumId w:val="58"/>
  </w:num>
  <w:num w:numId="88" w16cid:durableId="1812089391">
    <w:abstractNumId w:val="60"/>
  </w:num>
  <w:num w:numId="89" w16cid:durableId="515115365">
    <w:abstractNumId w:val="62"/>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3"/>
  </w:num>
  <w:num w:numId="95" w16cid:durableId="1435326325">
    <w:abstractNumId w:val="45"/>
  </w:num>
  <w:num w:numId="96" w16cid:durableId="935866318">
    <w:abstractNumId w:val="57"/>
  </w:num>
  <w:num w:numId="97" w16cid:durableId="2089502159">
    <w:abstractNumId w:val="54"/>
  </w:num>
  <w:num w:numId="98" w16cid:durableId="749347125">
    <w:abstractNumId w:val="49"/>
  </w:num>
  <w:num w:numId="99" w16cid:durableId="456994649">
    <w:abstractNumId w:val="40"/>
  </w:num>
  <w:num w:numId="100" w16cid:durableId="378870339">
    <w:abstractNumId w:val="3"/>
  </w:num>
  <w:num w:numId="101" w16cid:durableId="1289773468">
    <w:abstractNumId w:val="28"/>
  </w:num>
  <w:num w:numId="102" w16cid:durableId="1186287539">
    <w:abstractNumId w:val="51"/>
  </w:num>
  <w:num w:numId="103" w16cid:durableId="1458334191">
    <w:abstractNumId w:val="6"/>
  </w:num>
  <w:num w:numId="104" w16cid:durableId="913318813">
    <w:abstractNumId w:val="66"/>
  </w:num>
  <w:num w:numId="105" w16cid:durableId="589050340">
    <w:abstractNumId w:val="55"/>
  </w:num>
  <w:num w:numId="106" w16cid:durableId="836576904">
    <w:abstractNumId w:val="4"/>
  </w:num>
  <w:num w:numId="107" w16cid:durableId="1173912010">
    <w:abstractNumId w:val="32"/>
  </w:num>
  <w:num w:numId="108" w16cid:durableId="2116440378">
    <w:abstractNumId w:val="14"/>
  </w:num>
  <w:num w:numId="109" w16cid:durableId="1694842942">
    <w:abstractNumId w:val="47"/>
  </w:num>
  <w:num w:numId="110" w16cid:durableId="859977158">
    <w:abstractNumId w:val="1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17A37"/>
    <w:rsid w:val="00021C1D"/>
    <w:rsid w:val="00026249"/>
    <w:rsid w:val="00032518"/>
    <w:rsid w:val="000336E0"/>
    <w:rsid w:val="000337EF"/>
    <w:rsid w:val="00040C3A"/>
    <w:rsid w:val="000419AD"/>
    <w:rsid w:val="000433C9"/>
    <w:rsid w:val="000716C5"/>
    <w:rsid w:val="0007266C"/>
    <w:rsid w:val="00075E23"/>
    <w:rsid w:val="0009344A"/>
    <w:rsid w:val="00094976"/>
    <w:rsid w:val="00095DBC"/>
    <w:rsid w:val="000A1974"/>
    <w:rsid w:val="000A392E"/>
    <w:rsid w:val="000A575F"/>
    <w:rsid w:val="000B062C"/>
    <w:rsid w:val="000C0477"/>
    <w:rsid w:val="000D05CB"/>
    <w:rsid w:val="000D10DB"/>
    <w:rsid w:val="000E5EB5"/>
    <w:rsid w:val="000F35ED"/>
    <w:rsid w:val="00107131"/>
    <w:rsid w:val="0010736F"/>
    <w:rsid w:val="00113F73"/>
    <w:rsid w:val="00121CC2"/>
    <w:rsid w:val="00130823"/>
    <w:rsid w:val="00131425"/>
    <w:rsid w:val="00133EAC"/>
    <w:rsid w:val="00133EE5"/>
    <w:rsid w:val="00151B83"/>
    <w:rsid w:val="00160015"/>
    <w:rsid w:val="00167A34"/>
    <w:rsid w:val="00171D6F"/>
    <w:rsid w:val="0019566B"/>
    <w:rsid w:val="001A7870"/>
    <w:rsid w:val="001B3A00"/>
    <w:rsid w:val="001B7139"/>
    <w:rsid w:val="001C1B41"/>
    <w:rsid w:val="001D65EF"/>
    <w:rsid w:val="001D7945"/>
    <w:rsid w:val="001E49E7"/>
    <w:rsid w:val="001E7336"/>
    <w:rsid w:val="001F7201"/>
    <w:rsid w:val="00222358"/>
    <w:rsid w:val="00223A29"/>
    <w:rsid w:val="002250A3"/>
    <w:rsid w:val="00235217"/>
    <w:rsid w:val="00244867"/>
    <w:rsid w:val="002469D2"/>
    <w:rsid w:val="00246D1F"/>
    <w:rsid w:val="00247403"/>
    <w:rsid w:val="00247542"/>
    <w:rsid w:val="0026020D"/>
    <w:rsid w:val="00266B61"/>
    <w:rsid w:val="0026712A"/>
    <w:rsid w:val="002677C0"/>
    <w:rsid w:val="002704DB"/>
    <w:rsid w:val="002739DF"/>
    <w:rsid w:val="002A0AAE"/>
    <w:rsid w:val="002A5820"/>
    <w:rsid w:val="002B4B34"/>
    <w:rsid w:val="002D2B26"/>
    <w:rsid w:val="002D7EA2"/>
    <w:rsid w:val="002E187C"/>
    <w:rsid w:val="002E1A33"/>
    <w:rsid w:val="002E7064"/>
    <w:rsid w:val="002F682A"/>
    <w:rsid w:val="0030191F"/>
    <w:rsid w:val="00302733"/>
    <w:rsid w:val="00314078"/>
    <w:rsid w:val="0031535D"/>
    <w:rsid w:val="003239B8"/>
    <w:rsid w:val="0033169F"/>
    <w:rsid w:val="00344977"/>
    <w:rsid w:val="00346C95"/>
    <w:rsid w:val="00356185"/>
    <w:rsid w:val="00360380"/>
    <w:rsid w:val="00365EDE"/>
    <w:rsid w:val="0037519E"/>
    <w:rsid w:val="00386CF0"/>
    <w:rsid w:val="00394049"/>
    <w:rsid w:val="00397616"/>
    <w:rsid w:val="003B1B44"/>
    <w:rsid w:val="003B70FB"/>
    <w:rsid w:val="003C2239"/>
    <w:rsid w:val="003C676B"/>
    <w:rsid w:val="003D3BC2"/>
    <w:rsid w:val="003E1AF5"/>
    <w:rsid w:val="003E6CA1"/>
    <w:rsid w:val="003F4210"/>
    <w:rsid w:val="00405F9C"/>
    <w:rsid w:val="004065A8"/>
    <w:rsid w:val="004165C2"/>
    <w:rsid w:val="004212D5"/>
    <w:rsid w:val="00423B81"/>
    <w:rsid w:val="00436B39"/>
    <w:rsid w:val="00441524"/>
    <w:rsid w:val="00441E0D"/>
    <w:rsid w:val="00441ECB"/>
    <w:rsid w:val="00441F11"/>
    <w:rsid w:val="00445193"/>
    <w:rsid w:val="00462C1B"/>
    <w:rsid w:val="004641D2"/>
    <w:rsid w:val="00467B7E"/>
    <w:rsid w:val="0047043E"/>
    <w:rsid w:val="00473BB4"/>
    <w:rsid w:val="00477592"/>
    <w:rsid w:val="00481577"/>
    <w:rsid w:val="00486F1C"/>
    <w:rsid w:val="00491F6D"/>
    <w:rsid w:val="0049419D"/>
    <w:rsid w:val="004A0ADA"/>
    <w:rsid w:val="004A6A54"/>
    <w:rsid w:val="004B4D9B"/>
    <w:rsid w:val="004C20D2"/>
    <w:rsid w:val="004C2312"/>
    <w:rsid w:val="004C4B62"/>
    <w:rsid w:val="004C54C9"/>
    <w:rsid w:val="004D33E3"/>
    <w:rsid w:val="004D4ABA"/>
    <w:rsid w:val="004D5E53"/>
    <w:rsid w:val="004D6025"/>
    <w:rsid w:val="004D65B7"/>
    <w:rsid w:val="004E2649"/>
    <w:rsid w:val="004F626F"/>
    <w:rsid w:val="004F647C"/>
    <w:rsid w:val="00501399"/>
    <w:rsid w:val="00501D22"/>
    <w:rsid w:val="0050633D"/>
    <w:rsid w:val="00507BC4"/>
    <w:rsid w:val="005128E4"/>
    <w:rsid w:val="005133DB"/>
    <w:rsid w:val="00514504"/>
    <w:rsid w:val="0052527A"/>
    <w:rsid w:val="00525560"/>
    <w:rsid w:val="00531CD0"/>
    <w:rsid w:val="00544C49"/>
    <w:rsid w:val="005516A1"/>
    <w:rsid w:val="005559EF"/>
    <w:rsid w:val="005564B7"/>
    <w:rsid w:val="00563557"/>
    <w:rsid w:val="00564669"/>
    <w:rsid w:val="00566555"/>
    <w:rsid w:val="0057402A"/>
    <w:rsid w:val="005771D0"/>
    <w:rsid w:val="0059191A"/>
    <w:rsid w:val="005921FF"/>
    <w:rsid w:val="00596C2E"/>
    <w:rsid w:val="005A24ED"/>
    <w:rsid w:val="005A254F"/>
    <w:rsid w:val="005A6D0E"/>
    <w:rsid w:val="005B52B0"/>
    <w:rsid w:val="005B6806"/>
    <w:rsid w:val="005C4225"/>
    <w:rsid w:val="005D300A"/>
    <w:rsid w:val="005D38F9"/>
    <w:rsid w:val="005E6375"/>
    <w:rsid w:val="005F0DAD"/>
    <w:rsid w:val="005F0F33"/>
    <w:rsid w:val="00600A0E"/>
    <w:rsid w:val="00600DEB"/>
    <w:rsid w:val="00627C9F"/>
    <w:rsid w:val="006311E9"/>
    <w:rsid w:val="00632354"/>
    <w:rsid w:val="00635421"/>
    <w:rsid w:val="00641E01"/>
    <w:rsid w:val="00642810"/>
    <w:rsid w:val="00652333"/>
    <w:rsid w:val="00654951"/>
    <w:rsid w:val="00656A30"/>
    <w:rsid w:val="006710B9"/>
    <w:rsid w:val="0067570F"/>
    <w:rsid w:val="0068009E"/>
    <w:rsid w:val="00692219"/>
    <w:rsid w:val="0069635B"/>
    <w:rsid w:val="006A05B8"/>
    <w:rsid w:val="006A17D2"/>
    <w:rsid w:val="006A73E6"/>
    <w:rsid w:val="006B2D5C"/>
    <w:rsid w:val="006C4EB1"/>
    <w:rsid w:val="006C5384"/>
    <w:rsid w:val="006D5B19"/>
    <w:rsid w:val="006E0166"/>
    <w:rsid w:val="006E2FFB"/>
    <w:rsid w:val="006E7B34"/>
    <w:rsid w:val="0070697F"/>
    <w:rsid w:val="00706EF8"/>
    <w:rsid w:val="00712614"/>
    <w:rsid w:val="00716C90"/>
    <w:rsid w:val="0072199C"/>
    <w:rsid w:val="00722C9F"/>
    <w:rsid w:val="0072381B"/>
    <w:rsid w:val="00724057"/>
    <w:rsid w:val="007253B8"/>
    <w:rsid w:val="0073741F"/>
    <w:rsid w:val="00751132"/>
    <w:rsid w:val="0076643F"/>
    <w:rsid w:val="00777F63"/>
    <w:rsid w:val="00785CD5"/>
    <w:rsid w:val="007A1CE0"/>
    <w:rsid w:val="007A5817"/>
    <w:rsid w:val="007B05C4"/>
    <w:rsid w:val="007B60E9"/>
    <w:rsid w:val="007B6CC3"/>
    <w:rsid w:val="007B76D3"/>
    <w:rsid w:val="007C3334"/>
    <w:rsid w:val="007C7E8C"/>
    <w:rsid w:val="007D2B98"/>
    <w:rsid w:val="007D2D56"/>
    <w:rsid w:val="007E21BC"/>
    <w:rsid w:val="007E2D30"/>
    <w:rsid w:val="007E7C82"/>
    <w:rsid w:val="007F2AA1"/>
    <w:rsid w:val="007F588D"/>
    <w:rsid w:val="00803F1C"/>
    <w:rsid w:val="0080600E"/>
    <w:rsid w:val="00814688"/>
    <w:rsid w:val="00815F15"/>
    <w:rsid w:val="00817612"/>
    <w:rsid w:val="00823575"/>
    <w:rsid w:val="0083100C"/>
    <w:rsid w:val="008338A4"/>
    <w:rsid w:val="00834D49"/>
    <w:rsid w:val="00837C45"/>
    <w:rsid w:val="00844730"/>
    <w:rsid w:val="008457C2"/>
    <w:rsid w:val="00857A82"/>
    <w:rsid w:val="00867314"/>
    <w:rsid w:val="0087107C"/>
    <w:rsid w:val="00873836"/>
    <w:rsid w:val="00881717"/>
    <w:rsid w:val="00883A86"/>
    <w:rsid w:val="00885737"/>
    <w:rsid w:val="00890650"/>
    <w:rsid w:val="00897E12"/>
    <w:rsid w:val="008A0655"/>
    <w:rsid w:val="008A5E7E"/>
    <w:rsid w:val="008A60E2"/>
    <w:rsid w:val="008A7E0F"/>
    <w:rsid w:val="008B12F5"/>
    <w:rsid w:val="008B1F6E"/>
    <w:rsid w:val="008C5E2D"/>
    <w:rsid w:val="008D2767"/>
    <w:rsid w:val="008D768D"/>
    <w:rsid w:val="008E3759"/>
    <w:rsid w:val="008E3BFE"/>
    <w:rsid w:val="008F1912"/>
    <w:rsid w:val="0090270B"/>
    <w:rsid w:val="009041DC"/>
    <w:rsid w:val="00917B5A"/>
    <w:rsid w:val="00920A58"/>
    <w:rsid w:val="00920A8C"/>
    <w:rsid w:val="00934A2C"/>
    <w:rsid w:val="00942636"/>
    <w:rsid w:val="0094294A"/>
    <w:rsid w:val="009431DD"/>
    <w:rsid w:val="00955CCE"/>
    <w:rsid w:val="00962C58"/>
    <w:rsid w:val="0096706E"/>
    <w:rsid w:val="00974491"/>
    <w:rsid w:val="00975C4E"/>
    <w:rsid w:val="00980F45"/>
    <w:rsid w:val="00981FBA"/>
    <w:rsid w:val="009946CB"/>
    <w:rsid w:val="00997BC5"/>
    <w:rsid w:val="009A25FA"/>
    <w:rsid w:val="009A4F41"/>
    <w:rsid w:val="009B37DA"/>
    <w:rsid w:val="009B381B"/>
    <w:rsid w:val="009D1753"/>
    <w:rsid w:val="009D6EF8"/>
    <w:rsid w:val="009D7611"/>
    <w:rsid w:val="009E0B61"/>
    <w:rsid w:val="009E53DE"/>
    <w:rsid w:val="009F5C45"/>
    <w:rsid w:val="00A05226"/>
    <w:rsid w:val="00A11212"/>
    <w:rsid w:val="00A11E44"/>
    <w:rsid w:val="00A23907"/>
    <w:rsid w:val="00A30100"/>
    <w:rsid w:val="00A328B3"/>
    <w:rsid w:val="00A45494"/>
    <w:rsid w:val="00A46BD4"/>
    <w:rsid w:val="00A50FCF"/>
    <w:rsid w:val="00A5234F"/>
    <w:rsid w:val="00A528D1"/>
    <w:rsid w:val="00A610CD"/>
    <w:rsid w:val="00A63120"/>
    <w:rsid w:val="00A74E03"/>
    <w:rsid w:val="00A758AA"/>
    <w:rsid w:val="00A76880"/>
    <w:rsid w:val="00A9608A"/>
    <w:rsid w:val="00A963E7"/>
    <w:rsid w:val="00AA09A2"/>
    <w:rsid w:val="00AA45B3"/>
    <w:rsid w:val="00AA52AC"/>
    <w:rsid w:val="00AA7996"/>
    <w:rsid w:val="00AC19CB"/>
    <w:rsid w:val="00AE4175"/>
    <w:rsid w:val="00AE5488"/>
    <w:rsid w:val="00AE6F91"/>
    <w:rsid w:val="00AF5571"/>
    <w:rsid w:val="00B07341"/>
    <w:rsid w:val="00B11747"/>
    <w:rsid w:val="00B126BA"/>
    <w:rsid w:val="00B30539"/>
    <w:rsid w:val="00B314DB"/>
    <w:rsid w:val="00B361F2"/>
    <w:rsid w:val="00B3718B"/>
    <w:rsid w:val="00B3745F"/>
    <w:rsid w:val="00B376B3"/>
    <w:rsid w:val="00B4632A"/>
    <w:rsid w:val="00B4708C"/>
    <w:rsid w:val="00B530F1"/>
    <w:rsid w:val="00B55B87"/>
    <w:rsid w:val="00B5784A"/>
    <w:rsid w:val="00B6335B"/>
    <w:rsid w:val="00B73342"/>
    <w:rsid w:val="00B9468D"/>
    <w:rsid w:val="00B95335"/>
    <w:rsid w:val="00BA276C"/>
    <w:rsid w:val="00BB306F"/>
    <w:rsid w:val="00BD4B89"/>
    <w:rsid w:val="00BD5922"/>
    <w:rsid w:val="00BF02CB"/>
    <w:rsid w:val="00BF26A6"/>
    <w:rsid w:val="00BF6FD8"/>
    <w:rsid w:val="00BF7FF1"/>
    <w:rsid w:val="00C03680"/>
    <w:rsid w:val="00C054DF"/>
    <w:rsid w:val="00C166D6"/>
    <w:rsid w:val="00C20AE0"/>
    <w:rsid w:val="00C21762"/>
    <w:rsid w:val="00C21FEF"/>
    <w:rsid w:val="00C23BA4"/>
    <w:rsid w:val="00C24543"/>
    <w:rsid w:val="00C256A2"/>
    <w:rsid w:val="00C25ADB"/>
    <w:rsid w:val="00C51515"/>
    <w:rsid w:val="00C52F1F"/>
    <w:rsid w:val="00C5660B"/>
    <w:rsid w:val="00C5741D"/>
    <w:rsid w:val="00C659E2"/>
    <w:rsid w:val="00C66B72"/>
    <w:rsid w:val="00C710B6"/>
    <w:rsid w:val="00C741C1"/>
    <w:rsid w:val="00C822C3"/>
    <w:rsid w:val="00C85201"/>
    <w:rsid w:val="00C87AC4"/>
    <w:rsid w:val="00C9567A"/>
    <w:rsid w:val="00C96860"/>
    <w:rsid w:val="00CA6DDE"/>
    <w:rsid w:val="00CB212D"/>
    <w:rsid w:val="00CB2660"/>
    <w:rsid w:val="00CC442D"/>
    <w:rsid w:val="00CC5E90"/>
    <w:rsid w:val="00CD046C"/>
    <w:rsid w:val="00CE076C"/>
    <w:rsid w:val="00CE13B3"/>
    <w:rsid w:val="00CE271E"/>
    <w:rsid w:val="00CE5199"/>
    <w:rsid w:val="00CE66D5"/>
    <w:rsid w:val="00CF637A"/>
    <w:rsid w:val="00D04ECC"/>
    <w:rsid w:val="00D059DE"/>
    <w:rsid w:val="00D05ABD"/>
    <w:rsid w:val="00D12B5C"/>
    <w:rsid w:val="00D13530"/>
    <w:rsid w:val="00D13FCE"/>
    <w:rsid w:val="00D306D1"/>
    <w:rsid w:val="00D30800"/>
    <w:rsid w:val="00D33FF0"/>
    <w:rsid w:val="00D34786"/>
    <w:rsid w:val="00D37BFC"/>
    <w:rsid w:val="00D47A8E"/>
    <w:rsid w:val="00D52D14"/>
    <w:rsid w:val="00D66B2E"/>
    <w:rsid w:val="00D712D3"/>
    <w:rsid w:val="00D71422"/>
    <w:rsid w:val="00D72DC6"/>
    <w:rsid w:val="00D74C0A"/>
    <w:rsid w:val="00D7558D"/>
    <w:rsid w:val="00D81D92"/>
    <w:rsid w:val="00D839AA"/>
    <w:rsid w:val="00D876F9"/>
    <w:rsid w:val="00D87C0E"/>
    <w:rsid w:val="00DA7B5F"/>
    <w:rsid w:val="00DC11E7"/>
    <w:rsid w:val="00DC24E3"/>
    <w:rsid w:val="00DC7023"/>
    <w:rsid w:val="00DC769A"/>
    <w:rsid w:val="00DD3D86"/>
    <w:rsid w:val="00DD4AD2"/>
    <w:rsid w:val="00DD5184"/>
    <w:rsid w:val="00DF1EC4"/>
    <w:rsid w:val="00E0340B"/>
    <w:rsid w:val="00E04A90"/>
    <w:rsid w:val="00E04D54"/>
    <w:rsid w:val="00E0551F"/>
    <w:rsid w:val="00E219C7"/>
    <w:rsid w:val="00E348CF"/>
    <w:rsid w:val="00E4118C"/>
    <w:rsid w:val="00E43157"/>
    <w:rsid w:val="00E461CE"/>
    <w:rsid w:val="00E54D28"/>
    <w:rsid w:val="00E573E4"/>
    <w:rsid w:val="00E64C3D"/>
    <w:rsid w:val="00E67C67"/>
    <w:rsid w:val="00E720CA"/>
    <w:rsid w:val="00E74925"/>
    <w:rsid w:val="00E82357"/>
    <w:rsid w:val="00E82DDC"/>
    <w:rsid w:val="00E84EB5"/>
    <w:rsid w:val="00E85662"/>
    <w:rsid w:val="00E8789F"/>
    <w:rsid w:val="00E95CDD"/>
    <w:rsid w:val="00E97B71"/>
    <w:rsid w:val="00EA3D34"/>
    <w:rsid w:val="00EB090F"/>
    <w:rsid w:val="00EB197F"/>
    <w:rsid w:val="00EB454D"/>
    <w:rsid w:val="00EB71F4"/>
    <w:rsid w:val="00EC4191"/>
    <w:rsid w:val="00ED549D"/>
    <w:rsid w:val="00ED76BE"/>
    <w:rsid w:val="00EE00E9"/>
    <w:rsid w:val="00EF1AAA"/>
    <w:rsid w:val="00EF619B"/>
    <w:rsid w:val="00EF76F5"/>
    <w:rsid w:val="00F00B55"/>
    <w:rsid w:val="00F02AD1"/>
    <w:rsid w:val="00F0583F"/>
    <w:rsid w:val="00F253CC"/>
    <w:rsid w:val="00F2571A"/>
    <w:rsid w:val="00F37106"/>
    <w:rsid w:val="00F40C79"/>
    <w:rsid w:val="00F44E25"/>
    <w:rsid w:val="00F519CF"/>
    <w:rsid w:val="00F56BA5"/>
    <w:rsid w:val="00F60E22"/>
    <w:rsid w:val="00F81395"/>
    <w:rsid w:val="00F81BB8"/>
    <w:rsid w:val="00F867DA"/>
    <w:rsid w:val="00F90C64"/>
    <w:rsid w:val="00F917D1"/>
    <w:rsid w:val="00F9653B"/>
    <w:rsid w:val="00FB62CF"/>
    <w:rsid w:val="00FC33DF"/>
    <w:rsid w:val="00FD3C3B"/>
    <w:rsid w:val="00FE07DD"/>
    <w:rsid w:val="00FE6B45"/>
    <w:rsid w:val="00FF55F3"/>
    <w:rsid w:val="00FF5851"/>
    <w:rsid w:val="00FF7B79"/>
    <w:rsid w:val="0825EC6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716C9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30191F"/>
    <w:rPr>
      <w:rFonts w:ascii="Cambria" w:eastAsia="Cambria" w:hAnsi="Cambria" w:cs="Cambria"/>
      <w:color w:val="000000"/>
      <w:sz w:val="24"/>
      <w:szCs w:val="24"/>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94294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paragraph" w:customStyle="1" w:styleId="paragraph">
    <w:name w:val="paragraph"/>
    <w:basedOn w:val="Normal"/>
    <w:rsid w:val="008235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23575"/>
  </w:style>
  <w:style w:type="character" w:customStyle="1" w:styleId="eop">
    <w:name w:val="eop"/>
    <w:basedOn w:val="DefaultParagraphFont"/>
    <w:rsid w:val="0082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661192">
      <w:bodyDiv w:val="1"/>
      <w:marLeft w:val="0"/>
      <w:marRight w:val="0"/>
      <w:marTop w:val="0"/>
      <w:marBottom w:val="0"/>
      <w:divBdr>
        <w:top w:val="none" w:sz="0" w:space="0" w:color="auto"/>
        <w:left w:val="none" w:sz="0" w:space="0" w:color="auto"/>
        <w:bottom w:val="none" w:sz="0" w:space="0" w:color="auto"/>
        <w:right w:val="none" w:sz="0" w:space="0" w:color="auto"/>
      </w:divBdr>
    </w:div>
    <w:div w:id="693187500">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47617617">
      <w:bodyDiv w:val="1"/>
      <w:marLeft w:val="0"/>
      <w:marRight w:val="0"/>
      <w:marTop w:val="0"/>
      <w:marBottom w:val="0"/>
      <w:divBdr>
        <w:top w:val="none" w:sz="0" w:space="0" w:color="auto"/>
        <w:left w:val="none" w:sz="0" w:space="0" w:color="auto"/>
        <w:bottom w:val="none" w:sz="0" w:space="0" w:color="auto"/>
        <w:right w:val="none" w:sz="0" w:space="0" w:color="auto"/>
      </w:divBdr>
      <w:divsChild>
        <w:div w:id="572591096">
          <w:marLeft w:val="-225"/>
          <w:marRight w:val="-225"/>
          <w:marTop w:val="0"/>
          <w:marBottom w:val="0"/>
          <w:divBdr>
            <w:top w:val="none" w:sz="0" w:space="0" w:color="auto"/>
            <w:left w:val="none" w:sz="0" w:space="0" w:color="auto"/>
            <w:bottom w:val="single" w:sz="6" w:space="0" w:color="DEE2E6"/>
            <w:right w:val="none" w:sz="0" w:space="0" w:color="auto"/>
          </w:divBdr>
          <w:divsChild>
            <w:div w:id="34085407">
              <w:marLeft w:val="0"/>
              <w:marRight w:val="0"/>
              <w:marTop w:val="0"/>
              <w:marBottom w:val="0"/>
              <w:divBdr>
                <w:top w:val="none" w:sz="0" w:space="0" w:color="auto"/>
                <w:left w:val="none" w:sz="0" w:space="0" w:color="auto"/>
                <w:bottom w:val="none" w:sz="0" w:space="0" w:color="auto"/>
                <w:right w:val="none" w:sz="0" w:space="0" w:color="auto"/>
              </w:divBdr>
              <w:divsChild>
                <w:div w:id="3633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00602">
      <w:bodyDiv w:val="1"/>
      <w:marLeft w:val="0"/>
      <w:marRight w:val="0"/>
      <w:marTop w:val="0"/>
      <w:marBottom w:val="0"/>
      <w:divBdr>
        <w:top w:val="none" w:sz="0" w:space="0" w:color="auto"/>
        <w:left w:val="none" w:sz="0" w:space="0" w:color="auto"/>
        <w:bottom w:val="none" w:sz="0" w:space="0" w:color="auto"/>
        <w:right w:val="none" w:sz="0" w:space="0" w:color="auto"/>
      </w:divBdr>
    </w:div>
    <w:div w:id="1469125472">
      <w:bodyDiv w:val="1"/>
      <w:marLeft w:val="0"/>
      <w:marRight w:val="0"/>
      <w:marTop w:val="0"/>
      <w:marBottom w:val="0"/>
      <w:divBdr>
        <w:top w:val="none" w:sz="0" w:space="0" w:color="auto"/>
        <w:left w:val="none" w:sz="0" w:space="0" w:color="auto"/>
        <w:bottom w:val="none" w:sz="0" w:space="0" w:color="auto"/>
        <w:right w:val="none" w:sz="0" w:space="0" w:color="auto"/>
      </w:divBdr>
    </w:div>
    <w:div w:id="1475485156">
      <w:bodyDiv w:val="1"/>
      <w:marLeft w:val="0"/>
      <w:marRight w:val="0"/>
      <w:marTop w:val="0"/>
      <w:marBottom w:val="0"/>
      <w:divBdr>
        <w:top w:val="none" w:sz="0" w:space="0" w:color="auto"/>
        <w:left w:val="none" w:sz="0" w:space="0" w:color="auto"/>
        <w:bottom w:val="none" w:sz="0" w:space="0" w:color="auto"/>
        <w:right w:val="none" w:sz="0" w:space="0" w:color="auto"/>
      </w:divBdr>
    </w:div>
    <w:div w:id="1510678285">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17259220">
      <w:bodyDiv w:val="1"/>
      <w:marLeft w:val="0"/>
      <w:marRight w:val="0"/>
      <w:marTop w:val="0"/>
      <w:marBottom w:val="0"/>
      <w:divBdr>
        <w:top w:val="none" w:sz="0" w:space="0" w:color="auto"/>
        <w:left w:val="none" w:sz="0" w:space="0" w:color="auto"/>
        <w:bottom w:val="none" w:sz="0" w:space="0" w:color="auto"/>
        <w:right w:val="none" w:sz="0" w:space="0" w:color="auto"/>
      </w:divBdr>
    </w:div>
    <w:div w:id="1841965305">
      <w:bodyDiv w:val="1"/>
      <w:marLeft w:val="0"/>
      <w:marRight w:val="0"/>
      <w:marTop w:val="0"/>
      <w:marBottom w:val="0"/>
      <w:divBdr>
        <w:top w:val="none" w:sz="0" w:space="0" w:color="auto"/>
        <w:left w:val="none" w:sz="0" w:space="0" w:color="auto"/>
        <w:bottom w:val="none" w:sz="0" w:space="0" w:color="auto"/>
        <w:right w:val="none" w:sz="0" w:space="0" w:color="auto"/>
      </w:divBdr>
    </w:div>
    <w:div w:id="1890453401">
      <w:bodyDiv w:val="1"/>
      <w:marLeft w:val="0"/>
      <w:marRight w:val="0"/>
      <w:marTop w:val="0"/>
      <w:marBottom w:val="0"/>
      <w:divBdr>
        <w:top w:val="none" w:sz="0" w:space="0" w:color="auto"/>
        <w:left w:val="none" w:sz="0" w:space="0" w:color="auto"/>
        <w:bottom w:val="none" w:sz="0" w:space="0" w:color="auto"/>
        <w:right w:val="none" w:sz="0" w:space="0" w:color="auto"/>
      </w:divBdr>
      <w:divsChild>
        <w:div w:id="306278534">
          <w:marLeft w:val="-225"/>
          <w:marRight w:val="-225"/>
          <w:marTop w:val="0"/>
          <w:marBottom w:val="0"/>
          <w:divBdr>
            <w:top w:val="none" w:sz="0" w:space="0" w:color="auto"/>
            <w:left w:val="none" w:sz="0" w:space="0" w:color="auto"/>
            <w:bottom w:val="single" w:sz="6" w:space="0" w:color="DEE2E6"/>
            <w:right w:val="none" w:sz="0" w:space="0" w:color="auto"/>
          </w:divBdr>
          <w:divsChild>
            <w:div w:id="1592619153">
              <w:marLeft w:val="0"/>
              <w:marRight w:val="0"/>
              <w:marTop w:val="0"/>
              <w:marBottom w:val="0"/>
              <w:divBdr>
                <w:top w:val="none" w:sz="0" w:space="0" w:color="auto"/>
                <w:left w:val="none" w:sz="0" w:space="0" w:color="auto"/>
                <w:bottom w:val="none" w:sz="0" w:space="0" w:color="auto"/>
                <w:right w:val="none" w:sz="0" w:space="0" w:color="auto"/>
              </w:divBdr>
              <w:divsChild>
                <w:div w:id="4461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1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B2BA1"/>
    <w:rsid w:val="00136030"/>
    <w:rsid w:val="001B68CE"/>
    <w:rsid w:val="00200821"/>
    <w:rsid w:val="00201CE6"/>
    <w:rsid w:val="00212713"/>
    <w:rsid w:val="00244867"/>
    <w:rsid w:val="0025245B"/>
    <w:rsid w:val="002677C0"/>
    <w:rsid w:val="002A3923"/>
    <w:rsid w:val="00394049"/>
    <w:rsid w:val="003E4EFC"/>
    <w:rsid w:val="004B5BBB"/>
    <w:rsid w:val="004D33E3"/>
    <w:rsid w:val="004F2DF8"/>
    <w:rsid w:val="005E6375"/>
    <w:rsid w:val="0067570F"/>
    <w:rsid w:val="006C5384"/>
    <w:rsid w:val="006F24A1"/>
    <w:rsid w:val="00787C63"/>
    <w:rsid w:val="0087107C"/>
    <w:rsid w:val="009A0297"/>
    <w:rsid w:val="009A25FA"/>
    <w:rsid w:val="009A261B"/>
    <w:rsid w:val="009C3CB6"/>
    <w:rsid w:val="00A4418E"/>
    <w:rsid w:val="00A76880"/>
    <w:rsid w:val="00AA2E17"/>
    <w:rsid w:val="00AC15A4"/>
    <w:rsid w:val="00B0336C"/>
    <w:rsid w:val="00B126BA"/>
    <w:rsid w:val="00B30277"/>
    <w:rsid w:val="00C8358C"/>
    <w:rsid w:val="00D241E9"/>
    <w:rsid w:val="00D74C0A"/>
    <w:rsid w:val="00D7750D"/>
    <w:rsid w:val="00E660F1"/>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523579EC-EFCF-486A-856F-D594F226910E}">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2F5EDE91-6566-4E8C-AB6F-70FCBCEBFF66}">
  <ds:schemaRefs>
    <ds:schemaRef ds:uri="http://schemas.microsoft.com/sharepoint/v3/contenttype/forms"/>
  </ds:schemaRefs>
</ds:datastoreItem>
</file>

<file path=customXml/itemProps4.xml><?xml version="1.0" encoding="utf-8"?>
<ds:datastoreItem xmlns:ds="http://schemas.openxmlformats.org/officeDocument/2006/customXml" ds:itemID="{DA6AEA8A-821E-4D52-B5A9-B3A53B19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2571</Words>
  <Characters>14657</Characters>
  <Application>Microsoft Office Word</Application>
  <DocSecurity>0</DocSecurity>
  <Lines>122</Lines>
  <Paragraphs>34</Paragraphs>
  <ScaleCrop>false</ScaleCrop>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