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2305A" w14:textId="77777777" w:rsidR="001B3677" w:rsidRPr="00427392" w:rsidRDefault="00E2054F" w:rsidP="001B3677">
      <w:pPr>
        <w:spacing w:after="0" w:line="240" w:lineRule="auto"/>
        <w:ind w:firstLine="567"/>
        <w:jc w:val="both"/>
        <w:rPr>
          <w:rFonts w:ascii="Cambria" w:hAnsi="Cambria" w:cs="Univers"/>
          <w:b/>
          <w:bCs/>
          <w:sz w:val="20"/>
          <w:szCs w:val="20"/>
          <w:lang w:val="es-ES"/>
        </w:rPr>
      </w:pPr>
      <w:r>
        <w:rPr>
          <w:noProof/>
        </w:rPr>
        <mc:AlternateContent>
          <mc:Choice Requires="wps">
            <w:drawing>
              <wp:anchor distT="0" distB="0" distL="114300" distR="114300" simplePos="0" relativeHeight="251653632" behindDoc="0" locked="0" layoutInCell="1" allowOverlap="1" wp14:anchorId="13B424B0" wp14:editId="00F03DAC">
                <wp:simplePos x="0" y="0"/>
                <wp:positionH relativeFrom="column">
                  <wp:posOffset>-415290</wp:posOffset>
                </wp:positionH>
                <wp:positionV relativeFrom="paragraph">
                  <wp:posOffset>-438785</wp:posOffset>
                </wp:positionV>
                <wp:extent cx="1543050" cy="9096375"/>
                <wp:effectExtent l="0" t="0" r="6350" b="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0" cy="9096375"/>
                        </a:xfrm>
                        <a:prstGeom prst="rect">
                          <a:avLst/>
                        </a:prstGeom>
                        <a:solidFill>
                          <a:srgbClr val="4A719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712B7" id="Rectangle 3" o:spid="_x0000_s1026" style="position:absolute;margin-left:-32.7pt;margin-top:-34.55pt;width:121.5pt;height:716.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" fillcolor="#4a7194" stroked="f" strokeweight="2pt"/>
            </w:pict>
          </mc:Fallback>
        </mc:AlternateContent>
      </w:r>
      <w:r>
        <w:rPr>
          <w:noProof/>
        </w:rPr>
        <mc:AlternateContent>
          <mc:Choice Requires="wps">
            <w:drawing>
              <wp:anchor distT="0" distB="0" distL="114300" distR="114300" simplePos="0" relativeHeight="251657728" behindDoc="0" locked="0" layoutInCell="1" allowOverlap="1" wp14:anchorId="1B7A98C6" wp14:editId="49439AA1">
                <wp:simplePos x="0" y="0"/>
                <wp:positionH relativeFrom="column">
                  <wp:posOffset>1282065</wp:posOffset>
                </wp:positionH>
                <wp:positionV relativeFrom="paragraph">
                  <wp:posOffset>-423545</wp:posOffset>
                </wp:positionV>
                <wp:extent cx="5248275" cy="902335"/>
                <wp:effectExtent l="0" t="0" r="0" b="1206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48275" cy="902335"/>
                        </a:xfrm>
                        <a:prstGeom prst="rect">
                          <a:avLst/>
                        </a:prstGeom>
                        <a:noFill/>
                        <a:ln w="6350">
                          <a:noFill/>
                        </a:ln>
                        <a:effectLst/>
                      </wps:spPr>
                      <wps:txbx>
                        <w:txbxContent>
                          <w:p w14:paraId="38F87E03" w14:textId="77777777" w:rsidR="006307FA" w:rsidRDefault="006307FA" w:rsidP="001B3677">
                            <w:r>
                              <w:rPr>
                                <w:noProof/>
                              </w:rPr>
                              <w:drawing>
                                <wp:inline distT="0" distB="0" distL="0" distR="0" wp14:anchorId="7AC32D00" wp14:editId="2CA25442">
                                  <wp:extent cx="2646045" cy="515620"/>
                                  <wp:effectExtent l="0" t="0" r="0" b="0"/>
                                  <wp:docPr id="2" name="Picture 2" descr="Description: 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6045" cy="515620"/>
                                          </a:xfrm>
                                          <a:prstGeom prst="rect">
                                            <a:avLst/>
                                          </a:prstGeom>
                                          <a:noFill/>
                                          <a:ln>
                                            <a:noFill/>
                                          </a:ln>
                                        </pic:spPr>
                                      </pic:pic>
                                    </a:graphicData>
                                  </a:graphic>
                                </wp:inline>
                              </w:drawing>
                            </w:r>
                            <w: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7A98C6" id="_x0000_t202" coordsize="21600,21600" o:spt="202" path="m,l,21600r21600,l21600,xe">
                <v:stroke joinstyle="miter"/>
                <v:path gradientshapeok="t" o:connecttype="rect"/>
              </v:shapetype>
              <v:shape id="Text Box 11" o:spid="_x0000_s1026" type="#_x0000_t202" style="position:absolute;left:0;text-align:left;margin-left:100.95pt;margin-top:-33.35pt;width:413.25pt;height:7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" filled="f" stroked="f" strokeweight=".5pt">
                <v:textbox>
                  <w:txbxContent>
                    <w:p w14:paraId="38F87E03" w14:textId="77777777" w:rsidR="006307FA" w:rsidRDefault="006307FA" w:rsidP="001B3677">
                      <w:r>
                        <w:rPr>
                          <w:noProof/>
                        </w:rPr>
                        <w:drawing>
                          <wp:inline distT="0" distB="0" distL="0" distR="0" wp14:anchorId="7AC32D00" wp14:editId="2CA25442">
                            <wp:extent cx="2646045" cy="515620"/>
                            <wp:effectExtent l="0" t="0" r="0" b="0"/>
                            <wp:docPr id="2" name="Picture 2" descr="Description: 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6045" cy="515620"/>
                                    </a:xfrm>
                                    <a:prstGeom prst="rect">
                                      <a:avLst/>
                                    </a:prstGeom>
                                    <a:noFill/>
                                    <a:ln>
                                      <a:noFill/>
                                    </a:ln>
                                  </pic:spPr>
                                </pic:pic>
                              </a:graphicData>
                            </a:graphic>
                          </wp:inline>
                        </w:drawing>
                      </w:r>
                      <w:r>
                        <w:tab/>
                        <w:t xml:space="preserve">                              </w:t>
                      </w:r>
                    </w:p>
                  </w:txbxContent>
                </v:textbox>
              </v:shape>
            </w:pict>
          </mc:Fallback>
        </mc:AlternateContent>
      </w:r>
      <w:r w:rsidR="00402CD6" w:rsidRPr="00427392">
        <w:rPr>
          <w:rFonts w:ascii="Cambria" w:hAnsi="Cambria" w:cs="Univers"/>
          <w:b/>
          <w:bCs/>
          <w:sz w:val="20"/>
          <w:szCs w:val="20"/>
          <w:lang w:val="es-ES"/>
        </w:rPr>
        <w:t>jurí</w:t>
      </w:r>
      <w:r w:rsidR="001B3677" w:rsidRPr="00427392">
        <w:rPr>
          <w:rFonts w:ascii="Cambria" w:hAnsi="Cambria" w:cs="Univers"/>
          <w:b/>
          <w:bCs/>
          <w:sz w:val="20"/>
          <w:szCs w:val="20"/>
          <w:lang w:val="es-ES"/>
        </w:rPr>
        <w:tab/>
      </w:r>
      <w:r w:rsidR="001B3677" w:rsidRPr="00427392">
        <w:rPr>
          <w:rFonts w:ascii="Cambria" w:hAnsi="Cambria" w:cs="Univers"/>
          <w:b/>
          <w:bCs/>
          <w:sz w:val="20"/>
          <w:szCs w:val="20"/>
          <w:lang w:val="es-ES"/>
        </w:rPr>
        <w:tab/>
      </w:r>
    </w:p>
    <w:p w14:paraId="4D65B12E" w14:textId="77777777" w:rsidR="001B3677" w:rsidRPr="005D2619" w:rsidRDefault="001B3677" w:rsidP="001B3677">
      <w:pPr>
        <w:tabs>
          <w:tab w:val="center" w:pos="5400"/>
        </w:tabs>
        <w:suppressAutoHyphens/>
        <w:spacing w:after="0" w:line="240" w:lineRule="auto"/>
        <w:ind w:firstLine="567"/>
        <w:jc w:val="both"/>
        <w:rPr>
          <w:rFonts w:ascii="Cambria" w:hAnsi="Cambria"/>
          <w:sz w:val="20"/>
          <w:szCs w:val="20"/>
          <w:lang w:val="es-ES"/>
        </w:rPr>
      </w:pPr>
    </w:p>
    <w:p w14:paraId="514B0C4C" w14:textId="77777777" w:rsidR="001B3677" w:rsidRPr="005D2619" w:rsidRDefault="001B3677" w:rsidP="001B3677">
      <w:pPr>
        <w:tabs>
          <w:tab w:val="center" w:pos="5400"/>
        </w:tabs>
        <w:suppressAutoHyphens/>
        <w:spacing w:after="0" w:line="240" w:lineRule="auto"/>
        <w:ind w:firstLine="567"/>
        <w:jc w:val="both"/>
        <w:rPr>
          <w:rFonts w:ascii="Cambria" w:hAnsi="Cambria"/>
          <w:sz w:val="20"/>
          <w:szCs w:val="20"/>
          <w:lang w:val="es-ES"/>
        </w:rPr>
      </w:pPr>
    </w:p>
    <w:p w14:paraId="4723B09A" w14:textId="77777777" w:rsidR="001B3677" w:rsidRPr="00427392" w:rsidRDefault="001B3677" w:rsidP="001B3677">
      <w:pPr>
        <w:tabs>
          <w:tab w:val="center" w:pos="5400"/>
        </w:tabs>
        <w:suppressAutoHyphens/>
        <w:spacing w:after="0" w:line="240" w:lineRule="auto"/>
        <w:ind w:firstLine="567"/>
        <w:rPr>
          <w:rFonts w:ascii="Cambria" w:hAnsi="Cambria"/>
          <w:sz w:val="20"/>
          <w:szCs w:val="20"/>
          <w:lang w:val="es-ES"/>
        </w:rPr>
      </w:pPr>
    </w:p>
    <w:p w14:paraId="3F3ADA7D" w14:textId="77777777" w:rsidR="001B3677" w:rsidRPr="00427392" w:rsidRDefault="001B3677" w:rsidP="001B3677">
      <w:pPr>
        <w:tabs>
          <w:tab w:val="center" w:pos="5400"/>
        </w:tabs>
        <w:suppressAutoHyphens/>
        <w:spacing w:after="0" w:line="240" w:lineRule="auto"/>
        <w:ind w:firstLine="567"/>
        <w:rPr>
          <w:rFonts w:ascii="Cambria" w:hAnsi="Cambria"/>
          <w:sz w:val="20"/>
          <w:szCs w:val="20"/>
          <w:lang w:val="es-ES"/>
        </w:rPr>
      </w:pPr>
    </w:p>
    <w:p w14:paraId="4FDCBF62" w14:textId="77777777" w:rsidR="001B3677" w:rsidRPr="00427392" w:rsidRDefault="001B3677" w:rsidP="001B3677">
      <w:pPr>
        <w:tabs>
          <w:tab w:val="center" w:pos="5400"/>
        </w:tabs>
        <w:suppressAutoHyphens/>
        <w:spacing w:after="0" w:line="240" w:lineRule="auto"/>
        <w:ind w:firstLine="567"/>
        <w:rPr>
          <w:rFonts w:ascii="Cambria" w:hAnsi="Cambria"/>
          <w:sz w:val="20"/>
          <w:szCs w:val="20"/>
          <w:lang w:val="es-ES"/>
        </w:rPr>
      </w:pPr>
    </w:p>
    <w:p w14:paraId="62A6E180" w14:textId="77777777" w:rsidR="001B3677" w:rsidRPr="00427392" w:rsidRDefault="001B3677" w:rsidP="001B3677">
      <w:pPr>
        <w:tabs>
          <w:tab w:val="center" w:pos="5400"/>
        </w:tabs>
        <w:suppressAutoHyphens/>
        <w:spacing w:after="0" w:line="240" w:lineRule="auto"/>
        <w:ind w:firstLine="567"/>
        <w:jc w:val="center"/>
        <w:rPr>
          <w:rFonts w:ascii="Cambria" w:hAnsi="Cambria"/>
          <w:sz w:val="20"/>
          <w:szCs w:val="20"/>
          <w:lang w:val="es-ES"/>
        </w:rPr>
      </w:pPr>
    </w:p>
    <w:p w14:paraId="3725CF9B" w14:textId="77777777" w:rsidR="001B3677" w:rsidRPr="00427392" w:rsidRDefault="001B3677" w:rsidP="001B3677">
      <w:pPr>
        <w:tabs>
          <w:tab w:val="center" w:pos="5400"/>
        </w:tabs>
        <w:suppressAutoHyphens/>
        <w:spacing w:after="0" w:line="240" w:lineRule="auto"/>
        <w:ind w:firstLine="567"/>
        <w:jc w:val="center"/>
        <w:rPr>
          <w:rFonts w:ascii="Cambria" w:hAnsi="Cambria"/>
          <w:sz w:val="20"/>
          <w:szCs w:val="20"/>
          <w:lang w:val="es-ES"/>
        </w:rPr>
      </w:pPr>
    </w:p>
    <w:p w14:paraId="409A3A8F" w14:textId="77777777" w:rsidR="001B3677" w:rsidRPr="00427392" w:rsidRDefault="001B3677" w:rsidP="001B3677">
      <w:pPr>
        <w:tabs>
          <w:tab w:val="center" w:pos="5400"/>
        </w:tabs>
        <w:suppressAutoHyphens/>
        <w:spacing w:after="0" w:line="240" w:lineRule="auto"/>
        <w:ind w:firstLine="567"/>
        <w:jc w:val="center"/>
        <w:rPr>
          <w:rFonts w:ascii="Cambria" w:hAnsi="Cambria"/>
          <w:sz w:val="20"/>
          <w:szCs w:val="20"/>
          <w:lang w:val="es-ES"/>
        </w:rPr>
      </w:pPr>
    </w:p>
    <w:p w14:paraId="77C56433" w14:textId="77777777" w:rsidR="001B3677" w:rsidRPr="00427392" w:rsidRDefault="001B3677" w:rsidP="001B3677">
      <w:pPr>
        <w:tabs>
          <w:tab w:val="center" w:pos="5400"/>
        </w:tabs>
        <w:suppressAutoHyphens/>
        <w:spacing w:after="0" w:line="240" w:lineRule="auto"/>
        <w:ind w:firstLine="567"/>
        <w:jc w:val="center"/>
        <w:rPr>
          <w:rFonts w:ascii="Cambria" w:hAnsi="Cambria"/>
          <w:sz w:val="20"/>
          <w:szCs w:val="20"/>
          <w:lang w:val="es-ES"/>
        </w:rPr>
      </w:pPr>
    </w:p>
    <w:p w14:paraId="6AA1FA13" w14:textId="77777777" w:rsidR="001B3677" w:rsidRPr="00427392" w:rsidRDefault="001B3677" w:rsidP="001B3677">
      <w:pPr>
        <w:tabs>
          <w:tab w:val="center" w:pos="5400"/>
        </w:tabs>
        <w:suppressAutoHyphens/>
        <w:spacing w:after="0" w:line="240" w:lineRule="auto"/>
        <w:ind w:firstLine="567"/>
        <w:jc w:val="center"/>
        <w:rPr>
          <w:rFonts w:ascii="Cambria" w:hAnsi="Cambria"/>
          <w:sz w:val="20"/>
          <w:szCs w:val="20"/>
          <w:lang w:val="es-ES"/>
        </w:rPr>
      </w:pPr>
    </w:p>
    <w:p w14:paraId="6303AD5A" w14:textId="77777777" w:rsidR="001B3677" w:rsidRPr="00427392" w:rsidRDefault="001B3677" w:rsidP="001B3677">
      <w:pPr>
        <w:tabs>
          <w:tab w:val="center" w:pos="5400"/>
        </w:tabs>
        <w:suppressAutoHyphens/>
        <w:spacing w:after="0" w:line="240" w:lineRule="auto"/>
        <w:ind w:firstLine="567"/>
        <w:jc w:val="center"/>
        <w:rPr>
          <w:rFonts w:ascii="Cambria" w:hAnsi="Cambria"/>
          <w:sz w:val="20"/>
          <w:szCs w:val="20"/>
          <w:lang w:val="es-ES"/>
        </w:rPr>
      </w:pPr>
    </w:p>
    <w:p w14:paraId="1F1E389A" w14:textId="77777777" w:rsidR="001B3677" w:rsidRPr="00427392" w:rsidRDefault="001B3677" w:rsidP="001B3677">
      <w:pPr>
        <w:tabs>
          <w:tab w:val="center" w:pos="5400"/>
        </w:tabs>
        <w:suppressAutoHyphens/>
        <w:spacing w:after="0" w:line="240" w:lineRule="auto"/>
        <w:ind w:firstLine="567"/>
        <w:jc w:val="center"/>
        <w:rPr>
          <w:rFonts w:ascii="Cambria" w:hAnsi="Cambria"/>
          <w:sz w:val="20"/>
          <w:szCs w:val="20"/>
          <w:lang w:val="es-ES"/>
        </w:rPr>
      </w:pPr>
    </w:p>
    <w:p w14:paraId="656E3CCA" w14:textId="77777777" w:rsidR="001B3677" w:rsidRPr="00427392" w:rsidRDefault="00E2054F" w:rsidP="001B3677">
      <w:pPr>
        <w:tabs>
          <w:tab w:val="center" w:pos="5400"/>
        </w:tabs>
        <w:suppressAutoHyphens/>
        <w:spacing w:after="0" w:line="240" w:lineRule="auto"/>
        <w:ind w:firstLine="567"/>
        <w:jc w:val="center"/>
        <w:rPr>
          <w:rFonts w:ascii="Cambria" w:hAnsi="Cambria"/>
          <w:sz w:val="20"/>
          <w:szCs w:val="20"/>
          <w:lang w:val="es-ES"/>
        </w:rPr>
      </w:pPr>
      <w:r>
        <w:rPr>
          <w:noProof/>
        </w:rPr>
        <mc:AlternateContent>
          <mc:Choice Requires="wps">
            <w:drawing>
              <wp:anchor distT="0" distB="0" distL="114300" distR="114300" simplePos="0" relativeHeight="251654656" behindDoc="0" locked="0" layoutInCell="1" allowOverlap="1" wp14:anchorId="418FE865" wp14:editId="48D33B04">
                <wp:simplePos x="0" y="0"/>
                <wp:positionH relativeFrom="column">
                  <wp:posOffset>1485900</wp:posOffset>
                </wp:positionH>
                <wp:positionV relativeFrom="paragraph">
                  <wp:posOffset>7620</wp:posOffset>
                </wp:positionV>
                <wp:extent cx="4441190" cy="295529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1190" cy="2955290"/>
                        </a:xfrm>
                        <a:prstGeom prst="rect">
                          <a:avLst/>
                        </a:prstGeom>
                        <a:noFill/>
                        <a:ln w="6350">
                          <a:noFill/>
                        </a:ln>
                        <a:effectLst/>
                      </wps:spPr>
                      <wps:txbx>
                        <w:txbxContent>
                          <w:p w14:paraId="1B7C485D" w14:textId="043B3A59" w:rsidR="006307FA" w:rsidRPr="00317DB1" w:rsidRDefault="006307FA" w:rsidP="00C37750">
                            <w:pPr>
                              <w:spacing w:after="0"/>
                              <w:rPr>
                                <w:rFonts w:ascii="Cambria" w:hAnsi="Cambria" w:cs="Arial"/>
                                <w:b/>
                                <w:bCs/>
                                <w:color w:val="0D0D0D"/>
                                <w:sz w:val="36"/>
                                <w:lang w:val="es-ES"/>
                              </w:rPr>
                            </w:pPr>
                            <w:r w:rsidRPr="00317DB1">
                              <w:rPr>
                                <w:rFonts w:ascii="Cambria" w:hAnsi="Cambria" w:cs="Arial"/>
                                <w:b/>
                                <w:bCs/>
                                <w:color w:val="0D0D0D"/>
                                <w:sz w:val="36"/>
                                <w:lang w:val="es-ES"/>
                              </w:rPr>
                              <w:t xml:space="preserve">INFORME </w:t>
                            </w:r>
                            <w:r w:rsidRPr="00317DB1">
                              <w:rPr>
                                <w:rFonts w:ascii="Cambria" w:hAnsi="Cambria" w:cs="Arial"/>
                                <w:b/>
                                <w:bCs/>
                                <w:color w:val="0D0D0D"/>
                                <w:sz w:val="36"/>
                                <w:szCs w:val="40"/>
                                <w:lang w:val="es-ES"/>
                              </w:rPr>
                              <w:t>No.</w:t>
                            </w:r>
                            <w:r>
                              <w:rPr>
                                <w:rFonts w:ascii="Cambria" w:hAnsi="Cambria" w:cs="Arial"/>
                                <w:b/>
                                <w:bCs/>
                                <w:color w:val="0D0D0D"/>
                                <w:sz w:val="36"/>
                                <w:lang w:val="es-ES"/>
                              </w:rPr>
                              <w:t xml:space="preserve"> </w:t>
                            </w:r>
                            <w:r w:rsidR="008D5885">
                              <w:rPr>
                                <w:rFonts w:ascii="Cambria" w:hAnsi="Cambria" w:cs="Arial"/>
                                <w:b/>
                                <w:bCs/>
                                <w:color w:val="0D0D0D"/>
                                <w:sz w:val="36"/>
                                <w:lang w:val="es-ES"/>
                              </w:rPr>
                              <w:t>114</w:t>
                            </w:r>
                            <w:r w:rsidRPr="00E9436C">
                              <w:rPr>
                                <w:rFonts w:ascii="Cambria" w:hAnsi="Cambria" w:cs="Arial"/>
                                <w:b/>
                                <w:bCs/>
                                <w:color w:val="0D0D0D"/>
                                <w:sz w:val="36"/>
                                <w:lang w:val="es-ES"/>
                              </w:rPr>
                              <w:t>/</w:t>
                            </w:r>
                            <w:r w:rsidR="005D7CAD">
                              <w:rPr>
                                <w:rFonts w:ascii="Cambria" w:hAnsi="Cambria" w:cs="Arial"/>
                                <w:b/>
                                <w:bCs/>
                                <w:color w:val="0D0D0D"/>
                                <w:sz w:val="36"/>
                                <w:lang w:val="es-ES"/>
                              </w:rPr>
                              <w:t>2</w:t>
                            </w:r>
                            <w:r w:rsidR="002D4F9C">
                              <w:rPr>
                                <w:rFonts w:ascii="Cambria" w:hAnsi="Cambria" w:cs="Arial"/>
                                <w:b/>
                                <w:bCs/>
                                <w:color w:val="0D0D0D"/>
                                <w:sz w:val="36"/>
                                <w:lang w:val="es-ES"/>
                              </w:rPr>
                              <w:t>5</w:t>
                            </w:r>
                          </w:p>
                          <w:p w14:paraId="09F0E8A3" w14:textId="77777777" w:rsidR="006307FA" w:rsidRPr="00BD43D7" w:rsidRDefault="006307FA" w:rsidP="00C37750">
                            <w:pPr>
                              <w:spacing w:after="0"/>
                              <w:rPr>
                                <w:rFonts w:ascii="Cambria" w:hAnsi="Cambria" w:cs="Arial"/>
                                <w:b/>
                                <w:color w:val="0D0D0D"/>
                                <w:sz w:val="36"/>
                                <w:lang w:val="es-CO"/>
                              </w:rPr>
                            </w:pPr>
                            <w:r w:rsidRPr="00BB1C48">
                              <w:rPr>
                                <w:rFonts w:ascii="Cambria" w:hAnsi="Cambria" w:cs="Arial"/>
                                <w:b/>
                                <w:color w:val="0D0D0D"/>
                                <w:sz w:val="36"/>
                                <w:lang w:val="es-ES"/>
                              </w:rPr>
                              <w:t>CASO 12.491</w:t>
                            </w:r>
                          </w:p>
                          <w:p w14:paraId="7A196850" w14:textId="05BE125A" w:rsidR="006307FA" w:rsidRPr="00C37750" w:rsidRDefault="006307FA" w:rsidP="00C01EBC">
                            <w:pPr>
                              <w:spacing w:after="0" w:line="240" w:lineRule="auto"/>
                              <w:rPr>
                                <w:rFonts w:ascii="Cambria" w:hAnsi="Cambria" w:cs="Arial"/>
                                <w:color w:val="0D0D0D"/>
                                <w:sz w:val="24"/>
                                <w:lang w:val="es-CO"/>
                              </w:rPr>
                            </w:pPr>
                            <w:bookmarkStart w:id="0" w:name="_ftnref1"/>
                            <w:r w:rsidRPr="00C37750">
                              <w:rPr>
                                <w:rFonts w:ascii="Cambria" w:hAnsi="Cambria" w:cs="Arial"/>
                                <w:color w:val="0D0D0D"/>
                                <w:sz w:val="24"/>
                                <w:lang w:val="es-CO"/>
                              </w:rPr>
                              <w:t xml:space="preserve">INFORME DE FONDO </w:t>
                            </w:r>
                            <w:r w:rsidR="005D7CAD" w:rsidRPr="00FF3AAE">
                              <w:rPr>
                                <w:rFonts w:ascii="Cambria" w:hAnsi="Cambria" w:cs="Arial"/>
                                <w:color w:val="0D0D0D"/>
                                <w:sz w:val="24"/>
                                <w:lang w:val="es-CO"/>
                              </w:rPr>
                              <w:t>(</w:t>
                            </w:r>
                            <w:r w:rsidR="00E47063" w:rsidRPr="00B25D76">
                              <w:rPr>
                                <w:rFonts w:ascii="Cambria" w:hAnsi="Cambria" w:cs="Arial"/>
                                <w:color w:val="0D0D0D"/>
                                <w:sz w:val="24"/>
                                <w:lang w:val="es-CO"/>
                              </w:rPr>
                              <w:t>PUBLICACIÓN</w:t>
                            </w:r>
                            <w:r w:rsidR="005D7CAD" w:rsidRPr="00FF3AAE">
                              <w:rPr>
                                <w:rFonts w:ascii="Cambria" w:hAnsi="Cambria" w:cs="Arial"/>
                                <w:color w:val="0D0D0D"/>
                                <w:sz w:val="24"/>
                                <w:lang w:val="es-CO"/>
                              </w:rPr>
                              <w:t>)</w:t>
                            </w:r>
                          </w:p>
                          <w:p w14:paraId="085991C4" w14:textId="77777777" w:rsidR="006307FA" w:rsidRDefault="006307FA" w:rsidP="001B3677">
                            <w:pPr>
                              <w:spacing w:after="0" w:line="240" w:lineRule="auto"/>
                              <w:jc w:val="both"/>
                              <w:rPr>
                                <w:rFonts w:ascii="Cambria" w:hAnsi="Cambria" w:cs="Arial"/>
                                <w:color w:val="0D0D0D"/>
                                <w:sz w:val="24"/>
                                <w:lang w:val="es-CO"/>
                              </w:rPr>
                            </w:pPr>
                          </w:p>
                          <w:p w14:paraId="3BC3C09F" w14:textId="77777777" w:rsidR="006307FA" w:rsidRPr="00C37750" w:rsidRDefault="006307FA" w:rsidP="001B3677">
                            <w:pPr>
                              <w:spacing w:after="0" w:line="240" w:lineRule="auto"/>
                              <w:jc w:val="both"/>
                              <w:rPr>
                                <w:rFonts w:ascii="Cambria" w:hAnsi="Cambria" w:cs="Arial"/>
                                <w:color w:val="0D0D0D"/>
                                <w:sz w:val="24"/>
                                <w:lang w:val="es-CO"/>
                              </w:rPr>
                            </w:pPr>
                            <w:r w:rsidRPr="00C37750">
                              <w:rPr>
                                <w:rFonts w:ascii="Cambria" w:hAnsi="Cambria" w:cs="Arial"/>
                                <w:color w:val="0D0D0D"/>
                                <w:sz w:val="24"/>
                                <w:lang w:val="es-CO"/>
                              </w:rPr>
                              <w:t>GUSTAVO SASTOQUE ALFONSO</w:t>
                            </w:r>
                          </w:p>
                          <w:bookmarkEnd w:id="0"/>
                          <w:p w14:paraId="17DEDDEB" w14:textId="77777777" w:rsidR="006307FA" w:rsidRPr="00C37750" w:rsidRDefault="006307FA" w:rsidP="006A264E">
                            <w:pPr>
                              <w:spacing w:after="0" w:line="240" w:lineRule="auto"/>
                              <w:rPr>
                                <w:rFonts w:ascii="Cambria" w:hAnsi="Cambria" w:cs="Arial"/>
                                <w:color w:val="0D0D0D"/>
                                <w:sz w:val="24"/>
                                <w:lang w:val="es-MX"/>
                              </w:rPr>
                            </w:pPr>
                            <w:r w:rsidRPr="00C37750">
                              <w:rPr>
                                <w:rFonts w:ascii="Cambria" w:hAnsi="Cambria" w:cs="Arial"/>
                                <w:color w:val="0D0D0D"/>
                                <w:sz w:val="24"/>
                                <w:lang w:val="es-MX"/>
                              </w:rPr>
                              <w:t xml:space="preserve">COLOMBIA </w:t>
                            </w:r>
                          </w:p>
                          <w:p w14:paraId="5BF4333F" w14:textId="77777777" w:rsidR="006307FA" w:rsidRPr="00C37750" w:rsidRDefault="006307FA" w:rsidP="001B3677">
                            <w:pPr>
                              <w:rPr>
                                <w:color w:val="0D0D0D"/>
                                <w:sz w:val="24"/>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FE865" id="Text Box 5" o:spid="_x0000_s1027" type="#_x0000_t202" style="position:absolute;left:0;text-align:left;margin-left:117pt;margin-top:.6pt;width:349.7pt;height:23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" filled="f" stroked="f" strokeweight=".5pt">
                <v:textbox>
                  <w:txbxContent>
                    <w:p w14:paraId="1B7C485D" w14:textId="043B3A59" w:rsidR="006307FA" w:rsidRPr="00317DB1" w:rsidRDefault="006307FA" w:rsidP="00C37750">
                      <w:pPr>
                        <w:spacing w:after="0"/>
                        <w:rPr>
                          <w:rFonts w:ascii="Cambria" w:hAnsi="Cambria" w:cs="Arial"/>
                          <w:b/>
                          <w:bCs/>
                          <w:color w:val="0D0D0D"/>
                          <w:sz w:val="36"/>
                          <w:lang w:val="es-ES"/>
                        </w:rPr>
                      </w:pPr>
                      <w:r w:rsidRPr="00317DB1">
                        <w:rPr>
                          <w:rFonts w:ascii="Cambria" w:hAnsi="Cambria" w:cs="Arial"/>
                          <w:b/>
                          <w:bCs/>
                          <w:color w:val="0D0D0D"/>
                          <w:sz w:val="36"/>
                          <w:lang w:val="es-ES"/>
                        </w:rPr>
                        <w:t xml:space="preserve">INFORME </w:t>
                      </w:r>
                      <w:r w:rsidRPr="00317DB1">
                        <w:rPr>
                          <w:rFonts w:ascii="Cambria" w:hAnsi="Cambria" w:cs="Arial"/>
                          <w:b/>
                          <w:bCs/>
                          <w:color w:val="0D0D0D"/>
                          <w:sz w:val="36"/>
                          <w:szCs w:val="40"/>
                          <w:lang w:val="es-ES"/>
                        </w:rPr>
                        <w:t>No.</w:t>
                      </w:r>
                      <w:r>
                        <w:rPr>
                          <w:rFonts w:ascii="Cambria" w:hAnsi="Cambria" w:cs="Arial"/>
                          <w:b/>
                          <w:bCs/>
                          <w:color w:val="0D0D0D"/>
                          <w:sz w:val="36"/>
                          <w:lang w:val="es-ES"/>
                        </w:rPr>
                        <w:t xml:space="preserve"> </w:t>
                      </w:r>
                      <w:r w:rsidR="008D5885">
                        <w:rPr>
                          <w:rFonts w:ascii="Cambria" w:hAnsi="Cambria" w:cs="Arial"/>
                          <w:b/>
                          <w:bCs/>
                          <w:color w:val="0D0D0D"/>
                          <w:sz w:val="36"/>
                          <w:lang w:val="es-ES"/>
                        </w:rPr>
                        <w:t>114</w:t>
                      </w:r>
                      <w:r w:rsidRPr="00E9436C">
                        <w:rPr>
                          <w:rFonts w:ascii="Cambria" w:hAnsi="Cambria" w:cs="Arial"/>
                          <w:b/>
                          <w:bCs/>
                          <w:color w:val="0D0D0D"/>
                          <w:sz w:val="36"/>
                          <w:lang w:val="es-ES"/>
                        </w:rPr>
                        <w:t>/</w:t>
                      </w:r>
                      <w:r w:rsidR="005D7CAD">
                        <w:rPr>
                          <w:rFonts w:ascii="Cambria" w:hAnsi="Cambria" w:cs="Arial"/>
                          <w:b/>
                          <w:bCs/>
                          <w:color w:val="0D0D0D"/>
                          <w:sz w:val="36"/>
                          <w:lang w:val="es-ES"/>
                        </w:rPr>
                        <w:t>2</w:t>
                      </w:r>
                      <w:r w:rsidR="002D4F9C">
                        <w:rPr>
                          <w:rFonts w:ascii="Cambria" w:hAnsi="Cambria" w:cs="Arial"/>
                          <w:b/>
                          <w:bCs/>
                          <w:color w:val="0D0D0D"/>
                          <w:sz w:val="36"/>
                          <w:lang w:val="es-ES"/>
                        </w:rPr>
                        <w:t>5</w:t>
                      </w:r>
                    </w:p>
                    <w:p w14:paraId="09F0E8A3" w14:textId="77777777" w:rsidR="006307FA" w:rsidRPr="00BD43D7" w:rsidRDefault="006307FA" w:rsidP="00C37750">
                      <w:pPr>
                        <w:spacing w:after="0"/>
                        <w:rPr>
                          <w:rFonts w:ascii="Cambria" w:hAnsi="Cambria" w:cs="Arial"/>
                          <w:b/>
                          <w:color w:val="0D0D0D"/>
                          <w:sz w:val="36"/>
                          <w:lang w:val="es-CO"/>
                        </w:rPr>
                      </w:pPr>
                      <w:r w:rsidRPr="00BB1C48">
                        <w:rPr>
                          <w:rFonts w:ascii="Cambria" w:hAnsi="Cambria" w:cs="Arial"/>
                          <w:b/>
                          <w:color w:val="0D0D0D"/>
                          <w:sz w:val="36"/>
                          <w:lang w:val="es-ES"/>
                        </w:rPr>
                        <w:t>CASO 12.491</w:t>
                      </w:r>
                    </w:p>
                    <w:p w14:paraId="7A196850" w14:textId="05BE125A" w:rsidR="006307FA" w:rsidRPr="00C37750" w:rsidRDefault="006307FA" w:rsidP="00C01EBC">
                      <w:pPr>
                        <w:spacing w:after="0" w:line="240" w:lineRule="auto"/>
                        <w:rPr>
                          <w:rFonts w:ascii="Cambria" w:hAnsi="Cambria" w:cs="Arial"/>
                          <w:color w:val="0D0D0D"/>
                          <w:sz w:val="24"/>
                          <w:lang w:val="es-CO"/>
                        </w:rPr>
                      </w:pPr>
                      <w:bookmarkStart w:id="1" w:name="_ftnref1"/>
                      <w:r w:rsidRPr="00C37750">
                        <w:rPr>
                          <w:rFonts w:ascii="Cambria" w:hAnsi="Cambria" w:cs="Arial"/>
                          <w:color w:val="0D0D0D"/>
                          <w:sz w:val="24"/>
                          <w:lang w:val="es-CO"/>
                        </w:rPr>
                        <w:t xml:space="preserve">INFORME DE FONDO </w:t>
                      </w:r>
                      <w:r w:rsidR="005D7CAD" w:rsidRPr="00FF3AAE">
                        <w:rPr>
                          <w:rFonts w:ascii="Cambria" w:hAnsi="Cambria" w:cs="Arial"/>
                          <w:color w:val="0D0D0D"/>
                          <w:sz w:val="24"/>
                          <w:lang w:val="es-CO"/>
                        </w:rPr>
                        <w:t>(</w:t>
                      </w:r>
                      <w:r w:rsidR="00E47063" w:rsidRPr="00B25D76">
                        <w:rPr>
                          <w:rFonts w:ascii="Cambria" w:hAnsi="Cambria" w:cs="Arial"/>
                          <w:color w:val="0D0D0D"/>
                          <w:sz w:val="24"/>
                          <w:lang w:val="es-CO"/>
                        </w:rPr>
                        <w:t>PUBLICACIÓN</w:t>
                      </w:r>
                      <w:r w:rsidR="005D7CAD" w:rsidRPr="00FF3AAE">
                        <w:rPr>
                          <w:rFonts w:ascii="Cambria" w:hAnsi="Cambria" w:cs="Arial"/>
                          <w:color w:val="0D0D0D"/>
                          <w:sz w:val="24"/>
                          <w:lang w:val="es-CO"/>
                        </w:rPr>
                        <w:t>)</w:t>
                      </w:r>
                    </w:p>
                    <w:p w14:paraId="085991C4" w14:textId="77777777" w:rsidR="006307FA" w:rsidRDefault="006307FA" w:rsidP="001B3677">
                      <w:pPr>
                        <w:spacing w:after="0" w:line="240" w:lineRule="auto"/>
                        <w:jc w:val="both"/>
                        <w:rPr>
                          <w:rFonts w:ascii="Cambria" w:hAnsi="Cambria" w:cs="Arial"/>
                          <w:color w:val="0D0D0D"/>
                          <w:sz w:val="24"/>
                          <w:lang w:val="es-CO"/>
                        </w:rPr>
                      </w:pPr>
                    </w:p>
                    <w:p w14:paraId="3BC3C09F" w14:textId="77777777" w:rsidR="006307FA" w:rsidRPr="00C37750" w:rsidRDefault="006307FA" w:rsidP="001B3677">
                      <w:pPr>
                        <w:spacing w:after="0" w:line="240" w:lineRule="auto"/>
                        <w:jc w:val="both"/>
                        <w:rPr>
                          <w:rFonts w:ascii="Cambria" w:hAnsi="Cambria" w:cs="Arial"/>
                          <w:color w:val="0D0D0D"/>
                          <w:sz w:val="24"/>
                          <w:lang w:val="es-CO"/>
                        </w:rPr>
                      </w:pPr>
                      <w:r w:rsidRPr="00C37750">
                        <w:rPr>
                          <w:rFonts w:ascii="Cambria" w:hAnsi="Cambria" w:cs="Arial"/>
                          <w:color w:val="0D0D0D"/>
                          <w:sz w:val="24"/>
                          <w:lang w:val="es-CO"/>
                        </w:rPr>
                        <w:t>GUSTAVO SASTOQUE ALFONSO</w:t>
                      </w:r>
                    </w:p>
                    <w:bookmarkEnd w:id="1"/>
                    <w:p w14:paraId="17DEDDEB" w14:textId="77777777" w:rsidR="006307FA" w:rsidRPr="00C37750" w:rsidRDefault="006307FA" w:rsidP="006A264E">
                      <w:pPr>
                        <w:spacing w:after="0" w:line="240" w:lineRule="auto"/>
                        <w:rPr>
                          <w:rFonts w:ascii="Cambria" w:hAnsi="Cambria" w:cs="Arial"/>
                          <w:color w:val="0D0D0D"/>
                          <w:sz w:val="24"/>
                          <w:lang w:val="es-MX"/>
                        </w:rPr>
                      </w:pPr>
                      <w:r w:rsidRPr="00C37750">
                        <w:rPr>
                          <w:rFonts w:ascii="Cambria" w:hAnsi="Cambria" w:cs="Arial"/>
                          <w:color w:val="0D0D0D"/>
                          <w:sz w:val="24"/>
                          <w:lang w:val="es-MX"/>
                        </w:rPr>
                        <w:t xml:space="preserve">COLOMBIA </w:t>
                      </w:r>
                    </w:p>
                    <w:p w14:paraId="5BF4333F" w14:textId="77777777" w:rsidR="006307FA" w:rsidRPr="00C37750" w:rsidRDefault="006307FA" w:rsidP="001B3677">
                      <w:pPr>
                        <w:rPr>
                          <w:color w:val="0D0D0D"/>
                          <w:sz w:val="24"/>
                          <w:lang w:val="es-MX"/>
                        </w:rPr>
                      </w:pPr>
                    </w:p>
                  </w:txbxContent>
                </v:textbox>
              </v:shape>
            </w:pict>
          </mc:Fallback>
        </mc:AlternateContent>
      </w:r>
    </w:p>
    <w:p w14:paraId="511F1136" w14:textId="77777777" w:rsidR="001B3677" w:rsidRPr="00427392" w:rsidRDefault="00E2054F" w:rsidP="001B3677">
      <w:pPr>
        <w:tabs>
          <w:tab w:val="center" w:pos="5400"/>
        </w:tabs>
        <w:suppressAutoHyphens/>
        <w:spacing w:after="0" w:line="240" w:lineRule="auto"/>
        <w:ind w:firstLine="567"/>
        <w:jc w:val="center"/>
        <w:rPr>
          <w:rFonts w:ascii="Cambria" w:hAnsi="Cambria"/>
          <w:sz w:val="20"/>
          <w:szCs w:val="20"/>
          <w:lang w:val="es-ES"/>
        </w:rPr>
      </w:pPr>
      <w:r>
        <w:rPr>
          <w:noProof/>
        </w:rPr>
        <mc:AlternateContent>
          <mc:Choice Requires="wps">
            <w:drawing>
              <wp:anchor distT="0" distB="0" distL="114300" distR="114300" simplePos="0" relativeHeight="251656704" behindDoc="0" locked="0" layoutInCell="1" allowOverlap="1" wp14:anchorId="6A8BD780" wp14:editId="11D73B8B">
                <wp:simplePos x="0" y="0"/>
                <wp:positionH relativeFrom="column">
                  <wp:posOffset>-344805</wp:posOffset>
                </wp:positionH>
                <wp:positionV relativeFrom="paragraph">
                  <wp:posOffset>17145</wp:posOffset>
                </wp:positionV>
                <wp:extent cx="1390650" cy="1466215"/>
                <wp:effectExtent l="0" t="0" r="0" b="69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0" cy="1466215"/>
                        </a:xfrm>
                        <a:prstGeom prst="rect">
                          <a:avLst/>
                        </a:prstGeom>
                        <a:noFill/>
                        <a:ln w="6350">
                          <a:noFill/>
                        </a:ln>
                        <a:effectLst/>
                      </wps:spPr>
                      <wps:txbx>
                        <w:txbxContent>
                          <w:p w14:paraId="4C8C2821" w14:textId="1E63CF62" w:rsidR="006307FA" w:rsidRPr="002D4F9C" w:rsidRDefault="006307FA" w:rsidP="009B4ECB">
                            <w:pPr>
                              <w:spacing w:after="0" w:line="360" w:lineRule="auto"/>
                              <w:jc w:val="right"/>
                              <w:rPr>
                                <w:color w:val="FFFFFF"/>
                                <w:lang w:val="es-US"/>
                              </w:rPr>
                            </w:pPr>
                            <w:r w:rsidRPr="002D4F9C">
                              <w:rPr>
                                <w:color w:val="FFFFFF"/>
                                <w:lang w:val="es-US"/>
                              </w:rPr>
                              <w:t>OEA/Ser.L/V/II</w:t>
                            </w:r>
                          </w:p>
                          <w:p w14:paraId="37EC4538" w14:textId="24447441" w:rsidR="006307FA" w:rsidRPr="002D4F9C" w:rsidRDefault="006307FA" w:rsidP="009B4ECB">
                            <w:pPr>
                              <w:spacing w:after="0" w:line="360" w:lineRule="auto"/>
                              <w:jc w:val="right"/>
                              <w:rPr>
                                <w:color w:val="FFFFFF"/>
                                <w:lang w:val="es-US"/>
                              </w:rPr>
                            </w:pPr>
                            <w:r w:rsidRPr="002D4F9C">
                              <w:rPr>
                                <w:color w:val="FFFFFF"/>
                                <w:lang w:val="es-US"/>
                              </w:rPr>
                              <w:t xml:space="preserve">Doc. </w:t>
                            </w:r>
                            <w:r w:rsidR="00F15C3D">
                              <w:rPr>
                                <w:color w:val="FFFFFF"/>
                                <w:lang w:val="es-US"/>
                              </w:rPr>
                              <w:t>120</w:t>
                            </w:r>
                          </w:p>
                          <w:p w14:paraId="7E2836E7" w14:textId="3850AEF2" w:rsidR="006307FA" w:rsidRPr="00317DB1" w:rsidRDefault="00F15C3D" w:rsidP="009B4ECB">
                            <w:pPr>
                              <w:spacing w:after="0" w:line="360" w:lineRule="auto"/>
                              <w:jc w:val="right"/>
                              <w:rPr>
                                <w:color w:val="FFFFFF"/>
                                <w:lang w:val="es-ES"/>
                              </w:rPr>
                            </w:pPr>
                            <w:r>
                              <w:rPr>
                                <w:color w:val="FFFFFF"/>
                                <w:lang w:val="es-ES"/>
                              </w:rPr>
                              <w:t>15 julio</w:t>
                            </w:r>
                            <w:r w:rsidR="00E47063">
                              <w:rPr>
                                <w:color w:val="FFFFFF"/>
                                <w:lang w:val="es-ES"/>
                              </w:rPr>
                              <w:t xml:space="preserve"> </w:t>
                            </w:r>
                            <w:r w:rsidR="006307FA">
                              <w:rPr>
                                <w:color w:val="FFFFFF"/>
                                <w:lang w:val="es-ES"/>
                              </w:rPr>
                              <w:t>20</w:t>
                            </w:r>
                            <w:r w:rsidR="005D7CAD">
                              <w:rPr>
                                <w:color w:val="FFFFFF"/>
                                <w:lang w:val="es-ES"/>
                              </w:rPr>
                              <w:t>2</w:t>
                            </w:r>
                            <w:r w:rsidR="002D4F9C">
                              <w:rPr>
                                <w:color w:val="FFFFFF"/>
                                <w:lang w:val="es-ES"/>
                              </w:rPr>
                              <w:t>5</w:t>
                            </w:r>
                          </w:p>
                          <w:p w14:paraId="67CF39A5" w14:textId="77777777" w:rsidR="006307FA" w:rsidRPr="00317DB1" w:rsidRDefault="006307FA" w:rsidP="009B4ECB">
                            <w:pPr>
                              <w:spacing w:after="0" w:line="360" w:lineRule="auto"/>
                              <w:jc w:val="right"/>
                              <w:rPr>
                                <w:color w:val="FFFFFF"/>
                                <w:lang w:val="es-ES"/>
                              </w:rPr>
                            </w:pPr>
                            <w:r w:rsidRPr="00317DB1">
                              <w:rPr>
                                <w:color w:val="FFFFFF"/>
                                <w:lang w:val="es-ES"/>
                              </w:rPr>
                              <w:t>Original: español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BD780" id="Text Box 8" o:spid="_x0000_s1028" type="#_x0000_t202" style="position:absolute;left:0;text-align:left;margin-left:-27.15pt;margin-top:1.35pt;width:109.5pt;height:115.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" filled="f" stroked="f" strokeweight=".5pt">
                <v:textbox>
                  <w:txbxContent>
                    <w:p w14:paraId="4C8C2821" w14:textId="1E63CF62" w:rsidR="006307FA" w:rsidRPr="002D4F9C" w:rsidRDefault="006307FA" w:rsidP="009B4ECB">
                      <w:pPr>
                        <w:spacing w:after="0" w:line="360" w:lineRule="auto"/>
                        <w:jc w:val="right"/>
                        <w:rPr>
                          <w:color w:val="FFFFFF"/>
                          <w:lang w:val="es-US"/>
                        </w:rPr>
                      </w:pPr>
                      <w:r w:rsidRPr="002D4F9C">
                        <w:rPr>
                          <w:color w:val="FFFFFF"/>
                          <w:lang w:val="es-US"/>
                        </w:rPr>
                        <w:t>OEA/Ser.L/V/II</w:t>
                      </w:r>
                    </w:p>
                    <w:p w14:paraId="37EC4538" w14:textId="24447441" w:rsidR="006307FA" w:rsidRPr="002D4F9C" w:rsidRDefault="006307FA" w:rsidP="009B4ECB">
                      <w:pPr>
                        <w:spacing w:after="0" w:line="360" w:lineRule="auto"/>
                        <w:jc w:val="right"/>
                        <w:rPr>
                          <w:color w:val="FFFFFF"/>
                          <w:lang w:val="es-US"/>
                        </w:rPr>
                      </w:pPr>
                      <w:r w:rsidRPr="002D4F9C">
                        <w:rPr>
                          <w:color w:val="FFFFFF"/>
                          <w:lang w:val="es-US"/>
                        </w:rPr>
                        <w:t xml:space="preserve">Doc. </w:t>
                      </w:r>
                      <w:r w:rsidR="00F15C3D">
                        <w:rPr>
                          <w:color w:val="FFFFFF"/>
                          <w:lang w:val="es-US"/>
                        </w:rPr>
                        <w:t>120</w:t>
                      </w:r>
                    </w:p>
                    <w:p w14:paraId="7E2836E7" w14:textId="3850AEF2" w:rsidR="006307FA" w:rsidRPr="00317DB1" w:rsidRDefault="00F15C3D" w:rsidP="009B4ECB">
                      <w:pPr>
                        <w:spacing w:after="0" w:line="360" w:lineRule="auto"/>
                        <w:jc w:val="right"/>
                        <w:rPr>
                          <w:color w:val="FFFFFF"/>
                          <w:lang w:val="es-ES"/>
                        </w:rPr>
                      </w:pPr>
                      <w:r>
                        <w:rPr>
                          <w:color w:val="FFFFFF"/>
                          <w:lang w:val="es-ES"/>
                        </w:rPr>
                        <w:t>15 julio</w:t>
                      </w:r>
                      <w:r w:rsidR="00E47063">
                        <w:rPr>
                          <w:color w:val="FFFFFF"/>
                          <w:lang w:val="es-ES"/>
                        </w:rPr>
                        <w:t xml:space="preserve"> </w:t>
                      </w:r>
                      <w:r w:rsidR="006307FA">
                        <w:rPr>
                          <w:color w:val="FFFFFF"/>
                          <w:lang w:val="es-ES"/>
                        </w:rPr>
                        <w:t>20</w:t>
                      </w:r>
                      <w:r w:rsidR="005D7CAD">
                        <w:rPr>
                          <w:color w:val="FFFFFF"/>
                          <w:lang w:val="es-ES"/>
                        </w:rPr>
                        <w:t>2</w:t>
                      </w:r>
                      <w:r w:rsidR="002D4F9C">
                        <w:rPr>
                          <w:color w:val="FFFFFF"/>
                          <w:lang w:val="es-ES"/>
                        </w:rPr>
                        <w:t>5</w:t>
                      </w:r>
                    </w:p>
                    <w:p w14:paraId="67CF39A5" w14:textId="77777777" w:rsidR="006307FA" w:rsidRPr="00317DB1" w:rsidRDefault="006307FA" w:rsidP="009B4ECB">
                      <w:pPr>
                        <w:spacing w:after="0" w:line="360" w:lineRule="auto"/>
                        <w:jc w:val="right"/>
                        <w:rPr>
                          <w:color w:val="FFFFFF"/>
                          <w:lang w:val="es-ES"/>
                        </w:rPr>
                      </w:pPr>
                      <w:r w:rsidRPr="00317DB1">
                        <w:rPr>
                          <w:color w:val="FFFFFF"/>
                          <w:lang w:val="es-ES"/>
                        </w:rPr>
                        <w:t>Original: español</w:t>
                      </w:r>
                    </w:p>
                  </w:txbxContent>
                </v:textbox>
              </v:shape>
            </w:pict>
          </mc:Fallback>
        </mc:AlternateContent>
      </w:r>
    </w:p>
    <w:p w14:paraId="2FE419D0" w14:textId="77777777" w:rsidR="001B3677" w:rsidRPr="00427392" w:rsidRDefault="001B3677" w:rsidP="001B3677">
      <w:pPr>
        <w:tabs>
          <w:tab w:val="center" w:pos="5400"/>
        </w:tabs>
        <w:suppressAutoHyphens/>
        <w:spacing w:after="0" w:line="240" w:lineRule="auto"/>
        <w:ind w:firstLine="567"/>
        <w:jc w:val="center"/>
        <w:rPr>
          <w:rFonts w:ascii="Cambria" w:hAnsi="Cambria"/>
          <w:sz w:val="20"/>
          <w:szCs w:val="20"/>
          <w:lang w:val="es-ES"/>
        </w:rPr>
      </w:pPr>
    </w:p>
    <w:p w14:paraId="5CBF0831" w14:textId="77777777" w:rsidR="001B3677" w:rsidRPr="00427392" w:rsidRDefault="001B3677" w:rsidP="001B3677">
      <w:pPr>
        <w:tabs>
          <w:tab w:val="center" w:pos="5400"/>
        </w:tabs>
        <w:suppressAutoHyphens/>
        <w:spacing w:after="0" w:line="240" w:lineRule="auto"/>
        <w:ind w:firstLine="567"/>
        <w:jc w:val="center"/>
        <w:rPr>
          <w:rFonts w:ascii="Cambria" w:hAnsi="Cambria" w:cs="Arial"/>
          <w:sz w:val="20"/>
          <w:szCs w:val="20"/>
          <w:lang w:val="es-ES"/>
        </w:rPr>
      </w:pPr>
    </w:p>
    <w:p w14:paraId="27AA3285" w14:textId="77777777" w:rsidR="001B3677" w:rsidRPr="00427392" w:rsidRDefault="001B3677" w:rsidP="001B3677">
      <w:pPr>
        <w:tabs>
          <w:tab w:val="center" w:pos="5400"/>
        </w:tabs>
        <w:suppressAutoHyphens/>
        <w:spacing w:after="0" w:line="240" w:lineRule="auto"/>
        <w:ind w:firstLine="567"/>
        <w:jc w:val="center"/>
        <w:rPr>
          <w:rFonts w:ascii="Cambria" w:hAnsi="Cambria"/>
          <w:sz w:val="20"/>
          <w:szCs w:val="20"/>
          <w:lang w:val="es-ES"/>
        </w:rPr>
      </w:pPr>
    </w:p>
    <w:p w14:paraId="4760CF50" w14:textId="77777777" w:rsidR="001B3677" w:rsidRPr="00427392" w:rsidRDefault="001B3677" w:rsidP="001B3677">
      <w:pPr>
        <w:tabs>
          <w:tab w:val="center" w:pos="5400"/>
        </w:tabs>
        <w:suppressAutoHyphens/>
        <w:spacing w:after="0" w:line="240" w:lineRule="auto"/>
        <w:ind w:firstLine="567"/>
        <w:jc w:val="center"/>
        <w:rPr>
          <w:rFonts w:ascii="Cambria" w:hAnsi="Cambria"/>
          <w:sz w:val="20"/>
          <w:szCs w:val="20"/>
          <w:lang w:val="es-ES"/>
        </w:rPr>
      </w:pPr>
    </w:p>
    <w:p w14:paraId="67FE1656" w14:textId="77777777" w:rsidR="001B3677" w:rsidRPr="00427392" w:rsidRDefault="001B3677" w:rsidP="001B3677">
      <w:pPr>
        <w:tabs>
          <w:tab w:val="center" w:pos="5400"/>
        </w:tabs>
        <w:suppressAutoHyphens/>
        <w:spacing w:after="0" w:line="240" w:lineRule="auto"/>
        <w:ind w:firstLine="567"/>
        <w:jc w:val="center"/>
        <w:rPr>
          <w:rFonts w:ascii="Cambria" w:hAnsi="Cambria"/>
          <w:sz w:val="20"/>
          <w:szCs w:val="20"/>
          <w:lang w:val="es-ES"/>
        </w:rPr>
      </w:pPr>
    </w:p>
    <w:p w14:paraId="19ABDF20" w14:textId="77777777" w:rsidR="001B3677" w:rsidRPr="00427392" w:rsidRDefault="001B3677" w:rsidP="001B3677">
      <w:pPr>
        <w:tabs>
          <w:tab w:val="center" w:pos="5400"/>
        </w:tabs>
        <w:suppressAutoHyphens/>
        <w:spacing w:after="0" w:line="240" w:lineRule="auto"/>
        <w:ind w:firstLine="567"/>
        <w:jc w:val="center"/>
        <w:rPr>
          <w:rFonts w:ascii="Cambria" w:hAnsi="Cambria"/>
          <w:sz w:val="20"/>
          <w:szCs w:val="20"/>
          <w:lang w:val="es-ES"/>
        </w:rPr>
      </w:pPr>
    </w:p>
    <w:p w14:paraId="719B8818" w14:textId="77777777" w:rsidR="001B3677" w:rsidRPr="00427392" w:rsidRDefault="001B3677" w:rsidP="001B3677">
      <w:pPr>
        <w:tabs>
          <w:tab w:val="center" w:pos="5400"/>
        </w:tabs>
        <w:suppressAutoHyphens/>
        <w:spacing w:after="0" w:line="240" w:lineRule="auto"/>
        <w:ind w:firstLine="567"/>
        <w:jc w:val="center"/>
        <w:rPr>
          <w:rFonts w:ascii="Cambria" w:hAnsi="Cambria"/>
          <w:sz w:val="20"/>
          <w:szCs w:val="20"/>
          <w:lang w:val="es-ES"/>
        </w:rPr>
      </w:pPr>
    </w:p>
    <w:p w14:paraId="76C0E6C5" w14:textId="77777777" w:rsidR="001B3677" w:rsidRPr="00427392" w:rsidRDefault="001B3677" w:rsidP="001B3677">
      <w:pPr>
        <w:tabs>
          <w:tab w:val="center" w:pos="5400"/>
        </w:tabs>
        <w:suppressAutoHyphens/>
        <w:spacing w:after="0" w:line="240" w:lineRule="auto"/>
        <w:ind w:firstLine="567"/>
        <w:jc w:val="center"/>
        <w:rPr>
          <w:rFonts w:ascii="Cambria" w:hAnsi="Cambria"/>
          <w:sz w:val="20"/>
          <w:szCs w:val="20"/>
          <w:lang w:val="es-ES"/>
        </w:rPr>
      </w:pPr>
    </w:p>
    <w:p w14:paraId="6161FCB0" w14:textId="77777777" w:rsidR="001B3677" w:rsidRPr="00427392" w:rsidRDefault="001B3677" w:rsidP="001B3677">
      <w:pPr>
        <w:tabs>
          <w:tab w:val="center" w:pos="5400"/>
        </w:tabs>
        <w:suppressAutoHyphens/>
        <w:spacing w:after="0" w:line="240" w:lineRule="auto"/>
        <w:ind w:firstLine="567"/>
        <w:jc w:val="center"/>
        <w:rPr>
          <w:rFonts w:ascii="Cambria" w:hAnsi="Cambria"/>
          <w:sz w:val="20"/>
          <w:szCs w:val="20"/>
          <w:lang w:val="es-ES"/>
        </w:rPr>
      </w:pPr>
    </w:p>
    <w:p w14:paraId="0727E626" w14:textId="77777777" w:rsidR="001B3677" w:rsidRPr="00427392" w:rsidRDefault="001B3677" w:rsidP="001B3677">
      <w:pPr>
        <w:tabs>
          <w:tab w:val="center" w:pos="5400"/>
        </w:tabs>
        <w:suppressAutoHyphens/>
        <w:spacing w:after="0" w:line="240" w:lineRule="auto"/>
        <w:ind w:firstLine="567"/>
        <w:jc w:val="center"/>
        <w:rPr>
          <w:rFonts w:ascii="Cambria" w:hAnsi="Cambria"/>
          <w:sz w:val="20"/>
          <w:szCs w:val="20"/>
          <w:lang w:val="es-ES"/>
        </w:rPr>
      </w:pPr>
    </w:p>
    <w:p w14:paraId="20B4FD19" w14:textId="77777777" w:rsidR="001B3677" w:rsidRPr="00427392" w:rsidRDefault="001B3677" w:rsidP="001B3677">
      <w:pPr>
        <w:tabs>
          <w:tab w:val="center" w:pos="5400"/>
        </w:tabs>
        <w:suppressAutoHyphens/>
        <w:spacing w:after="0" w:line="240" w:lineRule="auto"/>
        <w:ind w:firstLine="567"/>
        <w:jc w:val="center"/>
        <w:rPr>
          <w:rFonts w:ascii="Cambria" w:hAnsi="Cambria"/>
          <w:sz w:val="20"/>
          <w:szCs w:val="20"/>
          <w:lang w:val="es-ES"/>
        </w:rPr>
      </w:pPr>
    </w:p>
    <w:p w14:paraId="5A5E71E3" w14:textId="77777777" w:rsidR="001B3677" w:rsidRPr="00427392" w:rsidRDefault="001B3677" w:rsidP="001B3677">
      <w:pPr>
        <w:tabs>
          <w:tab w:val="center" w:pos="5400"/>
        </w:tabs>
        <w:suppressAutoHyphens/>
        <w:spacing w:after="0" w:line="240" w:lineRule="auto"/>
        <w:ind w:firstLine="567"/>
        <w:jc w:val="center"/>
        <w:rPr>
          <w:rFonts w:ascii="Cambria" w:hAnsi="Cambria"/>
          <w:sz w:val="20"/>
          <w:szCs w:val="20"/>
          <w:lang w:val="es-ES"/>
        </w:rPr>
      </w:pPr>
    </w:p>
    <w:p w14:paraId="7443E814" w14:textId="77777777" w:rsidR="001B3677" w:rsidRPr="00427392" w:rsidRDefault="001B3677" w:rsidP="001B3677">
      <w:pPr>
        <w:tabs>
          <w:tab w:val="center" w:pos="5400"/>
        </w:tabs>
        <w:suppressAutoHyphens/>
        <w:spacing w:after="0" w:line="240" w:lineRule="auto"/>
        <w:ind w:firstLine="567"/>
        <w:jc w:val="center"/>
        <w:rPr>
          <w:rFonts w:ascii="Cambria" w:hAnsi="Cambria"/>
          <w:sz w:val="20"/>
          <w:szCs w:val="20"/>
          <w:lang w:val="es-ES"/>
        </w:rPr>
      </w:pPr>
    </w:p>
    <w:p w14:paraId="6C2B4691" w14:textId="77777777" w:rsidR="001B3677" w:rsidRPr="00427392" w:rsidRDefault="001B3677" w:rsidP="001B3677">
      <w:pPr>
        <w:tabs>
          <w:tab w:val="center" w:pos="5400"/>
        </w:tabs>
        <w:suppressAutoHyphens/>
        <w:spacing w:after="0" w:line="240" w:lineRule="auto"/>
        <w:ind w:firstLine="567"/>
        <w:jc w:val="center"/>
        <w:rPr>
          <w:rFonts w:ascii="Cambria" w:hAnsi="Cambria"/>
          <w:sz w:val="20"/>
          <w:szCs w:val="20"/>
          <w:lang w:val="es-ES"/>
        </w:rPr>
      </w:pPr>
    </w:p>
    <w:p w14:paraId="533F19E4" w14:textId="77777777" w:rsidR="001B3677" w:rsidRPr="00427392" w:rsidRDefault="001B3677" w:rsidP="001B3677">
      <w:pPr>
        <w:tabs>
          <w:tab w:val="center" w:pos="5400"/>
        </w:tabs>
        <w:suppressAutoHyphens/>
        <w:spacing w:after="0" w:line="240" w:lineRule="auto"/>
        <w:ind w:firstLine="567"/>
        <w:jc w:val="center"/>
        <w:rPr>
          <w:rFonts w:ascii="Cambria" w:hAnsi="Cambria"/>
          <w:sz w:val="20"/>
          <w:szCs w:val="20"/>
          <w:lang w:val="es-ES"/>
        </w:rPr>
      </w:pPr>
    </w:p>
    <w:p w14:paraId="36D12B5A" w14:textId="77777777" w:rsidR="001B3677" w:rsidRPr="00427392" w:rsidRDefault="001B3677" w:rsidP="001B3677">
      <w:pPr>
        <w:tabs>
          <w:tab w:val="center" w:pos="5400"/>
        </w:tabs>
        <w:suppressAutoHyphens/>
        <w:spacing w:after="0" w:line="240" w:lineRule="auto"/>
        <w:ind w:firstLine="567"/>
        <w:jc w:val="center"/>
        <w:rPr>
          <w:rFonts w:ascii="Cambria" w:hAnsi="Cambria"/>
          <w:sz w:val="20"/>
          <w:szCs w:val="20"/>
          <w:lang w:val="es-ES"/>
        </w:rPr>
      </w:pPr>
    </w:p>
    <w:p w14:paraId="1178E846" w14:textId="77777777" w:rsidR="001B3677" w:rsidRPr="00427392" w:rsidRDefault="001B3677" w:rsidP="001B3677">
      <w:pPr>
        <w:tabs>
          <w:tab w:val="center" w:pos="5400"/>
        </w:tabs>
        <w:suppressAutoHyphens/>
        <w:spacing w:after="0" w:line="240" w:lineRule="auto"/>
        <w:ind w:firstLine="567"/>
        <w:jc w:val="center"/>
        <w:rPr>
          <w:rFonts w:ascii="Cambria" w:hAnsi="Cambria"/>
          <w:sz w:val="20"/>
          <w:szCs w:val="20"/>
          <w:lang w:val="es-ES"/>
        </w:rPr>
      </w:pPr>
    </w:p>
    <w:p w14:paraId="66739154" w14:textId="77777777" w:rsidR="001B3677" w:rsidRPr="00427392" w:rsidRDefault="001B3677" w:rsidP="001B3677">
      <w:pPr>
        <w:tabs>
          <w:tab w:val="center" w:pos="5400"/>
        </w:tabs>
        <w:suppressAutoHyphens/>
        <w:spacing w:after="0" w:line="240" w:lineRule="auto"/>
        <w:ind w:firstLine="567"/>
        <w:jc w:val="center"/>
        <w:rPr>
          <w:rFonts w:ascii="Cambria" w:hAnsi="Cambria"/>
          <w:sz w:val="20"/>
          <w:szCs w:val="20"/>
          <w:lang w:val="es-ES"/>
        </w:rPr>
      </w:pPr>
    </w:p>
    <w:p w14:paraId="7A9B43CA" w14:textId="77777777" w:rsidR="001B3677" w:rsidRPr="00427392" w:rsidRDefault="001B3677" w:rsidP="001B3677">
      <w:pPr>
        <w:tabs>
          <w:tab w:val="center" w:pos="5400"/>
        </w:tabs>
        <w:suppressAutoHyphens/>
        <w:spacing w:after="0" w:line="240" w:lineRule="auto"/>
        <w:ind w:firstLine="567"/>
        <w:jc w:val="center"/>
        <w:rPr>
          <w:rFonts w:ascii="Cambria" w:hAnsi="Cambria"/>
          <w:sz w:val="20"/>
          <w:szCs w:val="20"/>
          <w:lang w:val="es-ES"/>
        </w:rPr>
      </w:pPr>
    </w:p>
    <w:p w14:paraId="31849B63" w14:textId="77777777" w:rsidR="001B3677" w:rsidRPr="00427392" w:rsidRDefault="001B3677" w:rsidP="001B3677">
      <w:pPr>
        <w:tabs>
          <w:tab w:val="center" w:pos="5400"/>
        </w:tabs>
        <w:suppressAutoHyphens/>
        <w:spacing w:after="0" w:line="240" w:lineRule="auto"/>
        <w:ind w:firstLine="567"/>
        <w:jc w:val="center"/>
        <w:rPr>
          <w:rFonts w:ascii="Cambria" w:hAnsi="Cambria"/>
          <w:sz w:val="20"/>
          <w:szCs w:val="20"/>
          <w:lang w:val="es-ES"/>
        </w:rPr>
      </w:pPr>
    </w:p>
    <w:p w14:paraId="4749FA4F" w14:textId="77777777" w:rsidR="001B3677" w:rsidRPr="00427392" w:rsidRDefault="001B3677" w:rsidP="001B3677">
      <w:pPr>
        <w:tabs>
          <w:tab w:val="center" w:pos="5400"/>
        </w:tabs>
        <w:suppressAutoHyphens/>
        <w:spacing w:after="0" w:line="240" w:lineRule="auto"/>
        <w:ind w:firstLine="567"/>
        <w:jc w:val="center"/>
        <w:rPr>
          <w:rFonts w:ascii="Cambria" w:hAnsi="Cambria"/>
          <w:sz w:val="20"/>
          <w:szCs w:val="20"/>
          <w:lang w:val="es-ES"/>
        </w:rPr>
      </w:pPr>
    </w:p>
    <w:p w14:paraId="7C147E44" w14:textId="77777777" w:rsidR="001B3677" w:rsidRPr="00427392" w:rsidRDefault="001B3677" w:rsidP="001B3677">
      <w:pPr>
        <w:tabs>
          <w:tab w:val="center" w:pos="5400"/>
        </w:tabs>
        <w:suppressAutoHyphens/>
        <w:spacing w:after="0" w:line="240" w:lineRule="auto"/>
        <w:ind w:firstLine="567"/>
        <w:jc w:val="center"/>
        <w:rPr>
          <w:rFonts w:ascii="Cambria" w:hAnsi="Cambria"/>
          <w:sz w:val="20"/>
          <w:szCs w:val="20"/>
          <w:lang w:val="es-ES"/>
        </w:rPr>
      </w:pPr>
    </w:p>
    <w:p w14:paraId="393CE12D" w14:textId="77777777" w:rsidR="001B3677" w:rsidRPr="00427392" w:rsidRDefault="001B3677" w:rsidP="001B3677">
      <w:pPr>
        <w:tabs>
          <w:tab w:val="center" w:pos="5400"/>
        </w:tabs>
        <w:suppressAutoHyphens/>
        <w:spacing w:after="0" w:line="240" w:lineRule="auto"/>
        <w:ind w:firstLine="567"/>
        <w:jc w:val="center"/>
        <w:rPr>
          <w:rFonts w:ascii="Cambria" w:hAnsi="Cambria"/>
          <w:sz w:val="20"/>
          <w:szCs w:val="20"/>
          <w:lang w:val="es-ES"/>
        </w:rPr>
      </w:pPr>
    </w:p>
    <w:p w14:paraId="6F975988" w14:textId="77777777" w:rsidR="001B3677" w:rsidRPr="00427392" w:rsidRDefault="001B3677" w:rsidP="001B3677">
      <w:pPr>
        <w:tabs>
          <w:tab w:val="center" w:pos="5400"/>
        </w:tabs>
        <w:suppressAutoHyphens/>
        <w:spacing w:after="0" w:line="240" w:lineRule="auto"/>
        <w:ind w:firstLine="567"/>
        <w:jc w:val="center"/>
        <w:rPr>
          <w:rFonts w:ascii="Cambria" w:hAnsi="Cambria"/>
          <w:sz w:val="20"/>
          <w:szCs w:val="20"/>
          <w:lang w:val="es-ES"/>
        </w:rPr>
      </w:pPr>
    </w:p>
    <w:p w14:paraId="1C529C9C" w14:textId="77777777" w:rsidR="001B3677" w:rsidRPr="00427392" w:rsidRDefault="001B3677" w:rsidP="001B3677">
      <w:pPr>
        <w:tabs>
          <w:tab w:val="center" w:pos="5400"/>
        </w:tabs>
        <w:suppressAutoHyphens/>
        <w:spacing w:after="0" w:line="240" w:lineRule="auto"/>
        <w:ind w:firstLine="567"/>
        <w:jc w:val="center"/>
        <w:rPr>
          <w:rFonts w:ascii="Cambria" w:hAnsi="Cambria"/>
          <w:sz w:val="20"/>
          <w:szCs w:val="20"/>
          <w:lang w:val="es-ES"/>
        </w:rPr>
      </w:pPr>
    </w:p>
    <w:p w14:paraId="284EDD39" w14:textId="77777777" w:rsidR="001B3677" w:rsidRPr="00427392" w:rsidRDefault="001B3677" w:rsidP="001B3677">
      <w:pPr>
        <w:tabs>
          <w:tab w:val="center" w:pos="5400"/>
        </w:tabs>
        <w:suppressAutoHyphens/>
        <w:spacing w:after="0" w:line="240" w:lineRule="auto"/>
        <w:ind w:firstLine="567"/>
        <w:jc w:val="center"/>
        <w:rPr>
          <w:rFonts w:ascii="Cambria" w:hAnsi="Cambria"/>
          <w:sz w:val="20"/>
          <w:szCs w:val="20"/>
          <w:lang w:val="es-ES"/>
        </w:rPr>
      </w:pPr>
    </w:p>
    <w:p w14:paraId="7489914C" w14:textId="77777777" w:rsidR="001B3677" w:rsidRPr="00427392" w:rsidRDefault="001B3677" w:rsidP="001B3677">
      <w:pPr>
        <w:tabs>
          <w:tab w:val="center" w:pos="5400"/>
        </w:tabs>
        <w:suppressAutoHyphens/>
        <w:spacing w:after="0" w:line="240" w:lineRule="auto"/>
        <w:ind w:firstLine="567"/>
        <w:jc w:val="center"/>
        <w:rPr>
          <w:rFonts w:ascii="Cambria" w:hAnsi="Cambria"/>
          <w:sz w:val="20"/>
          <w:szCs w:val="20"/>
          <w:lang w:val="es-ES"/>
        </w:rPr>
      </w:pPr>
    </w:p>
    <w:p w14:paraId="5C97F649" w14:textId="77777777" w:rsidR="001B3677" w:rsidRPr="00427392" w:rsidRDefault="00E2054F" w:rsidP="001B3677">
      <w:pPr>
        <w:tabs>
          <w:tab w:val="center" w:pos="5400"/>
        </w:tabs>
        <w:suppressAutoHyphens/>
        <w:spacing w:after="0" w:line="240" w:lineRule="auto"/>
        <w:ind w:firstLine="567"/>
        <w:jc w:val="center"/>
        <w:rPr>
          <w:rFonts w:ascii="Cambria" w:hAnsi="Cambria"/>
          <w:sz w:val="20"/>
          <w:szCs w:val="20"/>
          <w:lang w:val="es-ES"/>
        </w:rPr>
      </w:pPr>
      <w:r>
        <w:rPr>
          <w:noProof/>
        </w:rPr>
        <mc:AlternateContent>
          <mc:Choice Requires="wps">
            <w:drawing>
              <wp:anchor distT="0" distB="0" distL="114300" distR="114300" simplePos="0" relativeHeight="251655680" behindDoc="0" locked="0" layoutInCell="1" allowOverlap="1" wp14:anchorId="09140882" wp14:editId="609721DD">
                <wp:simplePos x="0" y="0"/>
                <wp:positionH relativeFrom="column">
                  <wp:posOffset>1341755</wp:posOffset>
                </wp:positionH>
                <wp:positionV relativeFrom="paragraph">
                  <wp:posOffset>22860</wp:posOffset>
                </wp:positionV>
                <wp:extent cx="4933950" cy="66484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3950" cy="664845"/>
                        </a:xfrm>
                        <a:prstGeom prst="rect">
                          <a:avLst/>
                        </a:prstGeom>
                        <a:noFill/>
                        <a:ln w="6350">
                          <a:noFill/>
                        </a:ln>
                        <a:effectLst/>
                      </wps:spPr>
                      <wps:txbx>
                        <w:txbxContent>
                          <w:p w14:paraId="1600BD91" w14:textId="688561C3" w:rsidR="006307FA" w:rsidRPr="00BD43D7" w:rsidRDefault="006307FA" w:rsidP="001B3677">
                            <w:pPr>
                              <w:tabs>
                                <w:tab w:val="center" w:pos="5400"/>
                              </w:tabs>
                              <w:suppressAutoHyphens/>
                              <w:spacing w:before="60"/>
                              <w:rPr>
                                <w:rFonts w:ascii="Cambria" w:hAnsi="Cambria" w:cs="Univers"/>
                                <w:color w:val="0D0D0D"/>
                                <w:sz w:val="18"/>
                                <w:szCs w:val="20"/>
                                <w:lang w:val="es-CO"/>
                              </w:rPr>
                            </w:pPr>
                            <w:r w:rsidRPr="00317DB1">
                              <w:rPr>
                                <w:rFonts w:ascii="Cambria" w:hAnsi="Cambria"/>
                                <w:color w:val="0D0D0D"/>
                                <w:sz w:val="18"/>
                                <w:szCs w:val="20"/>
                                <w:lang w:val="es-ES"/>
                              </w:rPr>
                              <w:t xml:space="preserve">Aprobado </w:t>
                            </w:r>
                            <w:r w:rsidR="005D7CAD">
                              <w:rPr>
                                <w:rFonts w:ascii="Cambria" w:hAnsi="Cambria"/>
                                <w:color w:val="0D0D0D"/>
                                <w:sz w:val="18"/>
                                <w:szCs w:val="20"/>
                                <w:lang w:val="es-ES"/>
                              </w:rPr>
                              <w:t xml:space="preserve">electrónicamente </w:t>
                            </w:r>
                            <w:r w:rsidRPr="00317DB1">
                              <w:rPr>
                                <w:rFonts w:ascii="Cambria" w:hAnsi="Cambria"/>
                                <w:color w:val="0D0D0D"/>
                                <w:sz w:val="18"/>
                                <w:szCs w:val="20"/>
                                <w:lang w:val="es-ES"/>
                              </w:rPr>
                              <w:t xml:space="preserve">por la Comisión el </w:t>
                            </w:r>
                            <w:r w:rsidR="00F15C3D">
                              <w:rPr>
                                <w:rFonts w:ascii="Cambria" w:hAnsi="Cambria"/>
                                <w:color w:val="0D0D0D"/>
                                <w:sz w:val="18"/>
                                <w:szCs w:val="20"/>
                                <w:lang w:val="es-ES"/>
                              </w:rPr>
                              <w:t>15 de julio</w:t>
                            </w:r>
                            <w:r w:rsidR="009D08DE">
                              <w:rPr>
                                <w:rFonts w:ascii="Cambria" w:hAnsi="Cambria"/>
                                <w:color w:val="0D0D0D"/>
                                <w:sz w:val="18"/>
                                <w:szCs w:val="20"/>
                                <w:lang w:val="es-ES"/>
                              </w:rPr>
                              <w:t xml:space="preserve"> </w:t>
                            </w:r>
                            <w:r>
                              <w:rPr>
                                <w:rFonts w:ascii="Cambria" w:hAnsi="Cambria"/>
                                <w:color w:val="0D0D0D"/>
                                <w:sz w:val="18"/>
                                <w:szCs w:val="20"/>
                                <w:lang w:val="es-ES"/>
                              </w:rPr>
                              <w:t>de 20</w:t>
                            </w:r>
                            <w:r w:rsidR="002D4F9C">
                              <w:rPr>
                                <w:rFonts w:ascii="Cambria" w:hAnsi="Cambria"/>
                                <w:color w:val="0D0D0D"/>
                                <w:sz w:val="18"/>
                                <w:szCs w:val="20"/>
                                <w:lang w:val="es-ES"/>
                              </w:rPr>
                              <w:t>25</w:t>
                            </w:r>
                          </w:p>
                          <w:p w14:paraId="35751D4C" w14:textId="77777777" w:rsidR="006307FA" w:rsidRPr="00317DB1" w:rsidRDefault="006307FA" w:rsidP="001B3677">
                            <w:pPr>
                              <w:tabs>
                                <w:tab w:val="center" w:pos="5400"/>
                              </w:tabs>
                              <w:suppressAutoHyphens/>
                              <w:spacing w:before="60"/>
                              <w:rPr>
                                <w:rFonts w:cs="Univers"/>
                                <w:color w:val="0D0D0D"/>
                                <w:sz w:val="20"/>
                                <w:szCs w:val="20"/>
                                <w:lang w:val="es-ES"/>
                              </w:rPr>
                            </w:pPr>
                          </w:p>
                          <w:p w14:paraId="68F1BA3C" w14:textId="77777777" w:rsidR="006307FA" w:rsidRPr="00317DB1" w:rsidRDefault="006307FA" w:rsidP="001B3677">
                            <w:pPr>
                              <w:tabs>
                                <w:tab w:val="center" w:pos="5400"/>
                              </w:tabs>
                              <w:suppressAutoHyphens/>
                              <w:spacing w:before="60"/>
                              <w:rPr>
                                <w:color w:val="FFFFFF"/>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40882" id="Text Box 7" o:spid="_x0000_s1029" type="#_x0000_t202" style="position:absolute;left:0;text-align:left;margin-left:105.65pt;margin-top:1.8pt;width:388.5pt;height:52.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" filled="f" stroked="f" strokeweight=".5pt">
                <v:textbox>
                  <w:txbxContent>
                    <w:p w14:paraId="1600BD91" w14:textId="688561C3" w:rsidR="006307FA" w:rsidRPr="00BD43D7" w:rsidRDefault="006307FA" w:rsidP="001B3677">
                      <w:pPr>
                        <w:tabs>
                          <w:tab w:val="center" w:pos="5400"/>
                        </w:tabs>
                        <w:suppressAutoHyphens/>
                        <w:spacing w:before="60"/>
                        <w:rPr>
                          <w:rFonts w:ascii="Cambria" w:hAnsi="Cambria" w:cs="Univers"/>
                          <w:color w:val="0D0D0D"/>
                          <w:sz w:val="18"/>
                          <w:szCs w:val="20"/>
                          <w:lang w:val="es-CO"/>
                        </w:rPr>
                      </w:pPr>
                      <w:r w:rsidRPr="00317DB1">
                        <w:rPr>
                          <w:rFonts w:ascii="Cambria" w:hAnsi="Cambria"/>
                          <w:color w:val="0D0D0D"/>
                          <w:sz w:val="18"/>
                          <w:szCs w:val="20"/>
                          <w:lang w:val="es-ES"/>
                        </w:rPr>
                        <w:t xml:space="preserve">Aprobado </w:t>
                      </w:r>
                      <w:r w:rsidR="005D7CAD">
                        <w:rPr>
                          <w:rFonts w:ascii="Cambria" w:hAnsi="Cambria"/>
                          <w:color w:val="0D0D0D"/>
                          <w:sz w:val="18"/>
                          <w:szCs w:val="20"/>
                          <w:lang w:val="es-ES"/>
                        </w:rPr>
                        <w:t xml:space="preserve">electrónicamente </w:t>
                      </w:r>
                      <w:r w:rsidRPr="00317DB1">
                        <w:rPr>
                          <w:rFonts w:ascii="Cambria" w:hAnsi="Cambria"/>
                          <w:color w:val="0D0D0D"/>
                          <w:sz w:val="18"/>
                          <w:szCs w:val="20"/>
                          <w:lang w:val="es-ES"/>
                        </w:rPr>
                        <w:t xml:space="preserve">por la Comisión el </w:t>
                      </w:r>
                      <w:r w:rsidR="00F15C3D">
                        <w:rPr>
                          <w:rFonts w:ascii="Cambria" w:hAnsi="Cambria"/>
                          <w:color w:val="0D0D0D"/>
                          <w:sz w:val="18"/>
                          <w:szCs w:val="20"/>
                          <w:lang w:val="es-ES"/>
                        </w:rPr>
                        <w:t>15 de julio</w:t>
                      </w:r>
                      <w:r w:rsidR="009D08DE">
                        <w:rPr>
                          <w:rFonts w:ascii="Cambria" w:hAnsi="Cambria"/>
                          <w:color w:val="0D0D0D"/>
                          <w:sz w:val="18"/>
                          <w:szCs w:val="20"/>
                          <w:lang w:val="es-ES"/>
                        </w:rPr>
                        <w:t xml:space="preserve"> </w:t>
                      </w:r>
                      <w:r>
                        <w:rPr>
                          <w:rFonts w:ascii="Cambria" w:hAnsi="Cambria"/>
                          <w:color w:val="0D0D0D"/>
                          <w:sz w:val="18"/>
                          <w:szCs w:val="20"/>
                          <w:lang w:val="es-ES"/>
                        </w:rPr>
                        <w:t>de 20</w:t>
                      </w:r>
                      <w:r w:rsidR="002D4F9C">
                        <w:rPr>
                          <w:rFonts w:ascii="Cambria" w:hAnsi="Cambria"/>
                          <w:color w:val="0D0D0D"/>
                          <w:sz w:val="18"/>
                          <w:szCs w:val="20"/>
                          <w:lang w:val="es-ES"/>
                        </w:rPr>
                        <w:t>25</w:t>
                      </w:r>
                    </w:p>
                    <w:p w14:paraId="35751D4C" w14:textId="77777777" w:rsidR="006307FA" w:rsidRPr="00317DB1" w:rsidRDefault="006307FA" w:rsidP="001B3677">
                      <w:pPr>
                        <w:tabs>
                          <w:tab w:val="center" w:pos="5400"/>
                        </w:tabs>
                        <w:suppressAutoHyphens/>
                        <w:spacing w:before="60"/>
                        <w:rPr>
                          <w:rFonts w:cs="Univers"/>
                          <w:color w:val="0D0D0D"/>
                          <w:sz w:val="20"/>
                          <w:szCs w:val="20"/>
                          <w:lang w:val="es-ES"/>
                        </w:rPr>
                      </w:pPr>
                    </w:p>
                    <w:p w14:paraId="68F1BA3C" w14:textId="77777777" w:rsidR="006307FA" w:rsidRPr="00317DB1" w:rsidRDefault="006307FA" w:rsidP="001B3677">
                      <w:pPr>
                        <w:tabs>
                          <w:tab w:val="center" w:pos="5400"/>
                        </w:tabs>
                        <w:suppressAutoHyphens/>
                        <w:spacing w:before="60"/>
                        <w:rPr>
                          <w:color w:val="FFFFFF"/>
                          <w:spacing w:val="-2"/>
                          <w:sz w:val="16"/>
                          <w:lang w:val="es-ES"/>
                        </w:rPr>
                      </w:pPr>
                    </w:p>
                  </w:txbxContent>
                </v:textbox>
              </v:shape>
            </w:pict>
          </mc:Fallback>
        </mc:AlternateContent>
      </w:r>
    </w:p>
    <w:p w14:paraId="4CD03B17" w14:textId="77777777" w:rsidR="001B3677" w:rsidRPr="00427392" w:rsidRDefault="001B3677" w:rsidP="001B3677">
      <w:pPr>
        <w:tabs>
          <w:tab w:val="center" w:pos="5400"/>
        </w:tabs>
        <w:suppressAutoHyphens/>
        <w:spacing w:after="0" w:line="240" w:lineRule="auto"/>
        <w:ind w:firstLine="567"/>
        <w:jc w:val="center"/>
        <w:rPr>
          <w:rFonts w:ascii="Cambria" w:hAnsi="Cambria"/>
          <w:sz w:val="20"/>
          <w:szCs w:val="20"/>
          <w:lang w:val="es-ES"/>
        </w:rPr>
      </w:pPr>
    </w:p>
    <w:p w14:paraId="6B77C2C3" w14:textId="77777777" w:rsidR="001B3677" w:rsidRPr="00427392" w:rsidRDefault="001B3677" w:rsidP="001B3677">
      <w:pPr>
        <w:tabs>
          <w:tab w:val="center" w:pos="5400"/>
        </w:tabs>
        <w:suppressAutoHyphens/>
        <w:spacing w:after="0" w:line="240" w:lineRule="auto"/>
        <w:ind w:firstLine="567"/>
        <w:jc w:val="center"/>
        <w:rPr>
          <w:rFonts w:ascii="Cambria" w:hAnsi="Cambria"/>
          <w:sz w:val="20"/>
          <w:szCs w:val="20"/>
          <w:lang w:val="es-ES"/>
        </w:rPr>
      </w:pPr>
    </w:p>
    <w:p w14:paraId="6C7791C6" w14:textId="77777777" w:rsidR="001B3677" w:rsidRPr="00427392" w:rsidRDefault="001B3677" w:rsidP="001B3677">
      <w:pPr>
        <w:tabs>
          <w:tab w:val="center" w:pos="5400"/>
        </w:tabs>
        <w:suppressAutoHyphens/>
        <w:spacing w:after="0" w:line="240" w:lineRule="auto"/>
        <w:ind w:firstLine="567"/>
        <w:jc w:val="center"/>
        <w:rPr>
          <w:rFonts w:ascii="Cambria" w:hAnsi="Cambria"/>
          <w:sz w:val="20"/>
          <w:szCs w:val="20"/>
          <w:lang w:val="es-ES"/>
        </w:rPr>
      </w:pPr>
    </w:p>
    <w:p w14:paraId="4220382A" w14:textId="77777777" w:rsidR="001B3677" w:rsidRPr="00427392" w:rsidRDefault="001B3677" w:rsidP="001B3677">
      <w:pPr>
        <w:tabs>
          <w:tab w:val="center" w:pos="5400"/>
        </w:tabs>
        <w:suppressAutoHyphens/>
        <w:spacing w:after="0" w:line="240" w:lineRule="auto"/>
        <w:ind w:firstLine="567"/>
        <w:jc w:val="center"/>
        <w:rPr>
          <w:rFonts w:ascii="Cambria" w:hAnsi="Cambria"/>
          <w:sz w:val="20"/>
          <w:szCs w:val="20"/>
          <w:lang w:val="es-ES"/>
        </w:rPr>
      </w:pPr>
    </w:p>
    <w:p w14:paraId="69177800" w14:textId="3E7AF42B" w:rsidR="001B3677" w:rsidRPr="00427392" w:rsidRDefault="005D7CAD" w:rsidP="001B3677">
      <w:pPr>
        <w:tabs>
          <w:tab w:val="center" w:pos="5400"/>
        </w:tabs>
        <w:suppressAutoHyphens/>
        <w:spacing w:after="0" w:line="240" w:lineRule="auto"/>
        <w:ind w:firstLine="567"/>
        <w:jc w:val="center"/>
        <w:rPr>
          <w:rFonts w:ascii="Cambria" w:hAnsi="Cambria"/>
          <w:sz w:val="20"/>
          <w:szCs w:val="20"/>
          <w:lang w:val="es-ES"/>
        </w:rPr>
      </w:pPr>
      <w:r>
        <w:rPr>
          <w:noProof/>
        </w:rPr>
        <mc:AlternateContent>
          <mc:Choice Requires="wps">
            <w:drawing>
              <wp:anchor distT="0" distB="0" distL="114300" distR="114300" simplePos="0" relativeHeight="251658752" behindDoc="0" locked="0" layoutInCell="1" allowOverlap="1" wp14:anchorId="54A3FB54" wp14:editId="26BEC22A">
                <wp:simplePos x="0" y="0"/>
                <wp:positionH relativeFrom="column">
                  <wp:posOffset>1333500</wp:posOffset>
                </wp:positionH>
                <wp:positionV relativeFrom="paragraph">
                  <wp:posOffset>79375</wp:posOffset>
                </wp:positionV>
                <wp:extent cx="4943475" cy="657225"/>
                <wp:effectExtent l="0" t="0" r="0" b="31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3475" cy="657225"/>
                        </a:xfrm>
                        <a:prstGeom prst="rect">
                          <a:avLst/>
                        </a:prstGeom>
                        <a:noFill/>
                        <a:ln w="6350">
                          <a:noFill/>
                        </a:ln>
                        <a:effectLst/>
                      </wps:spPr>
                      <wps:txbx id="5">
                        <w:txbxContent>
                          <w:p w14:paraId="2121E2CC" w14:textId="24B2F15E" w:rsidR="006307FA" w:rsidRPr="006A264E" w:rsidRDefault="006307FA" w:rsidP="00045386">
                            <w:pPr>
                              <w:jc w:val="both"/>
                              <w:rPr>
                                <w:rFonts w:ascii="Cambria" w:hAnsi="Cambria"/>
                                <w:color w:val="595959"/>
                                <w:sz w:val="18"/>
                                <w:szCs w:val="18"/>
                                <w:lang w:val="es-MX"/>
                              </w:rPr>
                            </w:pPr>
                            <w:r w:rsidRPr="00317DB1">
                              <w:rPr>
                                <w:rFonts w:ascii="Cambria" w:hAnsi="Cambria"/>
                                <w:b/>
                                <w:color w:val="595959"/>
                                <w:sz w:val="18"/>
                                <w:szCs w:val="18"/>
                                <w:lang w:val="pt-BR"/>
                              </w:rPr>
                              <w:t>Citar como:</w:t>
                            </w:r>
                            <w:r>
                              <w:rPr>
                                <w:rFonts w:ascii="Cambria" w:hAnsi="Cambria"/>
                                <w:color w:val="595959"/>
                                <w:sz w:val="18"/>
                                <w:szCs w:val="18"/>
                                <w:lang w:val="pt-BR"/>
                              </w:rPr>
                              <w:t xml:space="preserve"> CIDH.</w:t>
                            </w:r>
                            <w:r w:rsidRPr="00317DB1">
                              <w:rPr>
                                <w:rFonts w:ascii="Cambria" w:hAnsi="Cambria"/>
                                <w:color w:val="595959"/>
                                <w:sz w:val="18"/>
                                <w:szCs w:val="18"/>
                                <w:lang w:val="pt-BR"/>
                              </w:rPr>
                              <w:t xml:space="preserve"> Informe No. </w:t>
                            </w:r>
                            <w:r w:rsidR="00F15C3D" w:rsidRPr="008D5885">
                              <w:rPr>
                                <w:rFonts w:ascii="Cambria" w:hAnsi="Cambria"/>
                                <w:color w:val="595959"/>
                                <w:sz w:val="18"/>
                                <w:szCs w:val="18"/>
                                <w:lang w:val="pt-BR"/>
                              </w:rPr>
                              <w:t>114</w:t>
                            </w:r>
                            <w:r w:rsidRPr="008D5885">
                              <w:rPr>
                                <w:rFonts w:ascii="Cambria" w:hAnsi="Cambria"/>
                                <w:color w:val="595959"/>
                                <w:sz w:val="18"/>
                                <w:szCs w:val="18"/>
                                <w:lang w:val="pt-BR"/>
                              </w:rPr>
                              <w:t>/</w:t>
                            </w:r>
                            <w:r w:rsidR="002D4F9C" w:rsidRPr="008D5885">
                              <w:rPr>
                                <w:rFonts w:ascii="Cambria" w:hAnsi="Cambria"/>
                                <w:color w:val="595959"/>
                                <w:sz w:val="18"/>
                                <w:szCs w:val="18"/>
                                <w:lang w:val="pt-BR"/>
                              </w:rPr>
                              <w:t>25</w:t>
                            </w:r>
                            <w:r w:rsidRPr="008D5885">
                              <w:rPr>
                                <w:rFonts w:ascii="Cambria" w:hAnsi="Cambria"/>
                                <w:color w:val="595959"/>
                                <w:sz w:val="18"/>
                                <w:szCs w:val="18"/>
                                <w:lang w:val="pt-BR"/>
                              </w:rPr>
                              <w:t xml:space="preserve">. </w:t>
                            </w:r>
                            <w:r w:rsidRPr="00427392">
                              <w:rPr>
                                <w:rFonts w:ascii="Cambria" w:hAnsi="Cambria"/>
                                <w:color w:val="595959"/>
                                <w:sz w:val="18"/>
                                <w:szCs w:val="18"/>
                                <w:lang w:val="es-ES"/>
                              </w:rPr>
                              <w:t>Caso 12.491.</w:t>
                            </w:r>
                            <w:r>
                              <w:rPr>
                                <w:rFonts w:ascii="Cambria" w:hAnsi="Cambria"/>
                                <w:color w:val="595959"/>
                                <w:sz w:val="18"/>
                                <w:szCs w:val="18"/>
                                <w:lang w:val="es-ES"/>
                              </w:rPr>
                              <w:t xml:space="preserve"> Fondo</w:t>
                            </w:r>
                            <w:r w:rsidR="005D7CAD">
                              <w:rPr>
                                <w:rFonts w:ascii="Cambria" w:hAnsi="Cambria"/>
                                <w:color w:val="595959"/>
                                <w:sz w:val="18"/>
                                <w:szCs w:val="18"/>
                                <w:lang w:val="es-ES"/>
                              </w:rPr>
                              <w:t xml:space="preserve"> (</w:t>
                            </w:r>
                            <w:r w:rsidR="00E47063">
                              <w:rPr>
                                <w:rFonts w:ascii="Cambria" w:hAnsi="Cambria"/>
                                <w:color w:val="595959"/>
                                <w:sz w:val="18"/>
                                <w:szCs w:val="18"/>
                                <w:lang w:val="es-ES"/>
                              </w:rPr>
                              <w:t>Publicación</w:t>
                            </w:r>
                            <w:r w:rsidR="005D7CAD">
                              <w:rPr>
                                <w:rFonts w:ascii="Cambria" w:hAnsi="Cambria"/>
                                <w:color w:val="595959"/>
                                <w:sz w:val="18"/>
                                <w:szCs w:val="18"/>
                                <w:lang w:val="es-ES"/>
                              </w:rPr>
                              <w:t>)</w:t>
                            </w:r>
                            <w:r>
                              <w:rPr>
                                <w:rFonts w:ascii="Cambria" w:hAnsi="Cambria"/>
                                <w:color w:val="595959"/>
                                <w:sz w:val="18"/>
                                <w:szCs w:val="18"/>
                                <w:lang w:val="es-ES"/>
                              </w:rPr>
                              <w:t>.</w:t>
                            </w:r>
                            <w:r w:rsidRPr="00427392">
                              <w:rPr>
                                <w:rFonts w:ascii="Cambria" w:hAnsi="Cambria"/>
                                <w:color w:val="595959"/>
                                <w:sz w:val="18"/>
                                <w:szCs w:val="18"/>
                                <w:lang w:val="es-ES"/>
                              </w:rPr>
                              <w:t xml:space="preserve"> </w:t>
                            </w:r>
                            <w:r>
                              <w:rPr>
                                <w:rFonts w:ascii="Cambria" w:hAnsi="Cambria"/>
                                <w:color w:val="595959"/>
                                <w:sz w:val="18"/>
                                <w:szCs w:val="18"/>
                                <w:lang w:val="es-ES"/>
                              </w:rPr>
                              <w:t>Gustavo Sastoque Alfonso. Colombia.</w:t>
                            </w:r>
                            <w:r w:rsidRPr="00427392">
                              <w:rPr>
                                <w:rFonts w:ascii="Cambria" w:hAnsi="Cambria"/>
                                <w:color w:val="595959"/>
                                <w:sz w:val="18"/>
                                <w:szCs w:val="18"/>
                                <w:lang w:val="es-ES"/>
                              </w:rPr>
                              <w:t xml:space="preserve"> </w:t>
                            </w:r>
                            <w:r w:rsidR="00F15C3D">
                              <w:rPr>
                                <w:rFonts w:ascii="Cambria" w:hAnsi="Cambria"/>
                                <w:color w:val="595959"/>
                                <w:sz w:val="18"/>
                                <w:szCs w:val="18"/>
                                <w:lang w:val="es-ES"/>
                              </w:rPr>
                              <w:t>15 de julio de</w:t>
                            </w:r>
                            <w:r w:rsidRPr="00427392">
                              <w:rPr>
                                <w:rFonts w:ascii="Cambria" w:hAnsi="Cambria"/>
                                <w:color w:val="595959"/>
                                <w:sz w:val="18"/>
                                <w:szCs w:val="18"/>
                                <w:lang w:val="es-ES"/>
                              </w:rPr>
                              <w:t xml:space="preserve"> 20</w:t>
                            </w:r>
                            <w:r w:rsidR="005D7CAD">
                              <w:rPr>
                                <w:rFonts w:ascii="Cambria" w:hAnsi="Cambria"/>
                                <w:color w:val="595959"/>
                                <w:sz w:val="18"/>
                                <w:szCs w:val="18"/>
                                <w:lang w:val="es-ES"/>
                              </w:rPr>
                              <w:t>2</w:t>
                            </w:r>
                            <w:r w:rsidR="002D4F9C">
                              <w:rPr>
                                <w:rFonts w:ascii="Cambria" w:hAnsi="Cambria"/>
                                <w:color w:val="595959"/>
                                <w:sz w:val="18"/>
                                <w:szCs w:val="18"/>
                                <w:lang w:val="es-ES"/>
                              </w:rPr>
                              <w:t>5</w:t>
                            </w:r>
                            <w:r w:rsidRPr="00427392">
                              <w:rPr>
                                <w:rFonts w:ascii="Cambria" w:hAnsi="Cambria"/>
                                <w:color w:val="595959"/>
                                <w:sz w:val="18"/>
                                <w:szCs w:val="18"/>
                                <w:lang w:val="es-E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3FB54" id="Text Box 10" o:spid="_x0000_s1030" type="#_x0000_t202" style="position:absolute;left:0;text-align:left;margin-left:105pt;margin-top:6.25pt;width:389.25pt;height:5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" filled="f" stroked="f" strokeweight=".5pt">
                <v:textbox style="mso-next-textbox:#_x0000_s1031">
                  <w:txbxContent>
                    <w:p w14:paraId="2121E2CC" w14:textId="24B2F15E" w:rsidR="006307FA" w:rsidRPr="006A264E" w:rsidRDefault="006307FA" w:rsidP="00045386">
                      <w:pPr>
                        <w:jc w:val="both"/>
                        <w:rPr>
                          <w:rFonts w:ascii="Cambria" w:hAnsi="Cambria"/>
                          <w:color w:val="595959"/>
                          <w:sz w:val="18"/>
                          <w:szCs w:val="18"/>
                          <w:lang w:val="es-MX"/>
                        </w:rPr>
                      </w:pPr>
                      <w:r w:rsidRPr="00317DB1">
                        <w:rPr>
                          <w:rFonts w:ascii="Cambria" w:hAnsi="Cambria"/>
                          <w:b/>
                          <w:color w:val="595959"/>
                          <w:sz w:val="18"/>
                          <w:szCs w:val="18"/>
                          <w:lang w:val="pt-BR"/>
                        </w:rPr>
                        <w:t>Citar como:</w:t>
                      </w:r>
                      <w:r>
                        <w:rPr>
                          <w:rFonts w:ascii="Cambria" w:hAnsi="Cambria"/>
                          <w:color w:val="595959"/>
                          <w:sz w:val="18"/>
                          <w:szCs w:val="18"/>
                          <w:lang w:val="pt-BR"/>
                        </w:rPr>
                        <w:t xml:space="preserve"> CIDH.</w:t>
                      </w:r>
                      <w:r w:rsidRPr="00317DB1">
                        <w:rPr>
                          <w:rFonts w:ascii="Cambria" w:hAnsi="Cambria"/>
                          <w:color w:val="595959"/>
                          <w:sz w:val="18"/>
                          <w:szCs w:val="18"/>
                          <w:lang w:val="pt-BR"/>
                        </w:rPr>
                        <w:t xml:space="preserve"> Informe No. </w:t>
                      </w:r>
                      <w:r w:rsidR="00F15C3D" w:rsidRPr="008D5885">
                        <w:rPr>
                          <w:rFonts w:ascii="Cambria" w:hAnsi="Cambria"/>
                          <w:color w:val="595959"/>
                          <w:sz w:val="18"/>
                          <w:szCs w:val="18"/>
                          <w:lang w:val="pt-BR"/>
                        </w:rPr>
                        <w:t>114</w:t>
                      </w:r>
                      <w:r w:rsidRPr="008D5885">
                        <w:rPr>
                          <w:rFonts w:ascii="Cambria" w:hAnsi="Cambria"/>
                          <w:color w:val="595959"/>
                          <w:sz w:val="18"/>
                          <w:szCs w:val="18"/>
                          <w:lang w:val="pt-BR"/>
                        </w:rPr>
                        <w:t>/</w:t>
                      </w:r>
                      <w:r w:rsidR="002D4F9C" w:rsidRPr="008D5885">
                        <w:rPr>
                          <w:rFonts w:ascii="Cambria" w:hAnsi="Cambria"/>
                          <w:color w:val="595959"/>
                          <w:sz w:val="18"/>
                          <w:szCs w:val="18"/>
                          <w:lang w:val="pt-BR"/>
                        </w:rPr>
                        <w:t>25</w:t>
                      </w:r>
                      <w:r w:rsidRPr="008D5885">
                        <w:rPr>
                          <w:rFonts w:ascii="Cambria" w:hAnsi="Cambria"/>
                          <w:color w:val="595959"/>
                          <w:sz w:val="18"/>
                          <w:szCs w:val="18"/>
                          <w:lang w:val="pt-BR"/>
                        </w:rPr>
                        <w:t xml:space="preserve">. </w:t>
                      </w:r>
                      <w:r w:rsidRPr="00427392">
                        <w:rPr>
                          <w:rFonts w:ascii="Cambria" w:hAnsi="Cambria"/>
                          <w:color w:val="595959"/>
                          <w:sz w:val="18"/>
                          <w:szCs w:val="18"/>
                          <w:lang w:val="es-ES"/>
                        </w:rPr>
                        <w:t>Caso 12.491.</w:t>
                      </w:r>
                      <w:r>
                        <w:rPr>
                          <w:rFonts w:ascii="Cambria" w:hAnsi="Cambria"/>
                          <w:color w:val="595959"/>
                          <w:sz w:val="18"/>
                          <w:szCs w:val="18"/>
                          <w:lang w:val="es-ES"/>
                        </w:rPr>
                        <w:t xml:space="preserve"> Fondo</w:t>
                      </w:r>
                      <w:r w:rsidR="005D7CAD">
                        <w:rPr>
                          <w:rFonts w:ascii="Cambria" w:hAnsi="Cambria"/>
                          <w:color w:val="595959"/>
                          <w:sz w:val="18"/>
                          <w:szCs w:val="18"/>
                          <w:lang w:val="es-ES"/>
                        </w:rPr>
                        <w:t xml:space="preserve"> (</w:t>
                      </w:r>
                      <w:r w:rsidR="00E47063">
                        <w:rPr>
                          <w:rFonts w:ascii="Cambria" w:hAnsi="Cambria"/>
                          <w:color w:val="595959"/>
                          <w:sz w:val="18"/>
                          <w:szCs w:val="18"/>
                          <w:lang w:val="es-ES"/>
                        </w:rPr>
                        <w:t>Publicación</w:t>
                      </w:r>
                      <w:r w:rsidR="005D7CAD">
                        <w:rPr>
                          <w:rFonts w:ascii="Cambria" w:hAnsi="Cambria"/>
                          <w:color w:val="595959"/>
                          <w:sz w:val="18"/>
                          <w:szCs w:val="18"/>
                          <w:lang w:val="es-ES"/>
                        </w:rPr>
                        <w:t>)</w:t>
                      </w:r>
                      <w:r>
                        <w:rPr>
                          <w:rFonts w:ascii="Cambria" w:hAnsi="Cambria"/>
                          <w:color w:val="595959"/>
                          <w:sz w:val="18"/>
                          <w:szCs w:val="18"/>
                          <w:lang w:val="es-ES"/>
                        </w:rPr>
                        <w:t>.</w:t>
                      </w:r>
                      <w:r w:rsidRPr="00427392">
                        <w:rPr>
                          <w:rFonts w:ascii="Cambria" w:hAnsi="Cambria"/>
                          <w:color w:val="595959"/>
                          <w:sz w:val="18"/>
                          <w:szCs w:val="18"/>
                          <w:lang w:val="es-ES"/>
                        </w:rPr>
                        <w:t xml:space="preserve"> </w:t>
                      </w:r>
                      <w:r>
                        <w:rPr>
                          <w:rFonts w:ascii="Cambria" w:hAnsi="Cambria"/>
                          <w:color w:val="595959"/>
                          <w:sz w:val="18"/>
                          <w:szCs w:val="18"/>
                          <w:lang w:val="es-ES"/>
                        </w:rPr>
                        <w:t>Gustavo Sastoque Alfonso. Colombia.</w:t>
                      </w:r>
                      <w:r w:rsidRPr="00427392">
                        <w:rPr>
                          <w:rFonts w:ascii="Cambria" w:hAnsi="Cambria"/>
                          <w:color w:val="595959"/>
                          <w:sz w:val="18"/>
                          <w:szCs w:val="18"/>
                          <w:lang w:val="es-ES"/>
                        </w:rPr>
                        <w:t xml:space="preserve"> </w:t>
                      </w:r>
                      <w:r w:rsidR="00F15C3D">
                        <w:rPr>
                          <w:rFonts w:ascii="Cambria" w:hAnsi="Cambria"/>
                          <w:color w:val="595959"/>
                          <w:sz w:val="18"/>
                          <w:szCs w:val="18"/>
                          <w:lang w:val="es-ES"/>
                        </w:rPr>
                        <w:t>15 de julio de</w:t>
                      </w:r>
                      <w:r w:rsidRPr="00427392">
                        <w:rPr>
                          <w:rFonts w:ascii="Cambria" w:hAnsi="Cambria"/>
                          <w:color w:val="595959"/>
                          <w:sz w:val="18"/>
                          <w:szCs w:val="18"/>
                          <w:lang w:val="es-ES"/>
                        </w:rPr>
                        <w:t xml:space="preserve"> 20</w:t>
                      </w:r>
                      <w:r w:rsidR="005D7CAD">
                        <w:rPr>
                          <w:rFonts w:ascii="Cambria" w:hAnsi="Cambria"/>
                          <w:color w:val="595959"/>
                          <w:sz w:val="18"/>
                          <w:szCs w:val="18"/>
                          <w:lang w:val="es-ES"/>
                        </w:rPr>
                        <w:t>2</w:t>
                      </w:r>
                      <w:r w:rsidR="002D4F9C">
                        <w:rPr>
                          <w:rFonts w:ascii="Cambria" w:hAnsi="Cambria"/>
                          <w:color w:val="595959"/>
                          <w:sz w:val="18"/>
                          <w:szCs w:val="18"/>
                          <w:lang w:val="es-ES"/>
                        </w:rPr>
                        <w:t>5</w:t>
                      </w:r>
                      <w:r w:rsidRPr="00427392">
                        <w:rPr>
                          <w:rFonts w:ascii="Cambria" w:hAnsi="Cambria"/>
                          <w:color w:val="595959"/>
                          <w:sz w:val="18"/>
                          <w:szCs w:val="18"/>
                          <w:lang w:val="es-ES"/>
                        </w:rPr>
                        <w:t xml:space="preserve">. </w:t>
                      </w:r>
                    </w:p>
                  </w:txbxContent>
                </v:textbox>
              </v:shape>
            </w:pict>
          </mc:Fallback>
        </mc:AlternateContent>
      </w:r>
      <w:r w:rsidR="00E2054F">
        <w:rPr>
          <w:noProof/>
        </w:rPr>
        <mc:AlternateContent>
          <mc:Choice Requires="wps">
            <w:drawing>
              <wp:anchor distT="0" distB="0" distL="114300" distR="114300" simplePos="0" relativeHeight="251661824" behindDoc="0" locked="0" layoutInCell="1" allowOverlap="1" wp14:anchorId="20FB15CC" wp14:editId="79BBE3A2">
                <wp:simplePos x="0" y="0"/>
                <wp:positionH relativeFrom="column">
                  <wp:posOffset>5486400</wp:posOffset>
                </wp:positionH>
                <wp:positionV relativeFrom="paragraph">
                  <wp:posOffset>88900</wp:posOffset>
                </wp:positionV>
                <wp:extent cx="914400" cy="914400"/>
                <wp:effectExtent l="0" t="0" r="0" b="0"/>
                <wp:wrapTight wrapText="bothSides">
                  <wp:wrapPolygon edited="0">
                    <wp:start x="0" y="0"/>
                    <wp:lineTo x="21600" y="0"/>
                    <wp:lineTo x="21600" y="21600"/>
                    <wp:lineTo x="0" y="21600"/>
                    <wp:lineTo x="0" y="0"/>
                  </wp:wrapPolygon>
                </wp:wrapTight>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5"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B15CC" id="_x0000_s1031" type="#_x0000_t202" style="position:absolute;left:0;text-align:left;margin-left:6in;margin-top:7pt;width:1in;height:1in;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" filled="f" stroked="f">
                <v:textbox inset=",7.2pt,,7.2pt">
                  <w:txbxContent/>
                </v:textbox>
                <w10:wrap type="tight"/>
              </v:shape>
            </w:pict>
          </mc:Fallback>
        </mc:AlternateContent>
      </w:r>
    </w:p>
    <w:p w14:paraId="4463828C" w14:textId="77777777" w:rsidR="001B3677" w:rsidRPr="00427392" w:rsidRDefault="001B3677" w:rsidP="001B3677">
      <w:pPr>
        <w:tabs>
          <w:tab w:val="center" w:pos="5400"/>
        </w:tabs>
        <w:suppressAutoHyphens/>
        <w:spacing w:after="0" w:line="240" w:lineRule="auto"/>
        <w:ind w:firstLine="567"/>
        <w:jc w:val="center"/>
        <w:rPr>
          <w:rFonts w:ascii="Cambria" w:hAnsi="Cambria"/>
          <w:sz w:val="20"/>
          <w:szCs w:val="20"/>
          <w:lang w:val="es-ES"/>
        </w:rPr>
      </w:pPr>
    </w:p>
    <w:p w14:paraId="389419F0" w14:textId="77777777" w:rsidR="001B3677" w:rsidRPr="00427392" w:rsidRDefault="00E2054F" w:rsidP="001B3677">
      <w:pPr>
        <w:tabs>
          <w:tab w:val="center" w:pos="5400"/>
        </w:tabs>
        <w:suppressAutoHyphens/>
        <w:spacing w:after="0" w:line="240" w:lineRule="auto"/>
        <w:ind w:firstLine="567"/>
        <w:jc w:val="center"/>
        <w:rPr>
          <w:rFonts w:ascii="Cambria" w:hAnsi="Cambria"/>
          <w:b/>
          <w:sz w:val="20"/>
          <w:szCs w:val="20"/>
          <w:lang w:val="es-ES"/>
        </w:rPr>
      </w:pPr>
      <w:r>
        <w:rPr>
          <w:noProof/>
        </w:rPr>
        <mc:AlternateContent>
          <mc:Choice Requires="wps">
            <w:drawing>
              <wp:anchor distT="0" distB="0" distL="114300" distR="114300" simplePos="0" relativeHeight="251659776" behindDoc="0" locked="0" layoutInCell="1" allowOverlap="1" wp14:anchorId="03C51AB5" wp14:editId="3B9E56D7">
                <wp:simplePos x="0" y="0"/>
                <wp:positionH relativeFrom="column">
                  <wp:posOffset>1329690</wp:posOffset>
                </wp:positionH>
                <wp:positionV relativeFrom="paragraph">
                  <wp:posOffset>638810</wp:posOffset>
                </wp:positionV>
                <wp:extent cx="4096385" cy="56705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6385" cy="567055"/>
                        </a:xfrm>
                        <a:prstGeom prst="rect">
                          <a:avLst/>
                        </a:prstGeom>
                        <a:solidFill>
                          <a:sysClr val="window" lastClr="FFFFFF"/>
                        </a:solidFill>
                        <a:ln w="6350">
                          <a:noFill/>
                        </a:ln>
                        <a:effectLst/>
                      </wps:spPr>
                      <wps:txbx>
                        <w:txbxContent>
                          <w:p w14:paraId="0EFA87B9" w14:textId="77777777" w:rsidR="006307FA" w:rsidRPr="00317DB1" w:rsidRDefault="006307FA" w:rsidP="001B3677">
                            <w:pPr>
                              <w:rPr>
                                <w:color w:val="FFFFFF"/>
                              </w:rPr>
                            </w:pPr>
                            <w:r>
                              <w:rPr>
                                <w:noProof/>
                                <w:color w:val="FFFFFF"/>
                              </w:rPr>
                              <w:drawing>
                                <wp:inline distT="0" distB="0" distL="0" distR="0" wp14:anchorId="6A873A2C" wp14:editId="60CF8DCA">
                                  <wp:extent cx="1332865" cy="398780"/>
                                  <wp:effectExtent l="0" t="0" r="0" b="7620"/>
                                  <wp:docPr id="4" name="Picture 1" descr="Description: C:\Users\mfontana\Documents\Eva Fontana\GRAFICA CIDH\cartas\logos\oea-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mfontana\Documents\Eva Fontana\GRAFICA CIDH\cartas\logos\oea-e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2865" cy="3987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51AB5" id="Text Box 9" o:spid="_x0000_s1032" type="#_x0000_t202" style="position:absolute;left:0;text-align:left;margin-left:104.7pt;margin-top:50.3pt;width:322.55pt;height:44.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" fillcolor="window" stroked="f" strokeweight=".5pt">
                <v:textbox>
                  <w:txbxContent>
                    <w:p w14:paraId="0EFA87B9" w14:textId="77777777" w:rsidR="006307FA" w:rsidRPr="00317DB1" w:rsidRDefault="006307FA" w:rsidP="001B3677">
                      <w:pPr>
                        <w:rPr>
                          <w:color w:val="FFFFFF"/>
                        </w:rPr>
                      </w:pPr>
                      <w:r>
                        <w:rPr>
                          <w:noProof/>
                          <w:color w:val="FFFFFF"/>
                        </w:rPr>
                        <w:drawing>
                          <wp:inline distT="0" distB="0" distL="0" distR="0" wp14:anchorId="6A873A2C" wp14:editId="60CF8DCA">
                            <wp:extent cx="1332865" cy="398780"/>
                            <wp:effectExtent l="0" t="0" r="0" b="7620"/>
                            <wp:docPr id="4" name="Picture 1" descr="Description: C:\Users\mfontana\Documents\Eva Fontana\GRAFICA CIDH\cartas\logos\oea-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mfontana\Documents\Eva Fontana\GRAFICA CIDH\cartas\logos\oea-e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2865" cy="39878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44763BB7" wp14:editId="06DDAB82">
                <wp:simplePos x="0" y="0"/>
                <wp:positionH relativeFrom="column">
                  <wp:posOffset>-271780</wp:posOffset>
                </wp:positionH>
                <wp:positionV relativeFrom="paragraph">
                  <wp:posOffset>915035</wp:posOffset>
                </wp:positionV>
                <wp:extent cx="1181100" cy="33274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332740"/>
                        </a:xfrm>
                        <a:prstGeom prst="rect">
                          <a:avLst/>
                        </a:prstGeom>
                        <a:noFill/>
                        <a:ln w="6350">
                          <a:noFill/>
                        </a:ln>
                        <a:effectLst/>
                      </wps:spPr>
                      <wps:txbx>
                        <w:txbxContent>
                          <w:p w14:paraId="6B87D75F" w14:textId="77777777" w:rsidR="006307FA" w:rsidRPr="00317DB1" w:rsidRDefault="006307FA" w:rsidP="001B3677">
                            <w:pPr>
                              <w:jc w:val="center"/>
                              <w:rPr>
                                <w:b/>
                                <w:color w:val="FFFFFF"/>
                              </w:rPr>
                            </w:pPr>
                            <w:r w:rsidRPr="00317DB1">
                              <w:rPr>
                                <w:b/>
                                <w:color w:val="FFFFFF"/>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63BB7" id="Text Box 4" o:spid="_x0000_s1033" type="#_x0000_t202" style="position:absolute;left:0;text-align:left;margin-left:-21.4pt;margin-top:72.05pt;width:93pt;height:26.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" filled="f" stroked="f" strokeweight=".5pt">
                <v:textbox>
                  <w:txbxContent>
                    <w:p w14:paraId="6B87D75F" w14:textId="77777777" w:rsidR="006307FA" w:rsidRPr="00317DB1" w:rsidRDefault="006307FA" w:rsidP="001B3677">
                      <w:pPr>
                        <w:jc w:val="center"/>
                        <w:rPr>
                          <w:b/>
                          <w:color w:val="FFFFFF"/>
                        </w:rPr>
                      </w:pPr>
                      <w:r w:rsidRPr="00317DB1">
                        <w:rPr>
                          <w:b/>
                          <w:color w:val="FFFFFF"/>
                          <w:lang w:val="pt-BR"/>
                        </w:rPr>
                        <w:t>www.cidh.org</w:t>
                      </w:r>
                    </w:p>
                  </w:txbxContent>
                </v:textbox>
              </v:shape>
            </w:pict>
          </mc:Fallback>
        </mc:AlternateContent>
      </w:r>
    </w:p>
    <w:p w14:paraId="24B3E74D" w14:textId="77777777" w:rsidR="001B3677" w:rsidRPr="00427392" w:rsidRDefault="001B3677" w:rsidP="001B3677">
      <w:pPr>
        <w:tabs>
          <w:tab w:val="center" w:pos="5400"/>
        </w:tabs>
        <w:suppressAutoHyphens/>
        <w:spacing w:after="0" w:line="240" w:lineRule="auto"/>
        <w:ind w:firstLine="567"/>
        <w:jc w:val="center"/>
        <w:rPr>
          <w:rFonts w:ascii="Cambria" w:hAnsi="Cambria"/>
          <w:b/>
          <w:sz w:val="20"/>
          <w:szCs w:val="20"/>
          <w:lang w:val="es-ES"/>
        </w:rPr>
        <w:sectPr w:rsidR="001B3677" w:rsidRPr="00427392" w:rsidSect="00961A24">
          <w:headerReference w:type="even" r:id="rId13"/>
          <w:headerReference w:type="default" r:id="rId14"/>
          <w:footerReference w:type="default" r:id="rId15"/>
          <w:footerReference w:type="first" r:id="rId16"/>
          <w:pgSz w:w="12240" w:h="15840"/>
          <w:pgMar w:top="1440" w:right="1440" w:bottom="1440" w:left="1440" w:header="720" w:footer="720" w:gutter="0"/>
          <w:pgNumType w:start="0"/>
          <w:cols w:space="720"/>
          <w:titlePg/>
          <w:docGrid w:linePitch="326"/>
        </w:sectPr>
      </w:pPr>
    </w:p>
    <w:p w14:paraId="7F38B0AB" w14:textId="77777777" w:rsidR="001B3677" w:rsidRPr="00427392" w:rsidRDefault="001B3677" w:rsidP="00045386">
      <w:pPr>
        <w:tabs>
          <w:tab w:val="center" w:pos="5400"/>
        </w:tabs>
        <w:suppressAutoHyphens/>
        <w:spacing w:after="0" w:line="240" w:lineRule="auto"/>
        <w:rPr>
          <w:rFonts w:ascii="Cambria" w:hAnsi="Cambria"/>
          <w:sz w:val="20"/>
          <w:szCs w:val="20"/>
          <w:lang w:val="es-ES"/>
        </w:rPr>
      </w:pPr>
    </w:p>
    <w:p w14:paraId="3CDE9964" w14:textId="77777777" w:rsidR="001B3677" w:rsidRPr="00A75819" w:rsidRDefault="001B3677" w:rsidP="00045386">
      <w:pPr>
        <w:tabs>
          <w:tab w:val="center" w:pos="5400"/>
        </w:tabs>
        <w:suppressAutoHyphens/>
        <w:spacing w:after="0" w:line="240" w:lineRule="auto"/>
        <w:jc w:val="center"/>
        <w:rPr>
          <w:rFonts w:ascii="Cambria" w:hAnsi="Cambria"/>
          <w:b/>
          <w:sz w:val="24"/>
          <w:szCs w:val="24"/>
          <w:lang w:val="es-ES"/>
        </w:rPr>
      </w:pPr>
      <w:r w:rsidRPr="00A75819">
        <w:rPr>
          <w:rFonts w:ascii="Cambria" w:hAnsi="Cambria"/>
          <w:b/>
          <w:sz w:val="24"/>
          <w:szCs w:val="24"/>
          <w:lang w:val="es-ES"/>
        </w:rPr>
        <w:t>ÍNDICE</w:t>
      </w:r>
    </w:p>
    <w:p w14:paraId="42AF622D" w14:textId="77777777" w:rsidR="00EC291A" w:rsidRPr="00427392" w:rsidRDefault="00EC291A" w:rsidP="001B3677">
      <w:pPr>
        <w:tabs>
          <w:tab w:val="center" w:pos="5400"/>
        </w:tabs>
        <w:suppressAutoHyphens/>
        <w:spacing w:after="0" w:line="240" w:lineRule="auto"/>
        <w:ind w:firstLine="567"/>
        <w:jc w:val="center"/>
        <w:rPr>
          <w:rFonts w:ascii="Cambria" w:hAnsi="Cambria"/>
          <w:b/>
          <w:sz w:val="20"/>
          <w:szCs w:val="20"/>
          <w:lang w:val="es-ES"/>
        </w:rPr>
      </w:pPr>
    </w:p>
    <w:p w14:paraId="5D5631D0" w14:textId="77777777" w:rsidR="00C4427B" w:rsidRPr="000950D1" w:rsidRDefault="00C4427B" w:rsidP="001B3677">
      <w:pPr>
        <w:tabs>
          <w:tab w:val="center" w:pos="5400"/>
        </w:tabs>
        <w:suppressAutoHyphens/>
        <w:spacing w:after="0" w:line="240" w:lineRule="auto"/>
        <w:ind w:firstLine="567"/>
        <w:jc w:val="center"/>
        <w:rPr>
          <w:rFonts w:asciiTheme="majorHAnsi" w:hAnsiTheme="majorHAnsi"/>
          <w:b/>
          <w:lang w:val="es-ES"/>
        </w:rPr>
      </w:pPr>
    </w:p>
    <w:p w14:paraId="4EC1CDC1" w14:textId="77777777" w:rsidR="00C4427B" w:rsidRPr="000950D1" w:rsidRDefault="00C4427B" w:rsidP="001B3677">
      <w:pPr>
        <w:tabs>
          <w:tab w:val="center" w:pos="5400"/>
        </w:tabs>
        <w:suppressAutoHyphens/>
        <w:spacing w:after="0" w:line="240" w:lineRule="auto"/>
        <w:ind w:firstLine="567"/>
        <w:jc w:val="center"/>
        <w:rPr>
          <w:rFonts w:asciiTheme="majorHAnsi" w:hAnsiTheme="majorHAnsi"/>
          <w:b/>
          <w:lang w:val="es-ES"/>
        </w:rPr>
      </w:pPr>
    </w:p>
    <w:p w14:paraId="61B6CF4F" w14:textId="620F59FB" w:rsidR="000950D1" w:rsidRPr="000950D1" w:rsidRDefault="004D7973">
      <w:pPr>
        <w:pStyle w:val="TOC1"/>
        <w:rPr>
          <w:rFonts w:asciiTheme="majorHAnsi" w:eastAsiaTheme="minorEastAsia" w:hAnsiTheme="majorHAnsi" w:cstheme="minorBidi"/>
          <w:b w:val="0"/>
          <w:kern w:val="2"/>
          <w:sz w:val="22"/>
          <w:szCs w:val="22"/>
          <w:bdr w:val="none" w:sz="0" w:space="0" w:color="auto"/>
          <w:lang w:val="es-US"/>
          <w14:ligatures w14:val="standardContextual"/>
        </w:rPr>
      </w:pPr>
      <w:r w:rsidRPr="000950D1">
        <w:rPr>
          <w:rFonts w:asciiTheme="majorHAnsi" w:hAnsiTheme="majorHAnsi"/>
          <w:b w:val="0"/>
          <w:sz w:val="22"/>
          <w:szCs w:val="22"/>
          <w:lang w:val="es-CO"/>
        </w:rPr>
        <w:fldChar w:fldCharType="begin"/>
      </w:r>
      <w:r w:rsidRPr="000950D1">
        <w:rPr>
          <w:rFonts w:asciiTheme="majorHAnsi" w:hAnsiTheme="majorHAnsi"/>
          <w:b w:val="0"/>
          <w:sz w:val="22"/>
          <w:szCs w:val="22"/>
          <w:lang w:val="es-CO"/>
        </w:rPr>
        <w:instrText xml:space="preserve"> TOC \o "1-3" </w:instrText>
      </w:r>
      <w:r w:rsidRPr="000950D1">
        <w:rPr>
          <w:rFonts w:asciiTheme="majorHAnsi" w:hAnsiTheme="majorHAnsi"/>
          <w:b w:val="0"/>
          <w:sz w:val="22"/>
          <w:szCs w:val="22"/>
          <w:lang w:val="es-CO"/>
        </w:rPr>
        <w:fldChar w:fldCharType="separate"/>
      </w:r>
      <w:r w:rsidR="000950D1" w:rsidRPr="000950D1">
        <w:rPr>
          <w:rFonts w:asciiTheme="majorHAnsi" w:hAnsiTheme="majorHAnsi"/>
          <w:sz w:val="22"/>
          <w:szCs w:val="22"/>
        </w:rPr>
        <w:t>I.</w:t>
      </w:r>
      <w:r w:rsidR="000950D1" w:rsidRPr="000950D1">
        <w:rPr>
          <w:rFonts w:asciiTheme="majorHAnsi" w:eastAsiaTheme="minorEastAsia" w:hAnsiTheme="majorHAnsi" w:cstheme="minorBidi"/>
          <w:b w:val="0"/>
          <w:kern w:val="2"/>
          <w:sz w:val="22"/>
          <w:szCs w:val="22"/>
          <w:bdr w:val="none" w:sz="0" w:space="0" w:color="auto"/>
          <w:lang w:val="es-US"/>
          <w14:ligatures w14:val="standardContextual"/>
        </w:rPr>
        <w:tab/>
      </w:r>
      <w:r w:rsidR="000950D1" w:rsidRPr="000950D1">
        <w:rPr>
          <w:rFonts w:asciiTheme="majorHAnsi" w:hAnsiTheme="majorHAnsi"/>
          <w:sz w:val="22"/>
          <w:szCs w:val="22"/>
        </w:rPr>
        <w:t>RESUMEN</w:t>
      </w:r>
      <w:r w:rsidR="000950D1" w:rsidRPr="000950D1">
        <w:rPr>
          <w:rFonts w:asciiTheme="majorHAnsi" w:hAnsiTheme="majorHAnsi"/>
          <w:sz w:val="22"/>
          <w:szCs w:val="22"/>
        </w:rPr>
        <w:tab/>
      </w:r>
      <w:r w:rsidR="000950D1" w:rsidRPr="000950D1">
        <w:rPr>
          <w:rFonts w:asciiTheme="majorHAnsi" w:hAnsiTheme="majorHAnsi"/>
          <w:sz w:val="22"/>
          <w:szCs w:val="22"/>
        </w:rPr>
        <w:fldChar w:fldCharType="begin"/>
      </w:r>
      <w:r w:rsidR="000950D1" w:rsidRPr="000950D1">
        <w:rPr>
          <w:rFonts w:asciiTheme="majorHAnsi" w:hAnsiTheme="majorHAnsi"/>
          <w:sz w:val="22"/>
          <w:szCs w:val="22"/>
        </w:rPr>
        <w:instrText xml:space="preserve"> PAGEREF _Toc203986797 \h </w:instrText>
      </w:r>
      <w:r w:rsidR="000950D1" w:rsidRPr="000950D1">
        <w:rPr>
          <w:rFonts w:asciiTheme="majorHAnsi" w:hAnsiTheme="majorHAnsi"/>
          <w:sz w:val="22"/>
          <w:szCs w:val="22"/>
        </w:rPr>
      </w:r>
      <w:r w:rsidR="000950D1" w:rsidRPr="000950D1">
        <w:rPr>
          <w:rFonts w:asciiTheme="majorHAnsi" w:hAnsiTheme="majorHAnsi"/>
          <w:sz w:val="22"/>
          <w:szCs w:val="22"/>
        </w:rPr>
        <w:fldChar w:fldCharType="separate"/>
      </w:r>
      <w:r w:rsidR="00250380">
        <w:rPr>
          <w:rFonts w:asciiTheme="majorHAnsi" w:hAnsiTheme="majorHAnsi"/>
          <w:sz w:val="22"/>
          <w:szCs w:val="22"/>
        </w:rPr>
        <w:t>2</w:t>
      </w:r>
      <w:r w:rsidR="000950D1" w:rsidRPr="000950D1">
        <w:rPr>
          <w:rFonts w:asciiTheme="majorHAnsi" w:hAnsiTheme="majorHAnsi"/>
          <w:sz w:val="22"/>
          <w:szCs w:val="22"/>
        </w:rPr>
        <w:fldChar w:fldCharType="end"/>
      </w:r>
    </w:p>
    <w:p w14:paraId="3D3BEAA8" w14:textId="33CED3DA" w:rsidR="000950D1" w:rsidRPr="000950D1" w:rsidRDefault="000950D1">
      <w:pPr>
        <w:pStyle w:val="TOC1"/>
        <w:rPr>
          <w:rFonts w:asciiTheme="majorHAnsi" w:eastAsiaTheme="minorEastAsia" w:hAnsiTheme="majorHAnsi" w:cstheme="minorBidi"/>
          <w:b w:val="0"/>
          <w:kern w:val="2"/>
          <w:sz w:val="22"/>
          <w:szCs w:val="22"/>
          <w:bdr w:val="none" w:sz="0" w:space="0" w:color="auto"/>
          <w:lang w:val="es-US"/>
          <w14:ligatures w14:val="standardContextual"/>
        </w:rPr>
      </w:pPr>
      <w:r w:rsidRPr="000950D1">
        <w:rPr>
          <w:rFonts w:asciiTheme="majorHAnsi" w:hAnsiTheme="majorHAnsi"/>
          <w:sz w:val="22"/>
          <w:szCs w:val="22"/>
        </w:rPr>
        <w:t>II.</w:t>
      </w:r>
      <w:r w:rsidRPr="000950D1">
        <w:rPr>
          <w:rFonts w:asciiTheme="majorHAnsi" w:eastAsiaTheme="minorEastAsia" w:hAnsiTheme="majorHAnsi" w:cstheme="minorBidi"/>
          <w:b w:val="0"/>
          <w:kern w:val="2"/>
          <w:sz w:val="22"/>
          <w:szCs w:val="22"/>
          <w:bdr w:val="none" w:sz="0" w:space="0" w:color="auto"/>
          <w:lang w:val="es-US"/>
          <w14:ligatures w14:val="standardContextual"/>
        </w:rPr>
        <w:tab/>
      </w:r>
      <w:r w:rsidRPr="000950D1">
        <w:rPr>
          <w:rFonts w:asciiTheme="majorHAnsi" w:hAnsiTheme="majorHAnsi"/>
          <w:sz w:val="22"/>
          <w:szCs w:val="22"/>
        </w:rPr>
        <w:t>ALEGATOS DE LAS PARTES</w:t>
      </w:r>
      <w:r w:rsidRPr="000950D1">
        <w:rPr>
          <w:rFonts w:asciiTheme="majorHAnsi" w:hAnsiTheme="majorHAnsi"/>
          <w:sz w:val="22"/>
          <w:szCs w:val="22"/>
        </w:rPr>
        <w:tab/>
      </w:r>
      <w:r w:rsidRPr="000950D1">
        <w:rPr>
          <w:rFonts w:asciiTheme="majorHAnsi" w:hAnsiTheme="majorHAnsi"/>
          <w:sz w:val="22"/>
          <w:szCs w:val="22"/>
        </w:rPr>
        <w:fldChar w:fldCharType="begin"/>
      </w:r>
      <w:r w:rsidRPr="000950D1">
        <w:rPr>
          <w:rFonts w:asciiTheme="majorHAnsi" w:hAnsiTheme="majorHAnsi"/>
          <w:sz w:val="22"/>
          <w:szCs w:val="22"/>
        </w:rPr>
        <w:instrText xml:space="preserve"> PAGEREF _Toc203986798 \h </w:instrText>
      </w:r>
      <w:r w:rsidRPr="000950D1">
        <w:rPr>
          <w:rFonts w:asciiTheme="majorHAnsi" w:hAnsiTheme="majorHAnsi"/>
          <w:sz w:val="22"/>
          <w:szCs w:val="22"/>
        </w:rPr>
      </w:r>
      <w:r w:rsidRPr="000950D1">
        <w:rPr>
          <w:rFonts w:asciiTheme="majorHAnsi" w:hAnsiTheme="majorHAnsi"/>
          <w:sz w:val="22"/>
          <w:szCs w:val="22"/>
        </w:rPr>
        <w:fldChar w:fldCharType="separate"/>
      </w:r>
      <w:r w:rsidR="00250380">
        <w:rPr>
          <w:rFonts w:asciiTheme="majorHAnsi" w:hAnsiTheme="majorHAnsi"/>
          <w:sz w:val="22"/>
          <w:szCs w:val="22"/>
        </w:rPr>
        <w:t>3</w:t>
      </w:r>
      <w:r w:rsidRPr="000950D1">
        <w:rPr>
          <w:rFonts w:asciiTheme="majorHAnsi" w:hAnsiTheme="majorHAnsi"/>
          <w:sz w:val="22"/>
          <w:szCs w:val="22"/>
        </w:rPr>
        <w:fldChar w:fldCharType="end"/>
      </w:r>
    </w:p>
    <w:p w14:paraId="3EA60A85" w14:textId="086EFEB9" w:rsidR="000950D1" w:rsidRPr="000950D1" w:rsidRDefault="000950D1">
      <w:pPr>
        <w:pStyle w:val="TOC2"/>
        <w:rPr>
          <w:rFonts w:asciiTheme="majorHAnsi" w:eastAsiaTheme="minorEastAsia" w:hAnsiTheme="majorHAnsi" w:cstheme="minorBidi"/>
          <w:noProof/>
          <w:kern w:val="2"/>
          <w:sz w:val="22"/>
          <w:szCs w:val="22"/>
          <w:bdr w:val="none" w:sz="0" w:space="0" w:color="auto"/>
          <w:lang w:val="es-US"/>
          <w14:ligatures w14:val="standardContextual"/>
        </w:rPr>
      </w:pPr>
      <w:r w:rsidRPr="000950D1">
        <w:rPr>
          <w:rFonts w:asciiTheme="majorHAnsi" w:hAnsiTheme="majorHAnsi"/>
          <w:noProof/>
          <w:sz w:val="22"/>
          <w:szCs w:val="22"/>
        </w:rPr>
        <w:t>A.</w:t>
      </w:r>
      <w:r w:rsidRPr="000950D1">
        <w:rPr>
          <w:rFonts w:asciiTheme="majorHAnsi" w:eastAsiaTheme="minorEastAsia" w:hAnsiTheme="majorHAnsi" w:cstheme="minorBidi"/>
          <w:noProof/>
          <w:kern w:val="2"/>
          <w:sz w:val="22"/>
          <w:szCs w:val="22"/>
          <w:bdr w:val="none" w:sz="0" w:space="0" w:color="auto"/>
          <w:lang w:val="es-US"/>
          <w14:ligatures w14:val="standardContextual"/>
        </w:rPr>
        <w:tab/>
      </w:r>
      <w:r w:rsidRPr="000950D1">
        <w:rPr>
          <w:rFonts w:asciiTheme="majorHAnsi" w:hAnsiTheme="majorHAnsi"/>
          <w:noProof/>
          <w:sz w:val="22"/>
          <w:szCs w:val="22"/>
        </w:rPr>
        <w:t>Parte peticionaria</w:t>
      </w:r>
      <w:r w:rsidRPr="000950D1">
        <w:rPr>
          <w:rFonts w:asciiTheme="majorHAnsi" w:hAnsiTheme="majorHAnsi"/>
          <w:noProof/>
          <w:sz w:val="22"/>
          <w:szCs w:val="22"/>
        </w:rPr>
        <w:tab/>
      </w:r>
      <w:r w:rsidRPr="000950D1">
        <w:rPr>
          <w:rFonts w:asciiTheme="majorHAnsi" w:hAnsiTheme="majorHAnsi"/>
          <w:noProof/>
          <w:sz w:val="22"/>
          <w:szCs w:val="22"/>
        </w:rPr>
        <w:fldChar w:fldCharType="begin"/>
      </w:r>
      <w:r w:rsidRPr="000950D1">
        <w:rPr>
          <w:rFonts w:asciiTheme="majorHAnsi" w:hAnsiTheme="majorHAnsi"/>
          <w:noProof/>
          <w:sz w:val="22"/>
          <w:szCs w:val="22"/>
        </w:rPr>
        <w:instrText xml:space="preserve"> PAGEREF _Toc203986799 \h </w:instrText>
      </w:r>
      <w:r w:rsidRPr="000950D1">
        <w:rPr>
          <w:rFonts w:asciiTheme="majorHAnsi" w:hAnsiTheme="majorHAnsi"/>
          <w:noProof/>
          <w:sz w:val="22"/>
          <w:szCs w:val="22"/>
        </w:rPr>
      </w:r>
      <w:r w:rsidRPr="000950D1">
        <w:rPr>
          <w:rFonts w:asciiTheme="majorHAnsi" w:hAnsiTheme="majorHAnsi"/>
          <w:noProof/>
          <w:sz w:val="22"/>
          <w:szCs w:val="22"/>
        </w:rPr>
        <w:fldChar w:fldCharType="separate"/>
      </w:r>
      <w:r w:rsidR="00250380">
        <w:rPr>
          <w:rFonts w:asciiTheme="majorHAnsi" w:hAnsiTheme="majorHAnsi"/>
          <w:noProof/>
          <w:sz w:val="22"/>
          <w:szCs w:val="22"/>
        </w:rPr>
        <w:t>3</w:t>
      </w:r>
      <w:r w:rsidRPr="000950D1">
        <w:rPr>
          <w:rFonts w:asciiTheme="majorHAnsi" w:hAnsiTheme="majorHAnsi"/>
          <w:noProof/>
          <w:sz w:val="22"/>
          <w:szCs w:val="22"/>
        </w:rPr>
        <w:fldChar w:fldCharType="end"/>
      </w:r>
    </w:p>
    <w:p w14:paraId="02EE61D8" w14:textId="0DD13AFF" w:rsidR="000950D1" w:rsidRPr="000950D1" w:rsidRDefault="000950D1">
      <w:pPr>
        <w:pStyle w:val="TOC2"/>
        <w:rPr>
          <w:rFonts w:asciiTheme="majorHAnsi" w:eastAsiaTheme="minorEastAsia" w:hAnsiTheme="majorHAnsi" w:cstheme="minorBidi"/>
          <w:noProof/>
          <w:kern w:val="2"/>
          <w:sz w:val="22"/>
          <w:szCs w:val="22"/>
          <w:bdr w:val="none" w:sz="0" w:space="0" w:color="auto"/>
          <w:lang w:val="es-US"/>
          <w14:ligatures w14:val="standardContextual"/>
        </w:rPr>
      </w:pPr>
      <w:r w:rsidRPr="000950D1">
        <w:rPr>
          <w:rFonts w:asciiTheme="majorHAnsi" w:eastAsia="MS Gothic" w:hAnsiTheme="majorHAnsi"/>
          <w:noProof/>
          <w:sz w:val="22"/>
          <w:szCs w:val="22"/>
        </w:rPr>
        <w:t>B.</w:t>
      </w:r>
      <w:r w:rsidRPr="000950D1">
        <w:rPr>
          <w:rFonts w:asciiTheme="majorHAnsi" w:eastAsiaTheme="minorEastAsia" w:hAnsiTheme="majorHAnsi" w:cstheme="minorBidi"/>
          <w:noProof/>
          <w:kern w:val="2"/>
          <w:sz w:val="22"/>
          <w:szCs w:val="22"/>
          <w:bdr w:val="none" w:sz="0" w:space="0" w:color="auto"/>
          <w:lang w:val="es-US"/>
          <w14:ligatures w14:val="standardContextual"/>
        </w:rPr>
        <w:tab/>
      </w:r>
      <w:r w:rsidRPr="000950D1">
        <w:rPr>
          <w:rFonts w:asciiTheme="majorHAnsi" w:eastAsia="MS Gothic" w:hAnsiTheme="majorHAnsi"/>
          <w:noProof/>
          <w:sz w:val="22"/>
          <w:szCs w:val="22"/>
        </w:rPr>
        <w:t>Estado</w:t>
      </w:r>
      <w:r w:rsidRPr="000950D1">
        <w:rPr>
          <w:rFonts w:asciiTheme="majorHAnsi" w:hAnsiTheme="majorHAnsi"/>
          <w:noProof/>
          <w:sz w:val="22"/>
          <w:szCs w:val="22"/>
        </w:rPr>
        <w:tab/>
      </w:r>
      <w:r w:rsidRPr="000950D1">
        <w:rPr>
          <w:rFonts w:asciiTheme="majorHAnsi" w:hAnsiTheme="majorHAnsi"/>
          <w:noProof/>
          <w:sz w:val="22"/>
          <w:szCs w:val="22"/>
        </w:rPr>
        <w:fldChar w:fldCharType="begin"/>
      </w:r>
      <w:r w:rsidRPr="000950D1">
        <w:rPr>
          <w:rFonts w:asciiTheme="majorHAnsi" w:hAnsiTheme="majorHAnsi"/>
          <w:noProof/>
          <w:sz w:val="22"/>
          <w:szCs w:val="22"/>
        </w:rPr>
        <w:instrText xml:space="preserve"> PAGEREF _Toc203986800 \h </w:instrText>
      </w:r>
      <w:r w:rsidRPr="000950D1">
        <w:rPr>
          <w:rFonts w:asciiTheme="majorHAnsi" w:hAnsiTheme="majorHAnsi"/>
          <w:noProof/>
          <w:sz w:val="22"/>
          <w:szCs w:val="22"/>
        </w:rPr>
      </w:r>
      <w:r w:rsidRPr="000950D1">
        <w:rPr>
          <w:rFonts w:asciiTheme="majorHAnsi" w:hAnsiTheme="majorHAnsi"/>
          <w:noProof/>
          <w:sz w:val="22"/>
          <w:szCs w:val="22"/>
        </w:rPr>
        <w:fldChar w:fldCharType="separate"/>
      </w:r>
      <w:r w:rsidR="00250380">
        <w:rPr>
          <w:rFonts w:asciiTheme="majorHAnsi" w:hAnsiTheme="majorHAnsi"/>
          <w:noProof/>
          <w:sz w:val="22"/>
          <w:szCs w:val="22"/>
        </w:rPr>
        <w:t>3</w:t>
      </w:r>
      <w:r w:rsidRPr="000950D1">
        <w:rPr>
          <w:rFonts w:asciiTheme="majorHAnsi" w:hAnsiTheme="majorHAnsi"/>
          <w:noProof/>
          <w:sz w:val="22"/>
          <w:szCs w:val="22"/>
        </w:rPr>
        <w:fldChar w:fldCharType="end"/>
      </w:r>
    </w:p>
    <w:p w14:paraId="0E2C4090" w14:textId="23700A2F" w:rsidR="000950D1" w:rsidRPr="000950D1" w:rsidRDefault="000950D1">
      <w:pPr>
        <w:pStyle w:val="TOC1"/>
        <w:rPr>
          <w:rFonts w:asciiTheme="majorHAnsi" w:eastAsiaTheme="minorEastAsia" w:hAnsiTheme="majorHAnsi" w:cstheme="minorBidi"/>
          <w:b w:val="0"/>
          <w:kern w:val="2"/>
          <w:sz w:val="22"/>
          <w:szCs w:val="22"/>
          <w:bdr w:val="none" w:sz="0" w:space="0" w:color="auto"/>
          <w:lang w:val="es-US"/>
          <w14:ligatures w14:val="standardContextual"/>
        </w:rPr>
      </w:pPr>
      <w:r w:rsidRPr="000950D1">
        <w:rPr>
          <w:rFonts w:asciiTheme="majorHAnsi" w:hAnsiTheme="majorHAnsi"/>
          <w:sz w:val="22"/>
          <w:szCs w:val="22"/>
          <w:lang w:val="es-MX"/>
        </w:rPr>
        <w:t>III.</w:t>
      </w:r>
      <w:r w:rsidRPr="000950D1">
        <w:rPr>
          <w:rFonts w:asciiTheme="majorHAnsi" w:eastAsiaTheme="minorEastAsia" w:hAnsiTheme="majorHAnsi" w:cstheme="minorBidi"/>
          <w:b w:val="0"/>
          <w:kern w:val="2"/>
          <w:sz w:val="22"/>
          <w:szCs w:val="22"/>
          <w:bdr w:val="none" w:sz="0" w:space="0" w:color="auto"/>
          <w:lang w:val="es-US"/>
          <w14:ligatures w14:val="standardContextual"/>
        </w:rPr>
        <w:tab/>
      </w:r>
      <w:r w:rsidRPr="000950D1">
        <w:rPr>
          <w:rFonts w:asciiTheme="majorHAnsi" w:hAnsiTheme="majorHAnsi"/>
          <w:sz w:val="22"/>
          <w:szCs w:val="22"/>
          <w:lang w:val="es-MX"/>
        </w:rPr>
        <w:t>DETERMINACIONES DE HECHO</w:t>
      </w:r>
      <w:r w:rsidRPr="000950D1">
        <w:rPr>
          <w:rFonts w:asciiTheme="majorHAnsi" w:hAnsiTheme="majorHAnsi"/>
          <w:sz w:val="22"/>
          <w:szCs w:val="22"/>
        </w:rPr>
        <w:tab/>
      </w:r>
      <w:r w:rsidRPr="000950D1">
        <w:rPr>
          <w:rFonts w:asciiTheme="majorHAnsi" w:hAnsiTheme="majorHAnsi"/>
          <w:sz w:val="22"/>
          <w:szCs w:val="22"/>
        </w:rPr>
        <w:fldChar w:fldCharType="begin"/>
      </w:r>
      <w:r w:rsidRPr="000950D1">
        <w:rPr>
          <w:rFonts w:asciiTheme="majorHAnsi" w:hAnsiTheme="majorHAnsi"/>
          <w:sz w:val="22"/>
          <w:szCs w:val="22"/>
        </w:rPr>
        <w:instrText xml:space="preserve"> PAGEREF _Toc203986801 \h </w:instrText>
      </w:r>
      <w:r w:rsidRPr="000950D1">
        <w:rPr>
          <w:rFonts w:asciiTheme="majorHAnsi" w:hAnsiTheme="majorHAnsi"/>
          <w:sz w:val="22"/>
          <w:szCs w:val="22"/>
        </w:rPr>
      </w:r>
      <w:r w:rsidRPr="000950D1">
        <w:rPr>
          <w:rFonts w:asciiTheme="majorHAnsi" w:hAnsiTheme="majorHAnsi"/>
          <w:sz w:val="22"/>
          <w:szCs w:val="22"/>
        </w:rPr>
        <w:fldChar w:fldCharType="separate"/>
      </w:r>
      <w:r w:rsidR="00250380">
        <w:rPr>
          <w:rFonts w:asciiTheme="majorHAnsi" w:hAnsiTheme="majorHAnsi"/>
          <w:sz w:val="22"/>
          <w:szCs w:val="22"/>
        </w:rPr>
        <w:t>4</w:t>
      </w:r>
      <w:r w:rsidRPr="000950D1">
        <w:rPr>
          <w:rFonts w:asciiTheme="majorHAnsi" w:hAnsiTheme="majorHAnsi"/>
          <w:sz w:val="22"/>
          <w:szCs w:val="22"/>
        </w:rPr>
        <w:fldChar w:fldCharType="end"/>
      </w:r>
    </w:p>
    <w:p w14:paraId="52B5846B" w14:textId="5FD8F306" w:rsidR="000950D1" w:rsidRPr="000950D1" w:rsidRDefault="000950D1">
      <w:pPr>
        <w:pStyle w:val="TOC2"/>
        <w:rPr>
          <w:rFonts w:asciiTheme="majorHAnsi" w:eastAsiaTheme="minorEastAsia" w:hAnsiTheme="majorHAnsi" w:cstheme="minorBidi"/>
          <w:noProof/>
          <w:kern w:val="2"/>
          <w:sz w:val="22"/>
          <w:szCs w:val="22"/>
          <w:bdr w:val="none" w:sz="0" w:space="0" w:color="auto"/>
          <w:lang w:val="es-US"/>
          <w14:ligatures w14:val="standardContextual"/>
        </w:rPr>
      </w:pPr>
      <w:r w:rsidRPr="000950D1">
        <w:rPr>
          <w:rFonts w:asciiTheme="majorHAnsi" w:hAnsiTheme="majorHAnsi"/>
          <w:noProof/>
          <w:sz w:val="22"/>
          <w:szCs w:val="22"/>
        </w:rPr>
        <w:t xml:space="preserve">A. </w:t>
      </w:r>
      <w:r w:rsidRPr="000950D1">
        <w:rPr>
          <w:rFonts w:asciiTheme="majorHAnsi" w:eastAsiaTheme="minorEastAsia" w:hAnsiTheme="majorHAnsi" w:cstheme="minorBidi"/>
          <w:noProof/>
          <w:kern w:val="2"/>
          <w:sz w:val="22"/>
          <w:szCs w:val="22"/>
          <w:bdr w:val="none" w:sz="0" w:space="0" w:color="auto"/>
          <w:lang w:val="es-US"/>
          <w14:ligatures w14:val="standardContextual"/>
        </w:rPr>
        <w:tab/>
      </w:r>
      <w:r w:rsidRPr="000950D1">
        <w:rPr>
          <w:rFonts w:asciiTheme="majorHAnsi" w:hAnsiTheme="majorHAnsi"/>
          <w:noProof/>
          <w:sz w:val="22"/>
          <w:szCs w:val="22"/>
        </w:rPr>
        <w:t>Sobre el inicio de la investigación en contra de Gustavo Sastoque</w:t>
      </w:r>
      <w:r w:rsidRPr="000950D1">
        <w:rPr>
          <w:rFonts w:asciiTheme="majorHAnsi" w:hAnsiTheme="majorHAnsi"/>
          <w:noProof/>
          <w:sz w:val="22"/>
          <w:szCs w:val="22"/>
        </w:rPr>
        <w:tab/>
      </w:r>
      <w:r w:rsidRPr="000950D1">
        <w:rPr>
          <w:rFonts w:asciiTheme="majorHAnsi" w:hAnsiTheme="majorHAnsi"/>
          <w:noProof/>
          <w:sz w:val="22"/>
          <w:szCs w:val="22"/>
        </w:rPr>
        <w:fldChar w:fldCharType="begin"/>
      </w:r>
      <w:r w:rsidRPr="000950D1">
        <w:rPr>
          <w:rFonts w:asciiTheme="majorHAnsi" w:hAnsiTheme="majorHAnsi"/>
          <w:noProof/>
          <w:sz w:val="22"/>
          <w:szCs w:val="22"/>
        </w:rPr>
        <w:instrText xml:space="preserve"> PAGEREF _Toc203986802 \h </w:instrText>
      </w:r>
      <w:r w:rsidRPr="000950D1">
        <w:rPr>
          <w:rFonts w:asciiTheme="majorHAnsi" w:hAnsiTheme="majorHAnsi"/>
          <w:noProof/>
          <w:sz w:val="22"/>
          <w:szCs w:val="22"/>
        </w:rPr>
      </w:r>
      <w:r w:rsidRPr="000950D1">
        <w:rPr>
          <w:rFonts w:asciiTheme="majorHAnsi" w:hAnsiTheme="majorHAnsi"/>
          <w:noProof/>
          <w:sz w:val="22"/>
          <w:szCs w:val="22"/>
        </w:rPr>
        <w:fldChar w:fldCharType="separate"/>
      </w:r>
      <w:r w:rsidR="00250380">
        <w:rPr>
          <w:rFonts w:asciiTheme="majorHAnsi" w:hAnsiTheme="majorHAnsi"/>
          <w:noProof/>
          <w:sz w:val="22"/>
          <w:szCs w:val="22"/>
        </w:rPr>
        <w:t>4</w:t>
      </w:r>
      <w:r w:rsidRPr="000950D1">
        <w:rPr>
          <w:rFonts w:asciiTheme="majorHAnsi" w:hAnsiTheme="majorHAnsi"/>
          <w:noProof/>
          <w:sz w:val="22"/>
          <w:szCs w:val="22"/>
        </w:rPr>
        <w:fldChar w:fldCharType="end"/>
      </w:r>
    </w:p>
    <w:p w14:paraId="18A5DEE1" w14:textId="33D6F627" w:rsidR="000950D1" w:rsidRPr="000950D1" w:rsidRDefault="000950D1">
      <w:pPr>
        <w:pStyle w:val="TOC2"/>
        <w:rPr>
          <w:rFonts w:asciiTheme="majorHAnsi" w:eastAsiaTheme="minorEastAsia" w:hAnsiTheme="majorHAnsi" w:cstheme="minorBidi"/>
          <w:noProof/>
          <w:kern w:val="2"/>
          <w:sz w:val="22"/>
          <w:szCs w:val="22"/>
          <w:bdr w:val="none" w:sz="0" w:space="0" w:color="auto"/>
          <w:lang w:val="es-US"/>
          <w14:ligatures w14:val="standardContextual"/>
        </w:rPr>
      </w:pPr>
      <w:r w:rsidRPr="000950D1">
        <w:rPr>
          <w:rFonts w:asciiTheme="majorHAnsi" w:hAnsiTheme="majorHAnsi"/>
          <w:noProof/>
          <w:sz w:val="22"/>
          <w:szCs w:val="22"/>
        </w:rPr>
        <w:t xml:space="preserve">B. </w:t>
      </w:r>
      <w:r w:rsidRPr="000950D1">
        <w:rPr>
          <w:rFonts w:asciiTheme="majorHAnsi" w:eastAsiaTheme="minorEastAsia" w:hAnsiTheme="majorHAnsi" w:cstheme="minorBidi"/>
          <w:noProof/>
          <w:kern w:val="2"/>
          <w:sz w:val="22"/>
          <w:szCs w:val="22"/>
          <w:bdr w:val="none" w:sz="0" w:space="0" w:color="auto"/>
          <w:lang w:val="es-US"/>
          <w14:ligatures w14:val="standardContextual"/>
        </w:rPr>
        <w:tab/>
      </w:r>
      <w:r w:rsidRPr="000950D1">
        <w:rPr>
          <w:rFonts w:asciiTheme="majorHAnsi" w:hAnsiTheme="majorHAnsi"/>
          <w:noProof/>
          <w:sz w:val="22"/>
          <w:szCs w:val="22"/>
        </w:rPr>
        <w:t>Sobre la justicia regional</w:t>
      </w:r>
      <w:r w:rsidRPr="000950D1">
        <w:rPr>
          <w:rFonts w:asciiTheme="majorHAnsi" w:hAnsiTheme="majorHAnsi"/>
          <w:noProof/>
          <w:sz w:val="22"/>
          <w:szCs w:val="22"/>
        </w:rPr>
        <w:tab/>
      </w:r>
      <w:r w:rsidRPr="000950D1">
        <w:rPr>
          <w:rFonts w:asciiTheme="majorHAnsi" w:hAnsiTheme="majorHAnsi"/>
          <w:noProof/>
          <w:sz w:val="22"/>
          <w:szCs w:val="22"/>
        </w:rPr>
        <w:fldChar w:fldCharType="begin"/>
      </w:r>
      <w:r w:rsidRPr="000950D1">
        <w:rPr>
          <w:rFonts w:asciiTheme="majorHAnsi" w:hAnsiTheme="majorHAnsi"/>
          <w:noProof/>
          <w:sz w:val="22"/>
          <w:szCs w:val="22"/>
        </w:rPr>
        <w:instrText xml:space="preserve"> PAGEREF _Toc203986803 \h </w:instrText>
      </w:r>
      <w:r w:rsidRPr="000950D1">
        <w:rPr>
          <w:rFonts w:asciiTheme="majorHAnsi" w:hAnsiTheme="majorHAnsi"/>
          <w:noProof/>
          <w:sz w:val="22"/>
          <w:szCs w:val="22"/>
        </w:rPr>
      </w:r>
      <w:r w:rsidRPr="000950D1">
        <w:rPr>
          <w:rFonts w:asciiTheme="majorHAnsi" w:hAnsiTheme="majorHAnsi"/>
          <w:noProof/>
          <w:sz w:val="22"/>
          <w:szCs w:val="22"/>
        </w:rPr>
        <w:fldChar w:fldCharType="separate"/>
      </w:r>
      <w:r w:rsidR="00250380">
        <w:rPr>
          <w:rFonts w:asciiTheme="majorHAnsi" w:hAnsiTheme="majorHAnsi"/>
          <w:noProof/>
          <w:sz w:val="22"/>
          <w:szCs w:val="22"/>
        </w:rPr>
        <w:t>6</w:t>
      </w:r>
      <w:r w:rsidRPr="000950D1">
        <w:rPr>
          <w:rFonts w:asciiTheme="majorHAnsi" w:hAnsiTheme="majorHAnsi"/>
          <w:noProof/>
          <w:sz w:val="22"/>
          <w:szCs w:val="22"/>
        </w:rPr>
        <w:fldChar w:fldCharType="end"/>
      </w:r>
    </w:p>
    <w:p w14:paraId="2E6427B2" w14:textId="2713A0A3" w:rsidR="000950D1" w:rsidRPr="000950D1" w:rsidRDefault="000950D1">
      <w:pPr>
        <w:pStyle w:val="TOC2"/>
        <w:rPr>
          <w:rFonts w:asciiTheme="majorHAnsi" w:eastAsiaTheme="minorEastAsia" w:hAnsiTheme="majorHAnsi" w:cstheme="minorBidi"/>
          <w:noProof/>
          <w:kern w:val="2"/>
          <w:sz w:val="22"/>
          <w:szCs w:val="22"/>
          <w:bdr w:val="none" w:sz="0" w:space="0" w:color="auto"/>
          <w:lang w:val="es-US"/>
          <w14:ligatures w14:val="standardContextual"/>
        </w:rPr>
      </w:pPr>
      <w:r w:rsidRPr="000950D1">
        <w:rPr>
          <w:rFonts w:asciiTheme="majorHAnsi" w:hAnsiTheme="majorHAnsi"/>
          <w:noProof/>
          <w:sz w:val="22"/>
          <w:szCs w:val="22"/>
        </w:rPr>
        <w:t>C.</w:t>
      </w:r>
      <w:r w:rsidRPr="000950D1">
        <w:rPr>
          <w:rFonts w:asciiTheme="majorHAnsi" w:eastAsiaTheme="minorEastAsia" w:hAnsiTheme="majorHAnsi" w:cstheme="minorBidi"/>
          <w:noProof/>
          <w:kern w:val="2"/>
          <w:sz w:val="22"/>
          <w:szCs w:val="22"/>
          <w:bdr w:val="none" w:sz="0" w:space="0" w:color="auto"/>
          <w:lang w:val="es-US"/>
          <w14:ligatures w14:val="standardContextual"/>
        </w:rPr>
        <w:tab/>
      </w:r>
      <w:r w:rsidRPr="000950D1">
        <w:rPr>
          <w:rFonts w:asciiTheme="majorHAnsi" w:hAnsiTheme="majorHAnsi"/>
          <w:noProof/>
          <w:sz w:val="22"/>
          <w:szCs w:val="22"/>
        </w:rPr>
        <w:t>Sobre la detención de Gustavo Sastoque y el proceso penal ante la jurisdicción regional</w:t>
      </w:r>
      <w:r w:rsidRPr="000950D1">
        <w:rPr>
          <w:rFonts w:asciiTheme="majorHAnsi" w:hAnsiTheme="majorHAnsi"/>
          <w:noProof/>
          <w:sz w:val="22"/>
          <w:szCs w:val="22"/>
        </w:rPr>
        <w:tab/>
      </w:r>
      <w:r w:rsidRPr="000950D1">
        <w:rPr>
          <w:rFonts w:asciiTheme="majorHAnsi" w:hAnsiTheme="majorHAnsi"/>
          <w:noProof/>
          <w:sz w:val="22"/>
          <w:szCs w:val="22"/>
        </w:rPr>
        <w:fldChar w:fldCharType="begin"/>
      </w:r>
      <w:r w:rsidRPr="000950D1">
        <w:rPr>
          <w:rFonts w:asciiTheme="majorHAnsi" w:hAnsiTheme="majorHAnsi"/>
          <w:noProof/>
          <w:sz w:val="22"/>
          <w:szCs w:val="22"/>
        </w:rPr>
        <w:instrText xml:space="preserve"> PAGEREF _Toc203986804 \h </w:instrText>
      </w:r>
      <w:r w:rsidRPr="000950D1">
        <w:rPr>
          <w:rFonts w:asciiTheme="majorHAnsi" w:hAnsiTheme="majorHAnsi"/>
          <w:noProof/>
          <w:sz w:val="22"/>
          <w:szCs w:val="22"/>
        </w:rPr>
      </w:r>
      <w:r w:rsidRPr="000950D1">
        <w:rPr>
          <w:rFonts w:asciiTheme="majorHAnsi" w:hAnsiTheme="majorHAnsi"/>
          <w:noProof/>
          <w:sz w:val="22"/>
          <w:szCs w:val="22"/>
        </w:rPr>
        <w:fldChar w:fldCharType="separate"/>
      </w:r>
      <w:r w:rsidR="00250380">
        <w:rPr>
          <w:rFonts w:asciiTheme="majorHAnsi" w:hAnsiTheme="majorHAnsi"/>
          <w:noProof/>
          <w:sz w:val="22"/>
          <w:szCs w:val="22"/>
        </w:rPr>
        <w:t>9</w:t>
      </w:r>
      <w:r w:rsidRPr="000950D1">
        <w:rPr>
          <w:rFonts w:asciiTheme="majorHAnsi" w:hAnsiTheme="majorHAnsi"/>
          <w:noProof/>
          <w:sz w:val="22"/>
          <w:szCs w:val="22"/>
        </w:rPr>
        <w:fldChar w:fldCharType="end"/>
      </w:r>
    </w:p>
    <w:p w14:paraId="535395DB" w14:textId="06B2EF0E" w:rsidR="000950D1" w:rsidRPr="000950D1" w:rsidRDefault="000950D1">
      <w:pPr>
        <w:pStyle w:val="TOC2"/>
        <w:rPr>
          <w:rFonts w:asciiTheme="majorHAnsi" w:eastAsiaTheme="minorEastAsia" w:hAnsiTheme="majorHAnsi" w:cstheme="minorBidi"/>
          <w:noProof/>
          <w:kern w:val="2"/>
          <w:sz w:val="22"/>
          <w:szCs w:val="22"/>
          <w:bdr w:val="none" w:sz="0" w:space="0" w:color="auto"/>
          <w:lang w:val="es-US"/>
          <w14:ligatures w14:val="standardContextual"/>
        </w:rPr>
      </w:pPr>
      <w:r w:rsidRPr="000950D1">
        <w:rPr>
          <w:rFonts w:asciiTheme="majorHAnsi" w:hAnsiTheme="majorHAnsi"/>
          <w:noProof/>
          <w:sz w:val="22"/>
          <w:szCs w:val="22"/>
          <w:lang w:val="es-MX"/>
        </w:rPr>
        <w:t>D.</w:t>
      </w:r>
      <w:r w:rsidRPr="000950D1">
        <w:rPr>
          <w:rFonts w:asciiTheme="majorHAnsi" w:eastAsiaTheme="minorEastAsia" w:hAnsiTheme="majorHAnsi" w:cstheme="minorBidi"/>
          <w:noProof/>
          <w:kern w:val="2"/>
          <w:sz w:val="22"/>
          <w:szCs w:val="22"/>
          <w:bdr w:val="none" w:sz="0" w:space="0" w:color="auto"/>
          <w:lang w:val="es-US"/>
          <w14:ligatures w14:val="standardContextual"/>
        </w:rPr>
        <w:tab/>
      </w:r>
      <w:r w:rsidRPr="000950D1">
        <w:rPr>
          <w:rFonts w:asciiTheme="majorHAnsi" w:hAnsiTheme="majorHAnsi"/>
          <w:noProof/>
          <w:sz w:val="22"/>
          <w:szCs w:val="22"/>
          <w:lang w:val="es-MX"/>
        </w:rPr>
        <w:t xml:space="preserve">Sobre el </w:t>
      </w:r>
      <w:r w:rsidRPr="000950D1">
        <w:rPr>
          <w:rFonts w:asciiTheme="majorHAnsi" w:hAnsiTheme="majorHAnsi"/>
          <w:noProof/>
          <w:sz w:val="22"/>
          <w:szCs w:val="22"/>
          <w:lang w:val="es-ES"/>
        </w:rPr>
        <w:t>proceso</w:t>
      </w:r>
      <w:r w:rsidRPr="000950D1">
        <w:rPr>
          <w:rFonts w:asciiTheme="majorHAnsi" w:hAnsiTheme="majorHAnsi"/>
          <w:noProof/>
          <w:sz w:val="22"/>
          <w:szCs w:val="22"/>
          <w:lang w:val="es-MX"/>
        </w:rPr>
        <w:t xml:space="preserve"> por falso testimonio y fraude procesal</w:t>
      </w:r>
      <w:r w:rsidRPr="000950D1">
        <w:rPr>
          <w:rFonts w:asciiTheme="majorHAnsi" w:hAnsiTheme="majorHAnsi"/>
          <w:noProof/>
          <w:sz w:val="22"/>
          <w:szCs w:val="22"/>
        </w:rPr>
        <w:tab/>
      </w:r>
      <w:r w:rsidRPr="000950D1">
        <w:rPr>
          <w:rFonts w:asciiTheme="majorHAnsi" w:hAnsiTheme="majorHAnsi"/>
          <w:noProof/>
          <w:sz w:val="22"/>
          <w:szCs w:val="22"/>
        </w:rPr>
        <w:fldChar w:fldCharType="begin"/>
      </w:r>
      <w:r w:rsidRPr="000950D1">
        <w:rPr>
          <w:rFonts w:asciiTheme="majorHAnsi" w:hAnsiTheme="majorHAnsi"/>
          <w:noProof/>
          <w:sz w:val="22"/>
          <w:szCs w:val="22"/>
        </w:rPr>
        <w:instrText xml:space="preserve"> PAGEREF _Toc203986805 \h </w:instrText>
      </w:r>
      <w:r w:rsidRPr="000950D1">
        <w:rPr>
          <w:rFonts w:asciiTheme="majorHAnsi" w:hAnsiTheme="majorHAnsi"/>
          <w:noProof/>
          <w:sz w:val="22"/>
          <w:szCs w:val="22"/>
        </w:rPr>
      </w:r>
      <w:r w:rsidRPr="000950D1">
        <w:rPr>
          <w:rFonts w:asciiTheme="majorHAnsi" w:hAnsiTheme="majorHAnsi"/>
          <w:noProof/>
          <w:sz w:val="22"/>
          <w:szCs w:val="22"/>
        </w:rPr>
        <w:fldChar w:fldCharType="separate"/>
      </w:r>
      <w:r w:rsidR="00250380">
        <w:rPr>
          <w:rFonts w:asciiTheme="majorHAnsi" w:hAnsiTheme="majorHAnsi"/>
          <w:noProof/>
          <w:sz w:val="22"/>
          <w:szCs w:val="22"/>
        </w:rPr>
        <w:t>17</w:t>
      </w:r>
      <w:r w:rsidRPr="000950D1">
        <w:rPr>
          <w:rFonts w:asciiTheme="majorHAnsi" w:hAnsiTheme="majorHAnsi"/>
          <w:noProof/>
          <w:sz w:val="22"/>
          <w:szCs w:val="22"/>
        </w:rPr>
        <w:fldChar w:fldCharType="end"/>
      </w:r>
    </w:p>
    <w:p w14:paraId="48A8C342" w14:textId="4D4B650C" w:rsidR="000950D1" w:rsidRPr="000950D1" w:rsidRDefault="000950D1">
      <w:pPr>
        <w:pStyle w:val="TOC1"/>
        <w:rPr>
          <w:rFonts w:asciiTheme="majorHAnsi" w:eastAsiaTheme="minorEastAsia" w:hAnsiTheme="majorHAnsi" w:cstheme="minorBidi"/>
          <w:b w:val="0"/>
          <w:kern w:val="2"/>
          <w:sz w:val="22"/>
          <w:szCs w:val="22"/>
          <w:bdr w:val="none" w:sz="0" w:space="0" w:color="auto"/>
          <w:lang w:val="es-US"/>
          <w14:ligatures w14:val="standardContextual"/>
        </w:rPr>
      </w:pPr>
      <w:r w:rsidRPr="000950D1">
        <w:rPr>
          <w:rFonts w:asciiTheme="majorHAnsi" w:hAnsiTheme="majorHAnsi"/>
          <w:sz w:val="22"/>
          <w:szCs w:val="22"/>
          <w:lang w:val="es-ES_tradnl"/>
        </w:rPr>
        <w:t>IV.</w:t>
      </w:r>
      <w:r w:rsidRPr="000950D1">
        <w:rPr>
          <w:rFonts w:asciiTheme="majorHAnsi" w:eastAsiaTheme="minorEastAsia" w:hAnsiTheme="majorHAnsi" w:cstheme="minorBidi"/>
          <w:b w:val="0"/>
          <w:kern w:val="2"/>
          <w:sz w:val="22"/>
          <w:szCs w:val="22"/>
          <w:bdr w:val="none" w:sz="0" w:space="0" w:color="auto"/>
          <w:lang w:val="es-US"/>
          <w14:ligatures w14:val="standardContextual"/>
        </w:rPr>
        <w:tab/>
      </w:r>
      <w:r w:rsidRPr="000950D1">
        <w:rPr>
          <w:rFonts w:asciiTheme="majorHAnsi" w:hAnsiTheme="majorHAnsi"/>
          <w:sz w:val="22"/>
          <w:szCs w:val="22"/>
          <w:lang w:val="es-MX"/>
        </w:rPr>
        <w:t>ANÁLISIS</w:t>
      </w:r>
      <w:r w:rsidRPr="000950D1">
        <w:rPr>
          <w:rFonts w:asciiTheme="majorHAnsi" w:hAnsiTheme="majorHAnsi"/>
          <w:sz w:val="22"/>
          <w:szCs w:val="22"/>
          <w:lang w:val="es-ES_tradnl"/>
        </w:rPr>
        <w:t xml:space="preserve"> DE DERECHO</w:t>
      </w:r>
      <w:r w:rsidRPr="000950D1">
        <w:rPr>
          <w:rFonts w:asciiTheme="majorHAnsi" w:hAnsiTheme="majorHAnsi"/>
          <w:sz w:val="22"/>
          <w:szCs w:val="22"/>
        </w:rPr>
        <w:tab/>
      </w:r>
      <w:r w:rsidRPr="000950D1">
        <w:rPr>
          <w:rFonts w:asciiTheme="majorHAnsi" w:hAnsiTheme="majorHAnsi"/>
          <w:sz w:val="22"/>
          <w:szCs w:val="22"/>
        </w:rPr>
        <w:fldChar w:fldCharType="begin"/>
      </w:r>
      <w:r w:rsidRPr="000950D1">
        <w:rPr>
          <w:rFonts w:asciiTheme="majorHAnsi" w:hAnsiTheme="majorHAnsi"/>
          <w:sz w:val="22"/>
          <w:szCs w:val="22"/>
        </w:rPr>
        <w:instrText xml:space="preserve"> PAGEREF _Toc203986806 \h </w:instrText>
      </w:r>
      <w:r w:rsidRPr="000950D1">
        <w:rPr>
          <w:rFonts w:asciiTheme="majorHAnsi" w:hAnsiTheme="majorHAnsi"/>
          <w:sz w:val="22"/>
          <w:szCs w:val="22"/>
        </w:rPr>
      </w:r>
      <w:r w:rsidRPr="000950D1">
        <w:rPr>
          <w:rFonts w:asciiTheme="majorHAnsi" w:hAnsiTheme="majorHAnsi"/>
          <w:sz w:val="22"/>
          <w:szCs w:val="22"/>
        </w:rPr>
        <w:fldChar w:fldCharType="separate"/>
      </w:r>
      <w:r w:rsidR="00250380">
        <w:rPr>
          <w:rFonts w:asciiTheme="majorHAnsi" w:hAnsiTheme="majorHAnsi"/>
          <w:sz w:val="22"/>
          <w:szCs w:val="22"/>
        </w:rPr>
        <w:t>19</w:t>
      </w:r>
      <w:r w:rsidRPr="000950D1">
        <w:rPr>
          <w:rFonts w:asciiTheme="majorHAnsi" w:hAnsiTheme="majorHAnsi"/>
          <w:sz w:val="22"/>
          <w:szCs w:val="22"/>
        </w:rPr>
        <w:fldChar w:fldCharType="end"/>
      </w:r>
    </w:p>
    <w:p w14:paraId="0D578682" w14:textId="5285DD69" w:rsidR="000950D1" w:rsidRPr="000950D1" w:rsidRDefault="000950D1">
      <w:pPr>
        <w:pStyle w:val="TOC2"/>
        <w:rPr>
          <w:rFonts w:asciiTheme="majorHAnsi" w:eastAsiaTheme="minorEastAsia" w:hAnsiTheme="majorHAnsi" w:cstheme="minorBidi"/>
          <w:noProof/>
          <w:kern w:val="2"/>
          <w:sz w:val="22"/>
          <w:szCs w:val="22"/>
          <w:bdr w:val="none" w:sz="0" w:space="0" w:color="auto"/>
          <w:lang w:val="es-US"/>
          <w14:ligatures w14:val="standardContextual"/>
        </w:rPr>
      </w:pPr>
      <w:r w:rsidRPr="000950D1">
        <w:rPr>
          <w:rFonts w:asciiTheme="majorHAnsi" w:hAnsiTheme="majorHAnsi"/>
          <w:noProof/>
          <w:sz w:val="22"/>
          <w:szCs w:val="22"/>
          <w:lang w:val="es-ES"/>
        </w:rPr>
        <w:t>A.</w:t>
      </w:r>
      <w:r w:rsidRPr="000950D1">
        <w:rPr>
          <w:rFonts w:asciiTheme="majorHAnsi" w:eastAsiaTheme="minorEastAsia" w:hAnsiTheme="majorHAnsi" w:cstheme="minorBidi"/>
          <w:noProof/>
          <w:kern w:val="2"/>
          <w:sz w:val="22"/>
          <w:szCs w:val="22"/>
          <w:bdr w:val="none" w:sz="0" w:space="0" w:color="auto"/>
          <w:lang w:val="es-US"/>
          <w14:ligatures w14:val="standardContextual"/>
        </w:rPr>
        <w:tab/>
      </w:r>
      <w:r w:rsidRPr="000950D1">
        <w:rPr>
          <w:rFonts w:asciiTheme="majorHAnsi" w:hAnsiTheme="majorHAnsi"/>
          <w:noProof/>
          <w:sz w:val="22"/>
          <w:szCs w:val="22"/>
          <w:lang w:val="es-ES"/>
        </w:rPr>
        <w:t>Derecho a la libertad personal (artículo 7 de la Convención Americana, en relación con el artículo 1.1 del mismo instrumento)</w:t>
      </w:r>
      <w:r w:rsidRPr="000950D1">
        <w:rPr>
          <w:rFonts w:asciiTheme="majorHAnsi" w:hAnsiTheme="majorHAnsi"/>
          <w:noProof/>
          <w:sz w:val="22"/>
          <w:szCs w:val="22"/>
        </w:rPr>
        <w:tab/>
      </w:r>
      <w:r w:rsidRPr="000950D1">
        <w:rPr>
          <w:rFonts w:asciiTheme="majorHAnsi" w:hAnsiTheme="majorHAnsi"/>
          <w:noProof/>
          <w:sz w:val="22"/>
          <w:szCs w:val="22"/>
        </w:rPr>
        <w:fldChar w:fldCharType="begin"/>
      </w:r>
      <w:r w:rsidRPr="000950D1">
        <w:rPr>
          <w:rFonts w:asciiTheme="majorHAnsi" w:hAnsiTheme="majorHAnsi"/>
          <w:noProof/>
          <w:sz w:val="22"/>
          <w:szCs w:val="22"/>
        </w:rPr>
        <w:instrText xml:space="preserve"> PAGEREF _Toc203986807 \h </w:instrText>
      </w:r>
      <w:r w:rsidRPr="000950D1">
        <w:rPr>
          <w:rFonts w:asciiTheme="majorHAnsi" w:hAnsiTheme="majorHAnsi"/>
          <w:noProof/>
          <w:sz w:val="22"/>
          <w:szCs w:val="22"/>
        </w:rPr>
      </w:r>
      <w:r w:rsidRPr="000950D1">
        <w:rPr>
          <w:rFonts w:asciiTheme="majorHAnsi" w:hAnsiTheme="majorHAnsi"/>
          <w:noProof/>
          <w:sz w:val="22"/>
          <w:szCs w:val="22"/>
        </w:rPr>
        <w:fldChar w:fldCharType="separate"/>
      </w:r>
      <w:r w:rsidR="00250380">
        <w:rPr>
          <w:rFonts w:asciiTheme="majorHAnsi" w:hAnsiTheme="majorHAnsi"/>
          <w:noProof/>
          <w:sz w:val="22"/>
          <w:szCs w:val="22"/>
        </w:rPr>
        <w:t>19</w:t>
      </w:r>
      <w:r w:rsidRPr="000950D1">
        <w:rPr>
          <w:rFonts w:asciiTheme="majorHAnsi" w:hAnsiTheme="majorHAnsi"/>
          <w:noProof/>
          <w:sz w:val="22"/>
          <w:szCs w:val="22"/>
        </w:rPr>
        <w:fldChar w:fldCharType="end"/>
      </w:r>
    </w:p>
    <w:p w14:paraId="71CFE04C" w14:textId="3823B69F" w:rsidR="000950D1" w:rsidRPr="000950D1" w:rsidRDefault="000950D1">
      <w:pPr>
        <w:pStyle w:val="TOC2"/>
        <w:rPr>
          <w:rFonts w:asciiTheme="majorHAnsi" w:eastAsiaTheme="minorEastAsia" w:hAnsiTheme="majorHAnsi" w:cstheme="minorBidi"/>
          <w:noProof/>
          <w:kern w:val="2"/>
          <w:sz w:val="22"/>
          <w:szCs w:val="22"/>
          <w:bdr w:val="none" w:sz="0" w:space="0" w:color="auto"/>
          <w:lang w:val="es-US"/>
          <w14:ligatures w14:val="standardContextual"/>
        </w:rPr>
      </w:pPr>
      <w:r w:rsidRPr="000950D1">
        <w:rPr>
          <w:rFonts w:asciiTheme="majorHAnsi" w:hAnsiTheme="majorHAnsi"/>
          <w:noProof/>
          <w:sz w:val="22"/>
          <w:szCs w:val="22"/>
        </w:rPr>
        <w:t>B.</w:t>
      </w:r>
      <w:r w:rsidRPr="000950D1">
        <w:rPr>
          <w:rFonts w:asciiTheme="majorHAnsi" w:eastAsiaTheme="minorEastAsia" w:hAnsiTheme="majorHAnsi" w:cstheme="minorBidi"/>
          <w:noProof/>
          <w:kern w:val="2"/>
          <w:sz w:val="22"/>
          <w:szCs w:val="22"/>
          <w:bdr w:val="none" w:sz="0" w:space="0" w:color="auto"/>
          <w:lang w:val="es-US"/>
          <w14:ligatures w14:val="standardContextual"/>
        </w:rPr>
        <w:tab/>
      </w:r>
      <w:r w:rsidRPr="000950D1">
        <w:rPr>
          <w:rFonts w:asciiTheme="majorHAnsi" w:hAnsiTheme="majorHAnsi"/>
          <w:noProof/>
          <w:sz w:val="22"/>
          <w:szCs w:val="22"/>
        </w:rPr>
        <w:t xml:space="preserve">Derechos a las garantías judiciales y protección judicial (artículos 8 y 25 de la Convención Americana </w:t>
      </w:r>
      <w:r w:rsidRPr="000950D1">
        <w:rPr>
          <w:rFonts w:asciiTheme="majorHAnsi" w:hAnsiTheme="majorHAnsi"/>
          <w:noProof/>
          <w:sz w:val="22"/>
          <w:szCs w:val="22"/>
          <w:lang w:val="es-ES"/>
        </w:rPr>
        <w:t>en relación con los artículos 1.1 y 2 del mismo instrumento</w:t>
      </w:r>
      <w:r w:rsidRPr="000950D1">
        <w:rPr>
          <w:rFonts w:asciiTheme="majorHAnsi" w:hAnsiTheme="majorHAnsi"/>
          <w:noProof/>
          <w:sz w:val="22"/>
          <w:szCs w:val="22"/>
        </w:rPr>
        <w:t>)</w:t>
      </w:r>
      <w:r w:rsidRPr="000950D1">
        <w:rPr>
          <w:rFonts w:asciiTheme="majorHAnsi" w:hAnsiTheme="majorHAnsi"/>
          <w:noProof/>
          <w:sz w:val="22"/>
          <w:szCs w:val="22"/>
        </w:rPr>
        <w:tab/>
      </w:r>
      <w:r w:rsidRPr="000950D1">
        <w:rPr>
          <w:rFonts w:asciiTheme="majorHAnsi" w:hAnsiTheme="majorHAnsi"/>
          <w:noProof/>
          <w:sz w:val="22"/>
          <w:szCs w:val="22"/>
        </w:rPr>
        <w:fldChar w:fldCharType="begin"/>
      </w:r>
      <w:r w:rsidRPr="000950D1">
        <w:rPr>
          <w:rFonts w:asciiTheme="majorHAnsi" w:hAnsiTheme="majorHAnsi"/>
          <w:noProof/>
          <w:sz w:val="22"/>
          <w:szCs w:val="22"/>
        </w:rPr>
        <w:instrText xml:space="preserve"> PAGEREF _Toc203986808 \h </w:instrText>
      </w:r>
      <w:r w:rsidRPr="000950D1">
        <w:rPr>
          <w:rFonts w:asciiTheme="majorHAnsi" w:hAnsiTheme="majorHAnsi"/>
          <w:noProof/>
          <w:sz w:val="22"/>
          <w:szCs w:val="22"/>
        </w:rPr>
      </w:r>
      <w:r w:rsidRPr="000950D1">
        <w:rPr>
          <w:rFonts w:asciiTheme="majorHAnsi" w:hAnsiTheme="majorHAnsi"/>
          <w:noProof/>
          <w:sz w:val="22"/>
          <w:szCs w:val="22"/>
        </w:rPr>
        <w:fldChar w:fldCharType="separate"/>
      </w:r>
      <w:r w:rsidR="00250380">
        <w:rPr>
          <w:rFonts w:asciiTheme="majorHAnsi" w:hAnsiTheme="majorHAnsi"/>
          <w:noProof/>
          <w:sz w:val="22"/>
          <w:szCs w:val="22"/>
        </w:rPr>
        <w:t>22</w:t>
      </w:r>
      <w:r w:rsidRPr="000950D1">
        <w:rPr>
          <w:rFonts w:asciiTheme="majorHAnsi" w:hAnsiTheme="majorHAnsi"/>
          <w:noProof/>
          <w:sz w:val="22"/>
          <w:szCs w:val="22"/>
        </w:rPr>
        <w:fldChar w:fldCharType="end"/>
      </w:r>
    </w:p>
    <w:p w14:paraId="4EDCB0DB" w14:textId="2230FFC7" w:rsidR="000950D1" w:rsidRPr="000950D1" w:rsidRDefault="000950D1">
      <w:pPr>
        <w:pStyle w:val="TOC2"/>
        <w:rPr>
          <w:rFonts w:asciiTheme="majorHAnsi" w:eastAsiaTheme="minorEastAsia" w:hAnsiTheme="majorHAnsi" w:cstheme="minorBidi"/>
          <w:noProof/>
          <w:kern w:val="2"/>
          <w:sz w:val="22"/>
          <w:szCs w:val="22"/>
          <w:bdr w:val="none" w:sz="0" w:space="0" w:color="auto"/>
          <w:lang w:val="es-US"/>
          <w14:ligatures w14:val="standardContextual"/>
        </w:rPr>
      </w:pPr>
      <w:r w:rsidRPr="000950D1">
        <w:rPr>
          <w:rFonts w:asciiTheme="majorHAnsi" w:hAnsiTheme="majorHAnsi"/>
          <w:noProof/>
          <w:sz w:val="22"/>
          <w:szCs w:val="22"/>
        </w:rPr>
        <w:t>C.</w:t>
      </w:r>
      <w:r w:rsidRPr="000950D1">
        <w:rPr>
          <w:rFonts w:asciiTheme="majorHAnsi" w:eastAsiaTheme="minorEastAsia" w:hAnsiTheme="majorHAnsi" w:cstheme="minorBidi"/>
          <w:noProof/>
          <w:kern w:val="2"/>
          <w:sz w:val="22"/>
          <w:szCs w:val="22"/>
          <w:bdr w:val="none" w:sz="0" w:space="0" w:color="auto"/>
          <w:lang w:val="es-US"/>
          <w14:ligatures w14:val="standardContextual"/>
        </w:rPr>
        <w:tab/>
      </w:r>
      <w:r w:rsidRPr="000950D1">
        <w:rPr>
          <w:rFonts w:asciiTheme="majorHAnsi" w:hAnsiTheme="majorHAnsi"/>
          <w:noProof/>
          <w:sz w:val="22"/>
          <w:szCs w:val="22"/>
          <w:lang w:val="es-CR"/>
        </w:rPr>
        <w:t>Derecho a la libertad personal tras la condena en firme</w:t>
      </w:r>
      <w:r w:rsidRPr="000950D1">
        <w:rPr>
          <w:rFonts w:asciiTheme="majorHAnsi" w:hAnsiTheme="majorHAnsi"/>
          <w:noProof/>
          <w:sz w:val="22"/>
          <w:szCs w:val="22"/>
        </w:rPr>
        <w:tab/>
      </w:r>
      <w:r w:rsidRPr="000950D1">
        <w:rPr>
          <w:rFonts w:asciiTheme="majorHAnsi" w:hAnsiTheme="majorHAnsi"/>
          <w:noProof/>
          <w:sz w:val="22"/>
          <w:szCs w:val="22"/>
        </w:rPr>
        <w:fldChar w:fldCharType="begin"/>
      </w:r>
      <w:r w:rsidRPr="000950D1">
        <w:rPr>
          <w:rFonts w:asciiTheme="majorHAnsi" w:hAnsiTheme="majorHAnsi"/>
          <w:noProof/>
          <w:sz w:val="22"/>
          <w:szCs w:val="22"/>
        </w:rPr>
        <w:instrText xml:space="preserve"> PAGEREF _Toc203986809 \h </w:instrText>
      </w:r>
      <w:r w:rsidRPr="000950D1">
        <w:rPr>
          <w:rFonts w:asciiTheme="majorHAnsi" w:hAnsiTheme="majorHAnsi"/>
          <w:noProof/>
          <w:sz w:val="22"/>
          <w:szCs w:val="22"/>
        </w:rPr>
      </w:r>
      <w:r w:rsidRPr="000950D1">
        <w:rPr>
          <w:rFonts w:asciiTheme="majorHAnsi" w:hAnsiTheme="majorHAnsi"/>
          <w:noProof/>
          <w:sz w:val="22"/>
          <w:szCs w:val="22"/>
        </w:rPr>
        <w:fldChar w:fldCharType="separate"/>
      </w:r>
      <w:r w:rsidR="00250380">
        <w:rPr>
          <w:rFonts w:asciiTheme="majorHAnsi" w:hAnsiTheme="majorHAnsi"/>
          <w:noProof/>
          <w:sz w:val="22"/>
          <w:szCs w:val="22"/>
        </w:rPr>
        <w:t>30</w:t>
      </w:r>
      <w:r w:rsidRPr="000950D1">
        <w:rPr>
          <w:rFonts w:asciiTheme="majorHAnsi" w:hAnsiTheme="majorHAnsi"/>
          <w:noProof/>
          <w:sz w:val="22"/>
          <w:szCs w:val="22"/>
        </w:rPr>
        <w:fldChar w:fldCharType="end"/>
      </w:r>
    </w:p>
    <w:p w14:paraId="0379951C" w14:textId="123ABB08" w:rsidR="000950D1" w:rsidRPr="000950D1" w:rsidRDefault="000950D1">
      <w:pPr>
        <w:pStyle w:val="TOC2"/>
        <w:rPr>
          <w:rFonts w:asciiTheme="majorHAnsi" w:eastAsiaTheme="minorEastAsia" w:hAnsiTheme="majorHAnsi" w:cstheme="minorBidi"/>
          <w:noProof/>
          <w:kern w:val="2"/>
          <w:sz w:val="22"/>
          <w:szCs w:val="22"/>
          <w:bdr w:val="none" w:sz="0" w:space="0" w:color="auto"/>
          <w:lang w:val="es-US"/>
          <w14:ligatures w14:val="standardContextual"/>
        </w:rPr>
      </w:pPr>
      <w:r w:rsidRPr="000950D1">
        <w:rPr>
          <w:rFonts w:asciiTheme="majorHAnsi" w:hAnsiTheme="majorHAnsi"/>
          <w:noProof/>
          <w:sz w:val="22"/>
          <w:szCs w:val="22"/>
        </w:rPr>
        <w:t>D.</w:t>
      </w:r>
      <w:r w:rsidRPr="000950D1">
        <w:rPr>
          <w:rFonts w:asciiTheme="majorHAnsi" w:eastAsiaTheme="minorEastAsia" w:hAnsiTheme="majorHAnsi" w:cstheme="minorBidi"/>
          <w:noProof/>
          <w:kern w:val="2"/>
          <w:sz w:val="22"/>
          <w:szCs w:val="22"/>
          <w:bdr w:val="none" w:sz="0" w:space="0" w:color="auto"/>
          <w:lang w:val="es-US"/>
          <w14:ligatures w14:val="standardContextual"/>
        </w:rPr>
        <w:tab/>
      </w:r>
      <w:r w:rsidRPr="000950D1">
        <w:rPr>
          <w:rFonts w:asciiTheme="majorHAnsi" w:hAnsiTheme="majorHAnsi"/>
          <w:noProof/>
          <w:sz w:val="22"/>
          <w:szCs w:val="22"/>
          <w:lang w:val="es-CR"/>
        </w:rPr>
        <w:t>Derecho a la integridad personal</w:t>
      </w:r>
      <w:r w:rsidRPr="000950D1">
        <w:rPr>
          <w:rFonts w:asciiTheme="majorHAnsi" w:hAnsiTheme="majorHAnsi"/>
          <w:noProof/>
          <w:sz w:val="22"/>
          <w:szCs w:val="22"/>
        </w:rPr>
        <w:tab/>
      </w:r>
      <w:r w:rsidRPr="000950D1">
        <w:rPr>
          <w:rFonts w:asciiTheme="majorHAnsi" w:hAnsiTheme="majorHAnsi"/>
          <w:noProof/>
          <w:sz w:val="22"/>
          <w:szCs w:val="22"/>
        </w:rPr>
        <w:fldChar w:fldCharType="begin"/>
      </w:r>
      <w:r w:rsidRPr="000950D1">
        <w:rPr>
          <w:rFonts w:asciiTheme="majorHAnsi" w:hAnsiTheme="majorHAnsi"/>
          <w:noProof/>
          <w:sz w:val="22"/>
          <w:szCs w:val="22"/>
        </w:rPr>
        <w:instrText xml:space="preserve"> PAGEREF _Toc203986810 \h </w:instrText>
      </w:r>
      <w:r w:rsidRPr="000950D1">
        <w:rPr>
          <w:rFonts w:asciiTheme="majorHAnsi" w:hAnsiTheme="majorHAnsi"/>
          <w:noProof/>
          <w:sz w:val="22"/>
          <w:szCs w:val="22"/>
        </w:rPr>
      </w:r>
      <w:r w:rsidRPr="000950D1">
        <w:rPr>
          <w:rFonts w:asciiTheme="majorHAnsi" w:hAnsiTheme="majorHAnsi"/>
          <w:noProof/>
          <w:sz w:val="22"/>
          <w:szCs w:val="22"/>
        </w:rPr>
        <w:fldChar w:fldCharType="separate"/>
      </w:r>
      <w:r w:rsidR="00250380">
        <w:rPr>
          <w:rFonts w:asciiTheme="majorHAnsi" w:hAnsiTheme="majorHAnsi"/>
          <w:noProof/>
          <w:sz w:val="22"/>
          <w:szCs w:val="22"/>
        </w:rPr>
        <w:t>30</w:t>
      </w:r>
      <w:r w:rsidRPr="000950D1">
        <w:rPr>
          <w:rFonts w:asciiTheme="majorHAnsi" w:hAnsiTheme="majorHAnsi"/>
          <w:noProof/>
          <w:sz w:val="22"/>
          <w:szCs w:val="22"/>
        </w:rPr>
        <w:fldChar w:fldCharType="end"/>
      </w:r>
    </w:p>
    <w:p w14:paraId="6A59F496" w14:textId="2FF3A839" w:rsidR="000950D1" w:rsidRPr="000950D1" w:rsidRDefault="000950D1">
      <w:pPr>
        <w:pStyle w:val="TOC1"/>
        <w:rPr>
          <w:rFonts w:asciiTheme="majorHAnsi" w:eastAsiaTheme="minorEastAsia" w:hAnsiTheme="majorHAnsi" w:cstheme="minorBidi"/>
          <w:b w:val="0"/>
          <w:kern w:val="2"/>
          <w:sz w:val="22"/>
          <w:szCs w:val="22"/>
          <w:bdr w:val="none" w:sz="0" w:space="0" w:color="auto"/>
          <w:lang w:val="es-US"/>
          <w14:ligatures w14:val="standardContextual"/>
        </w:rPr>
      </w:pPr>
      <w:r w:rsidRPr="000950D1">
        <w:rPr>
          <w:rFonts w:asciiTheme="majorHAnsi" w:hAnsiTheme="majorHAnsi"/>
          <w:sz w:val="22"/>
          <w:szCs w:val="22"/>
        </w:rPr>
        <w:t>V.</w:t>
      </w:r>
      <w:r w:rsidRPr="000950D1">
        <w:rPr>
          <w:rFonts w:asciiTheme="majorHAnsi" w:eastAsiaTheme="minorEastAsia" w:hAnsiTheme="majorHAnsi" w:cstheme="minorBidi"/>
          <w:b w:val="0"/>
          <w:kern w:val="2"/>
          <w:sz w:val="22"/>
          <w:szCs w:val="22"/>
          <w:bdr w:val="none" w:sz="0" w:space="0" w:color="auto"/>
          <w:lang w:val="es-US"/>
          <w14:ligatures w14:val="standardContextual"/>
        </w:rPr>
        <w:tab/>
      </w:r>
      <w:r w:rsidRPr="000950D1">
        <w:rPr>
          <w:rFonts w:asciiTheme="majorHAnsi" w:hAnsiTheme="majorHAnsi"/>
          <w:sz w:val="22"/>
          <w:szCs w:val="22"/>
        </w:rPr>
        <w:t>INFORME No. 61</w:t>
      </w:r>
      <w:r w:rsidRPr="000950D1">
        <w:rPr>
          <w:rFonts w:asciiTheme="majorHAnsi" w:hAnsiTheme="majorHAnsi"/>
          <w:sz w:val="22"/>
          <w:szCs w:val="22"/>
          <w:lang w:val="es-US"/>
        </w:rPr>
        <w:t>/18 E INFORMACIÓN SOBRE CUMPLIMIENTO</w:t>
      </w:r>
      <w:r w:rsidRPr="000950D1">
        <w:rPr>
          <w:rFonts w:asciiTheme="majorHAnsi" w:hAnsiTheme="majorHAnsi"/>
          <w:sz w:val="22"/>
          <w:szCs w:val="22"/>
        </w:rPr>
        <w:tab/>
      </w:r>
      <w:r w:rsidRPr="000950D1">
        <w:rPr>
          <w:rFonts w:asciiTheme="majorHAnsi" w:hAnsiTheme="majorHAnsi"/>
          <w:sz w:val="22"/>
          <w:szCs w:val="22"/>
        </w:rPr>
        <w:fldChar w:fldCharType="begin"/>
      </w:r>
      <w:r w:rsidRPr="000950D1">
        <w:rPr>
          <w:rFonts w:asciiTheme="majorHAnsi" w:hAnsiTheme="majorHAnsi"/>
          <w:sz w:val="22"/>
          <w:szCs w:val="22"/>
        </w:rPr>
        <w:instrText xml:space="preserve"> PAGEREF _Toc203986811 \h </w:instrText>
      </w:r>
      <w:r w:rsidRPr="000950D1">
        <w:rPr>
          <w:rFonts w:asciiTheme="majorHAnsi" w:hAnsiTheme="majorHAnsi"/>
          <w:sz w:val="22"/>
          <w:szCs w:val="22"/>
        </w:rPr>
      </w:r>
      <w:r w:rsidRPr="000950D1">
        <w:rPr>
          <w:rFonts w:asciiTheme="majorHAnsi" w:hAnsiTheme="majorHAnsi"/>
          <w:sz w:val="22"/>
          <w:szCs w:val="22"/>
        </w:rPr>
        <w:fldChar w:fldCharType="separate"/>
      </w:r>
      <w:r w:rsidR="00250380">
        <w:rPr>
          <w:rFonts w:asciiTheme="majorHAnsi" w:hAnsiTheme="majorHAnsi"/>
          <w:sz w:val="22"/>
          <w:szCs w:val="22"/>
        </w:rPr>
        <w:t>31</w:t>
      </w:r>
      <w:r w:rsidRPr="000950D1">
        <w:rPr>
          <w:rFonts w:asciiTheme="majorHAnsi" w:hAnsiTheme="majorHAnsi"/>
          <w:sz w:val="22"/>
          <w:szCs w:val="22"/>
        </w:rPr>
        <w:fldChar w:fldCharType="end"/>
      </w:r>
    </w:p>
    <w:p w14:paraId="18091F26" w14:textId="7FAE8D2F" w:rsidR="000950D1" w:rsidRPr="000950D1" w:rsidRDefault="000950D1">
      <w:pPr>
        <w:pStyle w:val="TOC1"/>
        <w:rPr>
          <w:rFonts w:asciiTheme="majorHAnsi" w:eastAsiaTheme="minorEastAsia" w:hAnsiTheme="majorHAnsi" w:cstheme="minorBidi"/>
          <w:b w:val="0"/>
          <w:kern w:val="2"/>
          <w:sz w:val="22"/>
          <w:szCs w:val="22"/>
          <w:bdr w:val="none" w:sz="0" w:space="0" w:color="auto"/>
          <w:lang w:val="es-US"/>
          <w14:ligatures w14:val="standardContextual"/>
        </w:rPr>
      </w:pPr>
      <w:r w:rsidRPr="000950D1">
        <w:rPr>
          <w:rFonts w:asciiTheme="majorHAnsi" w:hAnsiTheme="majorHAnsi"/>
          <w:sz w:val="22"/>
          <w:szCs w:val="22"/>
          <w:lang w:val="es-US"/>
        </w:rPr>
        <w:t>VI.</w:t>
      </w:r>
      <w:r w:rsidRPr="000950D1">
        <w:rPr>
          <w:rFonts w:asciiTheme="majorHAnsi" w:eastAsiaTheme="minorEastAsia" w:hAnsiTheme="majorHAnsi" w:cstheme="minorBidi"/>
          <w:b w:val="0"/>
          <w:kern w:val="2"/>
          <w:sz w:val="22"/>
          <w:szCs w:val="22"/>
          <w:bdr w:val="none" w:sz="0" w:space="0" w:color="auto"/>
          <w:lang w:val="es-US"/>
          <w14:ligatures w14:val="standardContextual"/>
        </w:rPr>
        <w:tab/>
      </w:r>
      <w:r w:rsidRPr="000950D1">
        <w:rPr>
          <w:rFonts w:asciiTheme="majorHAnsi" w:hAnsiTheme="majorHAnsi"/>
          <w:sz w:val="22"/>
          <w:szCs w:val="22"/>
          <w:lang w:val="es-US"/>
        </w:rPr>
        <w:t>ACTUACIONES POSTERIORES AL INFORME No. 46/25 E INFORMACIÓN SOBRE CUMPLIMIENTO</w:t>
      </w:r>
      <w:r w:rsidRPr="000950D1">
        <w:rPr>
          <w:rFonts w:asciiTheme="majorHAnsi" w:hAnsiTheme="majorHAnsi"/>
          <w:sz w:val="22"/>
          <w:szCs w:val="22"/>
        </w:rPr>
        <w:tab/>
      </w:r>
      <w:r w:rsidRPr="000950D1">
        <w:rPr>
          <w:rFonts w:asciiTheme="majorHAnsi" w:hAnsiTheme="majorHAnsi"/>
          <w:sz w:val="22"/>
          <w:szCs w:val="22"/>
        </w:rPr>
        <w:fldChar w:fldCharType="begin"/>
      </w:r>
      <w:r w:rsidRPr="000950D1">
        <w:rPr>
          <w:rFonts w:asciiTheme="majorHAnsi" w:hAnsiTheme="majorHAnsi"/>
          <w:sz w:val="22"/>
          <w:szCs w:val="22"/>
        </w:rPr>
        <w:instrText xml:space="preserve"> PAGEREF _Toc203986812 \h </w:instrText>
      </w:r>
      <w:r w:rsidRPr="000950D1">
        <w:rPr>
          <w:rFonts w:asciiTheme="majorHAnsi" w:hAnsiTheme="majorHAnsi"/>
          <w:sz w:val="22"/>
          <w:szCs w:val="22"/>
        </w:rPr>
      </w:r>
      <w:r w:rsidRPr="000950D1">
        <w:rPr>
          <w:rFonts w:asciiTheme="majorHAnsi" w:hAnsiTheme="majorHAnsi"/>
          <w:sz w:val="22"/>
          <w:szCs w:val="22"/>
        </w:rPr>
        <w:fldChar w:fldCharType="separate"/>
      </w:r>
      <w:r w:rsidR="00250380">
        <w:rPr>
          <w:rFonts w:asciiTheme="majorHAnsi" w:hAnsiTheme="majorHAnsi"/>
          <w:sz w:val="22"/>
          <w:szCs w:val="22"/>
        </w:rPr>
        <w:t>35</w:t>
      </w:r>
      <w:r w:rsidRPr="000950D1">
        <w:rPr>
          <w:rFonts w:asciiTheme="majorHAnsi" w:hAnsiTheme="majorHAnsi"/>
          <w:sz w:val="22"/>
          <w:szCs w:val="22"/>
        </w:rPr>
        <w:fldChar w:fldCharType="end"/>
      </w:r>
    </w:p>
    <w:p w14:paraId="30FCA390" w14:textId="3B52731C" w:rsidR="000950D1" w:rsidRPr="000950D1" w:rsidRDefault="000950D1">
      <w:pPr>
        <w:pStyle w:val="TOC1"/>
        <w:rPr>
          <w:rFonts w:asciiTheme="majorHAnsi" w:eastAsiaTheme="minorEastAsia" w:hAnsiTheme="majorHAnsi" w:cstheme="minorBidi"/>
          <w:b w:val="0"/>
          <w:kern w:val="2"/>
          <w:sz w:val="22"/>
          <w:szCs w:val="22"/>
          <w:bdr w:val="none" w:sz="0" w:space="0" w:color="auto"/>
          <w:lang w:val="es-US"/>
          <w14:ligatures w14:val="standardContextual"/>
        </w:rPr>
      </w:pPr>
      <w:r w:rsidRPr="000950D1">
        <w:rPr>
          <w:rFonts w:asciiTheme="majorHAnsi" w:hAnsiTheme="majorHAnsi"/>
          <w:sz w:val="22"/>
          <w:szCs w:val="22"/>
          <w:lang w:val="es-ES_tradnl"/>
        </w:rPr>
        <w:t>VII.</w:t>
      </w:r>
      <w:r w:rsidRPr="000950D1">
        <w:rPr>
          <w:rFonts w:asciiTheme="majorHAnsi" w:eastAsiaTheme="minorEastAsia" w:hAnsiTheme="majorHAnsi" w:cstheme="minorBidi"/>
          <w:b w:val="0"/>
          <w:kern w:val="2"/>
          <w:sz w:val="22"/>
          <w:szCs w:val="22"/>
          <w:bdr w:val="none" w:sz="0" w:space="0" w:color="auto"/>
          <w:lang w:val="es-US"/>
          <w14:ligatures w14:val="standardContextual"/>
        </w:rPr>
        <w:tab/>
      </w:r>
      <w:r w:rsidRPr="000950D1">
        <w:rPr>
          <w:rFonts w:asciiTheme="majorHAnsi" w:hAnsiTheme="majorHAnsi"/>
          <w:sz w:val="22"/>
          <w:szCs w:val="22"/>
          <w:lang w:val="es-MX"/>
        </w:rPr>
        <w:t>CONCLUSIONES</w:t>
      </w:r>
      <w:r w:rsidRPr="000950D1">
        <w:rPr>
          <w:rFonts w:asciiTheme="majorHAnsi" w:hAnsiTheme="majorHAnsi"/>
          <w:sz w:val="22"/>
          <w:szCs w:val="22"/>
          <w:lang w:val="es-ES_tradnl"/>
        </w:rPr>
        <w:t xml:space="preserve"> Y RECOMENDACIONES FINALES</w:t>
      </w:r>
      <w:r w:rsidRPr="000950D1">
        <w:rPr>
          <w:rFonts w:asciiTheme="majorHAnsi" w:hAnsiTheme="majorHAnsi"/>
          <w:sz w:val="22"/>
          <w:szCs w:val="22"/>
        </w:rPr>
        <w:tab/>
      </w:r>
      <w:r w:rsidRPr="000950D1">
        <w:rPr>
          <w:rFonts w:asciiTheme="majorHAnsi" w:hAnsiTheme="majorHAnsi"/>
          <w:sz w:val="22"/>
          <w:szCs w:val="22"/>
        </w:rPr>
        <w:fldChar w:fldCharType="begin"/>
      </w:r>
      <w:r w:rsidRPr="000950D1">
        <w:rPr>
          <w:rFonts w:asciiTheme="majorHAnsi" w:hAnsiTheme="majorHAnsi"/>
          <w:sz w:val="22"/>
          <w:szCs w:val="22"/>
        </w:rPr>
        <w:instrText xml:space="preserve"> PAGEREF _Toc203986813 \h </w:instrText>
      </w:r>
      <w:r w:rsidRPr="000950D1">
        <w:rPr>
          <w:rFonts w:asciiTheme="majorHAnsi" w:hAnsiTheme="majorHAnsi"/>
          <w:sz w:val="22"/>
          <w:szCs w:val="22"/>
        </w:rPr>
      </w:r>
      <w:r w:rsidRPr="000950D1">
        <w:rPr>
          <w:rFonts w:asciiTheme="majorHAnsi" w:hAnsiTheme="majorHAnsi"/>
          <w:sz w:val="22"/>
          <w:szCs w:val="22"/>
        </w:rPr>
        <w:fldChar w:fldCharType="separate"/>
      </w:r>
      <w:r w:rsidR="00250380">
        <w:rPr>
          <w:rFonts w:asciiTheme="majorHAnsi" w:hAnsiTheme="majorHAnsi"/>
          <w:sz w:val="22"/>
          <w:szCs w:val="22"/>
        </w:rPr>
        <w:t>36</w:t>
      </w:r>
      <w:r w:rsidRPr="000950D1">
        <w:rPr>
          <w:rFonts w:asciiTheme="majorHAnsi" w:hAnsiTheme="majorHAnsi"/>
          <w:sz w:val="22"/>
          <w:szCs w:val="22"/>
        </w:rPr>
        <w:fldChar w:fldCharType="end"/>
      </w:r>
    </w:p>
    <w:p w14:paraId="671B8BF9" w14:textId="385943E0" w:rsidR="000950D1" w:rsidRPr="000950D1" w:rsidRDefault="000950D1">
      <w:pPr>
        <w:pStyle w:val="TOC1"/>
        <w:rPr>
          <w:rFonts w:asciiTheme="majorHAnsi" w:eastAsiaTheme="minorEastAsia" w:hAnsiTheme="majorHAnsi" w:cstheme="minorBidi"/>
          <w:b w:val="0"/>
          <w:kern w:val="2"/>
          <w:sz w:val="22"/>
          <w:szCs w:val="22"/>
          <w:bdr w:val="none" w:sz="0" w:space="0" w:color="auto"/>
          <w:lang w:val="en-US"/>
          <w14:ligatures w14:val="standardContextual"/>
        </w:rPr>
      </w:pPr>
      <w:r w:rsidRPr="000950D1">
        <w:rPr>
          <w:rFonts w:asciiTheme="majorHAnsi" w:hAnsiTheme="majorHAnsi"/>
          <w:sz w:val="22"/>
          <w:szCs w:val="22"/>
          <w:lang w:val="es-MX"/>
        </w:rPr>
        <w:t>VIII.</w:t>
      </w:r>
      <w:r w:rsidRPr="000950D1">
        <w:rPr>
          <w:rFonts w:asciiTheme="majorHAnsi" w:eastAsiaTheme="minorEastAsia" w:hAnsiTheme="majorHAnsi" w:cstheme="minorBidi"/>
          <w:b w:val="0"/>
          <w:kern w:val="2"/>
          <w:sz w:val="22"/>
          <w:szCs w:val="22"/>
          <w:bdr w:val="none" w:sz="0" w:space="0" w:color="auto"/>
          <w:lang w:val="en-US"/>
          <w14:ligatures w14:val="standardContextual"/>
        </w:rPr>
        <w:tab/>
      </w:r>
      <w:r w:rsidRPr="000950D1">
        <w:rPr>
          <w:rFonts w:asciiTheme="majorHAnsi" w:hAnsiTheme="majorHAnsi"/>
          <w:sz w:val="22"/>
          <w:szCs w:val="22"/>
          <w:lang w:val="es-MX"/>
        </w:rPr>
        <w:t>PUBLICACIÓN</w:t>
      </w:r>
      <w:r w:rsidRPr="000950D1">
        <w:rPr>
          <w:rFonts w:asciiTheme="majorHAnsi" w:hAnsiTheme="majorHAnsi"/>
          <w:sz w:val="22"/>
          <w:szCs w:val="22"/>
        </w:rPr>
        <w:tab/>
      </w:r>
      <w:r w:rsidRPr="000950D1">
        <w:rPr>
          <w:rFonts w:asciiTheme="majorHAnsi" w:hAnsiTheme="majorHAnsi"/>
          <w:sz w:val="22"/>
          <w:szCs w:val="22"/>
        </w:rPr>
        <w:fldChar w:fldCharType="begin"/>
      </w:r>
      <w:r w:rsidRPr="000950D1">
        <w:rPr>
          <w:rFonts w:asciiTheme="majorHAnsi" w:hAnsiTheme="majorHAnsi"/>
          <w:sz w:val="22"/>
          <w:szCs w:val="22"/>
        </w:rPr>
        <w:instrText xml:space="preserve"> PAGEREF _Toc203986814 \h </w:instrText>
      </w:r>
      <w:r w:rsidRPr="000950D1">
        <w:rPr>
          <w:rFonts w:asciiTheme="majorHAnsi" w:hAnsiTheme="majorHAnsi"/>
          <w:sz w:val="22"/>
          <w:szCs w:val="22"/>
        </w:rPr>
      </w:r>
      <w:r w:rsidRPr="000950D1">
        <w:rPr>
          <w:rFonts w:asciiTheme="majorHAnsi" w:hAnsiTheme="majorHAnsi"/>
          <w:sz w:val="22"/>
          <w:szCs w:val="22"/>
        </w:rPr>
        <w:fldChar w:fldCharType="separate"/>
      </w:r>
      <w:r w:rsidR="00250380">
        <w:rPr>
          <w:rFonts w:asciiTheme="majorHAnsi" w:hAnsiTheme="majorHAnsi"/>
          <w:sz w:val="22"/>
          <w:szCs w:val="22"/>
        </w:rPr>
        <w:t>37</w:t>
      </w:r>
      <w:r w:rsidRPr="000950D1">
        <w:rPr>
          <w:rFonts w:asciiTheme="majorHAnsi" w:hAnsiTheme="majorHAnsi"/>
          <w:sz w:val="22"/>
          <w:szCs w:val="22"/>
        </w:rPr>
        <w:fldChar w:fldCharType="end"/>
      </w:r>
    </w:p>
    <w:p w14:paraId="7F6C5022" w14:textId="26D5C64C" w:rsidR="001B3677" w:rsidRPr="004A1C17" w:rsidRDefault="004D7973" w:rsidP="004A1C17">
      <w:pPr>
        <w:tabs>
          <w:tab w:val="center" w:pos="5400"/>
        </w:tabs>
        <w:suppressAutoHyphens/>
        <w:spacing w:after="0" w:line="240" w:lineRule="auto"/>
        <w:jc w:val="center"/>
        <w:rPr>
          <w:rFonts w:ascii="Cambria" w:hAnsi="Cambria"/>
          <w:sz w:val="18"/>
          <w:szCs w:val="18"/>
          <w:lang w:val="es-ES"/>
        </w:rPr>
      </w:pPr>
      <w:r w:rsidRPr="000950D1">
        <w:rPr>
          <w:rFonts w:asciiTheme="majorHAnsi" w:eastAsia="Arial Unicode MS" w:hAnsiTheme="majorHAnsi"/>
          <w:b/>
          <w:noProof/>
          <w:bdr w:val="nil"/>
          <w:lang w:val="es-CO"/>
        </w:rPr>
        <w:fldChar w:fldCharType="end"/>
      </w:r>
      <w:r w:rsidR="001B3677" w:rsidRPr="009B4ECB">
        <w:rPr>
          <w:rFonts w:ascii="Cambria" w:hAnsi="Cambria"/>
          <w:b/>
          <w:sz w:val="20"/>
          <w:szCs w:val="20"/>
          <w:lang w:val="es-ES"/>
        </w:rPr>
        <w:br w:type="page"/>
      </w:r>
    </w:p>
    <w:p w14:paraId="794B22C8" w14:textId="77777777" w:rsidR="00F96671" w:rsidRPr="005D2619" w:rsidRDefault="00F96671" w:rsidP="001B3677">
      <w:pPr>
        <w:spacing w:after="0" w:line="240" w:lineRule="auto"/>
        <w:jc w:val="center"/>
        <w:rPr>
          <w:rFonts w:ascii="Cambria" w:hAnsi="Cambria" w:cs="Calibri"/>
          <w:sz w:val="20"/>
          <w:szCs w:val="20"/>
          <w:lang w:val="es-CO"/>
        </w:rPr>
      </w:pPr>
    </w:p>
    <w:p w14:paraId="52824B5D" w14:textId="1FA734E0" w:rsidR="001B3677" w:rsidRPr="005D2619" w:rsidRDefault="001B3677" w:rsidP="00E9436C">
      <w:pPr>
        <w:pStyle w:val="Heading1"/>
        <w:ind w:left="1440" w:hanging="720"/>
      </w:pPr>
      <w:bookmarkStart w:id="2" w:name="_Toc430268166"/>
      <w:bookmarkStart w:id="3" w:name="_Toc446591740"/>
      <w:bookmarkStart w:id="4" w:name="_Toc480636761"/>
      <w:bookmarkStart w:id="5" w:name="_Toc203986797"/>
      <w:r w:rsidRPr="005D2619">
        <w:t>RESUMEN</w:t>
      </w:r>
      <w:bookmarkEnd w:id="2"/>
      <w:bookmarkEnd w:id="3"/>
      <w:bookmarkEnd w:id="4"/>
      <w:r w:rsidR="004A1C17" w:rsidRPr="00C4427B">
        <w:rPr>
          <w:sz w:val="18"/>
          <w:szCs w:val="18"/>
          <w:vertAlign w:val="superscript"/>
          <w:lang w:val="es-ES_tradnl"/>
        </w:rPr>
        <w:footnoteReference w:id="1"/>
      </w:r>
      <w:bookmarkEnd w:id="5"/>
    </w:p>
    <w:p w14:paraId="6B922099" w14:textId="77777777" w:rsidR="001B3677" w:rsidRPr="005D2619" w:rsidRDefault="001B3677" w:rsidP="00E9436C">
      <w:pPr>
        <w:spacing w:after="0" w:line="240" w:lineRule="auto"/>
        <w:ind w:firstLine="567"/>
        <w:jc w:val="both"/>
        <w:rPr>
          <w:rFonts w:ascii="Cambria" w:hAnsi="Cambria"/>
          <w:sz w:val="20"/>
          <w:szCs w:val="20"/>
          <w:lang w:val="es-PE"/>
        </w:rPr>
      </w:pPr>
    </w:p>
    <w:p w14:paraId="5FF98A69" w14:textId="77777777" w:rsidR="00991E4B" w:rsidRPr="005D2619" w:rsidRDefault="001B3677" w:rsidP="008954D5">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rPr>
      </w:pPr>
      <w:r w:rsidRPr="005D2619">
        <w:rPr>
          <w:rFonts w:ascii="Cambria" w:hAnsi="Cambria"/>
          <w:sz w:val="20"/>
          <w:szCs w:val="20"/>
        </w:rPr>
        <w:t>E</w:t>
      </w:r>
      <w:r w:rsidR="00045386" w:rsidRPr="005D2619">
        <w:rPr>
          <w:rFonts w:ascii="Cambria" w:hAnsi="Cambria"/>
          <w:sz w:val="20"/>
          <w:szCs w:val="20"/>
        </w:rPr>
        <w:t xml:space="preserve">l </w:t>
      </w:r>
      <w:r w:rsidR="00487F66" w:rsidRPr="005D2619">
        <w:rPr>
          <w:rFonts w:ascii="Cambria" w:hAnsi="Cambria"/>
          <w:sz w:val="20"/>
          <w:szCs w:val="20"/>
        </w:rPr>
        <w:t>27 de a</w:t>
      </w:r>
      <w:r w:rsidR="00BB1C48" w:rsidRPr="005D2619">
        <w:rPr>
          <w:rFonts w:ascii="Cambria" w:hAnsi="Cambria"/>
          <w:sz w:val="20"/>
          <w:szCs w:val="20"/>
        </w:rPr>
        <w:t>gosto de 2002</w:t>
      </w:r>
      <w:r w:rsidR="00045386" w:rsidRPr="005D2619">
        <w:rPr>
          <w:rFonts w:ascii="Cambria" w:hAnsi="Cambria"/>
          <w:sz w:val="20"/>
          <w:szCs w:val="20"/>
        </w:rPr>
        <w:t xml:space="preserve"> la </w:t>
      </w:r>
      <w:r w:rsidRPr="005D2619">
        <w:rPr>
          <w:rFonts w:ascii="Cambria" w:hAnsi="Cambria"/>
          <w:sz w:val="20"/>
          <w:szCs w:val="20"/>
        </w:rPr>
        <w:t xml:space="preserve">Comisión Interamericana de Derechos Humanos (en adelante “la Comisión”, “la Comisión Interamericana” o “la CIDH”) recibió </w:t>
      </w:r>
      <w:r w:rsidR="00C01EBC" w:rsidRPr="005D2619">
        <w:rPr>
          <w:rFonts w:ascii="Cambria" w:hAnsi="Cambria"/>
          <w:sz w:val="20"/>
          <w:szCs w:val="20"/>
        </w:rPr>
        <w:t xml:space="preserve">una petición por parte de </w:t>
      </w:r>
      <w:r w:rsidR="00E9436C" w:rsidRPr="005D2619">
        <w:rPr>
          <w:rFonts w:ascii="Cambria" w:hAnsi="Cambria"/>
          <w:sz w:val="20"/>
          <w:szCs w:val="20"/>
        </w:rPr>
        <w:t>la Asociación para la Promoción Social Alter</w:t>
      </w:r>
      <w:r w:rsidR="00991E4B" w:rsidRPr="005D2619">
        <w:rPr>
          <w:rFonts w:ascii="Cambria" w:hAnsi="Cambria"/>
          <w:sz w:val="20"/>
          <w:szCs w:val="20"/>
        </w:rPr>
        <w:t>n</w:t>
      </w:r>
      <w:r w:rsidR="00E9436C" w:rsidRPr="005D2619">
        <w:rPr>
          <w:rFonts w:ascii="Cambria" w:hAnsi="Cambria"/>
          <w:sz w:val="20"/>
          <w:szCs w:val="20"/>
        </w:rPr>
        <w:t>ativa –</w:t>
      </w:r>
      <w:r w:rsidR="00EC3853" w:rsidRPr="005D2619">
        <w:rPr>
          <w:rFonts w:ascii="Cambria" w:hAnsi="Cambria"/>
          <w:sz w:val="20"/>
          <w:szCs w:val="20"/>
        </w:rPr>
        <w:t xml:space="preserve"> Minga</w:t>
      </w:r>
      <w:r w:rsidR="00E9436C" w:rsidRPr="005D2619">
        <w:rPr>
          <w:rFonts w:ascii="Cambria" w:hAnsi="Cambria"/>
          <w:sz w:val="20"/>
          <w:szCs w:val="20"/>
        </w:rPr>
        <w:t xml:space="preserve"> </w:t>
      </w:r>
      <w:r w:rsidR="00C01EBC" w:rsidRPr="005D2619">
        <w:rPr>
          <w:rFonts w:ascii="Cambria" w:hAnsi="Cambria"/>
          <w:sz w:val="20"/>
          <w:szCs w:val="20"/>
        </w:rPr>
        <w:t xml:space="preserve">(en adelante “la </w:t>
      </w:r>
      <w:r w:rsidR="006677EB" w:rsidRPr="005D2619">
        <w:rPr>
          <w:rFonts w:ascii="Cambria" w:hAnsi="Cambria"/>
          <w:sz w:val="20"/>
          <w:szCs w:val="20"/>
        </w:rPr>
        <w:t xml:space="preserve">parte </w:t>
      </w:r>
      <w:r w:rsidR="00C01EBC" w:rsidRPr="005D2619">
        <w:rPr>
          <w:rFonts w:ascii="Cambria" w:hAnsi="Cambria"/>
          <w:sz w:val="20"/>
          <w:szCs w:val="20"/>
        </w:rPr>
        <w:t>peticionaria”</w:t>
      </w:r>
      <w:r w:rsidR="00130109" w:rsidRPr="005D2619">
        <w:rPr>
          <w:rFonts w:ascii="Cambria" w:hAnsi="Cambria"/>
          <w:sz w:val="20"/>
          <w:szCs w:val="20"/>
        </w:rPr>
        <w:t>)</w:t>
      </w:r>
      <w:r w:rsidR="00C01EBC" w:rsidRPr="005D2619">
        <w:rPr>
          <w:rFonts w:ascii="Cambria" w:hAnsi="Cambria"/>
          <w:sz w:val="20"/>
          <w:szCs w:val="20"/>
        </w:rPr>
        <w:t>, en la cual</w:t>
      </w:r>
      <w:r w:rsidRPr="005D2619">
        <w:rPr>
          <w:rFonts w:ascii="Cambria" w:hAnsi="Cambria"/>
          <w:sz w:val="20"/>
          <w:szCs w:val="20"/>
        </w:rPr>
        <w:t xml:space="preserve"> se alegó la responsabilidad internacional de la </w:t>
      </w:r>
      <w:r w:rsidR="00EC3853" w:rsidRPr="005D2619">
        <w:rPr>
          <w:rFonts w:ascii="Cambria" w:hAnsi="Cambria"/>
          <w:sz w:val="20"/>
          <w:szCs w:val="20"/>
        </w:rPr>
        <w:t xml:space="preserve">República de Colombia, </w:t>
      </w:r>
      <w:r w:rsidRPr="005D2619">
        <w:rPr>
          <w:rFonts w:ascii="Cambria" w:hAnsi="Cambria"/>
          <w:sz w:val="20"/>
          <w:szCs w:val="20"/>
        </w:rPr>
        <w:t xml:space="preserve">(en adelante “el Estado”, “el Estado </w:t>
      </w:r>
      <w:r w:rsidR="00EC3853" w:rsidRPr="005D2619">
        <w:rPr>
          <w:rFonts w:ascii="Cambria" w:hAnsi="Cambria"/>
          <w:sz w:val="20"/>
          <w:szCs w:val="20"/>
        </w:rPr>
        <w:t>colombiano</w:t>
      </w:r>
      <w:r w:rsidRPr="005D2619">
        <w:rPr>
          <w:rFonts w:ascii="Cambria" w:hAnsi="Cambria"/>
          <w:sz w:val="20"/>
          <w:szCs w:val="20"/>
        </w:rPr>
        <w:t>” o “</w:t>
      </w:r>
      <w:r w:rsidR="00EC3853" w:rsidRPr="005D2619">
        <w:rPr>
          <w:rFonts w:ascii="Cambria" w:hAnsi="Cambria"/>
          <w:sz w:val="20"/>
          <w:szCs w:val="20"/>
        </w:rPr>
        <w:t>Colombia</w:t>
      </w:r>
      <w:r w:rsidRPr="005D2619">
        <w:rPr>
          <w:rFonts w:ascii="Cambria" w:hAnsi="Cambria"/>
          <w:sz w:val="20"/>
          <w:szCs w:val="20"/>
        </w:rPr>
        <w:t xml:space="preserve">”) </w:t>
      </w:r>
      <w:r w:rsidR="00991E4B" w:rsidRPr="005D2619">
        <w:rPr>
          <w:rFonts w:ascii="Cambria" w:hAnsi="Cambria"/>
          <w:sz w:val="20"/>
          <w:szCs w:val="20"/>
        </w:rPr>
        <w:t>en perjuicio de Gustavo Sastoque Alfonso.</w:t>
      </w:r>
    </w:p>
    <w:p w14:paraId="033FCFAA" w14:textId="77777777" w:rsidR="00E9436C" w:rsidRPr="005D2619" w:rsidRDefault="00E9436C" w:rsidP="008954D5">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rPr>
      </w:pPr>
    </w:p>
    <w:p w14:paraId="420E675A" w14:textId="77777777" w:rsidR="00342680" w:rsidRPr="005D2619" w:rsidRDefault="00342680" w:rsidP="00342680">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rPr>
      </w:pPr>
      <w:r w:rsidRPr="005D2619">
        <w:rPr>
          <w:rFonts w:ascii="Cambria" w:hAnsi="Cambria"/>
          <w:sz w:val="20"/>
          <w:szCs w:val="20"/>
        </w:rPr>
        <w:t>La Comisión aprobó el informe de admisibilidad No. 5/05 el 22 de febrero de 2005</w:t>
      </w:r>
      <w:r w:rsidRPr="005D2619">
        <w:rPr>
          <w:rStyle w:val="FootnoteReference"/>
          <w:rFonts w:ascii="Cambria" w:hAnsi="Cambria"/>
          <w:sz w:val="20"/>
          <w:szCs w:val="20"/>
        </w:rPr>
        <w:footnoteReference w:id="2"/>
      </w:r>
      <w:r w:rsidRPr="005D2619">
        <w:rPr>
          <w:rFonts w:ascii="Cambria" w:hAnsi="Cambria"/>
          <w:sz w:val="20"/>
          <w:szCs w:val="20"/>
        </w:rPr>
        <w:t>. El 5 de septiembre de 2005 la CIDH notificó dicho informe a las partes y se puso a su disposición a fin de llegar a una solución amistosa. El 18 de octubre de 2005 la CIDH celebró una audiencia pública sobre el fondo del caso. En dicha audiencia y</w:t>
      </w:r>
      <w:r w:rsidR="00F2219A" w:rsidRPr="005D2619">
        <w:rPr>
          <w:rFonts w:ascii="Cambria" w:hAnsi="Cambria"/>
          <w:sz w:val="20"/>
          <w:szCs w:val="20"/>
        </w:rPr>
        <w:t>,</w:t>
      </w:r>
      <w:r w:rsidRPr="005D2619">
        <w:rPr>
          <w:rFonts w:ascii="Cambria" w:hAnsi="Cambria"/>
          <w:sz w:val="20"/>
          <w:szCs w:val="20"/>
        </w:rPr>
        <w:t xml:space="preserve"> </w:t>
      </w:r>
      <w:r w:rsidR="00F2219A" w:rsidRPr="005D2619">
        <w:rPr>
          <w:rFonts w:ascii="Cambria" w:hAnsi="Cambria"/>
          <w:sz w:val="20"/>
          <w:szCs w:val="20"/>
        </w:rPr>
        <w:t xml:space="preserve">posteriormente, </w:t>
      </w:r>
      <w:r w:rsidRPr="005D2619">
        <w:rPr>
          <w:rFonts w:ascii="Cambria" w:hAnsi="Cambria"/>
          <w:sz w:val="20"/>
          <w:szCs w:val="20"/>
        </w:rPr>
        <w:t>el 11 de septiembre de 2007 la parte peticionaria presentó sus observaciones de fondo. El 21 de febrero de 2008 la parte peticionaria expresó interés en iniciar un procedimiento de solución amistosa. El 11 de marzo de 2008 la Comisión celebró una reunión de trabajo. El 7 de abril de 2008 las partes enviaron una comunicación informando que tenían interés en iniciar un procedimiento de solución amistosa. El 8 de marzo y 25 de octubre de 2016 el señor Sastoque envió comunicaciones solicitando el informe de fondo pues no se llegó a un acuerdo con el Estado. El 15 de septiembre de 2017</w:t>
      </w:r>
      <w:r w:rsidR="005441A3" w:rsidRPr="005D2619">
        <w:rPr>
          <w:rFonts w:ascii="Cambria" w:hAnsi="Cambria"/>
          <w:sz w:val="20"/>
          <w:szCs w:val="20"/>
        </w:rPr>
        <w:t xml:space="preserve"> y tras constatar que el Estado no había contado con el plazo reglamentario</w:t>
      </w:r>
      <w:r w:rsidR="002F23C1" w:rsidRPr="005D2619">
        <w:rPr>
          <w:rFonts w:ascii="Cambria" w:hAnsi="Cambria"/>
          <w:sz w:val="20"/>
          <w:szCs w:val="20"/>
        </w:rPr>
        <w:t xml:space="preserve"> de cuatro meses</w:t>
      </w:r>
      <w:r w:rsidR="005441A3" w:rsidRPr="005D2619">
        <w:rPr>
          <w:rFonts w:ascii="Cambria" w:hAnsi="Cambria"/>
          <w:sz w:val="20"/>
          <w:szCs w:val="20"/>
        </w:rPr>
        <w:t xml:space="preserve">, </w:t>
      </w:r>
      <w:r w:rsidRPr="005D2619">
        <w:rPr>
          <w:rFonts w:ascii="Cambria" w:hAnsi="Cambria"/>
          <w:sz w:val="20"/>
          <w:szCs w:val="20"/>
        </w:rPr>
        <w:t xml:space="preserve">la CIDH </w:t>
      </w:r>
      <w:r w:rsidR="005441A3" w:rsidRPr="005D2619">
        <w:rPr>
          <w:rFonts w:ascii="Cambria" w:hAnsi="Cambria"/>
          <w:sz w:val="20"/>
          <w:szCs w:val="20"/>
        </w:rPr>
        <w:t xml:space="preserve">le concedió dicho plazo. </w:t>
      </w:r>
      <w:r w:rsidR="002F23C1" w:rsidRPr="005D2619">
        <w:rPr>
          <w:rFonts w:ascii="Cambria" w:hAnsi="Cambria"/>
          <w:sz w:val="20"/>
          <w:szCs w:val="20"/>
        </w:rPr>
        <w:t xml:space="preserve">El Estado no presentó observaciones adicionales tras dicha comunicación </w:t>
      </w:r>
      <w:r w:rsidR="000554D3" w:rsidRPr="005D2619">
        <w:rPr>
          <w:rFonts w:ascii="Cambria" w:hAnsi="Cambria"/>
          <w:sz w:val="20"/>
          <w:szCs w:val="20"/>
        </w:rPr>
        <w:t>de la Comisión.</w:t>
      </w:r>
    </w:p>
    <w:p w14:paraId="3D9FC330" w14:textId="77777777" w:rsidR="002371C8" w:rsidRPr="005D2619" w:rsidRDefault="002371C8" w:rsidP="002371C8">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sz w:val="20"/>
          <w:szCs w:val="20"/>
        </w:rPr>
      </w:pPr>
    </w:p>
    <w:p w14:paraId="350FCA9A" w14:textId="77777777" w:rsidR="00342680" w:rsidRPr="005D2619" w:rsidRDefault="00342680" w:rsidP="00342680">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rPr>
      </w:pPr>
      <w:r w:rsidRPr="005D2619">
        <w:rPr>
          <w:rFonts w:ascii="Cambria" w:hAnsi="Cambria"/>
          <w:sz w:val="20"/>
          <w:szCs w:val="20"/>
        </w:rPr>
        <w:t>La parte peticionaria alegó que el Estado es responsable por la detención ilegal y arbitraria de Gustavo Sastoque Alfonso</w:t>
      </w:r>
      <w:r w:rsidR="000E6681" w:rsidRPr="005D2619">
        <w:rPr>
          <w:rFonts w:ascii="Cambria" w:hAnsi="Cambria"/>
          <w:sz w:val="20"/>
          <w:szCs w:val="20"/>
        </w:rPr>
        <w:t xml:space="preserve">, funcionario </w:t>
      </w:r>
      <w:r w:rsidR="005D2619" w:rsidRPr="005D2619">
        <w:rPr>
          <w:rFonts w:ascii="Cambria" w:hAnsi="Cambria"/>
          <w:sz w:val="20"/>
          <w:szCs w:val="20"/>
        </w:rPr>
        <w:t xml:space="preserve">administrativo </w:t>
      </w:r>
      <w:r w:rsidR="000E6681" w:rsidRPr="005D2619">
        <w:rPr>
          <w:rFonts w:ascii="Cambria" w:hAnsi="Cambria"/>
          <w:sz w:val="20"/>
          <w:szCs w:val="20"/>
        </w:rPr>
        <w:t>del Cuerpo Técnico de Investigación de la Fiscalía General de la Nación,</w:t>
      </w:r>
      <w:r w:rsidRPr="005D2619">
        <w:rPr>
          <w:rFonts w:ascii="Cambria" w:hAnsi="Cambria"/>
          <w:sz w:val="20"/>
          <w:szCs w:val="20"/>
        </w:rPr>
        <w:t xml:space="preserve"> en marzo de 1995, </w:t>
      </w:r>
      <w:r w:rsidRPr="005D2619">
        <w:rPr>
          <w:rFonts w:ascii="Cambria" w:hAnsi="Cambria"/>
          <w:sz w:val="20"/>
          <w:szCs w:val="20"/>
          <w:lang w:val="es-ES"/>
        </w:rPr>
        <w:t xml:space="preserve">por parte de agentes </w:t>
      </w:r>
      <w:r w:rsidR="00571011" w:rsidRPr="005D2619">
        <w:rPr>
          <w:rFonts w:ascii="Cambria" w:hAnsi="Cambria"/>
          <w:sz w:val="20"/>
          <w:szCs w:val="20"/>
          <w:lang w:val="es-ES"/>
        </w:rPr>
        <w:t xml:space="preserve">estatales </w:t>
      </w:r>
      <w:r w:rsidRPr="005D2619">
        <w:rPr>
          <w:rFonts w:ascii="Cambria" w:hAnsi="Cambria"/>
          <w:sz w:val="20"/>
          <w:szCs w:val="20"/>
          <w:lang w:val="es-ES"/>
        </w:rPr>
        <w:t xml:space="preserve">en la ciudad de Bogotá. Sostuvo que </w:t>
      </w:r>
      <w:r w:rsidR="00571011" w:rsidRPr="005D2619">
        <w:rPr>
          <w:rFonts w:ascii="Cambria" w:hAnsi="Cambria"/>
          <w:sz w:val="20"/>
          <w:szCs w:val="20"/>
          <w:lang w:val="es-ES"/>
        </w:rPr>
        <w:t xml:space="preserve">en </w:t>
      </w:r>
      <w:r w:rsidRPr="005D2619">
        <w:rPr>
          <w:rFonts w:ascii="Cambria" w:hAnsi="Cambria"/>
          <w:sz w:val="20"/>
          <w:szCs w:val="20"/>
          <w:lang w:val="es-ES"/>
        </w:rPr>
        <w:t xml:space="preserve">el proceso penal que se le siguió por el delito de homicidio, el cual culminó con una sentencia condenatoria de 40 años de prisión, </w:t>
      </w:r>
      <w:r w:rsidR="00571011" w:rsidRPr="005D2619">
        <w:rPr>
          <w:rFonts w:ascii="Cambria" w:hAnsi="Cambria"/>
          <w:sz w:val="20"/>
          <w:szCs w:val="20"/>
          <w:lang w:val="es-ES"/>
        </w:rPr>
        <w:t xml:space="preserve">se </w:t>
      </w:r>
      <w:r w:rsidRPr="005D2619">
        <w:rPr>
          <w:rFonts w:ascii="Cambria" w:hAnsi="Cambria"/>
          <w:sz w:val="20"/>
          <w:szCs w:val="20"/>
          <w:lang w:val="es-ES"/>
        </w:rPr>
        <w:t>vulneró diversas garantías judiciales.</w:t>
      </w:r>
      <w:r w:rsidR="00571011" w:rsidRPr="005D2619">
        <w:rPr>
          <w:rFonts w:ascii="Cambria" w:hAnsi="Cambria"/>
          <w:sz w:val="20"/>
          <w:szCs w:val="20"/>
          <w:lang w:val="es-ES"/>
        </w:rPr>
        <w:t xml:space="preserve"> Asimismo, señaló que el proceso penal constituyó un montaje para responsabilizar a la presunta víctima del asesinato de</w:t>
      </w:r>
      <w:r w:rsidR="000E6681" w:rsidRPr="005D2619">
        <w:rPr>
          <w:rFonts w:ascii="Cambria" w:hAnsi="Cambria"/>
          <w:sz w:val="20"/>
          <w:szCs w:val="20"/>
          <w:lang w:val="es-ES"/>
        </w:rPr>
        <w:t>l líder ex-guerrillero</w:t>
      </w:r>
      <w:r w:rsidR="004D008A" w:rsidRPr="005D2619">
        <w:rPr>
          <w:rFonts w:ascii="Cambria" w:hAnsi="Cambria"/>
          <w:sz w:val="20"/>
          <w:szCs w:val="20"/>
          <w:lang w:val="es-ES"/>
        </w:rPr>
        <w:t xml:space="preserve"> Hern</w:t>
      </w:r>
      <w:r w:rsidR="00FC7FDC" w:rsidRPr="005D2619">
        <w:rPr>
          <w:rFonts w:ascii="Cambria" w:hAnsi="Cambria"/>
          <w:sz w:val="20"/>
          <w:szCs w:val="20"/>
          <w:lang w:val="es-ES"/>
        </w:rPr>
        <w:t>ando</w:t>
      </w:r>
      <w:r w:rsidR="00571011" w:rsidRPr="005D2619">
        <w:rPr>
          <w:rFonts w:ascii="Cambria" w:hAnsi="Cambria"/>
          <w:sz w:val="20"/>
          <w:szCs w:val="20"/>
          <w:lang w:val="es-ES"/>
        </w:rPr>
        <w:t xml:space="preserve"> Pizarro. </w:t>
      </w:r>
    </w:p>
    <w:p w14:paraId="39DC3855" w14:textId="77777777" w:rsidR="002371C8" w:rsidRPr="005D2619" w:rsidRDefault="002371C8" w:rsidP="002371C8">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rPr>
      </w:pPr>
    </w:p>
    <w:p w14:paraId="5069EC2B" w14:textId="77777777" w:rsidR="001B3677" w:rsidRPr="005D2619" w:rsidRDefault="00342680" w:rsidP="00342680">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ES"/>
        </w:rPr>
      </w:pPr>
      <w:r w:rsidRPr="005D2619">
        <w:rPr>
          <w:rFonts w:ascii="Cambria" w:hAnsi="Cambria"/>
          <w:sz w:val="20"/>
          <w:szCs w:val="20"/>
          <w:lang w:val="es-ES"/>
        </w:rPr>
        <w:t xml:space="preserve">El Estado sostuvo que no es responsable internacionalmente ya que el arresto del señor Sastoque se realizó con base en una orden de detención. Indicó que el proceso cumplió con todas las garantías judiciales y que se respetó la presunción de inocencia y el derecho de defensa del señor Sastoque. </w:t>
      </w:r>
      <w:r w:rsidR="00C84706" w:rsidRPr="005D2619">
        <w:rPr>
          <w:rFonts w:ascii="Cambria" w:hAnsi="Cambria"/>
          <w:sz w:val="20"/>
          <w:szCs w:val="20"/>
          <w:lang w:val="es-ES"/>
        </w:rPr>
        <w:t xml:space="preserve">Alegó </w:t>
      </w:r>
      <w:r w:rsidRPr="005D2619">
        <w:rPr>
          <w:rFonts w:ascii="Cambria" w:hAnsi="Cambria"/>
          <w:sz w:val="20"/>
          <w:szCs w:val="20"/>
          <w:lang w:val="es-ES"/>
        </w:rPr>
        <w:t>que la sentencia condenatoria estuvo debidamente fundamentada conforme a su ordenamiento interno. El Estado agregó que la parte peticionaria pretende que la CIDH actúe como una cuarta instancia a efectos de revisar una sentencia judicial en firme.</w:t>
      </w:r>
    </w:p>
    <w:p w14:paraId="0A961EEB" w14:textId="77777777" w:rsidR="00342680" w:rsidRPr="005D2619" w:rsidRDefault="00342680" w:rsidP="00E9436C">
      <w:pPr>
        <w:tabs>
          <w:tab w:val="num" w:pos="1440"/>
        </w:tabs>
        <w:spacing w:after="0" w:line="240" w:lineRule="auto"/>
        <w:jc w:val="both"/>
        <w:rPr>
          <w:rFonts w:ascii="Cambria" w:hAnsi="Cambria"/>
          <w:sz w:val="20"/>
          <w:szCs w:val="20"/>
          <w:lang w:val="es-ES"/>
        </w:rPr>
      </w:pPr>
    </w:p>
    <w:p w14:paraId="3C2CC310" w14:textId="4DE7C9E5" w:rsidR="001815C2" w:rsidRPr="005D2619" w:rsidRDefault="00D014FC" w:rsidP="00E07E25">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pPr>
      <w:r w:rsidRPr="005D2619">
        <w:rPr>
          <w:rFonts w:ascii="Cambria" w:hAnsi="Cambria"/>
          <w:sz w:val="20"/>
          <w:szCs w:val="20"/>
        </w:rPr>
        <w:t>L</w:t>
      </w:r>
      <w:r w:rsidR="001B3677" w:rsidRPr="005D2619">
        <w:rPr>
          <w:rFonts w:ascii="Cambria" w:hAnsi="Cambria"/>
          <w:sz w:val="20"/>
          <w:szCs w:val="20"/>
        </w:rPr>
        <w:t xml:space="preserve">a Comisión concluyó que </w:t>
      </w:r>
      <w:r w:rsidR="001815C2" w:rsidRPr="005D2619">
        <w:rPr>
          <w:rFonts w:ascii="Cambria" w:hAnsi="Cambria"/>
          <w:sz w:val="20"/>
          <w:szCs w:val="20"/>
        </w:rPr>
        <w:t>el Estado es responsable por la violación de los derechos a la</w:t>
      </w:r>
      <w:r w:rsidR="00563BE5" w:rsidRPr="005D2619">
        <w:rPr>
          <w:rFonts w:ascii="Cambria" w:hAnsi="Cambria"/>
          <w:sz w:val="20"/>
          <w:szCs w:val="20"/>
        </w:rPr>
        <w:t xml:space="preserve"> integridad</w:t>
      </w:r>
      <w:r w:rsidR="00672CFB" w:rsidRPr="005D2619">
        <w:rPr>
          <w:rFonts w:ascii="Cambria" w:hAnsi="Cambria"/>
          <w:sz w:val="20"/>
          <w:szCs w:val="20"/>
        </w:rPr>
        <w:t xml:space="preserve"> personal,</w:t>
      </w:r>
      <w:r w:rsidR="001815C2" w:rsidRPr="005D2619">
        <w:rPr>
          <w:rFonts w:ascii="Cambria" w:hAnsi="Cambria"/>
          <w:sz w:val="20"/>
          <w:szCs w:val="20"/>
        </w:rPr>
        <w:t xml:space="preserve"> libertad personal, garantías judiciales y protección judicial, establecidos en los artículos </w:t>
      </w:r>
      <w:r w:rsidR="00B236E8" w:rsidRPr="005D2619">
        <w:rPr>
          <w:rFonts w:ascii="Cambria" w:hAnsi="Cambria"/>
          <w:sz w:val="20"/>
          <w:szCs w:val="20"/>
        </w:rPr>
        <w:t xml:space="preserve">5.1, </w:t>
      </w:r>
      <w:r w:rsidR="001815C2" w:rsidRPr="005D2619">
        <w:rPr>
          <w:rFonts w:ascii="Cambria" w:hAnsi="Cambria"/>
          <w:sz w:val="20"/>
          <w:szCs w:val="20"/>
        </w:rPr>
        <w:t>7.1, 7.2, 7.3,</w:t>
      </w:r>
      <w:r w:rsidR="00B236E8" w:rsidRPr="005D2619">
        <w:rPr>
          <w:rFonts w:ascii="Cambria" w:hAnsi="Cambria"/>
          <w:sz w:val="20"/>
          <w:szCs w:val="20"/>
        </w:rPr>
        <w:t xml:space="preserve"> 7.4,</w:t>
      </w:r>
      <w:r w:rsidR="001815C2" w:rsidRPr="005D2619">
        <w:rPr>
          <w:rFonts w:ascii="Cambria" w:hAnsi="Cambria"/>
          <w:sz w:val="20"/>
          <w:szCs w:val="20"/>
        </w:rPr>
        <w:t xml:space="preserve"> 8.1, 8.2, 8.2 c), 8.2 f) y 25.1 de la Convención Americana sobre Derechos Humanos en relación con las</w:t>
      </w:r>
      <w:r w:rsidR="00B236E8" w:rsidRPr="005D2619">
        <w:rPr>
          <w:rFonts w:ascii="Cambria" w:hAnsi="Cambria"/>
          <w:sz w:val="20"/>
          <w:szCs w:val="20"/>
        </w:rPr>
        <w:t xml:space="preserve"> obligaciones establecidas en los</w:t>
      </w:r>
      <w:r w:rsidR="001815C2" w:rsidRPr="005D2619">
        <w:rPr>
          <w:rFonts w:ascii="Cambria" w:hAnsi="Cambria"/>
          <w:sz w:val="20"/>
          <w:szCs w:val="20"/>
        </w:rPr>
        <w:t xml:space="preserve"> artículos 1.1</w:t>
      </w:r>
      <w:r w:rsidR="00B236E8" w:rsidRPr="005D2619">
        <w:rPr>
          <w:rFonts w:ascii="Cambria" w:hAnsi="Cambria"/>
          <w:sz w:val="20"/>
          <w:szCs w:val="20"/>
        </w:rPr>
        <w:t xml:space="preserve"> y 2</w:t>
      </w:r>
      <w:r w:rsidR="001815C2" w:rsidRPr="005D2619">
        <w:rPr>
          <w:rFonts w:ascii="Cambria" w:hAnsi="Cambria"/>
          <w:sz w:val="20"/>
          <w:szCs w:val="20"/>
        </w:rPr>
        <w:t xml:space="preserve"> del mismo instrumento, en perjuicio de </w:t>
      </w:r>
      <w:r w:rsidR="001815C2" w:rsidRPr="005D2619">
        <w:rPr>
          <w:rFonts w:ascii="Cambria" w:hAnsi="Cambria"/>
          <w:sz w:val="20"/>
          <w:szCs w:val="20"/>
          <w:lang w:val="es-ES"/>
        </w:rPr>
        <w:t>Gustavo Sastoque Alfonso</w:t>
      </w:r>
      <w:r w:rsidR="001815C2" w:rsidRPr="005D2619">
        <w:rPr>
          <w:rFonts w:ascii="Cambria" w:hAnsi="Cambria"/>
          <w:sz w:val="20"/>
          <w:szCs w:val="20"/>
        </w:rPr>
        <w:t>.</w:t>
      </w:r>
      <w:r w:rsidR="00141A75" w:rsidRPr="005D2619">
        <w:rPr>
          <w:rFonts w:ascii="Cambria" w:hAnsi="Cambria"/>
          <w:sz w:val="20"/>
          <w:szCs w:val="20"/>
        </w:rPr>
        <w:t xml:space="preserve"> La Comisión formuló las recomendaciones respectivas. </w:t>
      </w:r>
    </w:p>
    <w:p w14:paraId="1C43FE4D" w14:textId="77777777" w:rsidR="001815C2" w:rsidRPr="005D2619" w:rsidRDefault="001815C2" w:rsidP="00E07E25">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pPr>
    </w:p>
    <w:p w14:paraId="0596C946" w14:textId="77777777" w:rsidR="007C6AC2" w:rsidRDefault="007C6AC2">
      <w:pPr>
        <w:spacing w:after="0" w:line="240" w:lineRule="auto"/>
        <w:rPr>
          <w:rFonts w:ascii="Cambria" w:eastAsia="MS Gothic" w:hAnsi="Cambria"/>
          <w:b/>
          <w:bCs/>
          <w:sz w:val="20"/>
          <w:szCs w:val="20"/>
          <w:bdr w:val="nil"/>
          <w:lang w:val="es-PE"/>
        </w:rPr>
      </w:pPr>
      <w:bookmarkStart w:id="6" w:name="_Toc430268168"/>
      <w:bookmarkStart w:id="7" w:name="_Toc446591742"/>
      <w:bookmarkStart w:id="8" w:name="_Toc480636763"/>
      <w:r w:rsidRPr="00B66E4E">
        <w:rPr>
          <w:lang w:val="es-US"/>
        </w:rPr>
        <w:br w:type="page"/>
      </w:r>
    </w:p>
    <w:p w14:paraId="777FA05E" w14:textId="575C28D1" w:rsidR="001B3677" w:rsidRPr="005D2619" w:rsidRDefault="00130109" w:rsidP="00E9436C">
      <w:pPr>
        <w:pStyle w:val="Heading1"/>
        <w:ind w:left="1440" w:hanging="720"/>
      </w:pPr>
      <w:bookmarkStart w:id="9" w:name="_Toc203986798"/>
      <w:r w:rsidRPr="005D2619">
        <w:lastRenderedPageBreak/>
        <w:t>ALEGATOS</w:t>
      </w:r>
      <w:r w:rsidR="001B3677" w:rsidRPr="005D2619">
        <w:t xml:space="preserve"> DE LAS PARTES</w:t>
      </w:r>
      <w:bookmarkEnd w:id="6"/>
      <w:bookmarkEnd w:id="7"/>
      <w:bookmarkEnd w:id="8"/>
      <w:bookmarkEnd w:id="9"/>
    </w:p>
    <w:p w14:paraId="76383287" w14:textId="77777777" w:rsidR="001B3677" w:rsidRPr="005D2619" w:rsidRDefault="001B3677" w:rsidP="00E9436C">
      <w:pPr>
        <w:pStyle w:val="Heading1"/>
        <w:numPr>
          <w:ilvl w:val="0"/>
          <w:numId w:val="0"/>
        </w:numPr>
        <w:ind w:left="567"/>
      </w:pPr>
    </w:p>
    <w:p w14:paraId="64F752F6" w14:textId="77777777" w:rsidR="001B3677" w:rsidRPr="005D2619" w:rsidRDefault="006B0AC4" w:rsidP="00E9436C">
      <w:pPr>
        <w:pStyle w:val="Heading2"/>
        <w:ind w:left="1440" w:hanging="720"/>
      </w:pPr>
      <w:bookmarkStart w:id="10" w:name="_Toc203986799"/>
      <w:r w:rsidRPr="005D2619">
        <w:t>Parte p</w:t>
      </w:r>
      <w:r w:rsidR="00130109" w:rsidRPr="005D2619">
        <w:t>eticionaria</w:t>
      </w:r>
      <w:bookmarkEnd w:id="10"/>
    </w:p>
    <w:p w14:paraId="7F36932F" w14:textId="77777777" w:rsidR="008D5C45" w:rsidRPr="005D2619" w:rsidRDefault="008D5C45" w:rsidP="00E9436C">
      <w:pPr>
        <w:spacing w:after="0" w:line="240" w:lineRule="auto"/>
        <w:rPr>
          <w:rFonts w:ascii="Cambria" w:hAnsi="Cambria"/>
          <w:sz w:val="20"/>
          <w:szCs w:val="20"/>
          <w:lang w:val="es-CO"/>
        </w:rPr>
      </w:pPr>
    </w:p>
    <w:p w14:paraId="6BB980E3" w14:textId="77777777" w:rsidR="00342680" w:rsidRPr="005D2619" w:rsidRDefault="00342680" w:rsidP="00342680">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rPr>
      </w:pPr>
      <w:r w:rsidRPr="005D2619">
        <w:rPr>
          <w:rFonts w:ascii="Cambria" w:hAnsi="Cambria"/>
          <w:sz w:val="20"/>
          <w:szCs w:val="20"/>
        </w:rPr>
        <w:t xml:space="preserve">La parte peticionaria alegó que el Estado es responsable por la detención ilegal y arbitraria de Gustavo Sastoque Alfonso en marzo de 1995, </w:t>
      </w:r>
      <w:r w:rsidRPr="005D2619">
        <w:rPr>
          <w:rFonts w:ascii="Cambria" w:hAnsi="Cambria"/>
          <w:sz w:val="20"/>
          <w:szCs w:val="20"/>
          <w:lang w:val="es-ES"/>
        </w:rPr>
        <w:t xml:space="preserve">por parte de agentes </w:t>
      </w:r>
      <w:r w:rsidR="001815C2" w:rsidRPr="005D2619">
        <w:rPr>
          <w:rFonts w:ascii="Cambria" w:hAnsi="Cambria"/>
          <w:sz w:val="20"/>
          <w:szCs w:val="20"/>
          <w:lang w:val="es-ES"/>
        </w:rPr>
        <w:t xml:space="preserve">estatales </w:t>
      </w:r>
      <w:r w:rsidRPr="005D2619">
        <w:rPr>
          <w:rFonts w:ascii="Cambria" w:hAnsi="Cambria"/>
          <w:sz w:val="20"/>
          <w:szCs w:val="20"/>
          <w:lang w:val="es-ES"/>
        </w:rPr>
        <w:t>en la ciudad de Bogotá. Sostuvo que el proceso penal que se le siguió por el delito de homicidio, el cual culminó con una sentencia condenatoria de 40 años de prisión, vulneró diversas garantías judiciales, tales como</w:t>
      </w:r>
      <w:r w:rsidR="001815C2" w:rsidRPr="005D2619">
        <w:rPr>
          <w:rFonts w:ascii="Cambria" w:hAnsi="Cambria"/>
          <w:sz w:val="20"/>
          <w:szCs w:val="20"/>
          <w:lang w:val="es-ES"/>
        </w:rPr>
        <w:t>:</w:t>
      </w:r>
      <w:r w:rsidRPr="005D2619">
        <w:rPr>
          <w:rFonts w:ascii="Cambria" w:hAnsi="Cambria"/>
          <w:sz w:val="20"/>
          <w:szCs w:val="20"/>
          <w:lang w:val="es-ES"/>
        </w:rPr>
        <w:t xml:space="preserve"> i) el conocimiento del caso por parte de la denominada “justicia regional” y no de la jurisdicción penal ordinaria, por lo que se emplearon jueces sin rostros, afectando el principio de competencia, independencia e imparcialidad; ii) la utilización de testigos con reserva de identidad; iii) la imposibilidad de interrogar a testigos y de presentar prueba, afectando su derecho de defensa; y iv) el plazo irrazonable de duración del proceso. </w:t>
      </w:r>
    </w:p>
    <w:p w14:paraId="46926665" w14:textId="77777777" w:rsidR="00741E16" w:rsidRPr="005D2619" w:rsidRDefault="00741E16" w:rsidP="00D7401B">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ES"/>
        </w:rPr>
      </w:pPr>
    </w:p>
    <w:p w14:paraId="796F1A1D" w14:textId="77777777" w:rsidR="00342680" w:rsidRPr="005D2619" w:rsidRDefault="00342680" w:rsidP="00342680">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ES"/>
        </w:rPr>
      </w:pPr>
      <w:r w:rsidRPr="005D2619">
        <w:rPr>
          <w:rFonts w:ascii="Cambria" w:hAnsi="Cambria"/>
          <w:sz w:val="20"/>
          <w:szCs w:val="20"/>
          <w:lang w:val="es-ES"/>
        </w:rPr>
        <w:t xml:space="preserve">A título de antecedentes, la parte peticionaria indicó que en la época de los hechos </w:t>
      </w:r>
      <w:r w:rsidRPr="005D2619">
        <w:rPr>
          <w:rFonts w:ascii="Cambria" w:hAnsi="Cambria"/>
          <w:sz w:val="20"/>
          <w:szCs w:val="20"/>
        </w:rPr>
        <w:t xml:space="preserve">Gustavo Sastoque Alfonso </w:t>
      </w:r>
      <w:r w:rsidRPr="005D2619">
        <w:rPr>
          <w:rFonts w:ascii="Cambria" w:hAnsi="Cambria"/>
          <w:sz w:val="20"/>
          <w:szCs w:val="20"/>
          <w:lang w:val="es-ES"/>
        </w:rPr>
        <w:t xml:space="preserve">era funcionario administrativo del Cuerpo Técnico de Investigación (en adelante “el CTI”) de la Fiscalía General de la </w:t>
      </w:r>
      <w:r w:rsidRPr="005D2619">
        <w:rPr>
          <w:rFonts w:ascii="Cambria" w:hAnsi="Cambria"/>
          <w:color w:val="auto"/>
          <w:sz w:val="20"/>
          <w:szCs w:val="20"/>
          <w:lang w:val="es-ES"/>
        </w:rPr>
        <w:t>Nación. Sostuvo que agentes estatales habrían ejecutado extrajudicialmente a Hern</w:t>
      </w:r>
      <w:r w:rsidR="004D008A" w:rsidRPr="005D2619">
        <w:rPr>
          <w:rFonts w:ascii="Cambria" w:hAnsi="Cambria"/>
          <w:color w:val="auto"/>
          <w:sz w:val="20"/>
          <w:szCs w:val="20"/>
          <w:lang w:val="es-ES"/>
        </w:rPr>
        <w:t>án</w:t>
      </w:r>
      <w:r w:rsidRPr="005D2619">
        <w:rPr>
          <w:rFonts w:ascii="Cambria" w:hAnsi="Cambria"/>
          <w:color w:val="auto"/>
          <w:sz w:val="20"/>
          <w:szCs w:val="20"/>
          <w:lang w:val="es-ES"/>
        </w:rPr>
        <w:t xml:space="preserve"> Pizarro, quien presuntamente estaba vinculado con la guerrilla, y que por tal hecho fue detenido y procesado penalmente el señor Sastoque</w:t>
      </w:r>
      <w:r w:rsidRPr="005D2619">
        <w:rPr>
          <w:rFonts w:ascii="Cambria" w:hAnsi="Cambria"/>
          <w:sz w:val="20"/>
          <w:szCs w:val="20"/>
          <w:lang w:val="es-ES"/>
        </w:rPr>
        <w:t xml:space="preserve"> como un “montaje para encubrir a los verdaderos responsables y encontrar un chivo expiatorio del crimen”. El detalle del proceso penal será referido en la siguiente sección.</w:t>
      </w:r>
    </w:p>
    <w:p w14:paraId="3649BA2E" w14:textId="77777777" w:rsidR="002D4484" w:rsidRPr="005D2619" w:rsidRDefault="002D4484" w:rsidP="002D4484">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ES"/>
        </w:rPr>
      </w:pPr>
    </w:p>
    <w:p w14:paraId="45784310" w14:textId="77777777" w:rsidR="00917BF1" w:rsidRPr="005D2619" w:rsidRDefault="002D4484" w:rsidP="00C15058">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ES"/>
        </w:rPr>
      </w:pPr>
      <w:r w:rsidRPr="005D2619">
        <w:rPr>
          <w:rFonts w:ascii="Cambria" w:hAnsi="Cambria"/>
          <w:sz w:val="20"/>
          <w:szCs w:val="20"/>
          <w:lang w:val="es-ES"/>
        </w:rPr>
        <w:t>En relación con el derecho a la libertad personal, la parte peticionaria alegó que la detención del señor Sastoque fue ilegal y arbitraria. Sostuvo que</w:t>
      </w:r>
      <w:r w:rsidR="005C638A" w:rsidRPr="005D2619">
        <w:rPr>
          <w:rFonts w:ascii="Cambria" w:hAnsi="Cambria"/>
          <w:sz w:val="20"/>
          <w:szCs w:val="20"/>
          <w:lang w:val="es-ES"/>
        </w:rPr>
        <w:t xml:space="preserve"> la presunta víctima fue citada</w:t>
      </w:r>
      <w:r w:rsidR="0030083F" w:rsidRPr="005D2619">
        <w:rPr>
          <w:rFonts w:ascii="Cambria" w:hAnsi="Cambria"/>
          <w:sz w:val="20"/>
          <w:szCs w:val="20"/>
          <w:lang w:val="es-ES"/>
        </w:rPr>
        <w:t xml:space="preserve"> mediante un </w:t>
      </w:r>
      <w:r w:rsidR="001815C2" w:rsidRPr="005D2619">
        <w:rPr>
          <w:rFonts w:ascii="Cambria" w:hAnsi="Cambria"/>
          <w:sz w:val="20"/>
          <w:szCs w:val="20"/>
          <w:lang w:val="es-ES"/>
        </w:rPr>
        <w:t>mensaje</w:t>
      </w:r>
      <w:r w:rsidR="0030083F" w:rsidRPr="005D2619">
        <w:rPr>
          <w:rFonts w:ascii="Cambria" w:hAnsi="Cambria"/>
          <w:sz w:val="20"/>
          <w:szCs w:val="20"/>
          <w:lang w:val="es-ES"/>
        </w:rPr>
        <w:t xml:space="preserve"> para que compareciera</w:t>
      </w:r>
      <w:r w:rsidRPr="005D2619">
        <w:rPr>
          <w:rFonts w:ascii="Cambria" w:hAnsi="Cambria"/>
          <w:sz w:val="20"/>
          <w:szCs w:val="20"/>
          <w:lang w:val="es-ES"/>
        </w:rPr>
        <w:t xml:space="preserve"> ante</w:t>
      </w:r>
      <w:r w:rsidR="00342680" w:rsidRPr="005D2619">
        <w:rPr>
          <w:rFonts w:ascii="Cambria" w:hAnsi="Cambria"/>
          <w:sz w:val="20"/>
          <w:szCs w:val="20"/>
          <w:lang w:val="es-ES"/>
        </w:rPr>
        <w:t xml:space="preserve"> la Fiscalía para preguntar por un expediente</w:t>
      </w:r>
      <w:r w:rsidR="0030083F" w:rsidRPr="005D2619">
        <w:rPr>
          <w:rFonts w:ascii="Cambria" w:hAnsi="Cambria"/>
          <w:sz w:val="20"/>
          <w:szCs w:val="20"/>
          <w:lang w:val="es-ES"/>
        </w:rPr>
        <w:t xml:space="preserve">. Señaló que </w:t>
      </w:r>
      <w:r w:rsidR="0049753A" w:rsidRPr="005D2619">
        <w:rPr>
          <w:rFonts w:ascii="Cambria" w:hAnsi="Cambria"/>
          <w:sz w:val="20"/>
          <w:szCs w:val="20"/>
          <w:lang w:val="es-ES"/>
        </w:rPr>
        <w:t xml:space="preserve">cuando llegó </w:t>
      </w:r>
      <w:r w:rsidR="00342680" w:rsidRPr="005D2619">
        <w:rPr>
          <w:rFonts w:ascii="Cambria" w:hAnsi="Cambria"/>
          <w:sz w:val="20"/>
          <w:szCs w:val="20"/>
          <w:lang w:val="es-ES"/>
        </w:rPr>
        <w:t>a dicho lugar</w:t>
      </w:r>
      <w:r w:rsidR="0049753A" w:rsidRPr="005D2619">
        <w:rPr>
          <w:rFonts w:ascii="Cambria" w:hAnsi="Cambria"/>
          <w:sz w:val="20"/>
          <w:szCs w:val="20"/>
          <w:lang w:val="es-ES"/>
        </w:rPr>
        <w:t>, el señor Sas</w:t>
      </w:r>
      <w:r w:rsidR="00E07211" w:rsidRPr="005D2619">
        <w:rPr>
          <w:rFonts w:ascii="Cambria" w:hAnsi="Cambria"/>
          <w:sz w:val="20"/>
          <w:szCs w:val="20"/>
          <w:lang w:val="es-ES"/>
        </w:rPr>
        <w:t xml:space="preserve">toque fue </w:t>
      </w:r>
      <w:r w:rsidR="00803DA7" w:rsidRPr="005D2619">
        <w:rPr>
          <w:rFonts w:ascii="Cambria" w:hAnsi="Cambria"/>
          <w:sz w:val="20"/>
          <w:szCs w:val="20"/>
          <w:lang w:val="es-ES"/>
        </w:rPr>
        <w:t xml:space="preserve">detenido por agentes estatales </w:t>
      </w:r>
      <w:r w:rsidR="0049753A" w:rsidRPr="005D2619">
        <w:rPr>
          <w:rFonts w:ascii="Cambria" w:hAnsi="Cambria"/>
          <w:sz w:val="20"/>
          <w:szCs w:val="20"/>
          <w:lang w:val="es-ES"/>
        </w:rPr>
        <w:t>en un cuarto de interrogatorio sin</w:t>
      </w:r>
      <w:r w:rsidR="00917BF1" w:rsidRPr="005D2619">
        <w:rPr>
          <w:rFonts w:ascii="Cambria" w:hAnsi="Cambria"/>
          <w:sz w:val="20"/>
          <w:szCs w:val="20"/>
          <w:lang w:val="es-ES"/>
        </w:rPr>
        <w:t xml:space="preserve"> que inicialmente se le indicara</w:t>
      </w:r>
      <w:r w:rsidR="00F55918" w:rsidRPr="005D2619">
        <w:rPr>
          <w:rFonts w:ascii="Cambria" w:hAnsi="Cambria"/>
          <w:sz w:val="20"/>
          <w:szCs w:val="20"/>
          <w:lang w:val="es-ES"/>
        </w:rPr>
        <w:t>n</w:t>
      </w:r>
      <w:r w:rsidR="00917BF1" w:rsidRPr="005D2619">
        <w:rPr>
          <w:rFonts w:ascii="Cambria" w:hAnsi="Cambria"/>
          <w:sz w:val="20"/>
          <w:szCs w:val="20"/>
          <w:lang w:val="es-ES"/>
        </w:rPr>
        <w:t xml:space="preserve"> las razones de su arresto. Agregó que una hora después de estar detenido le mostraron al señor Sastoque una orden de arresto, emitida el mismo día, por el de</w:t>
      </w:r>
      <w:r w:rsidR="00342680" w:rsidRPr="005D2619">
        <w:rPr>
          <w:rFonts w:ascii="Cambria" w:hAnsi="Cambria"/>
          <w:sz w:val="20"/>
          <w:szCs w:val="20"/>
          <w:lang w:val="es-ES"/>
        </w:rPr>
        <w:t>lito de homicidio de Hern</w:t>
      </w:r>
      <w:r w:rsidR="00903346" w:rsidRPr="005D2619">
        <w:rPr>
          <w:rFonts w:ascii="Cambria" w:hAnsi="Cambria"/>
          <w:sz w:val="20"/>
          <w:szCs w:val="20"/>
          <w:lang w:val="es-ES"/>
        </w:rPr>
        <w:t>a</w:t>
      </w:r>
      <w:r w:rsidR="00342680" w:rsidRPr="005D2619">
        <w:rPr>
          <w:rFonts w:ascii="Cambria" w:hAnsi="Cambria"/>
          <w:sz w:val="20"/>
          <w:szCs w:val="20"/>
          <w:lang w:val="es-ES"/>
        </w:rPr>
        <w:t>n</w:t>
      </w:r>
      <w:r w:rsidR="00903346" w:rsidRPr="005D2619">
        <w:rPr>
          <w:rFonts w:ascii="Cambria" w:hAnsi="Cambria"/>
          <w:sz w:val="20"/>
          <w:szCs w:val="20"/>
          <w:lang w:val="es-ES"/>
        </w:rPr>
        <w:t>do</w:t>
      </w:r>
      <w:r w:rsidR="00342680" w:rsidRPr="005D2619">
        <w:rPr>
          <w:rFonts w:ascii="Cambria" w:hAnsi="Cambria"/>
          <w:sz w:val="20"/>
          <w:szCs w:val="20"/>
          <w:lang w:val="es-ES"/>
        </w:rPr>
        <w:t xml:space="preserve"> Piz</w:t>
      </w:r>
      <w:r w:rsidR="00917BF1" w:rsidRPr="005D2619">
        <w:rPr>
          <w:rFonts w:ascii="Cambria" w:hAnsi="Cambria"/>
          <w:sz w:val="20"/>
          <w:szCs w:val="20"/>
          <w:lang w:val="es-ES"/>
        </w:rPr>
        <w:t>ar</w:t>
      </w:r>
      <w:r w:rsidR="00342680" w:rsidRPr="005D2619">
        <w:rPr>
          <w:rFonts w:ascii="Cambria" w:hAnsi="Cambria"/>
          <w:sz w:val="20"/>
          <w:szCs w:val="20"/>
          <w:lang w:val="es-ES"/>
        </w:rPr>
        <w:t>r</w:t>
      </w:r>
      <w:r w:rsidR="00917BF1" w:rsidRPr="005D2619">
        <w:rPr>
          <w:rFonts w:ascii="Cambria" w:hAnsi="Cambria"/>
          <w:sz w:val="20"/>
          <w:szCs w:val="20"/>
          <w:lang w:val="es-ES"/>
        </w:rPr>
        <w:t>o. La parte peticionaria explicó que dicha orden no estaba motivada y que únicamente se incluyó su nombre, su cédula y su domicilio.</w:t>
      </w:r>
    </w:p>
    <w:p w14:paraId="31B19A2D" w14:textId="77777777" w:rsidR="00C66098" w:rsidRPr="005D2619" w:rsidRDefault="00C66098" w:rsidP="00C66098">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ES"/>
        </w:rPr>
      </w:pPr>
    </w:p>
    <w:p w14:paraId="05747044" w14:textId="77777777" w:rsidR="00342680" w:rsidRPr="005D2619" w:rsidRDefault="00342680" w:rsidP="00342680">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ES"/>
        </w:rPr>
      </w:pPr>
      <w:r w:rsidRPr="005D2619">
        <w:rPr>
          <w:rFonts w:ascii="Cambria" w:hAnsi="Cambria"/>
          <w:sz w:val="20"/>
          <w:szCs w:val="20"/>
          <w:lang w:val="es-ES"/>
        </w:rPr>
        <w:t>Respecto de los derechos a las garantías judiciales y protección judicial, la parte peticionaria alegó que se vulner</w:t>
      </w:r>
      <w:r w:rsidR="004D008A" w:rsidRPr="005D2619">
        <w:rPr>
          <w:rFonts w:ascii="Cambria" w:hAnsi="Cambria"/>
          <w:sz w:val="20"/>
          <w:szCs w:val="20"/>
          <w:lang w:val="es-ES"/>
        </w:rPr>
        <w:t>aron</w:t>
      </w:r>
      <w:r w:rsidRPr="005D2619">
        <w:rPr>
          <w:rFonts w:ascii="Cambria" w:hAnsi="Cambria"/>
          <w:sz w:val="20"/>
          <w:szCs w:val="20"/>
          <w:lang w:val="es-ES"/>
        </w:rPr>
        <w:t xml:space="preserve"> </w:t>
      </w:r>
      <w:r w:rsidR="004D008A" w:rsidRPr="005D2619">
        <w:rPr>
          <w:rFonts w:ascii="Cambria" w:hAnsi="Cambria"/>
          <w:sz w:val="20"/>
          <w:szCs w:val="20"/>
          <w:lang w:val="es-ES"/>
        </w:rPr>
        <w:t xml:space="preserve">los </w:t>
      </w:r>
      <w:r w:rsidRPr="005D2619">
        <w:rPr>
          <w:rFonts w:ascii="Cambria" w:hAnsi="Cambria"/>
          <w:sz w:val="20"/>
          <w:szCs w:val="20"/>
          <w:lang w:val="es-ES"/>
        </w:rPr>
        <w:t>principio</w:t>
      </w:r>
      <w:r w:rsidR="004D008A" w:rsidRPr="005D2619">
        <w:rPr>
          <w:rFonts w:ascii="Cambria" w:hAnsi="Cambria"/>
          <w:sz w:val="20"/>
          <w:szCs w:val="20"/>
          <w:lang w:val="es-ES"/>
        </w:rPr>
        <w:t>s</w:t>
      </w:r>
      <w:r w:rsidRPr="005D2619">
        <w:rPr>
          <w:rFonts w:ascii="Cambria" w:hAnsi="Cambria"/>
          <w:sz w:val="20"/>
          <w:szCs w:val="20"/>
          <w:lang w:val="es-ES"/>
        </w:rPr>
        <w:t xml:space="preserve"> de competencia, independencia e imparcialidad del juez. Indicó que la investigación se inició indebidamente ante la denominada “justicia regional” y no ante la jurisdicción penal ordinaria. Alegó que la justicia regional contaba con jueces “sin rostro”, figura vulneratoria de la Convención Americana.</w:t>
      </w:r>
    </w:p>
    <w:p w14:paraId="5F0391DB" w14:textId="77777777" w:rsidR="00342680" w:rsidRPr="005D2619" w:rsidRDefault="00342680" w:rsidP="00342680">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ES"/>
        </w:rPr>
      </w:pPr>
    </w:p>
    <w:p w14:paraId="26FF5E65" w14:textId="77777777" w:rsidR="00342680" w:rsidRPr="005D2619" w:rsidRDefault="00342680" w:rsidP="00342680">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ES"/>
        </w:rPr>
      </w:pPr>
      <w:r w:rsidRPr="005D2619">
        <w:rPr>
          <w:rFonts w:ascii="Cambria" w:hAnsi="Cambria"/>
          <w:sz w:val="20"/>
          <w:szCs w:val="20"/>
          <w:lang w:val="es-ES"/>
        </w:rPr>
        <w:t xml:space="preserve">Sostuvo que se vulneró el derecho a la defensa del señor Sastoque puesto que durante el proceso los fiscales y testigos tuvieron reserva de identidad, por lo que no era posible controvertir sus alegatos y declaraciones. Indicó que se tomó conocimiento de que los testigos que participaron en el proceso tenían vínculos con los agentes estatales que habrían asesinado al señor Pizarro. Señaló que las autoridades judiciales rechazaron cualquier tipo de cuestionamiento a los testigos y que la sentencia condenatoria se basó exclusivamente en dichos testimonios. </w:t>
      </w:r>
    </w:p>
    <w:p w14:paraId="2DD50862" w14:textId="77777777" w:rsidR="00342680" w:rsidRPr="005D2619" w:rsidRDefault="00342680" w:rsidP="00342680">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ES"/>
        </w:rPr>
      </w:pPr>
    </w:p>
    <w:p w14:paraId="60AF5A36" w14:textId="77777777" w:rsidR="00342680" w:rsidRPr="005D2619" w:rsidRDefault="00342680" w:rsidP="00342680">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ES"/>
        </w:rPr>
      </w:pPr>
      <w:r w:rsidRPr="005D2619">
        <w:rPr>
          <w:rFonts w:ascii="Cambria" w:hAnsi="Cambria"/>
          <w:sz w:val="20"/>
          <w:szCs w:val="20"/>
          <w:lang w:val="es-ES"/>
        </w:rPr>
        <w:t xml:space="preserve">La parte peticionaria indicó que no se celebró una audiencia pública, vulnerando el principio de publicidad del proceso. </w:t>
      </w:r>
      <w:r w:rsidR="005C1D31" w:rsidRPr="005D2619">
        <w:rPr>
          <w:rFonts w:ascii="Cambria" w:hAnsi="Cambria"/>
          <w:sz w:val="20"/>
          <w:szCs w:val="20"/>
          <w:lang w:val="es-ES"/>
        </w:rPr>
        <w:t xml:space="preserve">Asimismo, indicó que el proceso tuvo una demora irrazonable. </w:t>
      </w:r>
    </w:p>
    <w:p w14:paraId="4224B5D0" w14:textId="77777777" w:rsidR="00342680" w:rsidRPr="005D2619" w:rsidRDefault="00342680" w:rsidP="00342680">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ES"/>
        </w:rPr>
      </w:pPr>
    </w:p>
    <w:p w14:paraId="155FD17E" w14:textId="77777777" w:rsidR="00342680" w:rsidRPr="005D2619" w:rsidRDefault="00342680" w:rsidP="00342680">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color w:val="auto"/>
          <w:sz w:val="20"/>
          <w:szCs w:val="20"/>
          <w:lang w:val="es-ES"/>
        </w:rPr>
      </w:pPr>
      <w:r w:rsidRPr="005D2619">
        <w:rPr>
          <w:rFonts w:ascii="Cambria" w:hAnsi="Cambria"/>
          <w:sz w:val="20"/>
          <w:szCs w:val="20"/>
          <w:lang w:val="es-ES"/>
        </w:rPr>
        <w:t xml:space="preserve">La parte peticionaria afirmó que el 30 de noviembre de 2005 se emitió una resolución judicial que le otorgó la libertad condicional previo pago de una fianza. Agregó que debido a que el señor Sastoque cuenta con </w:t>
      </w:r>
      <w:r w:rsidRPr="005D2619">
        <w:rPr>
          <w:rFonts w:ascii="Cambria" w:hAnsi="Cambria"/>
          <w:color w:val="auto"/>
          <w:sz w:val="20"/>
          <w:szCs w:val="20"/>
          <w:lang w:val="es-ES"/>
        </w:rPr>
        <w:t xml:space="preserve">antecedentes penales, no ha podido conseguir trabajo y se ha afectado su integridad psíquica y moral. </w:t>
      </w:r>
    </w:p>
    <w:p w14:paraId="17F49BF4" w14:textId="77777777" w:rsidR="003C7B7A" w:rsidRPr="005D2619" w:rsidRDefault="003C7B7A" w:rsidP="00E9436C">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b/>
          <w:sz w:val="20"/>
          <w:szCs w:val="20"/>
          <w:lang w:val="es-ES"/>
        </w:rPr>
      </w:pPr>
    </w:p>
    <w:p w14:paraId="1E0F9691" w14:textId="77777777" w:rsidR="001B3677" w:rsidRPr="005D2619" w:rsidRDefault="001B3677" w:rsidP="00E9436C">
      <w:pPr>
        <w:pStyle w:val="Heading2"/>
        <w:ind w:left="1440" w:hanging="720"/>
        <w:rPr>
          <w:rStyle w:val="Heading2Char"/>
          <w:rFonts w:eastAsia="MS Gothic"/>
          <w:b/>
        </w:rPr>
      </w:pPr>
      <w:bookmarkStart w:id="11" w:name="_Toc430268170"/>
      <w:bookmarkStart w:id="12" w:name="_Toc446591744"/>
      <w:bookmarkStart w:id="13" w:name="_Toc480636765"/>
      <w:bookmarkStart w:id="14" w:name="_Toc203986800"/>
      <w:r w:rsidRPr="005D2619">
        <w:rPr>
          <w:rStyle w:val="Heading2Char"/>
          <w:rFonts w:eastAsia="MS Gothic"/>
          <w:b/>
        </w:rPr>
        <w:t>Estado</w:t>
      </w:r>
      <w:bookmarkEnd w:id="11"/>
      <w:bookmarkEnd w:id="12"/>
      <w:bookmarkEnd w:id="13"/>
      <w:bookmarkEnd w:id="14"/>
    </w:p>
    <w:p w14:paraId="570FF19F" w14:textId="77777777" w:rsidR="003167E2" w:rsidRPr="005D2619" w:rsidRDefault="003167E2" w:rsidP="00E9436C">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ES"/>
        </w:rPr>
      </w:pPr>
    </w:p>
    <w:p w14:paraId="19B53C67" w14:textId="77777777" w:rsidR="00342680" w:rsidRPr="005D2619" w:rsidRDefault="00342680" w:rsidP="00342680">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tabs>
          <w:tab w:val="clear" w:pos="1429"/>
          <w:tab w:val="num" w:pos="1440"/>
        </w:tabs>
        <w:ind w:left="0"/>
        <w:jc w:val="both"/>
        <w:rPr>
          <w:rFonts w:ascii="Cambria" w:hAnsi="Cambria"/>
          <w:sz w:val="20"/>
          <w:szCs w:val="20"/>
        </w:rPr>
      </w:pPr>
      <w:r w:rsidRPr="005D2619">
        <w:rPr>
          <w:rFonts w:ascii="Cambria" w:hAnsi="Cambria"/>
          <w:sz w:val="20"/>
          <w:szCs w:val="20"/>
        </w:rPr>
        <w:t xml:space="preserve">El Estado sostuvo que </w:t>
      </w:r>
      <w:r w:rsidR="00F51509" w:rsidRPr="005D2619">
        <w:rPr>
          <w:rFonts w:ascii="Cambria" w:hAnsi="Cambria"/>
          <w:sz w:val="20"/>
          <w:szCs w:val="20"/>
        </w:rPr>
        <w:t xml:space="preserve">no </w:t>
      </w:r>
      <w:r w:rsidRPr="005D2619">
        <w:rPr>
          <w:rFonts w:ascii="Cambria" w:hAnsi="Cambria"/>
          <w:sz w:val="20"/>
          <w:szCs w:val="20"/>
        </w:rPr>
        <w:t>es responsable internacionalmente ya que el arresto del señor Sastoque se realizó con base en una orden de detención. Indicó que una vez fue detenido los agentes policiales le informaron las razones de su arresto y le mostraron</w:t>
      </w:r>
      <w:r w:rsidR="00F51509" w:rsidRPr="005D2619">
        <w:rPr>
          <w:rFonts w:ascii="Cambria" w:hAnsi="Cambria"/>
          <w:sz w:val="20"/>
          <w:szCs w:val="20"/>
        </w:rPr>
        <w:t xml:space="preserve"> dicha orden</w:t>
      </w:r>
      <w:r w:rsidRPr="005D2619">
        <w:rPr>
          <w:rFonts w:ascii="Cambria" w:hAnsi="Cambria"/>
          <w:sz w:val="20"/>
          <w:szCs w:val="20"/>
        </w:rPr>
        <w:t>.</w:t>
      </w:r>
    </w:p>
    <w:p w14:paraId="58DAF483" w14:textId="77777777" w:rsidR="00342680" w:rsidRPr="005D2619" w:rsidRDefault="00342680" w:rsidP="00342680">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sz w:val="20"/>
          <w:szCs w:val="20"/>
        </w:rPr>
      </w:pPr>
    </w:p>
    <w:p w14:paraId="62E32F29" w14:textId="77777777" w:rsidR="00342680" w:rsidRPr="005D2619" w:rsidRDefault="00342680" w:rsidP="00342680">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rPr>
      </w:pPr>
      <w:r w:rsidRPr="005D2619">
        <w:rPr>
          <w:rFonts w:ascii="Cambria" w:hAnsi="Cambria"/>
          <w:sz w:val="20"/>
          <w:szCs w:val="20"/>
        </w:rPr>
        <w:t xml:space="preserve">Asimismo, indicó que el proceso cumplió con todas las garantías judiciales y que se respetó la presunción de inocencia y el derecho de defensa del señor Sastoque. El Estado colombiano indicó que se aplicó la justicia regional y no la jurisdicción penal ordinaria conforme al artículo 324.8 del Código Penal de la época. Explicó que dicha disposición </w:t>
      </w:r>
      <w:r w:rsidRPr="005D2619">
        <w:rPr>
          <w:rFonts w:ascii="Cambria" w:hAnsi="Cambria"/>
          <w:sz w:val="20"/>
          <w:szCs w:val="20"/>
          <w:lang w:val="es-AR"/>
        </w:rPr>
        <w:t>prevé como circunstancia agravante el homicidio de dirigentes políticos, y que dichos procesos eran conocidos por la justicia regional. Colombia sostuvo que las autoridades fiscales fundamentaron debidamente su decisión</w:t>
      </w:r>
      <w:r w:rsidR="00025BF0" w:rsidRPr="005D2619">
        <w:rPr>
          <w:rFonts w:ascii="Cambria" w:hAnsi="Cambria"/>
          <w:sz w:val="20"/>
          <w:szCs w:val="20"/>
          <w:lang w:val="es-AR"/>
        </w:rPr>
        <w:t xml:space="preserve"> sobre la aplicabilidad de dicha norma,</w:t>
      </w:r>
      <w:r w:rsidRPr="005D2619">
        <w:rPr>
          <w:rFonts w:ascii="Cambria" w:hAnsi="Cambria"/>
          <w:sz w:val="20"/>
          <w:szCs w:val="20"/>
          <w:lang w:val="es-AR"/>
        </w:rPr>
        <w:t xml:space="preserve"> al alegar que la muerte del señor Pizarro fue motivad</w:t>
      </w:r>
      <w:r w:rsidR="00025BF0" w:rsidRPr="005D2619">
        <w:rPr>
          <w:rFonts w:ascii="Cambria" w:hAnsi="Cambria"/>
          <w:sz w:val="20"/>
          <w:szCs w:val="20"/>
          <w:lang w:val="es-AR"/>
        </w:rPr>
        <w:t>a</w:t>
      </w:r>
      <w:r w:rsidRPr="005D2619">
        <w:rPr>
          <w:rFonts w:ascii="Cambria" w:hAnsi="Cambria"/>
          <w:sz w:val="20"/>
          <w:szCs w:val="20"/>
          <w:lang w:val="es-AR"/>
        </w:rPr>
        <w:t xml:space="preserve"> por creencias políticas pues: i)</w:t>
      </w:r>
      <w:r w:rsidRPr="005D2619">
        <w:rPr>
          <w:rFonts w:ascii="Cambria" w:hAnsi="Cambria"/>
          <w:sz w:val="20"/>
          <w:szCs w:val="20"/>
        </w:rPr>
        <w:t xml:space="preserve"> expresó militarmente su ideología revolucionaria hasta 1987; ii) en años posteriores modificó sus métodos de oposición a la institucionalidad; y iii) tenía un vínculo de consanguinidad con el conocido líder del grupo guerrillero M19, Carlos Pizarro. </w:t>
      </w:r>
    </w:p>
    <w:p w14:paraId="4095357A" w14:textId="77777777" w:rsidR="00342680" w:rsidRPr="005D2619" w:rsidRDefault="00342680" w:rsidP="00342680">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color w:val="auto"/>
          <w:sz w:val="20"/>
          <w:szCs w:val="20"/>
        </w:rPr>
      </w:pPr>
    </w:p>
    <w:p w14:paraId="37314D48" w14:textId="50394070" w:rsidR="00342680" w:rsidRPr="005D2619" w:rsidRDefault="00342680" w:rsidP="00342680">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color w:val="auto"/>
          <w:sz w:val="20"/>
          <w:szCs w:val="20"/>
        </w:rPr>
      </w:pPr>
      <w:r w:rsidRPr="005D2619">
        <w:rPr>
          <w:rFonts w:ascii="Cambria" w:hAnsi="Cambria"/>
          <w:color w:val="auto"/>
          <w:sz w:val="20"/>
          <w:szCs w:val="20"/>
        </w:rPr>
        <w:t xml:space="preserve">Sostuvo que la notificación de la aplicación del agravante del delito, y </w:t>
      </w:r>
      <w:r w:rsidR="000D08AB" w:rsidRPr="005D2619">
        <w:rPr>
          <w:rFonts w:ascii="Cambria" w:hAnsi="Cambria"/>
          <w:color w:val="auto"/>
          <w:sz w:val="20"/>
          <w:szCs w:val="20"/>
        </w:rPr>
        <w:t xml:space="preserve">el </w:t>
      </w:r>
      <w:r w:rsidRPr="005D2619">
        <w:rPr>
          <w:rFonts w:ascii="Cambria" w:hAnsi="Cambria"/>
          <w:color w:val="auto"/>
          <w:sz w:val="20"/>
          <w:szCs w:val="20"/>
        </w:rPr>
        <w:t xml:space="preserve">consecuente conocimiento por la justicia regional, se realizó conforme a la normativa procesal </w:t>
      </w:r>
      <w:r w:rsidR="000D08AB" w:rsidRPr="005D2619">
        <w:rPr>
          <w:rFonts w:ascii="Cambria" w:hAnsi="Cambria"/>
          <w:color w:val="auto"/>
          <w:sz w:val="20"/>
          <w:szCs w:val="20"/>
        </w:rPr>
        <w:t xml:space="preserve">penal </w:t>
      </w:r>
      <w:r w:rsidRPr="005D2619">
        <w:rPr>
          <w:rFonts w:ascii="Cambria" w:hAnsi="Cambria"/>
          <w:color w:val="auto"/>
          <w:sz w:val="20"/>
          <w:szCs w:val="20"/>
        </w:rPr>
        <w:t>vigente</w:t>
      </w:r>
      <w:r w:rsidR="000D08AB" w:rsidRPr="005D2619">
        <w:rPr>
          <w:rFonts w:ascii="Cambria" w:hAnsi="Cambria"/>
          <w:color w:val="auto"/>
          <w:sz w:val="20"/>
          <w:szCs w:val="20"/>
        </w:rPr>
        <w:t xml:space="preserve">, que se </w:t>
      </w:r>
      <w:r w:rsidRPr="005D2619">
        <w:rPr>
          <w:rFonts w:ascii="Cambria" w:hAnsi="Cambria"/>
          <w:color w:val="auto"/>
          <w:sz w:val="20"/>
          <w:szCs w:val="20"/>
        </w:rPr>
        <w:t>reservaba el señalamiento de la calificación para el momento de la definición de la situación jurídica del imputado y de la emisión de la resolución de acusación.</w:t>
      </w:r>
    </w:p>
    <w:p w14:paraId="796E9354" w14:textId="77777777" w:rsidR="00342680" w:rsidRPr="005D2619" w:rsidRDefault="00342680" w:rsidP="00342680">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color w:val="auto"/>
          <w:sz w:val="20"/>
          <w:szCs w:val="20"/>
        </w:rPr>
      </w:pPr>
    </w:p>
    <w:p w14:paraId="2216E4FE" w14:textId="77777777" w:rsidR="00342680" w:rsidRPr="005D2619" w:rsidRDefault="00342680" w:rsidP="00342680">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color w:val="auto"/>
          <w:sz w:val="20"/>
          <w:szCs w:val="20"/>
        </w:rPr>
      </w:pPr>
      <w:r w:rsidRPr="005D2619">
        <w:rPr>
          <w:rFonts w:ascii="Cambria" w:hAnsi="Cambria"/>
          <w:color w:val="auto"/>
          <w:sz w:val="20"/>
          <w:szCs w:val="20"/>
        </w:rPr>
        <w:t xml:space="preserve">Respecto de la aplicación de testigos con reserva de identidad, el Estado resaltó que la sentencia condenatoria no se basó únicamente en dichas declaraciones, sino que las autoridades judiciales valoraron diversas pruebas, tales como reconocimientos fotográficos que hicieron los testigos y los allanamientos realizados. Indicó que también se garantizó el principio de defensa pues el señor Sastoque pudo presentar sus argumentos. </w:t>
      </w:r>
    </w:p>
    <w:p w14:paraId="635BB844" w14:textId="77777777" w:rsidR="00342680" w:rsidRPr="005D2619" w:rsidRDefault="00342680" w:rsidP="00342680">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color w:val="auto"/>
          <w:sz w:val="20"/>
          <w:szCs w:val="20"/>
        </w:rPr>
      </w:pPr>
    </w:p>
    <w:p w14:paraId="50B8FA4B" w14:textId="77777777" w:rsidR="00342680" w:rsidRPr="005D2619" w:rsidRDefault="00342680" w:rsidP="00342680">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color w:val="auto"/>
          <w:sz w:val="20"/>
          <w:szCs w:val="20"/>
        </w:rPr>
      </w:pPr>
      <w:r w:rsidRPr="005D2619">
        <w:rPr>
          <w:rFonts w:ascii="Cambria" w:hAnsi="Cambria"/>
          <w:color w:val="auto"/>
          <w:sz w:val="20"/>
          <w:szCs w:val="20"/>
        </w:rPr>
        <w:t xml:space="preserve">El Estado colombiano resaltó que la sentencia condenatoria estuvo debidamente fundamentada conforme a su ordenamiento interno. Indicó que las decisiones posteriores que ratificaron el fallo se apegaron al debido proceso. Explicó que la sola disconformidad con las resoluciones emitidas por las autoridades judiciales no conlleva a la vulneración de la Convención Americana. </w:t>
      </w:r>
    </w:p>
    <w:p w14:paraId="6366F72B" w14:textId="77777777" w:rsidR="00342680" w:rsidRPr="005D2619" w:rsidRDefault="00342680" w:rsidP="00342680">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color w:val="auto"/>
          <w:sz w:val="20"/>
          <w:szCs w:val="20"/>
        </w:rPr>
      </w:pPr>
    </w:p>
    <w:p w14:paraId="00252A5B" w14:textId="77777777" w:rsidR="00342680" w:rsidRPr="005D2619" w:rsidRDefault="00342680" w:rsidP="0034082D">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color w:val="auto"/>
          <w:sz w:val="20"/>
          <w:szCs w:val="20"/>
          <w:lang w:val="es-ES"/>
        </w:rPr>
      </w:pPr>
      <w:r w:rsidRPr="005D2619">
        <w:rPr>
          <w:rFonts w:ascii="Cambria" w:hAnsi="Cambria"/>
          <w:color w:val="auto"/>
          <w:sz w:val="20"/>
          <w:szCs w:val="20"/>
        </w:rPr>
        <w:t>Finalmente, el Estado agregó que la parte peticionaria pretende que la CIDH actúe como una cuarta instancia a efectos de revisar una sentencia judicial en firme.</w:t>
      </w:r>
    </w:p>
    <w:p w14:paraId="2CD69098" w14:textId="77777777" w:rsidR="009A2084" w:rsidRPr="005D2619" w:rsidRDefault="009A2084" w:rsidP="00F718D7">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color w:val="auto"/>
          <w:sz w:val="20"/>
          <w:szCs w:val="20"/>
          <w:lang w:val="es-ES"/>
        </w:rPr>
      </w:pPr>
    </w:p>
    <w:p w14:paraId="3E75DF27" w14:textId="77777777" w:rsidR="00205FFD" w:rsidRPr="005D2619" w:rsidRDefault="00205FFD" w:rsidP="00F718D7">
      <w:pPr>
        <w:pStyle w:val="Heading1"/>
        <w:ind w:left="1440" w:hanging="720"/>
        <w:jc w:val="both"/>
        <w:rPr>
          <w:lang w:val="es-MX"/>
        </w:rPr>
      </w:pPr>
      <w:bookmarkStart w:id="15" w:name="_Toc203986801"/>
      <w:r w:rsidRPr="005D2619">
        <w:rPr>
          <w:lang w:val="es-MX"/>
        </w:rPr>
        <w:t>DETERMINA</w:t>
      </w:r>
      <w:r w:rsidR="004961AA" w:rsidRPr="005D2619">
        <w:rPr>
          <w:lang w:val="es-MX"/>
        </w:rPr>
        <w:t>CIONES DE HECHO</w:t>
      </w:r>
      <w:bookmarkEnd w:id="15"/>
    </w:p>
    <w:p w14:paraId="4AFEAB6A" w14:textId="77777777" w:rsidR="008D547D" w:rsidRPr="005D2619" w:rsidRDefault="008D547D" w:rsidP="00A91D22">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b/>
          <w:color w:val="auto"/>
          <w:sz w:val="20"/>
          <w:szCs w:val="20"/>
          <w:lang w:val="es-ES"/>
        </w:rPr>
      </w:pPr>
    </w:p>
    <w:p w14:paraId="2702EFF4" w14:textId="77777777" w:rsidR="000672F0" w:rsidRPr="005D2619" w:rsidRDefault="00C4427B" w:rsidP="00C4427B">
      <w:pPr>
        <w:pStyle w:val="Heading2"/>
        <w:numPr>
          <w:ilvl w:val="0"/>
          <w:numId w:val="0"/>
        </w:numPr>
        <w:ind w:left="1440" w:hanging="720"/>
      </w:pPr>
      <w:bookmarkStart w:id="16" w:name="_Toc203986802"/>
      <w:r>
        <w:t xml:space="preserve">A. </w:t>
      </w:r>
      <w:r>
        <w:tab/>
      </w:r>
      <w:r w:rsidR="000672F0" w:rsidRPr="005D2619">
        <w:t xml:space="preserve">Sobre </w:t>
      </w:r>
      <w:r w:rsidR="00CE547B" w:rsidRPr="005D2619">
        <w:t>el inicio de la investigación</w:t>
      </w:r>
      <w:r w:rsidR="000E6681" w:rsidRPr="005D2619">
        <w:t xml:space="preserve"> en contra de Gustavo Sastoque</w:t>
      </w:r>
      <w:bookmarkEnd w:id="16"/>
    </w:p>
    <w:p w14:paraId="36BC3371" w14:textId="77777777" w:rsidR="00303571" w:rsidRPr="005D2619" w:rsidRDefault="00303571" w:rsidP="00A91D22">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1440" w:firstLine="0"/>
        <w:jc w:val="both"/>
        <w:rPr>
          <w:rFonts w:ascii="Cambria" w:hAnsi="Cambria"/>
          <w:b/>
          <w:color w:val="auto"/>
          <w:sz w:val="20"/>
          <w:szCs w:val="20"/>
          <w:lang w:val="es-ES"/>
        </w:rPr>
      </w:pPr>
    </w:p>
    <w:p w14:paraId="6D0E3AAF" w14:textId="77777777" w:rsidR="00330CD6" w:rsidRPr="005D2619" w:rsidRDefault="00330CD6" w:rsidP="00F718D7">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color w:val="auto"/>
          <w:sz w:val="20"/>
          <w:szCs w:val="20"/>
          <w:lang w:val="es-ES"/>
        </w:rPr>
      </w:pPr>
      <w:r w:rsidRPr="005D2619">
        <w:rPr>
          <w:rFonts w:ascii="Cambria" w:hAnsi="Cambria"/>
          <w:color w:val="auto"/>
          <w:sz w:val="20"/>
          <w:szCs w:val="20"/>
          <w:lang w:val="es-ES"/>
        </w:rPr>
        <w:t xml:space="preserve">De acuerdo a la sentencia del </w:t>
      </w:r>
      <w:r w:rsidRPr="005D2619">
        <w:rPr>
          <w:rFonts w:ascii="Cambria" w:hAnsi="Cambria"/>
          <w:color w:val="auto"/>
          <w:sz w:val="20"/>
          <w:szCs w:val="20"/>
          <w:lang w:val="es-MX"/>
        </w:rPr>
        <w:t>Juzgado Regional de Santafe de Bogotá,</w:t>
      </w:r>
      <w:r w:rsidRPr="005D2619">
        <w:rPr>
          <w:rFonts w:ascii="Cambria" w:hAnsi="Cambria"/>
          <w:color w:val="auto"/>
          <w:sz w:val="20"/>
          <w:szCs w:val="20"/>
          <w:lang w:val="es-ES"/>
        </w:rPr>
        <w:t xml:space="preserve"> e</w:t>
      </w:r>
      <w:r w:rsidR="00CD78A6" w:rsidRPr="005D2619">
        <w:rPr>
          <w:rFonts w:ascii="Cambria" w:hAnsi="Cambria"/>
          <w:color w:val="auto"/>
          <w:sz w:val="20"/>
          <w:szCs w:val="20"/>
          <w:lang w:val="es-ES"/>
        </w:rPr>
        <w:t>l 26 de fe</w:t>
      </w:r>
      <w:r w:rsidR="00205FFD" w:rsidRPr="005D2619">
        <w:rPr>
          <w:rFonts w:ascii="Cambria" w:hAnsi="Cambria"/>
          <w:color w:val="auto"/>
          <w:sz w:val="20"/>
          <w:szCs w:val="20"/>
          <w:lang w:val="es-ES"/>
        </w:rPr>
        <w:t>brero de 1995</w:t>
      </w:r>
      <w:r w:rsidR="0022409B" w:rsidRPr="005D2619">
        <w:rPr>
          <w:rFonts w:ascii="Cambria" w:hAnsi="Cambria"/>
          <w:color w:val="auto"/>
          <w:sz w:val="20"/>
          <w:szCs w:val="20"/>
          <w:lang w:val="es-ES"/>
        </w:rPr>
        <w:t>, alrededor de las 7:30pm,</w:t>
      </w:r>
      <w:r w:rsidR="00CD78A6" w:rsidRPr="005D2619">
        <w:rPr>
          <w:rFonts w:ascii="Cambria" w:hAnsi="Cambria"/>
          <w:color w:val="auto"/>
          <w:sz w:val="20"/>
          <w:szCs w:val="20"/>
          <w:lang w:val="es-ES"/>
        </w:rPr>
        <w:t xml:space="preserve"> </w:t>
      </w:r>
      <w:r w:rsidR="003D1101" w:rsidRPr="005D2619">
        <w:rPr>
          <w:rFonts w:ascii="Cambria" w:hAnsi="Cambria"/>
          <w:color w:val="auto"/>
          <w:sz w:val="20"/>
          <w:szCs w:val="20"/>
          <w:lang w:val="es-ES"/>
        </w:rPr>
        <w:t>se “adelant[ó] un operativo por parte de la Fiscalía General de la Nación”</w:t>
      </w:r>
      <w:r w:rsidRPr="005D2619">
        <w:rPr>
          <w:rFonts w:ascii="Cambria" w:hAnsi="Cambria"/>
          <w:color w:val="auto"/>
          <w:sz w:val="20"/>
          <w:szCs w:val="20"/>
          <w:lang w:val="es-ES"/>
        </w:rPr>
        <w:t xml:space="preserve"> mediante el cual ingresaron a un</w:t>
      </w:r>
      <w:r w:rsidR="003D1101" w:rsidRPr="005D2619">
        <w:rPr>
          <w:rFonts w:ascii="Cambria" w:hAnsi="Cambria"/>
          <w:color w:val="auto"/>
          <w:sz w:val="20"/>
          <w:szCs w:val="20"/>
          <w:lang w:val="es-ES"/>
        </w:rPr>
        <w:t>a</w:t>
      </w:r>
      <w:r w:rsidRPr="005D2619">
        <w:rPr>
          <w:rFonts w:ascii="Cambria" w:hAnsi="Cambria"/>
          <w:color w:val="auto"/>
          <w:sz w:val="20"/>
          <w:szCs w:val="20"/>
          <w:lang w:val="es-ES"/>
        </w:rPr>
        <w:t xml:space="preserve"> </w:t>
      </w:r>
      <w:r w:rsidR="003D1101" w:rsidRPr="005D2619">
        <w:rPr>
          <w:rFonts w:ascii="Cambria" w:hAnsi="Cambria"/>
          <w:color w:val="auto"/>
          <w:sz w:val="20"/>
          <w:szCs w:val="20"/>
          <w:lang w:val="es-ES"/>
        </w:rPr>
        <w:t>vivienda</w:t>
      </w:r>
      <w:r w:rsidRPr="005D2619">
        <w:rPr>
          <w:rFonts w:ascii="Cambria" w:hAnsi="Cambria"/>
          <w:color w:val="auto"/>
          <w:sz w:val="20"/>
          <w:szCs w:val="20"/>
          <w:lang w:val="es-ES"/>
        </w:rPr>
        <w:t xml:space="preserve"> y detuvieron a Hernando Pizarro Leongómez. Se indicó que el señor Pizarro puso resistencia y empezó a gritar que era el hermano de Carlos Pizarro, comandante del grupo</w:t>
      </w:r>
      <w:r w:rsidR="00486624" w:rsidRPr="005D2619">
        <w:rPr>
          <w:rFonts w:ascii="Cambria" w:hAnsi="Cambria"/>
          <w:color w:val="auto"/>
          <w:sz w:val="20"/>
          <w:szCs w:val="20"/>
          <w:lang w:val="es-ES"/>
        </w:rPr>
        <w:t xml:space="preserve"> guerrillero</w:t>
      </w:r>
      <w:r w:rsidRPr="005D2619">
        <w:rPr>
          <w:rFonts w:ascii="Cambria" w:hAnsi="Cambria"/>
          <w:color w:val="auto"/>
          <w:sz w:val="20"/>
          <w:szCs w:val="20"/>
          <w:lang w:val="es-ES"/>
        </w:rPr>
        <w:t xml:space="preserve"> M19, y que se llamara a la prensa para que se observe el abuso que estaba sufriendo. Se agregó que un</w:t>
      </w:r>
      <w:r w:rsidR="00B65423" w:rsidRPr="005D2619">
        <w:rPr>
          <w:rFonts w:ascii="Cambria" w:hAnsi="Cambria"/>
          <w:color w:val="auto"/>
          <w:sz w:val="20"/>
          <w:szCs w:val="20"/>
          <w:lang w:val="es-ES"/>
        </w:rPr>
        <w:t>o de los agentes que participó del operativo extrajo su arma de fuego y le disparó varias veces, produciendo la muerte del señor Pizarro</w:t>
      </w:r>
      <w:r w:rsidR="007359C0" w:rsidRPr="005D2619">
        <w:rPr>
          <w:rStyle w:val="FootnoteReference"/>
          <w:rFonts w:ascii="Cambria" w:hAnsi="Cambria"/>
          <w:color w:val="auto"/>
          <w:sz w:val="20"/>
          <w:szCs w:val="20"/>
          <w:lang w:val="es-MX"/>
        </w:rPr>
        <w:footnoteReference w:id="3"/>
      </w:r>
      <w:r w:rsidR="00B65423" w:rsidRPr="005D2619">
        <w:rPr>
          <w:rFonts w:ascii="Cambria" w:hAnsi="Cambria"/>
          <w:color w:val="auto"/>
          <w:sz w:val="20"/>
          <w:szCs w:val="20"/>
          <w:lang w:val="es-ES"/>
        </w:rPr>
        <w:t xml:space="preserve">. </w:t>
      </w:r>
    </w:p>
    <w:p w14:paraId="55EE3419" w14:textId="77777777" w:rsidR="00BC7C67" w:rsidRPr="005D2619" w:rsidRDefault="00BC7C67" w:rsidP="00BC7C67">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color w:val="auto"/>
          <w:sz w:val="20"/>
          <w:szCs w:val="20"/>
          <w:lang w:val="es-ES"/>
        </w:rPr>
      </w:pPr>
    </w:p>
    <w:p w14:paraId="2E518BE8" w14:textId="77777777" w:rsidR="00BC7C67" w:rsidRPr="005D2619" w:rsidRDefault="00BC7C67" w:rsidP="00F718D7">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ES"/>
        </w:rPr>
      </w:pPr>
      <w:r w:rsidRPr="005D2619">
        <w:rPr>
          <w:rFonts w:ascii="Cambria" w:hAnsi="Cambria"/>
          <w:color w:val="auto"/>
          <w:sz w:val="20"/>
          <w:szCs w:val="20"/>
          <w:lang w:val="es-ES"/>
        </w:rPr>
        <w:t>La CIDH toma nota de</w:t>
      </w:r>
      <w:r w:rsidRPr="005D2619">
        <w:rPr>
          <w:rFonts w:ascii="Cambria" w:hAnsi="Cambria"/>
          <w:sz w:val="20"/>
          <w:szCs w:val="20"/>
          <w:lang w:val="es-ES"/>
        </w:rPr>
        <w:t xml:space="preserve"> las siguientes diligencias realizadas por la Fiscalía General de la Nación:</w:t>
      </w:r>
    </w:p>
    <w:p w14:paraId="0971218B" w14:textId="77777777" w:rsidR="00303571" w:rsidRPr="005D2619" w:rsidRDefault="00303571" w:rsidP="00330CD6">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ES"/>
        </w:rPr>
      </w:pPr>
      <w:bookmarkStart w:id="17" w:name="_Hlk495834468"/>
    </w:p>
    <w:p w14:paraId="5420984D" w14:textId="77777777" w:rsidR="003D1101" w:rsidRPr="005D2619" w:rsidRDefault="003D1101" w:rsidP="003D1101">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ascii="Cambria" w:hAnsi="Cambria"/>
          <w:sz w:val="20"/>
          <w:szCs w:val="20"/>
          <w:lang w:val="es-ES"/>
        </w:rPr>
      </w:pPr>
      <w:r w:rsidRPr="005D2619">
        <w:rPr>
          <w:rFonts w:ascii="Cambria" w:hAnsi="Cambria"/>
          <w:sz w:val="20"/>
          <w:szCs w:val="20"/>
          <w:lang w:val="es-ES"/>
        </w:rPr>
        <w:t xml:space="preserve">- 26 de febrero de </w:t>
      </w:r>
      <w:r w:rsidR="003201A4" w:rsidRPr="005D2619">
        <w:rPr>
          <w:rFonts w:ascii="Cambria" w:hAnsi="Cambria"/>
          <w:sz w:val="20"/>
          <w:szCs w:val="20"/>
          <w:lang w:val="es-ES"/>
        </w:rPr>
        <w:t>1995</w:t>
      </w:r>
      <w:r w:rsidRPr="005D2619">
        <w:rPr>
          <w:rFonts w:ascii="Cambria" w:hAnsi="Cambria"/>
          <w:sz w:val="20"/>
          <w:szCs w:val="20"/>
          <w:lang w:val="es-ES"/>
        </w:rPr>
        <w:t>: Se realizó el allanamiento del inmueble y se tomaron las huellas dactilares encontradas en los vidrios de la puerta que fueron quebrados para poder acceder al mismo.</w:t>
      </w:r>
      <w:r w:rsidR="00566C68" w:rsidRPr="005D2619">
        <w:rPr>
          <w:rFonts w:ascii="Cambria" w:hAnsi="Cambria"/>
          <w:sz w:val="20"/>
          <w:szCs w:val="20"/>
          <w:lang w:val="es-ES"/>
        </w:rPr>
        <w:t xml:space="preserve"> También</w:t>
      </w:r>
      <w:r w:rsidRPr="005D2619">
        <w:rPr>
          <w:rFonts w:ascii="Cambria" w:hAnsi="Cambria"/>
          <w:sz w:val="20"/>
          <w:szCs w:val="20"/>
          <w:lang w:val="es-ES"/>
        </w:rPr>
        <w:t xml:space="preserve"> se tomó la declaración de un testigo que decidió no identificarse. Dicha persona indicó que vio a cuatro personas armadas que se bajaron de un vehículo y que uno de ellos realizó cuatro disparos en contra de un individuo. También describió físicamente al conductor del vehículo</w:t>
      </w:r>
      <w:r w:rsidRPr="005D2619">
        <w:rPr>
          <w:rStyle w:val="FootnoteReference"/>
          <w:rFonts w:ascii="Cambria" w:hAnsi="Cambria"/>
          <w:sz w:val="20"/>
          <w:szCs w:val="20"/>
          <w:lang w:val="es-MX"/>
        </w:rPr>
        <w:footnoteReference w:id="4"/>
      </w:r>
      <w:r w:rsidRPr="005D2619">
        <w:rPr>
          <w:rFonts w:ascii="Cambria" w:hAnsi="Cambria"/>
          <w:sz w:val="20"/>
          <w:szCs w:val="20"/>
          <w:lang w:val="es-ES"/>
        </w:rPr>
        <w:t xml:space="preserve">. </w:t>
      </w:r>
    </w:p>
    <w:p w14:paraId="017FB4C4" w14:textId="77777777" w:rsidR="00303571" w:rsidRPr="005D2619" w:rsidRDefault="00303571" w:rsidP="00330CD6">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ES"/>
        </w:rPr>
      </w:pPr>
    </w:p>
    <w:p w14:paraId="1B46812C" w14:textId="77777777" w:rsidR="003D1101" w:rsidRPr="005D2619" w:rsidRDefault="003D1101" w:rsidP="003D1101">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ascii="Cambria" w:hAnsi="Cambria"/>
          <w:sz w:val="20"/>
          <w:szCs w:val="20"/>
          <w:lang w:val="es-ES"/>
        </w:rPr>
      </w:pPr>
      <w:r w:rsidRPr="005D2619">
        <w:rPr>
          <w:rFonts w:ascii="Cambria" w:hAnsi="Cambria"/>
          <w:sz w:val="20"/>
          <w:szCs w:val="20"/>
          <w:lang w:val="es-ES"/>
        </w:rPr>
        <w:t xml:space="preserve">- 28 de febrero de 1995: Se tomó la declaración de Sandra Velasco, dueña del domicilio donde ocurrieron los hechos. </w:t>
      </w:r>
      <w:r w:rsidR="00882C5A" w:rsidRPr="005D2619">
        <w:rPr>
          <w:rFonts w:ascii="Cambria" w:hAnsi="Cambria"/>
          <w:sz w:val="20"/>
          <w:szCs w:val="20"/>
          <w:lang w:val="es-ES"/>
        </w:rPr>
        <w:t>I</w:t>
      </w:r>
      <w:r w:rsidRPr="005D2619">
        <w:rPr>
          <w:rFonts w:ascii="Cambria" w:hAnsi="Cambria"/>
          <w:sz w:val="20"/>
          <w:szCs w:val="20"/>
          <w:lang w:val="es-ES"/>
        </w:rPr>
        <w:t xml:space="preserve">ndicó que el señor Pizarro, a quien ella conocía como “Alejandro”, se encontraba en su </w:t>
      </w:r>
      <w:r w:rsidRPr="005D2619">
        <w:rPr>
          <w:rFonts w:ascii="Cambria" w:hAnsi="Cambria"/>
          <w:sz w:val="20"/>
          <w:szCs w:val="20"/>
          <w:lang w:val="es-ES"/>
        </w:rPr>
        <w:lastRenderedPageBreak/>
        <w:t xml:space="preserve">casa pues </w:t>
      </w:r>
      <w:r w:rsidR="000E6681" w:rsidRPr="005D2619">
        <w:rPr>
          <w:rFonts w:ascii="Cambria" w:hAnsi="Cambria"/>
          <w:sz w:val="20"/>
          <w:szCs w:val="20"/>
          <w:lang w:val="es-ES"/>
        </w:rPr>
        <w:t>iba a reunirse con</w:t>
      </w:r>
      <w:r w:rsidRPr="005D2619">
        <w:rPr>
          <w:rFonts w:ascii="Cambria" w:hAnsi="Cambria"/>
          <w:sz w:val="20"/>
          <w:szCs w:val="20"/>
          <w:lang w:val="es-ES"/>
        </w:rPr>
        <w:t xml:space="preserve"> su esposo, Carlos Celis. Indicó que escuchó el timbre de su casa y que</w:t>
      </w:r>
      <w:r w:rsidR="000E6681" w:rsidRPr="005D2619">
        <w:rPr>
          <w:rFonts w:ascii="Cambria" w:hAnsi="Cambria"/>
          <w:sz w:val="20"/>
          <w:szCs w:val="20"/>
          <w:lang w:val="es-ES"/>
        </w:rPr>
        <w:t xml:space="preserve"> vio por la ventana</w:t>
      </w:r>
      <w:r w:rsidRPr="005D2619">
        <w:rPr>
          <w:rFonts w:ascii="Cambria" w:hAnsi="Cambria"/>
          <w:sz w:val="20"/>
          <w:szCs w:val="20"/>
          <w:lang w:val="es-ES"/>
        </w:rPr>
        <w:t xml:space="preserve"> a tres sujetos armad</w:t>
      </w:r>
      <w:r w:rsidR="00691E03" w:rsidRPr="005D2619">
        <w:rPr>
          <w:rFonts w:ascii="Cambria" w:hAnsi="Cambria"/>
          <w:sz w:val="20"/>
          <w:szCs w:val="20"/>
          <w:lang w:val="es-ES"/>
        </w:rPr>
        <w:t>o</w:t>
      </w:r>
      <w:r w:rsidRPr="005D2619">
        <w:rPr>
          <w:rFonts w:ascii="Cambria" w:hAnsi="Cambria"/>
          <w:sz w:val="20"/>
          <w:szCs w:val="20"/>
          <w:lang w:val="es-ES"/>
        </w:rPr>
        <w:t>s</w:t>
      </w:r>
      <w:r w:rsidR="000E6681" w:rsidRPr="005D2619">
        <w:rPr>
          <w:rFonts w:ascii="Cambria" w:hAnsi="Cambria"/>
          <w:sz w:val="20"/>
          <w:szCs w:val="20"/>
          <w:lang w:val="es-ES"/>
        </w:rPr>
        <w:t>. Manifestó que dichas personas</w:t>
      </w:r>
      <w:r w:rsidRPr="005D2619">
        <w:rPr>
          <w:rFonts w:ascii="Cambria" w:hAnsi="Cambria"/>
          <w:sz w:val="20"/>
          <w:szCs w:val="20"/>
          <w:lang w:val="es-ES"/>
        </w:rPr>
        <w:t xml:space="preserve"> le preguntaron si en dicho lugar viví</w:t>
      </w:r>
      <w:r w:rsidR="00466942" w:rsidRPr="005D2619">
        <w:rPr>
          <w:rFonts w:ascii="Cambria" w:hAnsi="Cambria"/>
          <w:sz w:val="20"/>
          <w:szCs w:val="20"/>
          <w:lang w:val="es-ES"/>
        </w:rPr>
        <w:t xml:space="preserve">a </w:t>
      </w:r>
      <w:r w:rsidR="000E6681" w:rsidRPr="005D2619">
        <w:rPr>
          <w:rFonts w:ascii="Cambria" w:hAnsi="Cambria"/>
          <w:sz w:val="20"/>
          <w:szCs w:val="20"/>
          <w:lang w:val="es-ES"/>
        </w:rPr>
        <w:t>su esposo, Carlos Celis</w:t>
      </w:r>
      <w:r w:rsidR="00466942" w:rsidRPr="005D2619">
        <w:rPr>
          <w:rFonts w:ascii="Cambria" w:hAnsi="Cambria"/>
          <w:sz w:val="20"/>
          <w:szCs w:val="20"/>
          <w:lang w:val="es-ES"/>
        </w:rPr>
        <w:t>.</w:t>
      </w:r>
      <w:r w:rsidRPr="005D2619">
        <w:rPr>
          <w:rFonts w:ascii="Cambria" w:hAnsi="Cambria"/>
          <w:sz w:val="20"/>
          <w:szCs w:val="20"/>
          <w:lang w:val="es-ES"/>
        </w:rPr>
        <w:t xml:space="preserve"> Sostuvo que </w:t>
      </w:r>
      <w:r w:rsidR="000E6681" w:rsidRPr="005D2619">
        <w:rPr>
          <w:rFonts w:ascii="Cambria" w:hAnsi="Cambria"/>
          <w:sz w:val="20"/>
          <w:szCs w:val="20"/>
          <w:lang w:val="es-ES"/>
        </w:rPr>
        <w:t xml:space="preserve">las personas </w:t>
      </w:r>
      <w:r w:rsidRPr="005D2619">
        <w:rPr>
          <w:rFonts w:ascii="Cambria" w:hAnsi="Cambria"/>
          <w:sz w:val="20"/>
          <w:szCs w:val="20"/>
          <w:lang w:val="es-ES"/>
        </w:rPr>
        <w:t>forzaron la puerta</w:t>
      </w:r>
      <w:r w:rsidR="000E6681" w:rsidRPr="005D2619">
        <w:rPr>
          <w:rFonts w:ascii="Cambria" w:hAnsi="Cambria"/>
          <w:sz w:val="20"/>
          <w:szCs w:val="20"/>
          <w:lang w:val="es-ES"/>
        </w:rPr>
        <w:t xml:space="preserve"> y lograron ingresar a su domicilio. Indicó que éstas</w:t>
      </w:r>
      <w:r w:rsidRPr="005D2619">
        <w:rPr>
          <w:rFonts w:ascii="Cambria" w:hAnsi="Cambria"/>
          <w:sz w:val="20"/>
          <w:szCs w:val="20"/>
          <w:lang w:val="es-ES"/>
        </w:rPr>
        <w:t xml:space="preserve"> se acercaron al señor Pizarro y le preguntaron dónde se encontraba Carlos Celis. Agregó que dichas personas </w:t>
      </w:r>
      <w:r w:rsidR="00A95E7A" w:rsidRPr="005D2619">
        <w:rPr>
          <w:rFonts w:ascii="Cambria" w:hAnsi="Cambria"/>
          <w:sz w:val="20"/>
          <w:szCs w:val="20"/>
          <w:lang w:val="es-ES"/>
        </w:rPr>
        <w:t xml:space="preserve">esposaron al </w:t>
      </w:r>
      <w:r w:rsidRPr="005D2619">
        <w:rPr>
          <w:rFonts w:ascii="Cambria" w:hAnsi="Cambria"/>
          <w:sz w:val="20"/>
          <w:szCs w:val="20"/>
          <w:lang w:val="es-ES"/>
        </w:rPr>
        <w:t xml:space="preserve">señor Pizarro </w:t>
      </w:r>
      <w:r w:rsidR="00A95E7A" w:rsidRPr="005D2619">
        <w:rPr>
          <w:rFonts w:ascii="Cambria" w:hAnsi="Cambria"/>
          <w:sz w:val="20"/>
          <w:szCs w:val="20"/>
          <w:lang w:val="es-ES"/>
        </w:rPr>
        <w:t>y lo arrastraron fuera de su domicilio. Indicó que ella se quedó en su casa y que luego de unos minutos escuchó tres disparos que se produjeron en la calle. Sostuvo que ella no vio de qué forma se produjeron esos disparos. La señora Velasco d</w:t>
      </w:r>
      <w:r w:rsidRPr="005D2619">
        <w:rPr>
          <w:rFonts w:ascii="Cambria" w:hAnsi="Cambria"/>
          <w:sz w:val="20"/>
          <w:szCs w:val="20"/>
          <w:lang w:val="es-ES"/>
        </w:rPr>
        <w:t xml:space="preserve">eclaró que </w:t>
      </w:r>
      <w:r w:rsidR="00A95E7A" w:rsidRPr="005D2619">
        <w:rPr>
          <w:rFonts w:ascii="Cambria" w:hAnsi="Cambria"/>
          <w:sz w:val="20"/>
          <w:szCs w:val="20"/>
          <w:lang w:val="es-ES"/>
        </w:rPr>
        <w:t>con posterioridad a lo sucedido salió de su domicilio, vio a</w:t>
      </w:r>
      <w:r w:rsidRPr="005D2619">
        <w:rPr>
          <w:rFonts w:ascii="Cambria" w:hAnsi="Cambria"/>
          <w:sz w:val="20"/>
          <w:szCs w:val="20"/>
          <w:lang w:val="es-ES"/>
        </w:rPr>
        <w:t xml:space="preserve"> su esposo y “se fueron a dar una vuelta” para </w:t>
      </w:r>
      <w:r w:rsidR="00A95E7A" w:rsidRPr="005D2619">
        <w:rPr>
          <w:rFonts w:ascii="Cambria" w:hAnsi="Cambria"/>
          <w:sz w:val="20"/>
          <w:szCs w:val="20"/>
          <w:lang w:val="es-ES"/>
        </w:rPr>
        <w:t>tranquilizarse por lo sucedido</w:t>
      </w:r>
      <w:r w:rsidRPr="005D2619">
        <w:rPr>
          <w:rFonts w:ascii="Cambria" w:hAnsi="Cambria"/>
          <w:sz w:val="20"/>
          <w:szCs w:val="20"/>
          <w:lang w:val="es-ES"/>
        </w:rPr>
        <w:t xml:space="preserve">. Añadió que no vio a su esposo durante los dos días siguientes y que éste le indicó que  </w:t>
      </w:r>
      <w:r w:rsidRPr="005D2619">
        <w:rPr>
          <w:rFonts w:ascii="Cambria" w:hAnsi="Cambria"/>
          <w:sz w:val="20"/>
          <w:szCs w:val="20"/>
          <w:lang w:val="es-MX"/>
        </w:rPr>
        <w:t>“ya tenía todo solucionado, que no los iban a detener ni a matar y que no les iba a pasar nada, que podía venir con tranquilidad a hablar de lo que había sucedido</w:t>
      </w:r>
      <w:r w:rsidRPr="005D2619">
        <w:rPr>
          <w:rFonts w:ascii="Cambria" w:hAnsi="Cambria"/>
          <w:sz w:val="20"/>
          <w:szCs w:val="20"/>
          <w:lang w:val="es-ES"/>
        </w:rPr>
        <w:t>”. La señora Velasco sostuvo que las personas que ingresaron a su domicilio eran jóvenes y que uno de ellos tenía pelo corto y medía 1.60 cm. Señaló que no podía hacer un retrato hablado de los sujetos</w:t>
      </w:r>
      <w:r w:rsidRPr="005D2619">
        <w:rPr>
          <w:rStyle w:val="FootnoteReference"/>
          <w:rFonts w:ascii="Cambria" w:hAnsi="Cambria"/>
          <w:sz w:val="20"/>
          <w:szCs w:val="20"/>
          <w:lang w:val="es-MX"/>
        </w:rPr>
        <w:footnoteReference w:id="5"/>
      </w:r>
      <w:r w:rsidRPr="005D2619">
        <w:rPr>
          <w:rFonts w:ascii="Cambria" w:hAnsi="Cambria"/>
          <w:sz w:val="20"/>
          <w:szCs w:val="20"/>
          <w:lang w:val="es-ES"/>
        </w:rPr>
        <w:t>.</w:t>
      </w:r>
    </w:p>
    <w:p w14:paraId="7AD630C6" w14:textId="77777777" w:rsidR="00BA6991" w:rsidRPr="005D2619" w:rsidRDefault="00BA6991" w:rsidP="00330CD6">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ES"/>
        </w:rPr>
      </w:pPr>
    </w:p>
    <w:p w14:paraId="061A25B0" w14:textId="77777777" w:rsidR="003D1101" w:rsidRPr="005D2619" w:rsidRDefault="003D1101" w:rsidP="003D1101">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ascii="Cambria" w:hAnsi="Cambria"/>
          <w:sz w:val="20"/>
          <w:szCs w:val="20"/>
          <w:lang w:val="es-ES"/>
        </w:rPr>
      </w:pPr>
      <w:r w:rsidRPr="005D2619">
        <w:rPr>
          <w:rFonts w:ascii="Cambria" w:hAnsi="Cambria"/>
          <w:sz w:val="20"/>
          <w:szCs w:val="20"/>
          <w:lang w:val="es-ES"/>
        </w:rPr>
        <w:t xml:space="preserve">- 2 de marzo de 1995: </w:t>
      </w:r>
      <w:r w:rsidR="00BD6C43" w:rsidRPr="005D2619">
        <w:rPr>
          <w:rFonts w:ascii="Cambria" w:hAnsi="Cambria"/>
          <w:sz w:val="20"/>
          <w:szCs w:val="20"/>
          <w:lang w:val="es-ES"/>
        </w:rPr>
        <w:t xml:space="preserve">El CTI </w:t>
      </w:r>
      <w:r w:rsidRPr="005D2619">
        <w:rPr>
          <w:rFonts w:ascii="Cambria" w:hAnsi="Cambria"/>
          <w:sz w:val="20"/>
          <w:szCs w:val="20"/>
          <w:lang w:val="es-ES"/>
        </w:rPr>
        <w:t>emit</w:t>
      </w:r>
      <w:r w:rsidR="007C39E9" w:rsidRPr="005D2619">
        <w:rPr>
          <w:rFonts w:ascii="Cambria" w:hAnsi="Cambria"/>
          <w:sz w:val="20"/>
          <w:szCs w:val="20"/>
          <w:lang w:val="es-ES"/>
        </w:rPr>
        <w:t>ió</w:t>
      </w:r>
      <w:r w:rsidRPr="005D2619">
        <w:rPr>
          <w:rFonts w:ascii="Cambria" w:hAnsi="Cambria"/>
          <w:sz w:val="20"/>
          <w:szCs w:val="20"/>
          <w:lang w:val="es-ES"/>
        </w:rPr>
        <w:t xml:space="preserve"> un informe en </w:t>
      </w:r>
      <w:r w:rsidR="007C39E9" w:rsidRPr="005D2619">
        <w:rPr>
          <w:rFonts w:ascii="Cambria" w:hAnsi="Cambria"/>
          <w:sz w:val="20"/>
          <w:szCs w:val="20"/>
          <w:lang w:val="es-ES"/>
        </w:rPr>
        <w:t xml:space="preserve">el cual </w:t>
      </w:r>
      <w:r w:rsidRPr="005D2619">
        <w:rPr>
          <w:rFonts w:ascii="Cambria" w:hAnsi="Cambria"/>
          <w:sz w:val="20"/>
          <w:szCs w:val="20"/>
          <w:lang w:val="es-ES"/>
        </w:rPr>
        <w:t xml:space="preserve">se indica que se tomó la declaración de los testigos José Mendoza y Jaime Barragán, quienes indicaron que vieron a varios sujetos ingresando a un domicilio y sacando de forma brusca a un individuo. Señalaron que éste gritaba “que si lo iban a matar que lo mataran ahí para que el pueblo mirara”. Agregaron que le dispararon y huyeron del lugar. En el informe </w:t>
      </w:r>
      <w:r w:rsidR="003D42EE" w:rsidRPr="005D2619">
        <w:rPr>
          <w:rFonts w:ascii="Cambria" w:hAnsi="Cambria"/>
          <w:sz w:val="20"/>
          <w:szCs w:val="20"/>
          <w:lang w:val="es-ES"/>
        </w:rPr>
        <w:t xml:space="preserve">del CTI </w:t>
      </w:r>
      <w:r w:rsidRPr="005D2619">
        <w:rPr>
          <w:rFonts w:ascii="Cambria" w:hAnsi="Cambria"/>
          <w:sz w:val="20"/>
          <w:szCs w:val="20"/>
          <w:lang w:val="es-ES"/>
        </w:rPr>
        <w:t>también se indic</w:t>
      </w:r>
      <w:r w:rsidR="00E45F05" w:rsidRPr="005D2619">
        <w:rPr>
          <w:rFonts w:ascii="Cambria" w:hAnsi="Cambria"/>
          <w:sz w:val="20"/>
          <w:szCs w:val="20"/>
          <w:lang w:val="es-ES"/>
        </w:rPr>
        <w:t>ó</w:t>
      </w:r>
      <w:r w:rsidRPr="005D2619">
        <w:rPr>
          <w:rFonts w:ascii="Cambria" w:hAnsi="Cambria"/>
          <w:sz w:val="20"/>
          <w:szCs w:val="20"/>
          <w:lang w:val="es-ES"/>
        </w:rPr>
        <w:t xml:space="preserve"> que se tomó la declaración de Carlos Celis, quien</w:t>
      </w:r>
      <w:r w:rsidRPr="005D2619">
        <w:rPr>
          <w:rFonts w:ascii="Cambria" w:hAnsi="Cambria"/>
          <w:sz w:val="20"/>
          <w:szCs w:val="20"/>
          <w:lang w:val="es-MX"/>
        </w:rPr>
        <w:t xml:space="preserve"> manifestó que se encontraba en la tienda de la esquina cuando escuchó unos disparos cerca de su casa. Sostuvo que al llegar a su domicilio se llevó a su esposa y a su hijo en su auto para calmarlos</w:t>
      </w:r>
      <w:r w:rsidRPr="005D2619">
        <w:rPr>
          <w:rFonts w:ascii="Cambria" w:hAnsi="Cambria"/>
          <w:sz w:val="20"/>
          <w:szCs w:val="20"/>
          <w:lang w:val="es-ES"/>
        </w:rPr>
        <w:t xml:space="preserve">. El informe </w:t>
      </w:r>
      <w:r w:rsidR="003D42EE" w:rsidRPr="005D2619">
        <w:rPr>
          <w:rFonts w:ascii="Cambria" w:hAnsi="Cambria"/>
          <w:sz w:val="20"/>
          <w:szCs w:val="20"/>
          <w:lang w:val="es-ES"/>
        </w:rPr>
        <w:t xml:space="preserve">del CTI </w:t>
      </w:r>
      <w:r w:rsidRPr="005D2619">
        <w:rPr>
          <w:rFonts w:ascii="Cambria" w:hAnsi="Cambria"/>
          <w:sz w:val="20"/>
          <w:szCs w:val="20"/>
          <w:lang w:val="es-ES"/>
        </w:rPr>
        <w:t>concluy</w:t>
      </w:r>
      <w:r w:rsidR="00E45F05" w:rsidRPr="005D2619">
        <w:rPr>
          <w:rFonts w:ascii="Cambria" w:hAnsi="Cambria"/>
          <w:sz w:val="20"/>
          <w:szCs w:val="20"/>
          <w:lang w:val="es-ES"/>
        </w:rPr>
        <w:t>ó</w:t>
      </w:r>
      <w:r w:rsidRPr="005D2619">
        <w:rPr>
          <w:rFonts w:ascii="Cambria" w:hAnsi="Cambria"/>
          <w:sz w:val="20"/>
          <w:szCs w:val="20"/>
          <w:lang w:val="es-ES"/>
        </w:rPr>
        <w:t xml:space="preserve"> lo siguiente: i) Hernando Pizarro también residía en el domicilio de Carlos Celis y Sandra Velasco; ii) se encontró el cuerpo del señor Pizarro esposado de una mano y no de dos, como indicó la señora Velasco; y iii) Carlos Celis es reinsertado de la guerrilla y es informante del B2 – Servicio de Inteligencia de las Fuerzas Militares</w:t>
      </w:r>
      <w:r w:rsidRPr="005D2619">
        <w:rPr>
          <w:rStyle w:val="FootnoteReference"/>
          <w:rFonts w:ascii="Cambria" w:hAnsi="Cambria"/>
          <w:sz w:val="20"/>
          <w:szCs w:val="20"/>
          <w:lang w:val="es-MX"/>
        </w:rPr>
        <w:footnoteReference w:id="6"/>
      </w:r>
      <w:r w:rsidRPr="005D2619">
        <w:rPr>
          <w:rFonts w:ascii="Cambria" w:hAnsi="Cambria"/>
          <w:sz w:val="20"/>
          <w:szCs w:val="20"/>
          <w:lang w:val="es-ES"/>
        </w:rPr>
        <w:t xml:space="preserve">. </w:t>
      </w:r>
    </w:p>
    <w:p w14:paraId="342495A6" w14:textId="77777777" w:rsidR="004C257F" w:rsidRPr="005D2619" w:rsidRDefault="004C257F" w:rsidP="00330CD6">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ES"/>
        </w:rPr>
      </w:pPr>
    </w:p>
    <w:p w14:paraId="7A8DCA6E" w14:textId="77777777" w:rsidR="003D1101" w:rsidRPr="005D2619" w:rsidRDefault="003D1101" w:rsidP="003D1101">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color w:val="auto"/>
          <w:sz w:val="20"/>
          <w:szCs w:val="20"/>
          <w:lang w:val="es-ES"/>
        </w:rPr>
      </w:pPr>
      <w:r w:rsidRPr="005D2619">
        <w:rPr>
          <w:rFonts w:ascii="Cambria" w:hAnsi="Cambria"/>
          <w:sz w:val="20"/>
          <w:szCs w:val="20"/>
          <w:lang w:val="es-ES"/>
        </w:rPr>
        <w:t>La CIDH toma nota de que, conforme a un oficio del Ejército Nacional, el 27 de febrero de 1995 Olga Fajardo, quien en esa época era funcionaria del Fondo Rotario del Ejército, acudió a la Brigada de Contrainteligencia del Ejército y declaró que fue testigo del asesinato de Hernando Pizarro. Consta en dicho oficio que ella realizó un retrato hablado de la persona que le habría disparado al señor Pizarro</w:t>
      </w:r>
      <w:r w:rsidRPr="005D2619">
        <w:rPr>
          <w:rStyle w:val="FootnoteReference"/>
          <w:rFonts w:ascii="Cambria" w:hAnsi="Cambria"/>
          <w:sz w:val="20"/>
          <w:szCs w:val="20"/>
          <w:lang w:val="es-MX"/>
        </w:rPr>
        <w:footnoteReference w:id="7"/>
      </w:r>
      <w:r w:rsidRPr="005D2619">
        <w:rPr>
          <w:rFonts w:ascii="Cambria" w:hAnsi="Cambria"/>
          <w:sz w:val="20"/>
          <w:szCs w:val="20"/>
          <w:lang w:val="es-ES"/>
        </w:rPr>
        <w:t xml:space="preserve">. </w:t>
      </w:r>
      <w:r w:rsidR="00D12E8B" w:rsidRPr="005D2619">
        <w:rPr>
          <w:rFonts w:ascii="Cambria" w:hAnsi="Cambria"/>
          <w:sz w:val="20"/>
          <w:szCs w:val="20"/>
          <w:lang w:val="es-ES"/>
        </w:rPr>
        <w:t>La CIDH toma nota de que en dicho oficio la señora Fajardo no indicó de qué manera fue testigo de los hechos del caso.</w:t>
      </w:r>
    </w:p>
    <w:p w14:paraId="2C9BE8F4" w14:textId="77777777" w:rsidR="003D1101" w:rsidRPr="005D2619" w:rsidRDefault="003D1101" w:rsidP="003D1101">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color w:val="auto"/>
          <w:sz w:val="20"/>
          <w:szCs w:val="20"/>
          <w:lang w:val="es-ES"/>
        </w:rPr>
      </w:pPr>
    </w:p>
    <w:p w14:paraId="7444B061" w14:textId="77777777" w:rsidR="003D1101" w:rsidRPr="005D2619" w:rsidRDefault="003D1101" w:rsidP="003D1101">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color w:val="auto"/>
          <w:sz w:val="20"/>
          <w:szCs w:val="20"/>
          <w:lang w:val="es-ES"/>
        </w:rPr>
      </w:pPr>
      <w:r w:rsidRPr="005D2619">
        <w:rPr>
          <w:rFonts w:ascii="Cambria" w:hAnsi="Cambria"/>
          <w:sz w:val="20"/>
          <w:szCs w:val="20"/>
          <w:lang w:val="es-ES"/>
        </w:rPr>
        <w:t xml:space="preserve">De acuerdo a </w:t>
      </w:r>
      <w:r w:rsidR="00C13FD0" w:rsidRPr="005D2619">
        <w:rPr>
          <w:rFonts w:ascii="Cambria" w:hAnsi="Cambria"/>
          <w:sz w:val="20"/>
          <w:szCs w:val="20"/>
          <w:lang w:val="es-ES"/>
        </w:rPr>
        <w:t>otro</w:t>
      </w:r>
      <w:r w:rsidRPr="005D2619">
        <w:rPr>
          <w:rFonts w:ascii="Cambria" w:hAnsi="Cambria"/>
          <w:sz w:val="20"/>
          <w:szCs w:val="20"/>
          <w:lang w:val="es-ES"/>
        </w:rPr>
        <w:t xml:space="preserve"> informe del CTI de 3 de marzo del mismo año, agentes de la Fiscalía acudieron al domicilio de la </w:t>
      </w:r>
      <w:r w:rsidR="000B2A6D" w:rsidRPr="005D2619">
        <w:rPr>
          <w:rFonts w:ascii="Cambria" w:hAnsi="Cambria"/>
          <w:color w:val="auto"/>
          <w:sz w:val="20"/>
          <w:szCs w:val="20"/>
          <w:lang w:val="es-ES"/>
        </w:rPr>
        <w:t xml:space="preserve">señora Fajardo. Se indicó que no encontraron a la señora Fajardo </w:t>
      </w:r>
      <w:r w:rsidRPr="005D2619">
        <w:rPr>
          <w:rFonts w:ascii="Cambria" w:hAnsi="Cambria"/>
          <w:color w:val="auto"/>
          <w:sz w:val="20"/>
          <w:szCs w:val="20"/>
          <w:lang w:val="es-ES"/>
        </w:rPr>
        <w:t xml:space="preserve">y tomaron la declaración de Rosa N., quien se negó a identificarse “por temor a los hechos ocurridos”. La señora Rosa N. </w:t>
      </w:r>
      <w:r w:rsidR="00C13FD0" w:rsidRPr="005D2619">
        <w:rPr>
          <w:rFonts w:ascii="Cambria" w:hAnsi="Cambria"/>
          <w:color w:val="auto"/>
          <w:sz w:val="20"/>
          <w:szCs w:val="20"/>
          <w:lang w:val="es-ES"/>
        </w:rPr>
        <w:t>m</w:t>
      </w:r>
      <w:r w:rsidRPr="005D2619">
        <w:rPr>
          <w:rFonts w:ascii="Cambria" w:hAnsi="Cambria"/>
          <w:color w:val="auto"/>
          <w:sz w:val="20"/>
          <w:szCs w:val="20"/>
          <w:lang w:val="es-ES"/>
        </w:rPr>
        <w:t>anifestó lo siguiente:</w:t>
      </w:r>
    </w:p>
    <w:p w14:paraId="0A2F6DFB" w14:textId="77777777" w:rsidR="00B35C45" w:rsidRPr="005D2619" w:rsidRDefault="00B35C45" w:rsidP="00B35C45">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color w:val="auto"/>
          <w:sz w:val="20"/>
          <w:szCs w:val="20"/>
          <w:lang w:val="es-ES"/>
        </w:rPr>
      </w:pPr>
    </w:p>
    <w:p w14:paraId="589AE9A8" w14:textId="77777777" w:rsidR="004C257F" w:rsidRPr="005D2619" w:rsidRDefault="00B35C45" w:rsidP="00B35C45">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right="720" w:firstLine="0"/>
        <w:jc w:val="both"/>
        <w:rPr>
          <w:rFonts w:ascii="Cambria" w:hAnsi="Cambria"/>
          <w:sz w:val="20"/>
          <w:szCs w:val="20"/>
          <w:lang w:val="es-ES"/>
        </w:rPr>
      </w:pPr>
      <w:r w:rsidRPr="005D2619">
        <w:rPr>
          <w:rFonts w:ascii="Cambria" w:hAnsi="Cambria" w:cs="Arial"/>
          <w:color w:val="auto"/>
          <w:sz w:val="20"/>
          <w:szCs w:val="20"/>
          <w:shd w:val="clear" w:color="auto" w:fill="FFFFFF"/>
        </w:rPr>
        <w:t>[</w:t>
      </w:r>
      <w:r w:rsidRPr="005D2619">
        <w:rPr>
          <w:rFonts w:ascii="Cambria" w:hAnsi="Cambria" w:cs="Arial"/>
          <w:sz w:val="20"/>
          <w:szCs w:val="20"/>
          <w:shd w:val="clear" w:color="auto" w:fill="FFFFFF"/>
        </w:rPr>
        <w:t>El 27 de febrero de 1995</w:t>
      </w:r>
      <w:r w:rsidRPr="005D2619">
        <w:rPr>
          <w:rFonts w:ascii="Cambria" w:hAnsi="Cambria" w:cs="Arial"/>
          <w:color w:val="auto"/>
          <w:sz w:val="20"/>
          <w:szCs w:val="20"/>
          <w:shd w:val="clear" w:color="auto" w:fill="FFFFFF"/>
        </w:rPr>
        <w:t>]</w:t>
      </w:r>
      <w:r w:rsidRPr="005D2619">
        <w:rPr>
          <w:rFonts w:ascii="Cambria" w:hAnsi="Cambria" w:cs="Arial"/>
          <w:sz w:val="20"/>
          <w:szCs w:val="20"/>
          <w:shd w:val="clear" w:color="auto" w:fill="FFFFFF"/>
        </w:rPr>
        <w:t xml:space="preserve"> </w:t>
      </w:r>
      <w:r w:rsidR="004C257F" w:rsidRPr="005D2619">
        <w:rPr>
          <w:rFonts w:ascii="Cambria" w:hAnsi="Cambria"/>
          <w:sz w:val="20"/>
          <w:szCs w:val="20"/>
          <w:lang w:val="es-ES"/>
        </w:rPr>
        <w:t>varios sujetos que se movilizaban en carros y portaban armas de largo alcance procedieron a obligar a la señora OLGA ESTHER GUEVARA FAJARDO, (…) a sus pequeños hijos, a la señora Claudia Guevara Fajardo (hermana de Olga) con sus dos hijos a salir del apartamento en el que residían. E</w:t>
      </w:r>
      <w:r w:rsidRPr="005D2619">
        <w:rPr>
          <w:rFonts w:ascii="Cambria" w:hAnsi="Cambria"/>
          <w:sz w:val="20"/>
          <w:szCs w:val="20"/>
          <w:lang w:val="es-ES"/>
        </w:rPr>
        <w:t xml:space="preserve">stos sujetos sin identificarse ni </w:t>
      </w:r>
      <w:r w:rsidR="004C257F" w:rsidRPr="005D2619">
        <w:rPr>
          <w:rFonts w:ascii="Cambria" w:hAnsi="Cambria"/>
          <w:sz w:val="20"/>
          <w:szCs w:val="20"/>
          <w:lang w:val="es-ES"/>
        </w:rPr>
        <w:t>informar el motivo del procedimiento, abandonaron el lugar, llevándose consigo a los cinco niños y las dos señoras</w:t>
      </w:r>
      <w:r w:rsidR="00537D38" w:rsidRPr="005D2619">
        <w:rPr>
          <w:rFonts w:ascii="Cambria" w:hAnsi="Cambria"/>
          <w:sz w:val="20"/>
          <w:szCs w:val="20"/>
          <w:lang w:val="es-ES"/>
        </w:rPr>
        <w:t xml:space="preserve"> (...). Al día siguiente Claudia la llamó y le indicó que “se encontraban bien y que estaban en un grupo de protección (...)</w:t>
      </w:r>
      <w:r w:rsidR="007C2C76" w:rsidRPr="005D2619">
        <w:rPr>
          <w:rFonts w:ascii="Cambria" w:hAnsi="Cambria"/>
          <w:sz w:val="20"/>
          <w:szCs w:val="20"/>
          <w:lang w:val="es-ES"/>
        </w:rPr>
        <w:t>”</w:t>
      </w:r>
      <w:r w:rsidR="00537D38" w:rsidRPr="005D2619">
        <w:rPr>
          <w:rFonts w:ascii="Cambria" w:hAnsi="Cambria"/>
          <w:sz w:val="20"/>
          <w:szCs w:val="20"/>
          <w:lang w:val="es-ES"/>
        </w:rPr>
        <w:t>. En los últimas días y en diferentes oportunidades se han presentado personas que han dicho pertenecer a la Policía, DAS, Ejército, indagando por la señora OLGA GUEVARA y preguntando que si la Fiscalía estaba prestando protección en ese inmueble</w:t>
      </w:r>
      <w:r w:rsidRPr="005D2619">
        <w:rPr>
          <w:rStyle w:val="FootnoteReference"/>
          <w:rFonts w:ascii="Cambria" w:hAnsi="Cambria"/>
          <w:sz w:val="20"/>
          <w:szCs w:val="20"/>
          <w:lang w:val="es-MX"/>
        </w:rPr>
        <w:footnoteReference w:id="8"/>
      </w:r>
      <w:r w:rsidR="00586880" w:rsidRPr="005D2619">
        <w:rPr>
          <w:rFonts w:ascii="Cambria" w:hAnsi="Cambria"/>
          <w:sz w:val="20"/>
          <w:szCs w:val="20"/>
          <w:lang w:val="es-ES"/>
        </w:rPr>
        <w:t>.</w:t>
      </w:r>
    </w:p>
    <w:p w14:paraId="4A02CA11" w14:textId="77777777" w:rsidR="00126A46" w:rsidRPr="005D2619" w:rsidRDefault="00126A46" w:rsidP="00126A46">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sz w:val="20"/>
          <w:szCs w:val="20"/>
          <w:lang w:val="es-ES"/>
        </w:rPr>
      </w:pPr>
    </w:p>
    <w:p w14:paraId="680EC790" w14:textId="77777777" w:rsidR="0074610A" w:rsidRPr="005D2619" w:rsidRDefault="0074610A" w:rsidP="007E18C7">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ES"/>
        </w:rPr>
      </w:pPr>
      <w:r w:rsidRPr="005D2619">
        <w:rPr>
          <w:rFonts w:ascii="Cambria" w:hAnsi="Cambria"/>
          <w:sz w:val="20"/>
          <w:szCs w:val="20"/>
          <w:lang w:val="es-ES"/>
        </w:rPr>
        <w:t xml:space="preserve">La parte peticionaria informó que el 1 de marzo de 1995 los Fiscales No. 35 y No. 38 de la Unidad Tercera de Vida enviaron por competencia la investigación a los Fiscales Regionales, quienes </w:t>
      </w:r>
      <w:r w:rsidR="007E6C62" w:rsidRPr="005D2619">
        <w:rPr>
          <w:rFonts w:ascii="Cambria" w:hAnsi="Cambria"/>
          <w:sz w:val="20"/>
          <w:szCs w:val="20"/>
          <w:lang w:val="es-ES"/>
        </w:rPr>
        <w:t xml:space="preserve">formaban </w:t>
      </w:r>
      <w:r w:rsidR="007E6C62" w:rsidRPr="005D2619">
        <w:rPr>
          <w:rFonts w:ascii="Cambria" w:hAnsi="Cambria"/>
          <w:sz w:val="20"/>
          <w:szCs w:val="20"/>
          <w:lang w:val="es-ES"/>
        </w:rPr>
        <w:lastRenderedPageBreak/>
        <w:t xml:space="preserve">parte de la </w:t>
      </w:r>
      <w:r w:rsidR="00126A46" w:rsidRPr="005D2619">
        <w:rPr>
          <w:rFonts w:ascii="Cambria" w:hAnsi="Cambria"/>
          <w:sz w:val="20"/>
          <w:szCs w:val="20"/>
          <w:lang w:val="es-ES"/>
        </w:rPr>
        <w:t>jurisdicción regional</w:t>
      </w:r>
      <w:r w:rsidR="007C2C76" w:rsidRPr="005D2619">
        <w:rPr>
          <w:rFonts w:ascii="Cambria" w:hAnsi="Cambria"/>
          <w:sz w:val="20"/>
          <w:szCs w:val="20"/>
          <w:lang w:val="es-ES"/>
        </w:rPr>
        <w:t xml:space="preserve"> ya descrita en el presente informe</w:t>
      </w:r>
      <w:r w:rsidRPr="005D2619">
        <w:rPr>
          <w:rStyle w:val="FootnoteReference"/>
          <w:rFonts w:ascii="Cambria" w:hAnsi="Cambria"/>
          <w:sz w:val="20"/>
          <w:szCs w:val="20"/>
          <w:lang w:val="es-MX"/>
        </w:rPr>
        <w:footnoteReference w:id="9"/>
      </w:r>
      <w:r w:rsidRPr="005D2619">
        <w:rPr>
          <w:rFonts w:ascii="Cambria" w:hAnsi="Cambria"/>
          <w:sz w:val="20"/>
          <w:szCs w:val="20"/>
          <w:lang w:val="es-ES"/>
        </w:rPr>
        <w:t xml:space="preserve">. </w:t>
      </w:r>
      <w:r w:rsidR="007E4CD4" w:rsidRPr="005D2619">
        <w:rPr>
          <w:rFonts w:ascii="Cambria" w:hAnsi="Cambria"/>
          <w:sz w:val="20"/>
          <w:szCs w:val="20"/>
          <w:lang w:val="es-ES"/>
        </w:rPr>
        <w:t xml:space="preserve">Ello </w:t>
      </w:r>
      <w:r w:rsidR="003D1101" w:rsidRPr="005D2619">
        <w:rPr>
          <w:rFonts w:ascii="Cambria" w:hAnsi="Cambria"/>
          <w:sz w:val="20"/>
          <w:szCs w:val="20"/>
          <w:lang w:val="es-ES"/>
        </w:rPr>
        <w:t>con base en el</w:t>
      </w:r>
      <w:r w:rsidR="007E4CD4" w:rsidRPr="005D2619">
        <w:rPr>
          <w:rFonts w:ascii="Cambria" w:hAnsi="Cambria"/>
          <w:sz w:val="20"/>
          <w:szCs w:val="20"/>
          <w:lang w:val="es-ES"/>
        </w:rPr>
        <w:t xml:space="preserve"> artículo 71 del Código de Procedimiento Penal</w:t>
      </w:r>
      <w:r w:rsidR="007E4CD4" w:rsidRPr="005D2619">
        <w:rPr>
          <w:rStyle w:val="FootnoteReference"/>
          <w:rFonts w:ascii="Cambria" w:hAnsi="Cambria"/>
          <w:sz w:val="20"/>
          <w:szCs w:val="20"/>
          <w:lang w:val="es-ES"/>
        </w:rPr>
        <w:footnoteReference w:id="10"/>
      </w:r>
      <w:r w:rsidR="007E4CD4" w:rsidRPr="005D2619">
        <w:rPr>
          <w:rFonts w:ascii="Cambria" w:hAnsi="Cambria"/>
          <w:sz w:val="20"/>
          <w:szCs w:val="20"/>
          <w:lang w:val="es-ES"/>
        </w:rPr>
        <w:t xml:space="preserve">. </w:t>
      </w:r>
      <w:r w:rsidRPr="005D2619">
        <w:rPr>
          <w:rFonts w:ascii="Cambria" w:hAnsi="Cambria"/>
          <w:sz w:val="20"/>
          <w:szCs w:val="20"/>
          <w:lang w:val="es-ES"/>
        </w:rPr>
        <w:t>Dicha información no fue controvertida por el Estado.</w:t>
      </w:r>
      <w:r w:rsidR="00CE547B" w:rsidRPr="005D2619">
        <w:rPr>
          <w:rFonts w:ascii="Cambria" w:hAnsi="Cambria"/>
          <w:sz w:val="20"/>
          <w:szCs w:val="20"/>
          <w:lang w:val="es-ES"/>
        </w:rPr>
        <w:t xml:space="preserve"> </w:t>
      </w:r>
    </w:p>
    <w:p w14:paraId="1A0AD3E7" w14:textId="77777777" w:rsidR="007E18C7" w:rsidRPr="005D2619" w:rsidRDefault="007E18C7" w:rsidP="007E18C7">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sz w:val="20"/>
          <w:szCs w:val="20"/>
          <w:lang w:val="es-ES"/>
        </w:rPr>
      </w:pPr>
    </w:p>
    <w:p w14:paraId="2C7010AC" w14:textId="77777777" w:rsidR="00E05829" w:rsidRPr="005D2619" w:rsidRDefault="00481781" w:rsidP="00481781">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ES"/>
        </w:rPr>
      </w:pPr>
      <w:r w:rsidRPr="005D2619">
        <w:rPr>
          <w:rFonts w:ascii="Cambria" w:hAnsi="Cambria"/>
          <w:sz w:val="20"/>
          <w:szCs w:val="20"/>
          <w:lang w:val="es-ES"/>
        </w:rPr>
        <w:t>El 4 de marzo de 1995 el Fiscal Regional emitió un acta en donde declaró la reserva de identidad de la testigo Olga Fajardo.</w:t>
      </w:r>
      <w:r w:rsidR="00E05829" w:rsidRPr="005D2619">
        <w:rPr>
          <w:rFonts w:ascii="Cambria" w:hAnsi="Cambria"/>
          <w:sz w:val="20"/>
          <w:szCs w:val="20"/>
          <w:lang w:val="es-ES"/>
        </w:rPr>
        <w:t xml:space="preserve"> El Fiscal la denominó “Testigo </w:t>
      </w:r>
      <w:r w:rsidR="001656A6" w:rsidRPr="005D2619">
        <w:rPr>
          <w:rFonts w:ascii="Cambria" w:hAnsi="Cambria"/>
          <w:sz w:val="20"/>
          <w:szCs w:val="20"/>
          <w:lang w:val="es-ES"/>
        </w:rPr>
        <w:t>No. 1</w:t>
      </w:r>
      <w:r w:rsidR="00E05829" w:rsidRPr="005D2619">
        <w:rPr>
          <w:rFonts w:ascii="Cambria" w:hAnsi="Cambria"/>
          <w:sz w:val="20"/>
          <w:szCs w:val="20"/>
          <w:lang w:val="es-ES"/>
        </w:rPr>
        <w:t xml:space="preserve">”. </w:t>
      </w:r>
      <w:r w:rsidR="0099000A" w:rsidRPr="005D2619">
        <w:rPr>
          <w:rFonts w:ascii="Cambria" w:hAnsi="Cambria"/>
          <w:sz w:val="20"/>
          <w:szCs w:val="20"/>
          <w:lang w:val="es-ES"/>
        </w:rPr>
        <w:t xml:space="preserve">La CIDH toma nota de que consta el nombre del fiscal que realizó dicha diligencia. </w:t>
      </w:r>
      <w:r w:rsidR="00E05829" w:rsidRPr="005D2619">
        <w:rPr>
          <w:rFonts w:ascii="Cambria" w:hAnsi="Cambria"/>
          <w:sz w:val="20"/>
          <w:szCs w:val="20"/>
          <w:lang w:val="es-ES"/>
        </w:rPr>
        <w:t xml:space="preserve">La señora Fajardo </w:t>
      </w:r>
      <w:r w:rsidR="00E05829" w:rsidRPr="005D2619">
        <w:rPr>
          <w:rFonts w:ascii="Cambria" w:hAnsi="Cambria"/>
          <w:sz w:val="20"/>
          <w:szCs w:val="20"/>
          <w:lang w:val="es-MX"/>
        </w:rPr>
        <w:t xml:space="preserve">afirmó que pudo ver los hechos ocurridos el 26 de febrero del mismo año desde la ventana de su casa y que identificó los rasgos físicos de la persona que realizó los disparos. </w:t>
      </w:r>
      <w:r w:rsidR="00A44F96" w:rsidRPr="005D2619">
        <w:rPr>
          <w:rFonts w:ascii="Cambria" w:hAnsi="Cambria"/>
          <w:sz w:val="20"/>
          <w:szCs w:val="20"/>
          <w:lang w:val="es-MX"/>
        </w:rPr>
        <w:t>Sostuvo que realizó un retrato hablado y que l</w:t>
      </w:r>
      <w:r w:rsidR="00F53D6E" w:rsidRPr="005D2619">
        <w:rPr>
          <w:rFonts w:ascii="Cambria" w:hAnsi="Cambria"/>
          <w:sz w:val="20"/>
          <w:szCs w:val="20"/>
          <w:lang w:val="es-MX"/>
        </w:rPr>
        <w:t>o</w:t>
      </w:r>
      <w:r w:rsidR="00A44F96" w:rsidRPr="005D2619">
        <w:rPr>
          <w:rFonts w:ascii="Cambria" w:hAnsi="Cambria"/>
          <w:sz w:val="20"/>
          <w:szCs w:val="20"/>
          <w:lang w:val="es-MX"/>
        </w:rPr>
        <w:t xml:space="preserve"> volvió a ver al día siguiente, pues era la misma persona de la Fiscalía que estaba recogiendo el cadáver</w:t>
      </w:r>
      <w:r w:rsidR="00FA5AE7" w:rsidRPr="005D2619">
        <w:rPr>
          <w:rFonts w:ascii="Cambria" w:hAnsi="Cambria"/>
          <w:sz w:val="20"/>
          <w:szCs w:val="20"/>
          <w:lang w:val="es-MX"/>
        </w:rPr>
        <w:t xml:space="preserve">. </w:t>
      </w:r>
      <w:r w:rsidR="00670AC8" w:rsidRPr="005D2619">
        <w:rPr>
          <w:rFonts w:ascii="Cambria" w:hAnsi="Cambria"/>
          <w:sz w:val="20"/>
          <w:szCs w:val="20"/>
          <w:lang w:val="es-MX"/>
        </w:rPr>
        <w:t xml:space="preserve">La señora Fajardo, luego de recibir </w:t>
      </w:r>
      <w:r w:rsidR="00FA5AE7" w:rsidRPr="005D2619">
        <w:rPr>
          <w:rFonts w:ascii="Cambria" w:hAnsi="Cambria"/>
          <w:sz w:val="20"/>
          <w:szCs w:val="20"/>
          <w:lang w:val="es-MX"/>
        </w:rPr>
        <w:t>un</w:t>
      </w:r>
      <w:r w:rsidR="00670AC8" w:rsidRPr="005D2619">
        <w:rPr>
          <w:rFonts w:ascii="Cambria" w:hAnsi="Cambria"/>
          <w:sz w:val="20"/>
          <w:szCs w:val="20"/>
          <w:lang w:val="es-MX"/>
        </w:rPr>
        <w:t xml:space="preserve"> álbum fotográfico de los miembros de</w:t>
      </w:r>
      <w:r w:rsidR="00F53D6E" w:rsidRPr="005D2619">
        <w:rPr>
          <w:rFonts w:ascii="Cambria" w:hAnsi="Cambria"/>
          <w:sz w:val="20"/>
          <w:szCs w:val="20"/>
          <w:lang w:val="es-MX"/>
        </w:rPr>
        <w:t>l</w:t>
      </w:r>
      <w:r w:rsidR="00670AC8" w:rsidRPr="005D2619">
        <w:rPr>
          <w:rFonts w:ascii="Cambria" w:hAnsi="Cambria"/>
          <w:sz w:val="20"/>
          <w:szCs w:val="20"/>
          <w:lang w:val="es-MX"/>
        </w:rPr>
        <w:t xml:space="preserve"> CTI, reconoció a Gustavo Sastoque como el autor de los disparos</w:t>
      </w:r>
      <w:r w:rsidR="00A44F96" w:rsidRPr="005D2619">
        <w:rPr>
          <w:rStyle w:val="FootnoteReference"/>
          <w:rFonts w:ascii="Cambria" w:hAnsi="Cambria"/>
          <w:sz w:val="20"/>
          <w:szCs w:val="20"/>
          <w:lang w:val="es-ES"/>
        </w:rPr>
        <w:footnoteReference w:id="11"/>
      </w:r>
      <w:r w:rsidR="00A44F96" w:rsidRPr="005D2619">
        <w:rPr>
          <w:rFonts w:ascii="Cambria" w:hAnsi="Cambria"/>
          <w:sz w:val="20"/>
          <w:szCs w:val="20"/>
          <w:lang w:val="es-MX"/>
        </w:rPr>
        <w:t>.</w:t>
      </w:r>
    </w:p>
    <w:p w14:paraId="623C6276" w14:textId="77777777" w:rsidR="00A44F96" w:rsidRPr="005D2619" w:rsidRDefault="00A44F96" w:rsidP="00A44F96">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ES"/>
        </w:rPr>
      </w:pPr>
    </w:p>
    <w:p w14:paraId="419A29C0" w14:textId="77777777" w:rsidR="003D1101" w:rsidRPr="005D2619" w:rsidRDefault="003D1101" w:rsidP="003D1101">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ES"/>
        </w:rPr>
      </w:pPr>
      <w:r w:rsidRPr="005D2619">
        <w:rPr>
          <w:rFonts w:ascii="Cambria" w:hAnsi="Cambria"/>
          <w:sz w:val="20"/>
          <w:szCs w:val="20"/>
          <w:lang w:val="es-MX"/>
        </w:rPr>
        <w:t xml:space="preserve">El 6 de marzo de 1995 el Fiscal Regional emitió un acta en donde declaró la reserva de identidad del “Testigo No. 2”. La CIDH no cuenta con información sobre el nombre de dicha persona. El testigo declaró que presenció los hechos ocurridos el 26 de febrero del mismo año. Indicó que observó a la persona que realizó los disparos y reconoció mediante fotografías a Gustavo Sastoque. Asimismo </w:t>
      </w:r>
      <w:r w:rsidR="000B2A6D" w:rsidRPr="005D2619">
        <w:rPr>
          <w:rFonts w:ascii="Cambria" w:hAnsi="Cambria"/>
          <w:sz w:val="20"/>
          <w:szCs w:val="20"/>
          <w:lang w:val="es-MX"/>
        </w:rPr>
        <w:t>describió</w:t>
      </w:r>
      <w:r w:rsidRPr="005D2619">
        <w:rPr>
          <w:rFonts w:ascii="Cambria" w:hAnsi="Cambria"/>
          <w:sz w:val="20"/>
          <w:szCs w:val="20"/>
          <w:lang w:val="es-MX"/>
        </w:rPr>
        <w:t xml:space="preserve"> a otras de las personas qu</w:t>
      </w:r>
      <w:r w:rsidR="00C11640" w:rsidRPr="005D2619">
        <w:rPr>
          <w:rFonts w:ascii="Cambria" w:hAnsi="Cambria"/>
          <w:sz w:val="20"/>
          <w:szCs w:val="20"/>
          <w:lang w:val="es-MX"/>
        </w:rPr>
        <w:t>e se encontraban en el vehículo</w:t>
      </w:r>
      <w:r w:rsidRPr="005D2619">
        <w:rPr>
          <w:rStyle w:val="FootnoteReference"/>
          <w:rFonts w:ascii="Cambria" w:hAnsi="Cambria"/>
          <w:sz w:val="20"/>
          <w:szCs w:val="20"/>
          <w:lang w:val="es-MX"/>
        </w:rPr>
        <w:footnoteReference w:id="12"/>
      </w:r>
      <w:r w:rsidRPr="005D2619">
        <w:rPr>
          <w:rFonts w:ascii="Cambria" w:hAnsi="Cambria"/>
          <w:sz w:val="20"/>
          <w:szCs w:val="20"/>
          <w:lang w:val="es-MX"/>
        </w:rPr>
        <w:t>.</w:t>
      </w:r>
    </w:p>
    <w:p w14:paraId="52407F45" w14:textId="77777777" w:rsidR="00A71D78" w:rsidRPr="005D2619" w:rsidRDefault="00A71D78" w:rsidP="00A71D78">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sz w:val="20"/>
          <w:szCs w:val="20"/>
          <w:lang w:val="es-ES"/>
        </w:rPr>
      </w:pPr>
    </w:p>
    <w:p w14:paraId="0F5F4FB6" w14:textId="77777777" w:rsidR="0050161B" w:rsidRPr="005D2619" w:rsidRDefault="003D1101" w:rsidP="003D1101">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ES"/>
        </w:rPr>
      </w:pPr>
      <w:r w:rsidRPr="005D2619">
        <w:rPr>
          <w:rFonts w:ascii="Cambria" w:hAnsi="Cambria"/>
          <w:sz w:val="20"/>
          <w:szCs w:val="20"/>
          <w:lang w:val="es-ES"/>
        </w:rPr>
        <w:t xml:space="preserve">El mismo día </w:t>
      </w:r>
      <w:r w:rsidR="008774A1" w:rsidRPr="005D2619">
        <w:rPr>
          <w:rFonts w:ascii="Cambria" w:hAnsi="Cambria"/>
          <w:sz w:val="20"/>
          <w:szCs w:val="20"/>
          <w:lang w:val="es-ES"/>
        </w:rPr>
        <w:t xml:space="preserve">el señor </w:t>
      </w:r>
      <w:r w:rsidRPr="005D2619">
        <w:rPr>
          <w:rFonts w:ascii="Cambria" w:hAnsi="Cambria"/>
          <w:sz w:val="20"/>
          <w:szCs w:val="20"/>
          <w:lang w:val="es-ES"/>
        </w:rPr>
        <w:t>Jesús Mejía rindió una declaración ante la Dirección Regional de Fiscalías. Indicó que él estuvo asignado, como fotógrafo de la Fiscalía, para participar en la búsqueda de evidencia de lo sucedido el 27 de febrero de 1995</w:t>
      </w:r>
      <w:r w:rsidRPr="005D2619">
        <w:rPr>
          <w:rStyle w:val="FootnoteReference"/>
          <w:rFonts w:ascii="Cambria" w:hAnsi="Cambria"/>
          <w:sz w:val="20"/>
          <w:szCs w:val="20"/>
          <w:lang w:val="es-MX"/>
        </w:rPr>
        <w:footnoteReference w:id="13"/>
      </w:r>
      <w:r w:rsidRPr="005D2619">
        <w:rPr>
          <w:rFonts w:ascii="Cambria" w:hAnsi="Cambria"/>
          <w:sz w:val="20"/>
          <w:szCs w:val="20"/>
          <w:lang w:val="es-ES"/>
        </w:rPr>
        <w:t>.</w:t>
      </w:r>
      <w:r w:rsidR="0050161B" w:rsidRPr="005D2619">
        <w:rPr>
          <w:rFonts w:ascii="Cambria" w:hAnsi="Cambria"/>
          <w:sz w:val="20"/>
          <w:szCs w:val="20"/>
          <w:lang w:val="es-ES"/>
        </w:rPr>
        <w:t xml:space="preserve"> La CIDH toma nota de que el señor Mejía nombró a los agentes que participaron de dicha diligencia y no hizo ninguna referencia al señor Sastoque.</w:t>
      </w:r>
    </w:p>
    <w:p w14:paraId="5681C432" w14:textId="77777777" w:rsidR="001656A6" w:rsidRPr="005D2619" w:rsidRDefault="001656A6" w:rsidP="001656A6">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ES"/>
        </w:rPr>
      </w:pPr>
    </w:p>
    <w:p w14:paraId="4B508C27" w14:textId="3F69F842" w:rsidR="001656A6" w:rsidRPr="005D2619" w:rsidRDefault="001656A6" w:rsidP="001656A6">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MX"/>
        </w:rPr>
      </w:pPr>
      <w:r w:rsidRPr="005D2619">
        <w:rPr>
          <w:rFonts w:ascii="Cambria" w:hAnsi="Cambria"/>
          <w:sz w:val="20"/>
          <w:szCs w:val="20"/>
          <w:lang w:val="es-ES"/>
        </w:rPr>
        <w:t xml:space="preserve">Asimismo, la CIDH toma nota de que se declaró la reserva de identidad del “Testigo No. 3”. </w:t>
      </w:r>
      <w:r w:rsidR="008352F4" w:rsidRPr="005D2619">
        <w:rPr>
          <w:rFonts w:ascii="Cambria" w:hAnsi="Cambria"/>
          <w:sz w:val="20"/>
          <w:szCs w:val="20"/>
          <w:lang w:val="es-ES"/>
        </w:rPr>
        <w:t xml:space="preserve">La CIDH no cuenta con información sobre el nombre del Testigo No. 3. </w:t>
      </w:r>
      <w:r w:rsidRPr="005D2619">
        <w:rPr>
          <w:rFonts w:ascii="Cambria" w:hAnsi="Cambria"/>
          <w:sz w:val="20"/>
          <w:szCs w:val="20"/>
          <w:lang w:val="es-ES"/>
        </w:rPr>
        <w:t>El testigo indicó que presenció los hechos de 26 de febrero del mismo año pero que no vio “exactamente a la persona que (...) disparó”.</w:t>
      </w:r>
      <w:r w:rsidR="00311FA1" w:rsidRPr="005D2619">
        <w:rPr>
          <w:rFonts w:ascii="Cambria" w:hAnsi="Cambria"/>
          <w:sz w:val="20"/>
          <w:szCs w:val="20"/>
          <w:lang w:val="es-ES"/>
        </w:rPr>
        <w:t xml:space="preserve"> El testigo, cuando se le entreg</w:t>
      </w:r>
      <w:r w:rsidR="00184AF4" w:rsidRPr="005D2619">
        <w:rPr>
          <w:rFonts w:ascii="Cambria" w:hAnsi="Cambria"/>
          <w:sz w:val="20"/>
          <w:szCs w:val="20"/>
          <w:lang w:val="es-ES"/>
        </w:rPr>
        <w:t>aron</w:t>
      </w:r>
      <w:r w:rsidR="00311FA1" w:rsidRPr="005D2619">
        <w:rPr>
          <w:rFonts w:ascii="Cambria" w:hAnsi="Cambria"/>
          <w:sz w:val="20"/>
          <w:szCs w:val="20"/>
          <w:lang w:val="es-ES"/>
        </w:rPr>
        <w:t xml:space="preserve"> varias fotografías del persona</w:t>
      </w:r>
      <w:r w:rsidR="00184AF4" w:rsidRPr="005D2619">
        <w:rPr>
          <w:rFonts w:ascii="Cambria" w:hAnsi="Cambria"/>
          <w:sz w:val="20"/>
          <w:szCs w:val="20"/>
          <w:lang w:val="es-ES"/>
        </w:rPr>
        <w:t>l</w:t>
      </w:r>
      <w:r w:rsidR="00311FA1" w:rsidRPr="005D2619">
        <w:rPr>
          <w:rFonts w:ascii="Cambria" w:hAnsi="Cambria"/>
          <w:sz w:val="20"/>
          <w:szCs w:val="20"/>
          <w:lang w:val="es-ES"/>
        </w:rPr>
        <w:t xml:space="preserve"> de la Fiscalía, no pudo reconocer a ninguno de los involucrados en los hechos</w:t>
      </w:r>
      <w:r w:rsidR="00311FA1" w:rsidRPr="005D2619">
        <w:rPr>
          <w:rStyle w:val="FootnoteReference"/>
          <w:rFonts w:ascii="Cambria" w:hAnsi="Cambria"/>
          <w:sz w:val="20"/>
          <w:szCs w:val="20"/>
          <w:lang w:val="es-ES"/>
        </w:rPr>
        <w:footnoteReference w:id="14"/>
      </w:r>
      <w:r w:rsidR="00311FA1" w:rsidRPr="005D2619">
        <w:rPr>
          <w:rFonts w:ascii="Cambria" w:hAnsi="Cambria"/>
          <w:sz w:val="20"/>
          <w:szCs w:val="20"/>
          <w:lang w:val="es-ES"/>
        </w:rPr>
        <w:t xml:space="preserve">. También fue llevado al DAS </w:t>
      </w:r>
      <w:r w:rsidR="00311FA1" w:rsidRPr="005D2619">
        <w:rPr>
          <w:rFonts w:ascii="Cambria" w:hAnsi="Cambria"/>
          <w:sz w:val="20"/>
          <w:szCs w:val="20"/>
          <w:lang w:val="es-MX"/>
        </w:rPr>
        <w:t>y no reconoció a ninguna persona de las fotografías que le mostraron</w:t>
      </w:r>
      <w:r w:rsidR="00311FA1" w:rsidRPr="005D2619">
        <w:rPr>
          <w:rStyle w:val="FootnoteReference"/>
          <w:rFonts w:ascii="Cambria" w:hAnsi="Cambria"/>
          <w:sz w:val="20"/>
          <w:szCs w:val="20"/>
          <w:lang w:val="es-MX"/>
        </w:rPr>
        <w:footnoteReference w:id="15"/>
      </w:r>
      <w:r w:rsidR="00311FA1" w:rsidRPr="005D2619">
        <w:rPr>
          <w:rFonts w:ascii="Cambria" w:hAnsi="Cambria"/>
          <w:sz w:val="20"/>
          <w:szCs w:val="20"/>
          <w:lang w:val="es-MX"/>
        </w:rPr>
        <w:t xml:space="preserve">. </w:t>
      </w:r>
      <w:r w:rsidR="00184AF4" w:rsidRPr="005D2619">
        <w:rPr>
          <w:rFonts w:ascii="Cambria" w:hAnsi="Cambria"/>
          <w:sz w:val="20"/>
          <w:szCs w:val="20"/>
          <w:lang w:val="es-MX"/>
        </w:rPr>
        <w:t>Cuatro meses después, e</w:t>
      </w:r>
      <w:r w:rsidR="00311FA1" w:rsidRPr="005D2619">
        <w:rPr>
          <w:rFonts w:ascii="Cambria" w:hAnsi="Cambria"/>
          <w:sz w:val="20"/>
          <w:szCs w:val="20"/>
          <w:lang w:val="es-MX"/>
        </w:rPr>
        <w:t>l 20 de julio de 1995 el Testigo No. 3 rindió una ampliación de declaratoria y sostuvo que reconocía mediante fotografías a Gustavo Sastoque como el autor de los disparo</w:t>
      </w:r>
      <w:r w:rsidR="007E6C62" w:rsidRPr="005D2619">
        <w:rPr>
          <w:rFonts w:ascii="Cambria" w:hAnsi="Cambria"/>
          <w:sz w:val="20"/>
          <w:szCs w:val="20"/>
          <w:lang w:val="es-MX"/>
        </w:rPr>
        <w:t>s puesto que “por referencias yo se que fue él que disparó”</w:t>
      </w:r>
      <w:r w:rsidR="007E6C62" w:rsidRPr="005D2619">
        <w:rPr>
          <w:rStyle w:val="FootnoteReference"/>
          <w:rFonts w:ascii="Cambria" w:hAnsi="Cambria"/>
          <w:sz w:val="20"/>
          <w:szCs w:val="20"/>
          <w:lang w:val="es-MX"/>
        </w:rPr>
        <w:footnoteReference w:id="16"/>
      </w:r>
      <w:r w:rsidR="007E6C62" w:rsidRPr="005D2619">
        <w:rPr>
          <w:rFonts w:ascii="Cambria" w:hAnsi="Cambria"/>
          <w:sz w:val="20"/>
          <w:szCs w:val="20"/>
          <w:lang w:val="es-MX"/>
        </w:rPr>
        <w:t>.</w:t>
      </w:r>
      <w:r w:rsidR="008352F4" w:rsidRPr="005D2619">
        <w:rPr>
          <w:rFonts w:ascii="Cambria" w:hAnsi="Cambria"/>
          <w:sz w:val="20"/>
          <w:szCs w:val="20"/>
          <w:lang w:val="es-MX"/>
        </w:rPr>
        <w:t xml:space="preserve"> La CIDH toma nota de que el testigo no explicó dichas “referencias” y que en el acta no se le preguntó sobre ello.</w:t>
      </w:r>
    </w:p>
    <w:p w14:paraId="6C1D93C6" w14:textId="77777777" w:rsidR="00A44F96" w:rsidRPr="005D2619" w:rsidRDefault="00A44F96" w:rsidP="00330CD6">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ES"/>
        </w:rPr>
      </w:pPr>
    </w:p>
    <w:p w14:paraId="45BB0A71" w14:textId="77777777" w:rsidR="000E6681" w:rsidRPr="00C4427B" w:rsidRDefault="00C4427B" w:rsidP="00C4427B">
      <w:pPr>
        <w:pStyle w:val="Heading2"/>
        <w:numPr>
          <w:ilvl w:val="0"/>
          <w:numId w:val="0"/>
        </w:numPr>
        <w:ind w:left="1440" w:hanging="720"/>
      </w:pPr>
      <w:bookmarkStart w:id="18" w:name="_Toc203986803"/>
      <w:r>
        <w:t xml:space="preserve">B. </w:t>
      </w:r>
      <w:r>
        <w:tab/>
      </w:r>
      <w:r w:rsidR="000E6681" w:rsidRPr="00C4427B">
        <w:t>Sobre la justicia regional</w:t>
      </w:r>
      <w:bookmarkEnd w:id="18"/>
    </w:p>
    <w:p w14:paraId="338C601A" w14:textId="77777777" w:rsidR="000E6681" w:rsidRPr="005D2619" w:rsidRDefault="000E6681" w:rsidP="000E6681">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1440" w:firstLine="0"/>
        <w:jc w:val="both"/>
        <w:rPr>
          <w:rFonts w:ascii="Cambria" w:hAnsi="Cambria"/>
          <w:b/>
          <w:color w:val="auto"/>
          <w:sz w:val="20"/>
          <w:szCs w:val="20"/>
          <w:lang w:val="es-ES"/>
        </w:rPr>
      </w:pPr>
    </w:p>
    <w:p w14:paraId="2B4F9120" w14:textId="77777777" w:rsidR="000E6681" w:rsidRPr="005D2619" w:rsidRDefault="000E6681" w:rsidP="000E6681">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color w:val="auto"/>
          <w:sz w:val="20"/>
          <w:szCs w:val="20"/>
          <w:lang w:val="es-ES"/>
        </w:rPr>
      </w:pPr>
      <w:r w:rsidRPr="005D2619">
        <w:rPr>
          <w:rFonts w:ascii="Cambria" w:hAnsi="Cambria"/>
          <w:color w:val="auto"/>
          <w:sz w:val="20"/>
          <w:szCs w:val="20"/>
          <w:lang w:val="es-ES"/>
        </w:rPr>
        <w:t>En su Tercer Informe sobre la Situación de los Derechos Humanos en Colombia de 1999, la Comisión Interamericana se pronunció sobre la denominada “justicia regional”. En relación con la creación y el límite temporal de dicha jurisdicción, la CIDH indicó lo siguiente:</w:t>
      </w:r>
    </w:p>
    <w:p w14:paraId="267F3DA3" w14:textId="77777777" w:rsidR="000E6681" w:rsidRPr="005D2619" w:rsidRDefault="000E6681" w:rsidP="000E6681">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color w:val="auto"/>
          <w:sz w:val="20"/>
          <w:szCs w:val="20"/>
          <w:lang w:val="es-ES"/>
        </w:rPr>
      </w:pPr>
    </w:p>
    <w:p w14:paraId="7A6C54DA" w14:textId="77777777" w:rsidR="000E6681" w:rsidRPr="005D2619" w:rsidRDefault="000E6681" w:rsidP="000E6681">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right="720" w:firstLine="0"/>
        <w:jc w:val="both"/>
        <w:rPr>
          <w:rFonts w:ascii="Cambria" w:hAnsi="Cambria"/>
          <w:sz w:val="20"/>
          <w:szCs w:val="20"/>
        </w:rPr>
      </w:pPr>
      <w:r w:rsidRPr="005D2619">
        <w:rPr>
          <w:rFonts w:ascii="Cambria" w:hAnsi="Cambria"/>
          <w:sz w:val="20"/>
          <w:szCs w:val="20"/>
        </w:rPr>
        <w:t xml:space="preserve">El sistema de justicia regional tiene origen en las leyes y decretos de emergencia de los años ochenta por los que se establece la jurisdicción del "orden público". Esta jurisdicción especial fue establecida para entender en los casos que involucraban delitos particularmente graves (…) que planteaban riesgos especiales para los encargados de la administración de justicia. </w:t>
      </w:r>
      <w:r w:rsidRPr="005D2619">
        <w:rPr>
          <w:rFonts w:ascii="Cambria" w:hAnsi="Cambria"/>
          <w:sz w:val="20"/>
          <w:szCs w:val="20"/>
        </w:rPr>
        <w:lastRenderedPageBreak/>
        <w:t xml:space="preserve">Otros decretos de emergencia emitidos en 1990 y 1991 reestructuraron la jurisdicción del orden público y establecieron medidas especiales para la protección de quienes participan en el proceso. Estas nuevas medidas incluyeron una disposición de mantener secreta la identidad de quienes participaran en el proceso, incluidos los jueces y los fiscales.  </w:t>
      </w:r>
    </w:p>
    <w:p w14:paraId="290029B4" w14:textId="77777777" w:rsidR="000E6681" w:rsidRPr="005D2619" w:rsidRDefault="000E6681" w:rsidP="000E6681">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right="720" w:firstLine="0"/>
        <w:jc w:val="both"/>
        <w:rPr>
          <w:rFonts w:ascii="Cambria" w:hAnsi="Cambria"/>
          <w:sz w:val="20"/>
          <w:szCs w:val="20"/>
        </w:rPr>
      </w:pPr>
      <w:r w:rsidRPr="005D2619">
        <w:rPr>
          <w:rFonts w:ascii="Cambria" w:hAnsi="Cambria"/>
          <w:sz w:val="20"/>
          <w:szCs w:val="20"/>
        </w:rPr>
        <w:t xml:space="preserve">(…) </w:t>
      </w:r>
    </w:p>
    <w:p w14:paraId="064CB7A2" w14:textId="77777777" w:rsidR="000E6681" w:rsidRPr="005D2619" w:rsidRDefault="000E6681" w:rsidP="000E6681">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right="720" w:firstLine="0"/>
        <w:jc w:val="both"/>
        <w:rPr>
          <w:rFonts w:ascii="Cambria" w:hAnsi="Cambria"/>
          <w:sz w:val="20"/>
          <w:szCs w:val="20"/>
        </w:rPr>
      </w:pPr>
      <w:r w:rsidRPr="005D2619">
        <w:rPr>
          <w:rFonts w:ascii="Cambria" w:hAnsi="Cambria"/>
          <w:sz w:val="20"/>
          <w:szCs w:val="20"/>
        </w:rPr>
        <w:t>De acuerdo con la autoridad concedida por una disposición transitoria de la Constitución de 1991, una comisión legislativa especial convirtió estos decretos en legislación permanente. Al mismo tiempo, se dispuso que esta jurisdicción especial caducaría en el año 2002. Sin embargo, una ley de 1992 redujo ese plazo y dictaminó que el sistema de la justicia regional debe dejar de existir el 30 de junio de 1999.</w:t>
      </w:r>
    </w:p>
    <w:p w14:paraId="482D8224" w14:textId="77777777" w:rsidR="000E6681" w:rsidRPr="005D2619" w:rsidRDefault="000E6681" w:rsidP="000E6681">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right="720" w:firstLine="0"/>
        <w:jc w:val="both"/>
        <w:rPr>
          <w:rFonts w:ascii="Cambria" w:hAnsi="Cambria"/>
          <w:sz w:val="20"/>
          <w:szCs w:val="20"/>
        </w:rPr>
      </w:pPr>
      <w:r w:rsidRPr="005D2619">
        <w:rPr>
          <w:rFonts w:ascii="Cambria" w:hAnsi="Cambria"/>
          <w:sz w:val="20"/>
          <w:szCs w:val="20"/>
        </w:rPr>
        <w:t>(…)</w:t>
      </w:r>
    </w:p>
    <w:p w14:paraId="14E67313" w14:textId="77777777" w:rsidR="000E6681" w:rsidRPr="005D2619" w:rsidRDefault="000E6681" w:rsidP="000E6681">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right="720" w:firstLine="0"/>
        <w:jc w:val="both"/>
        <w:rPr>
          <w:rFonts w:ascii="Cambria" w:hAnsi="Cambria"/>
          <w:color w:val="auto"/>
          <w:sz w:val="20"/>
          <w:szCs w:val="20"/>
          <w:lang w:val="es-ES"/>
        </w:rPr>
      </w:pPr>
      <w:r w:rsidRPr="005D2619">
        <w:rPr>
          <w:rFonts w:ascii="Cambria" w:hAnsi="Cambria"/>
          <w:sz w:val="20"/>
          <w:szCs w:val="20"/>
        </w:rPr>
        <w:t>En la práctica, la justicia regional procesa una gran variedad de casos. (…) Dado que la jurisdicción de la justicia regional no está claramente delimitada, una gran variedad de delitos por lo menos cumplen las etapas iniciales del proceso en este sistema. (…) La vaga descripción de la jurisdicción de la justicia regional también crea una situación en la que ciertos individuos con recursos o influencias pueden evitar esta jurisdicción, en tanto que otras personas menos afortunadas no consiguen hacerlo</w:t>
      </w:r>
      <w:r w:rsidRPr="005D2619">
        <w:rPr>
          <w:rStyle w:val="FootnoteReference"/>
          <w:rFonts w:ascii="Cambria" w:hAnsi="Cambria"/>
          <w:sz w:val="20"/>
          <w:szCs w:val="20"/>
        </w:rPr>
        <w:footnoteReference w:id="17"/>
      </w:r>
      <w:r w:rsidRPr="005D2619">
        <w:rPr>
          <w:rFonts w:ascii="Cambria" w:hAnsi="Cambria"/>
          <w:sz w:val="20"/>
          <w:szCs w:val="20"/>
        </w:rPr>
        <w:t>.</w:t>
      </w:r>
    </w:p>
    <w:p w14:paraId="67D96B21" w14:textId="77777777" w:rsidR="000E6681" w:rsidRPr="005D2619" w:rsidRDefault="000E6681" w:rsidP="000E6681">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color w:val="auto"/>
          <w:sz w:val="20"/>
          <w:szCs w:val="20"/>
          <w:lang w:val="es-ES"/>
        </w:rPr>
      </w:pPr>
    </w:p>
    <w:p w14:paraId="1AEFB8EB" w14:textId="77777777" w:rsidR="000E6681" w:rsidRPr="005D2619" w:rsidRDefault="000E6681" w:rsidP="000E6681">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color w:val="auto"/>
          <w:sz w:val="20"/>
          <w:szCs w:val="20"/>
          <w:lang w:val="es-ES"/>
        </w:rPr>
      </w:pPr>
      <w:r w:rsidRPr="005D2619">
        <w:rPr>
          <w:rFonts w:ascii="Cambria" w:hAnsi="Cambria"/>
          <w:color w:val="auto"/>
          <w:sz w:val="20"/>
          <w:szCs w:val="20"/>
          <w:lang w:val="es-ES"/>
        </w:rPr>
        <w:t xml:space="preserve">En dicho informe, la CIDH resaltó que “uno de los aspectos más criticados del sistema de justicia regional” es el uso de </w:t>
      </w:r>
      <w:r w:rsidRPr="005D2619">
        <w:rPr>
          <w:rFonts w:ascii="Cambria" w:hAnsi="Cambria"/>
          <w:sz w:val="20"/>
          <w:szCs w:val="20"/>
        </w:rPr>
        <w:t>fiscales, jueces y testigos "secretos" o "sin rostro". Sobre este aspecto, la Comisión sostuvo lo siguiente:</w:t>
      </w:r>
    </w:p>
    <w:p w14:paraId="7995C05F" w14:textId="77777777" w:rsidR="000E6681" w:rsidRPr="005D2619" w:rsidRDefault="000E6681" w:rsidP="000E6681">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right="720" w:firstLine="0"/>
        <w:jc w:val="both"/>
        <w:rPr>
          <w:rFonts w:ascii="Cambria" w:hAnsi="Cambria"/>
          <w:sz w:val="20"/>
          <w:szCs w:val="20"/>
        </w:rPr>
      </w:pPr>
    </w:p>
    <w:p w14:paraId="0101F4C7" w14:textId="77777777" w:rsidR="000E6681" w:rsidRPr="005D2619" w:rsidRDefault="000E6681" w:rsidP="000E6681">
      <w:pPr>
        <w:pStyle w:val="NormalWeb"/>
        <w:spacing w:before="0" w:beforeAutospacing="0" w:after="0" w:afterAutospacing="0"/>
        <w:ind w:left="720" w:right="720"/>
        <w:jc w:val="both"/>
        <w:rPr>
          <w:rFonts w:ascii="Cambria" w:hAnsi="Cambria"/>
          <w:color w:val="000000"/>
          <w:sz w:val="20"/>
          <w:szCs w:val="20"/>
        </w:rPr>
      </w:pPr>
      <w:r w:rsidRPr="005D2619">
        <w:rPr>
          <w:rFonts w:ascii="Cambria" w:hAnsi="Cambria"/>
          <w:color w:val="000000"/>
          <w:sz w:val="20"/>
          <w:szCs w:val="20"/>
        </w:rPr>
        <w:t>La reserva de la identidad de protagonistas cruciales en el proceso penal ha sido un elemento central en esta jurisdicción.</w:t>
      </w:r>
      <w:r w:rsidRPr="005D2619">
        <w:rPr>
          <w:rFonts w:ascii="Cambria" w:hAnsi="Cambria"/>
          <w:color w:val="000000"/>
          <w:sz w:val="27"/>
          <w:szCs w:val="27"/>
        </w:rPr>
        <w:t xml:space="preserve"> </w:t>
      </w:r>
      <w:r w:rsidRPr="005D2619">
        <w:rPr>
          <w:rFonts w:ascii="Cambria" w:hAnsi="Cambria"/>
          <w:color w:val="000000"/>
          <w:sz w:val="20"/>
          <w:szCs w:val="20"/>
        </w:rPr>
        <w:t>Las reformas implementadas en 1996 por la Fiscalía General de la Nación procuraban limitar el uso del anonimato en las actuaciones de la justicia regional. El Fiscal General adoptó una resolución por la que se dispone que el uso de la reserva de la identidad por parte de las autoridades judiciales sólo se utilizaría como medida de excepción. Además, se estableció que las condenas no podían basarse en pruebas proporcionadas únicamente por testigos anónimos. La Comisión considera que estas restricciones constituyen una medida importante, aunque insuficiente, para limitar la arbitrariedad impuesta por la "justicia sin rostro".</w:t>
      </w:r>
    </w:p>
    <w:p w14:paraId="431817F0" w14:textId="77777777" w:rsidR="000E6681" w:rsidRPr="005D2619" w:rsidRDefault="000E6681" w:rsidP="000E6681">
      <w:pPr>
        <w:pStyle w:val="NormalWeb"/>
        <w:spacing w:before="0" w:beforeAutospacing="0" w:after="0" w:afterAutospacing="0"/>
        <w:ind w:left="720" w:right="720"/>
        <w:jc w:val="both"/>
        <w:rPr>
          <w:rFonts w:ascii="Cambria" w:hAnsi="Cambria"/>
          <w:color w:val="000000"/>
          <w:sz w:val="27"/>
          <w:szCs w:val="27"/>
        </w:rPr>
      </w:pPr>
      <w:r w:rsidRPr="005D2619">
        <w:rPr>
          <w:rFonts w:ascii="Cambria" w:hAnsi="Cambria"/>
          <w:color w:val="000000"/>
          <w:sz w:val="20"/>
          <w:szCs w:val="20"/>
        </w:rPr>
        <w:t>(…)</w:t>
      </w:r>
      <w:r w:rsidRPr="005D2619">
        <w:rPr>
          <w:rFonts w:ascii="Cambria" w:hAnsi="Cambria"/>
          <w:color w:val="000000"/>
          <w:sz w:val="27"/>
          <w:szCs w:val="27"/>
        </w:rPr>
        <w:t xml:space="preserve"> </w:t>
      </w:r>
    </w:p>
    <w:p w14:paraId="0E5B1B06" w14:textId="77777777" w:rsidR="000E6681" w:rsidRPr="005D2619" w:rsidRDefault="000E6681" w:rsidP="000E6681">
      <w:pPr>
        <w:pStyle w:val="NormalWeb"/>
        <w:spacing w:before="0" w:beforeAutospacing="0" w:after="0" w:afterAutospacing="0"/>
        <w:ind w:left="720" w:right="720"/>
        <w:jc w:val="both"/>
        <w:rPr>
          <w:rFonts w:ascii="Cambria" w:hAnsi="Cambria"/>
          <w:color w:val="000000"/>
          <w:sz w:val="20"/>
          <w:szCs w:val="20"/>
        </w:rPr>
      </w:pPr>
      <w:r w:rsidRPr="005D2619">
        <w:rPr>
          <w:rFonts w:ascii="Cambria" w:hAnsi="Cambria"/>
          <w:color w:val="000000"/>
          <w:sz w:val="20"/>
          <w:szCs w:val="20"/>
        </w:rPr>
        <w:t xml:space="preserve">En el contexto de Colombia y de otros países, la Comisión ha observado reiteradamente que los sistemas judiciales "sin rostro" no brindan garantías adecuadas del debido proceso a los acusados. </w:t>
      </w:r>
    </w:p>
    <w:p w14:paraId="58286309" w14:textId="77777777" w:rsidR="000E6681" w:rsidRPr="005D2619" w:rsidRDefault="000E6681" w:rsidP="000E6681">
      <w:pPr>
        <w:pStyle w:val="NormalWeb"/>
        <w:spacing w:before="0" w:beforeAutospacing="0" w:after="0" w:afterAutospacing="0"/>
        <w:ind w:left="720" w:right="720"/>
        <w:jc w:val="both"/>
        <w:rPr>
          <w:rFonts w:ascii="Cambria" w:hAnsi="Cambria"/>
          <w:color w:val="000000"/>
          <w:sz w:val="27"/>
          <w:szCs w:val="27"/>
        </w:rPr>
      </w:pPr>
      <w:r w:rsidRPr="005D2619">
        <w:rPr>
          <w:rFonts w:ascii="Cambria" w:hAnsi="Cambria"/>
          <w:color w:val="000000"/>
          <w:sz w:val="20"/>
          <w:szCs w:val="20"/>
        </w:rPr>
        <w:t>(…) Estos peligros, intrínsecos de un sistema penal que ofrece el anonimato a sus protagonistas centrales, han tenido efectos reales en el sistema de justicia regional de Colombia. Las disposiciones que permiten el anonimato de los testigos han dado lugar a anomalías particularmente graves.</w:t>
      </w:r>
    </w:p>
    <w:p w14:paraId="206C3068" w14:textId="77777777" w:rsidR="000E6681" w:rsidRPr="005D2619" w:rsidRDefault="000E6681" w:rsidP="000E6681">
      <w:pPr>
        <w:pStyle w:val="NormalWeb"/>
        <w:spacing w:before="0" w:beforeAutospacing="0" w:after="0" w:afterAutospacing="0"/>
        <w:ind w:left="720" w:right="720"/>
        <w:jc w:val="both"/>
        <w:rPr>
          <w:rFonts w:ascii="Cambria" w:hAnsi="Cambria"/>
          <w:color w:val="000000"/>
          <w:sz w:val="27"/>
          <w:szCs w:val="27"/>
        </w:rPr>
      </w:pPr>
      <w:r w:rsidRPr="005D2619">
        <w:rPr>
          <w:rFonts w:ascii="Cambria" w:hAnsi="Cambria"/>
          <w:color w:val="000000"/>
          <w:sz w:val="20"/>
          <w:szCs w:val="20"/>
        </w:rPr>
        <w:t>(…)</w:t>
      </w:r>
    </w:p>
    <w:p w14:paraId="7189BAFA" w14:textId="77777777" w:rsidR="000E6681" w:rsidRPr="005D2619" w:rsidRDefault="000E6681" w:rsidP="000E6681">
      <w:pPr>
        <w:pStyle w:val="NormalWeb"/>
        <w:spacing w:before="0" w:beforeAutospacing="0" w:after="0" w:afterAutospacing="0"/>
        <w:ind w:left="720" w:right="720"/>
        <w:jc w:val="both"/>
        <w:rPr>
          <w:rFonts w:ascii="Cambria" w:hAnsi="Cambria"/>
          <w:color w:val="000000"/>
          <w:sz w:val="27"/>
          <w:szCs w:val="27"/>
        </w:rPr>
      </w:pPr>
      <w:r w:rsidRPr="005D2619">
        <w:rPr>
          <w:rFonts w:ascii="Cambria" w:hAnsi="Cambria"/>
          <w:color w:val="000000"/>
          <w:sz w:val="20"/>
          <w:szCs w:val="20"/>
        </w:rPr>
        <w:t>También se ha revelado información importante que pone en tela de juicio la credibilidad de los testigos anónimos. Por ejemplo, ciertos testigos que declaran contra acusados en las actuaciones de la justicia penal han recibido pagos del Ejército, de acuerdo con el número de condenas que ayudan a lograr. Las fuerzas armadas también han brindado a veces a estos testigos alimento y alojamiento durante períodos prolongados. (…) Por supuesto que los derechos del acusado al debido proceso se ven seriamente comprometidos si es condenado en base a este tipo de testimonios, sin oportunidad alguna de cuestionar la credibilidad de los testigos. Sin embargo, en la mayoría de los casos, el acusado no tiene acceso a la información que revelaría estos problemas de credibilidad, porque se mantiene en reserva la identidad de los testigos</w:t>
      </w:r>
      <w:r w:rsidRPr="005D2619">
        <w:rPr>
          <w:rStyle w:val="FootnoteReference"/>
          <w:rFonts w:ascii="Cambria" w:hAnsi="Cambria"/>
          <w:sz w:val="20"/>
          <w:szCs w:val="20"/>
        </w:rPr>
        <w:footnoteReference w:id="18"/>
      </w:r>
      <w:r w:rsidRPr="005D2619">
        <w:rPr>
          <w:rFonts w:ascii="Cambria" w:hAnsi="Cambria"/>
          <w:color w:val="000000"/>
          <w:sz w:val="20"/>
          <w:szCs w:val="20"/>
        </w:rPr>
        <w:t>.</w:t>
      </w:r>
    </w:p>
    <w:p w14:paraId="4BD707AC" w14:textId="77777777" w:rsidR="000E6681" w:rsidRPr="005D2619" w:rsidRDefault="000E6681" w:rsidP="000E6681">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color w:val="auto"/>
          <w:sz w:val="20"/>
          <w:szCs w:val="20"/>
          <w:lang w:val="es-ES"/>
        </w:rPr>
      </w:pPr>
    </w:p>
    <w:p w14:paraId="134E3F42" w14:textId="77777777" w:rsidR="000E6681" w:rsidRPr="005D2619" w:rsidRDefault="000E6681" w:rsidP="000E6681">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color w:val="auto"/>
          <w:sz w:val="20"/>
          <w:szCs w:val="20"/>
          <w:lang w:val="es-ES"/>
        </w:rPr>
      </w:pPr>
      <w:r w:rsidRPr="005D2619">
        <w:rPr>
          <w:rFonts w:ascii="Cambria" w:hAnsi="Cambria"/>
          <w:color w:val="auto"/>
          <w:sz w:val="20"/>
          <w:szCs w:val="20"/>
          <w:lang w:val="es-ES"/>
        </w:rPr>
        <w:t>Adicionalmente, la CIDH consideró que la justicia regional presenta los siguientes problemas:</w:t>
      </w:r>
    </w:p>
    <w:p w14:paraId="3BDD7E6D" w14:textId="77777777" w:rsidR="000E6681" w:rsidRPr="005D2619" w:rsidRDefault="000E6681" w:rsidP="000E6681">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color w:val="auto"/>
          <w:sz w:val="20"/>
          <w:szCs w:val="20"/>
          <w:lang w:val="es-ES"/>
        </w:rPr>
      </w:pPr>
    </w:p>
    <w:p w14:paraId="3B47DEF5" w14:textId="77777777" w:rsidR="000E6681" w:rsidRPr="005D2619" w:rsidRDefault="000E6681" w:rsidP="000E6681">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right="720" w:firstLine="0"/>
        <w:jc w:val="both"/>
        <w:rPr>
          <w:rFonts w:ascii="Cambria" w:hAnsi="Cambria"/>
          <w:sz w:val="20"/>
          <w:szCs w:val="20"/>
        </w:rPr>
      </w:pPr>
      <w:r w:rsidRPr="005D2619">
        <w:rPr>
          <w:rFonts w:ascii="Cambria" w:hAnsi="Cambria"/>
          <w:sz w:val="20"/>
          <w:szCs w:val="20"/>
        </w:rPr>
        <w:t>La Comisión ha recibido información que indica que miembros de las fuerzas de seguridad a veces detienen a sospechosos sin orden de arresto. (…) La Comisión también ha recibido información que indica que las autoridades colombianas a veces no informan a los sospechosos en casos procesados por el sistema regional de las razones de su captura. De acuerdo con esta información, también puede no informarse al sospechoso de los cargos que se le imputan dentro de un plazo razonable. </w:t>
      </w:r>
    </w:p>
    <w:p w14:paraId="4F414228" w14:textId="77777777" w:rsidR="000E6681" w:rsidRPr="005D2619" w:rsidRDefault="000E6681" w:rsidP="000E6681">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right="720" w:firstLine="0"/>
        <w:jc w:val="both"/>
        <w:rPr>
          <w:rFonts w:ascii="Cambria" w:hAnsi="Cambria"/>
          <w:sz w:val="20"/>
          <w:szCs w:val="20"/>
        </w:rPr>
      </w:pPr>
      <w:r w:rsidRPr="005D2619">
        <w:rPr>
          <w:rFonts w:ascii="Cambria" w:hAnsi="Cambria"/>
          <w:sz w:val="20"/>
          <w:szCs w:val="20"/>
        </w:rPr>
        <w:t>(…)</w:t>
      </w:r>
    </w:p>
    <w:p w14:paraId="1593DA9E" w14:textId="77777777" w:rsidR="000E6681" w:rsidRPr="005D2619" w:rsidRDefault="000E6681" w:rsidP="000E6681">
      <w:pPr>
        <w:pStyle w:val="NormalWeb"/>
        <w:spacing w:before="0" w:beforeAutospacing="0" w:after="0" w:afterAutospacing="0"/>
        <w:ind w:left="720" w:right="720"/>
        <w:jc w:val="both"/>
        <w:rPr>
          <w:rFonts w:ascii="Cambria" w:hAnsi="Cambria"/>
          <w:color w:val="000000"/>
          <w:sz w:val="20"/>
          <w:szCs w:val="20"/>
        </w:rPr>
      </w:pPr>
      <w:r w:rsidRPr="005D2619">
        <w:rPr>
          <w:rFonts w:ascii="Cambria" w:hAnsi="Cambria"/>
          <w:color w:val="000000"/>
          <w:sz w:val="20"/>
          <w:szCs w:val="20"/>
        </w:rPr>
        <w:t>Los analistas de la justicia regional también han señalado problemas relacionados con el debido proceso que surgen del hecho de que los integrantes de las fuerzas de seguridad del Estado realizan la mayor parte de las investigaciones iniciales. (…) La recabación inicial de pruebas por los integrantes de las fuerzas de seguridad también incluye con frecuencia entrevistas a testigos y sospechosos. Estas actividades indagatorias a menudo se realizan sin la presencia del abogado defensor, el fiscal u otra autoridad judicial. La información obtenida es entonces incorporada directamente al expediente penal y utilizada como prueba para instruir órdenes de detención preventiva e inclusive condenas. Estos procedimientos plantean problemas graves al debido proceso.</w:t>
      </w:r>
    </w:p>
    <w:p w14:paraId="643689F5" w14:textId="77777777" w:rsidR="000E6681" w:rsidRPr="005D2619" w:rsidRDefault="000E6681" w:rsidP="000E6681">
      <w:pPr>
        <w:pStyle w:val="NormalWeb"/>
        <w:spacing w:before="0" w:beforeAutospacing="0" w:after="0" w:afterAutospacing="0"/>
        <w:ind w:left="720" w:right="720"/>
        <w:jc w:val="both"/>
        <w:rPr>
          <w:rFonts w:ascii="Cambria" w:hAnsi="Cambria"/>
          <w:color w:val="000000"/>
          <w:sz w:val="20"/>
          <w:szCs w:val="20"/>
        </w:rPr>
      </w:pPr>
      <w:r w:rsidRPr="005D2619">
        <w:rPr>
          <w:rFonts w:ascii="Cambria" w:hAnsi="Cambria"/>
          <w:color w:val="000000"/>
          <w:sz w:val="20"/>
          <w:szCs w:val="20"/>
        </w:rPr>
        <w:t xml:space="preserve">(…) </w:t>
      </w:r>
    </w:p>
    <w:p w14:paraId="1B575C70" w14:textId="77777777" w:rsidR="000E6681" w:rsidRPr="005D2619" w:rsidRDefault="000E6681" w:rsidP="000E6681">
      <w:pPr>
        <w:pStyle w:val="NormalWeb"/>
        <w:spacing w:before="0" w:beforeAutospacing="0" w:after="0" w:afterAutospacing="0"/>
        <w:ind w:left="720" w:right="720"/>
        <w:jc w:val="both"/>
        <w:rPr>
          <w:rFonts w:ascii="Cambria" w:hAnsi="Cambria"/>
          <w:color w:val="000000"/>
          <w:sz w:val="20"/>
          <w:szCs w:val="20"/>
        </w:rPr>
      </w:pPr>
      <w:r w:rsidRPr="005D2619">
        <w:rPr>
          <w:rFonts w:ascii="Cambria" w:hAnsi="Cambria"/>
          <w:color w:val="000000"/>
          <w:sz w:val="20"/>
          <w:szCs w:val="20"/>
        </w:rPr>
        <w:t>Además, las confesiones y los testimonios de testigos adversos obtenidos sin la presencia de un abogado defensor en las primeras etapas son incluidas directamente en el expediente y utilizadas para adoptar decisiones importantes sobre el destino del inculpado.</w:t>
      </w:r>
    </w:p>
    <w:p w14:paraId="018205C4" w14:textId="77777777" w:rsidR="000E6681" w:rsidRPr="005D2619" w:rsidRDefault="000E6681" w:rsidP="000E6681">
      <w:pPr>
        <w:pStyle w:val="NormalWeb"/>
        <w:spacing w:before="0" w:beforeAutospacing="0" w:after="0" w:afterAutospacing="0"/>
        <w:ind w:left="720" w:right="720"/>
        <w:jc w:val="both"/>
        <w:rPr>
          <w:rFonts w:ascii="Cambria" w:hAnsi="Cambria"/>
          <w:color w:val="000000"/>
          <w:sz w:val="20"/>
          <w:szCs w:val="20"/>
        </w:rPr>
      </w:pPr>
      <w:r w:rsidRPr="005D2619">
        <w:rPr>
          <w:rFonts w:ascii="Cambria" w:hAnsi="Cambria"/>
          <w:color w:val="000000"/>
          <w:sz w:val="20"/>
          <w:szCs w:val="20"/>
        </w:rPr>
        <w:t>(…)</w:t>
      </w:r>
    </w:p>
    <w:p w14:paraId="7423D1D8" w14:textId="77777777" w:rsidR="000E6681" w:rsidRPr="005D2619" w:rsidRDefault="000E6681" w:rsidP="000E6681">
      <w:pPr>
        <w:pStyle w:val="NormalWeb"/>
        <w:spacing w:before="0" w:beforeAutospacing="0" w:after="0" w:afterAutospacing="0"/>
        <w:ind w:left="720" w:right="720"/>
        <w:jc w:val="both"/>
        <w:rPr>
          <w:rFonts w:ascii="Cambria" w:hAnsi="Cambria"/>
          <w:color w:val="000000"/>
          <w:sz w:val="20"/>
          <w:szCs w:val="20"/>
        </w:rPr>
      </w:pPr>
      <w:r w:rsidRPr="005D2619">
        <w:rPr>
          <w:rFonts w:ascii="Cambria" w:hAnsi="Cambria"/>
          <w:color w:val="000000"/>
          <w:sz w:val="20"/>
          <w:szCs w:val="20"/>
        </w:rPr>
        <w:t>La Comisión también ha detectado graves problemas en el debido proceso ante el hecho de que ciertos fiscales regionales están destacados en instalaciones militares. Estos fiscales trabajan en oficinas ubicadas físicamente dentro de los destacamentos militares y tienden a ser considerados fiscales del respectivo batallón o brigada militar. En general trabajan en estrecha cooperación con las autoridades militares. La Comisión considera que esta situación compromete gravemente la objetividad e independencia del fiscal. Así, por ejemplo, la Comisión ha recibido denuncias en las que se alega que estos fiscales regionales que actúan en las instalaciones militares facilitan las acciones que el Ejército procure ejecutar, brindando las formalidades legales necesarias. De acuerdo con estas denuncias, firman órdenes de arresto y de allanamiento que les presentan los militares, sin realizar ningún análisis independiente sobre el fundamento legal o fáctico de esas órdenes</w:t>
      </w:r>
      <w:r w:rsidRPr="005D2619">
        <w:rPr>
          <w:rStyle w:val="FootnoteReference"/>
          <w:rFonts w:ascii="Cambria" w:hAnsi="Cambria"/>
          <w:sz w:val="20"/>
          <w:szCs w:val="20"/>
        </w:rPr>
        <w:footnoteReference w:id="19"/>
      </w:r>
      <w:r w:rsidRPr="005D2619">
        <w:rPr>
          <w:rFonts w:ascii="Cambria" w:hAnsi="Cambria"/>
          <w:color w:val="000000"/>
          <w:sz w:val="20"/>
          <w:szCs w:val="20"/>
        </w:rPr>
        <w:t>.</w:t>
      </w:r>
    </w:p>
    <w:p w14:paraId="1D363AAA" w14:textId="77777777" w:rsidR="000E6681" w:rsidRPr="005D2619" w:rsidRDefault="000E6681" w:rsidP="000E6681">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b/>
          <w:color w:val="auto"/>
          <w:sz w:val="20"/>
          <w:szCs w:val="20"/>
          <w:lang w:val="es-ES"/>
        </w:rPr>
      </w:pPr>
    </w:p>
    <w:p w14:paraId="4475600D" w14:textId="77777777" w:rsidR="000E6681" w:rsidRPr="005D2619" w:rsidRDefault="000E6681" w:rsidP="000E6681">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color w:val="auto"/>
          <w:sz w:val="20"/>
          <w:szCs w:val="20"/>
          <w:lang w:val="es-ES"/>
        </w:rPr>
      </w:pPr>
      <w:r w:rsidRPr="005D2619">
        <w:rPr>
          <w:rFonts w:ascii="Cambria" w:hAnsi="Cambria"/>
          <w:color w:val="auto"/>
          <w:sz w:val="20"/>
          <w:szCs w:val="20"/>
          <w:lang w:val="es-ES"/>
        </w:rPr>
        <w:t>En vista de lo señalado, la CIDH concluyó lo siguiente:</w:t>
      </w:r>
    </w:p>
    <w:p w14:paraId="65F2B9D2" w14:textId="77777777" w:rsidR="000E6681" w:rsidRPr="005D2619" w:rsidRDefault="000E6681" w:rsidP="000E6681">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right="720" w:firstLine="0"/>
        <w:jc w:val="both"/>
        <w:rPr>
          <w:rFonts w:ascii="Cambria" w:hAnsi="Cambria"/>
          <w:color w:val="auto"/>
          <w:sz w:val="20"/>
          <w:szCs w:val="20"/>
          <w:lang w:val="es-ES"/>
        </w:rPr>
      </w:pPr>
    </w:p>
    <w:p w14:paraId="2BCFAB18" w14:textId="77777777" w:rsidR="000E6681" w:rsidRPr="005D2619" w:rsidRDefault="000E6681" w:rsidP="000E6681">
      <w:pPr>
        <w:pStyle w:val="BodyTextIndent"/>
        <w:ind w:left="720" w:right="720" w:firstLine="0"/>
        <w:jc w:val="both"/>
        <w:rPr>
          <w:rFonts w:ascii="Cambria" w:hAnsi="Cambria"/>
          <w:color w:val="auto"/>
          <w:sz w:val="20"/>
          <w:szCs w:val="20"/>
          <w:lang w:val="es-ES"/>
        </w:rPr>
      </w:pPr>
      <w:r w:rsidRPr="005D2619">
        <w:rPr>
          <w:rFonts w:ascii="Cambria" w:hAnsi="Cambria"/>
          <w:color w:val="auto"/>
          <w:sz w:val="20"/>
          <w:szCs w:val="20"/>
          <w:lang w:val="es-ES"/>
        </w:rPr>
        <w:t>La Comisión expresa, pues, su más grave preocupación en relación con la falta de respeto por los derechos al debido proceso de los acusados procesados en el sistema de justicia regional. El sistema fue instituido con la buena intención de combatir la impunidad que la propia Comisión ha señalado como grave problema de derechos humanos. Sin embargo, los derechos de los acusados al debido proceso, como lo garantiza la Convención Americana y otros instrumentos internacionales, no pueden sacrificarse para la consecución de este noble objetivo. (…) La Comisión es consciente de que en varias oportunidades se han presentado proyectos de ley para desmantelar el sistema de la justicia regional antes de junio de 1999, fecha prevista para su eliminación automática. Sin embargo, esos proyectos de ley nunca fueron aprobados y ahora es improbable que se aprueben e implementen antes de la caducación automática del sistema. La Comisión lamenta profundamente que el Estado colombiano no haya actuado previamente ante las reiteradas recomendaciones de éste y de otros órganos que lo han exhortado al desmantelamiento del sistema. La Comisión exhorta ahora al Estado colombiano a desmantelar de inmediato el sistema de justicia regional y adoptar todas las medidas necesarias para garantizar que no se perpetúe o restablezca</w:t>
      </w:r>
      <w:r w:rsidRPr="005D2619">
        <w:rPr>
          <w:rStyle w:val="FootnoteReference"/>
          <w:rFonts w:ascii="Cambria" w:hAnsi="Cambria"/>
          <w:sz w:val="20"/>
          <w:szCs w:val="20"/>
        </w:rPr>
        <w:footnoteReference w:id="20"/>
      </w:r>
      <w:r w:rsidRPr="005D2619">
        <w:rPr>
          <w:rFonts w:ascii="Cambria" w:hAnsi="Cambria"/>
          <w:color w:val="auto"/>
          <w:sz w:val="20"/>
          <w:szCs w:val="20"/>
          <w:lang w:val="es-ES"/>
        </w:rPr>
        <w:t>.</w:t>
      </w:r>
    </w:p>
    <w:p w14:paraId="58E39095" w14:textId="77777777" w:rsidR="000E6681" w:rsidRPr="005D2619" w:rsidRDefault="000E6681" w:rsidP="000E6681">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b/>
          <w:color w:val="auto"/>
          <w:sz w:val="20"/>
          <w:szCs w:val="20"/>
          <w:lang w:val="es-ES"/>
        </w:rPr>
      </w:pPr>
    </w:p>
    <w:p w14:paraId="2D2E8E4E" w14:textId="77777777" w:rsidR="000E6681" w:rsidRPr="005D2619" w:rsidRDefault="000E6681" w:rsidP="000E6681">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color w:val="auto"/>
          <w:sz w:val="20"/>
          <w:szCs w:val="20"/>
          <w:lang w:val="es-ES"/>
        </w:rPr>
      </w:pPr>
      <w:r w:rsidRPr="005D2619">
        <w:rPr>
          <w:rFonts w:ascii="Cambria" w:hAnsi="Cambria"/>
          <w:color w:val="auto"/>
          <w:sz w:val="20"/>
          <w:szCs w:val="20"/>
          <w:lang w:val="es-ES"/>
        </w:rPr>
        <w:lastRenderedPageBreak/>
        <w:t xml:space="preserve">En el informe anual de 1999, la CIDH dio cuenta de lo informado por el Estado colombiano sobre que la Ley Estatutaria de la Administración de Justicia estableció el levantamiento del sistema de Justicia Regional para el 30 de junio de dicho año. Sostuvo que mediante la Ley 504 </w:t>
      </w:r>
      <w:r w:rsidRPr="005D2619">
        <w:rPr>
          <w:rFonts w:ascii="Cambria" w:hAnsi="Cambria"/>
          <w:sz w:val="20"/>
          <w:szCs w:val="20"/>
        </w:rPr>
        <w:t>se introdujeron algunas modificaciones al Código de Procedimiento Penal tales como: i) la abolición de jueces sin rostro; y ii) que, para casos excepcionales, se reservan la identidad de fiscales y testigos como medida de protección en procesos adelantados por delitos de gravedad extrema.</w:t>
      </w:r>
      <w:r w:rsidRPr="005D2619">
        <w:rPr>
          <w:rFonts w:ascii="Cambria" w:hAnsi="Cambria"/>
          <w:color w:val="auto"/>
          <w:sz w:val="20"/>
          <w:szCs w:val="20"/>
          <w:lang w:val="es-ES"/>
        </w:rPr>
        <w:t xml:space="preserve"> Al respecto, la Comisión consideró lo siguiente:</w:t>
      </w:r>
    </w:p>
    <w:p w14:paraId="6E160892" w14:textId="77777777" w:rsidR="000E6681" w:rsidRPr="005D2619" w:rsidRDefault="000E6681" w:rsidP="000E6681">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color w:val="auto"/>
          <w:sz w:val="20"/>
          <w:szCs w:val="20"/>
          <w:lang w:val="es-ES"/>
        </w:rPr>
      </w:pPr>
    </w:p>
    <w:p w14:paraId="5E53B8C1" w14:textId="77777777" w:rsidR="000E6681" w:rsidRPr="005D2619" w:rsidRDefault="000E6681" w:rsidP="000E6681">
      <w:pPr>
        <w:pStyle w:val="NormalWeb"/>
        <w:spacing w:before="0" w:beforeAutospacing="0" w:after="0" w:afterAutospacing="0"/>
        <w:ind w:left="720" w:right="720"/>
        <w:jc w:val="both"/>
        <w:rPr>
          <w:rFonts w:ascii="Cambria" w:hAnsi="Cambria"/>
          <w:color w:val="000000"/>
          <w:sz w:val="20"/>
          <w:szCs w:val="20"/>
        </w:rPr>
      </w:pPr>
      <w:r w:rsidRPr="005D2619">
        <w:rPr>
          <w:rFonts w:ascii="Cambria" w:hAnsi="Cambria"/>
          <w:color w:val="000000"/>
          <w:sz w:val="20"/>
          <w:szCs w:val="20"/>
        </w:rPr>
        <w:t>La Comisión considera la abolición de los "jueces sin rostro" como una medida positiva. Asimismo, (…) es consciente de los problemas vinculados a la protección de la integridad personal de funcionarios judiciales, testigos y víctimas que participan en los procesos penales.</w:t>
      </w:r>
      <w:r w:rsidRPr="005D2619">
        <w:rPr>
          <w:rFonts w:ascii="Cambria" w:hAnsi="Cambria"/>
          <w:color w:val="000000"/>
          <w:sz w:val="27"/>
          <w:szCs w:val="27"/>
        </w:rPr>
        <w:t xml:space="preserve"> </w:t>
      </w:r>
      <w:r w:rsidRPr="005D2619">
        <w:rPr>
          <w:rFonts w:ascii="Cambria" w:hAnsi="Cambria"/>
          <w:color w:val="000000"/>
          <w:sz w:val="20"/>
          <w:szCs w:val="20"/>
        </w:rPr>
        <w:t>Sin embargo, la vigencia de una jurisdicción "especial" para el juzgamiento de ciertos delitos genera preocupación, dado el énfasis en la continuidad de medidas cuyos efectos pueden restringir el pleno goce de garantías tales como la igualdad ante la ley y los tribunales, la presunción de inocencia, y el derecho a la defensa. Por lo tanto, la Comisión continuará atenta a los efectos que la interpretación y aplicación de las normas que prevén la reserva de identidad de fiscales y testigos en casos particulares tenga sobre el respeto de las garantías del debido proceso de los acusados</w:t>
      </w:r>
      <w:r w:rsidRPr="005D2619">
        <w:rPr>
          <w:rStyle w:val="FootnoteReference"/>
          <w:rFonts w:ascii="Cambria" w:hAnsi="Cambria"/>
          <w:sz w:val="20"/>
          <w:szCs w:val="20"/>
        </w:rPr>
        <w:footnoteReference w:id="21"/>
      </w:r>
      <w:r w:rsidRPr="005D2619">
        <w:rPr>
          <w:rFonts w:ascii="Cambria" w:hAnsi="Cambria"/>
          <w:color w:val="000000"/>
          <w:sz w:val="20"/>
          <w:szCs w:val="20"/>
        </w:rPr>
        <w:t>.</w:t>
      </w:r>
    </w:p>
    <w:p w14:paraId="4CE3BDB9" w14:textId="77777777" w:rsidR="000E6681" w:rsidRPr="005D2619" w:rsidRDefault="000E6681" w:rsidP="000E6681">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b/>
          <w:color w:val="auto"/>
          <w:sz w:val="20"/>
          <w:szCs w:val="20"/>
          <w:lang w:val="es-ES"/>
        </w:rPr>
      </w:pPr>
    </w:p>
    <w:p w14:paraId="57F2347A" w14:textId="77777777" w:rsidR="000E6681" w:rsidRPr="005D2619" w:rsidRDefault="000E6681" w:rsidP="000E6681">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color w:val="auto"/>
          <w:sz w:val="20"/>
          <w:szCs w:val="20"/>
          <w:lang w:val="es-ES"/>
        </w:rPr>
      </w:pPr>
      <w:r w:rsidRPr="005D2619">
        <w:rPr>
          <w:rFonts w:ascii="Cambria" w:hAnsi="Cambria"/>
          <w:color w:val="auto"/>
          <w:sz w:val="20"/>
          <w:szCs w:val="20"/>
          <w:lang w:val="es-ES"/>
        </w:rPr>
        <w:t xml:space="preserve">En el ámbito del sistema universal de derechos humanos, el Comité de Derechos Humanos indicó en sus observaciones sobre Colombia de 1997 que el “sistema judicial regional” permite la existencia de </w:t>
      </w:r>
      <w:r w:rsidRPr="005D2619">
        <w:rPr>
          <w:rFonts w:ascii="Cambria" w:hAnsi="Cambria"/>
          <w:sz w:val="20"/>
          <w:szCs w:val="20"/>
        </w:rPr>
        <w:t>jueces sin rostro y de testigos anónimos. Indicó que ello “no está en consonancia a con el artículo 14 del Pacto, y en particular los apartados b) y e) del párrafo 3, ni con la Observación General 13 (21) del Comité”.</w:t>
      </w:r>
      <w:r w:rsidRPr="005D2619">
        <w:rPr>
          <w:rFonts w:ascii="Cambria" w:hAnsi="Cambria"/>
          <w:color w:val="auto"/>
          <w:sz w:val="20"/>
          <w:szCs w:val="20"/>
          <w:lang w:val="es-ES"/>
        </w:rPr>
        <w:t xml:space="preserve"> El Comité instó a Colombia “</w:t>
      </w:r>
      <w:r w:rsidRPr="005D2619">
        <w:rPr>
          <w:rFonts w:ascii="Cambria" w:hAnsi="Cambria"/>
          <w:sz w:val="20"/>
          <w:szCs w:val="20"/>
        </w:rPr>
        <w:t>a que se suprima el sistema judicial regional y a que (…) garantice que todos los juicios se celebren con el debido respeto de las salvaguardias de un juicio imparcial estipuladas en el artículo 14 del Pacto</w:t>
      </w:r>
      <w:r w:rsidRPr="005D2619">
        <w:rPr>
          <w:rFonts w:ascii="Cambria" w:hAnsi="Cambria"/>
          <w:color w:val="auto"/>
          <w:sz w:val="20"/>
          <w:szCs w:val="20"/>
          <w:lang w:val="es-ES"/>
        </w:rPr>
        <w:t>”</w:t>
      </w:r>
      <w:r w:rsidRPr="005D2619">
        <w:rPr>
          <w:rStyle w:val="FootnoteReference"/>
          <w:rFonts w:ascii="Cambria" w:hAnsi="Cambria"/>
          <w:sz w:val="20"/>
          <w:szCs w:val="20"/>
        </w:rPr>
        <w:footnoteReference w:id="22"/>
      </w:r>
      <w:r w:rsidRPr="005D2619">
        <w:rPr>
          <w:rFonts w:ascii="Cambria" w:hAnsi="Cambria"/>
          <w:color w:val="auto"/>
          <w:sz w:val="20"/>
          <w:szCs w:val="20"/>
          <w:lang w:val="es-ES"/>
        </w:rPr>
        <w:t>.</w:t>
      </w:r>
    </w:p>
    <w:p w14:paraId="01D41719" w14:textId="77777777" w:rsidR="000E6681" w:rsidRPr="005D2619" w:rsidRDefault="000E6681" w:rsidP="00330CD6">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ES"/>
        </w:rPr>
      </w:pPr>
    </w:p>
    <w:p w14:paraId="4086C757" w14:textId="77777777" w:rsidR="00303571" w:rsidRPr="00C4427B" w:rsidRDefault="00303571" w:rsidP="00C4427B">
      <w:pPr>
        <w:pStyle w:val="Heading2"/>
        <w:ind w:left="1440" w:hanging="720"/>
      </w:pPr>
      <w:bookmarkStart w:id="19" w:name="_Toc203986804"/>
      <w:r w:rsidRPr="00C4427B">
        <w:t xml:space="preserve">Sobre la detención de Gustavo Sastoque </w:t>
      </w:r>
      <w:r w:rsidR="00E36558" w:rsidRPr="00C4427B">
        <w:t>y el proceso penal ante la jurisdicción regional</w:t>
      </w:r>
      <w:bookmarkEnd w:id="19"/>
    </w:p>
    <w:p w14:paraId="0D9A235C" w14:textId="77777777" w:rsidR="00303571" w:rsidRPr="005D2619" w:rsidRDefault="00303571" w:rsidP="00330CD6">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ES"/>
        </w:rPr>
      </w:pPr>
    </w:p>
    <w:p w14:paraId="6D4B473A" w14:textId="77777777" w:rsidR="003D1101" w:rsidRPr="005D2619" w:rsidRDefault="00426A5D" w:rsidP="003D1101">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color w:val="auto"/>
          <w:sz w:val="20"/>
          <w:szCs w:val="20"/>
          <w:lang w:val="es-ES"/>
        </w:rPr>
      </w:pPr>
      <w:r w:rsidRPr="005D2619">
        <w:rPr>
          <w:rFonts w:ascii="Cambria" w:hAnsi="Cambria"/>
          <w:sz w:val="20"/>
          <w:szCs w:val="20"/>
          <w:lang w:val="es-ES"/>
        </w:rPr>
        <w:t>N</w:t>
      </w:r>
      <w:r w:rsidR="003D1101" w:rsidRPr="005D2619">
        <w:rPr>
          <w:rFonts w:ascii="Cambria" w:hAnsi="Cambria"/>
          <w:sz w:val="20"/>
          <w:szCs w:val="20"/>
          <w:lang w:val="es-ES"/>
        </w:rPr>
        <w:t xml:space="preserve">o existe controversia entre las partes respecto de que en la época de los hechos </w:t>
      </w:r>
      <w:r w:rsidR="003D1101" w:rsidRPr="005D2619">
        <w:rPr>
          <w:rFonts w:ascii="Cambria" w:hAnsi="Cambria"/>
          <w:sz w:val="20"/>
          <w:szCs w:val="20"/>
        </w:rPr>
        <w:t xml:space="preserve">Gustavo Sastoque Alfonso se desempeñaba como </w:t>
      </w:r>
      <w:r w:rsidR="003D1101" w:rsidRPr="005D2619">
        <w:rPr>
          <w:rFonts w:ascii="Cambria" w:hAnsi="Cambria"/>
          <w:sz w:val="20"/>
          <w:szCs w:val="20"/>
          <w:lang w:val="es-ES"/>
        </w:rPr>
        <w:t>funcionario administrativo del CTI</w:t>
      </w:r>
      <w:r w:rsidR="003D1101" w:rsidRPr="005D2619">
        <w:rPr>
          <w:rFonts w:ascii="Cambria" w:hAnsi="Cambria"/>
          <w:color w:val="auto"/>
          <w:sz w:val="20"/>
          <w:szCs w:val="20"/>
          <w:lang w:val="es-ES"/>
        </w:rPr>
        <w:t xml:space="preserve"> de la Fiscalía General de la Nación. De acuerdo con la declaración de su supervisora, el señor Sastoque manejaba el archivo de la sección de criminalística y también se encargaba de la correspondencia</w:t>
      </w:r>
      <w:r w:rsidR="003D1101" w:rsidRPr="005D2619">
        <w:rPr>
          <w:rStyle w:val="FootnoteReference"/>
          <w:rFonts w:ascii="Cambria" w:hAnsi="Cambria"/>
          <w:color w:val="auto"/>
          <w:sz w:val="20"/>
          <w:szCs w:val="20"/>
          <w:lang w:val="es-MX"/>
        </w:rPr>
        <w:footnoteReference w:id="23"/>
      </w:r>
      <w:r w:rsidR="003D1101" w:rsidRPr="005D2619">
        <w:rPr>
          <w:rFonts w:ascii="Cambria" w:hAnsi="Cambria"/>
          <w:color w:val="auto"/>
          <w:sz w:val="20"/>
          <w:szCs w:val="20"/>
          <w:lang w:val="es-ES"/>
        </w:rPr>
        <w:t>. Agregó que usaba ropa “informal” pues no se le había asignado un uniforme o distintivo de la institución</w:t>
      </w:r>
      <w:r w:rsidR="003D1101" w:rsidRPr="005D2619">
        <w:rPr>
          <w:rStyle w:val="FootnoteReference"/>
          <w:rFonts w:ascii="Cambria" w:hAnsi="Cambria"/>
          <w:color w:val="auto"/>
          <w:sz w:val="20"/>
          <w:szCs w:val="20"/>
          <w:lang w:val="es-ES"/>
        </w:rPr>
        <w:footnoteReference w:id="24"/>
      </w:r>
      <w:r w:rsidR="003D1101" w:rsidRPr="005D2619">
        <w:rPr>
          <w:rFonts w:ascii="Cambria" w:hAnsi="Cambria"/>
          <w:color w:val="auto"/>
          <w:sz w:val="20"/>
          <w:szCs w:val="20"/>
          <w:lang w:val="es-ES"/>
        </w:rPr>
        <w:t>. Asimismo, de acuerdo a un certificado de la Fiscalía General de la Nación el señor Sastoque, por las funciones que desempeñaba, no tenía asignada un arma de fuego</w:t>
      </w:r>
      <w:r w:rsidR="003D1101" w:rsidRPr="005D2619">
        <w:rPr>
          <w:rStyle w:val="FootnoteReference"/>
          <w:rFonts w:ascii="Cambria" w:hAnsi="Cambria"/>
          <w:color w:val="auto"/>
          <w:sz w:val="20"/>
          <w:szCs w:val="20"/>
          <w:lang w:val="es-MX"/>
        </w:rPr>
        <w:footnoteReference w:id="25"/>
      </w:r>
      <w:r w:rsidR="003D1101" w:rsidRPr="005D2619">
        <w:rPr>
          <w:rFonts w:ascii="Cambria" w:hAnsi="Cambria"/>
          <w:color w:val="auto"/>
          <w:sz w:val="20"/>
          <w:szCs w:val="20"/>
          <w:lang w:val="es-ES"/>
        </w:rPr>
        <w:t xml:space="preserve">. </w:t>
      </w:r>
    </w:p>
    <w:p w14:paraId="7BF86EDB" w14:textId="77777777" w:rsidR="00CE66F1" w:rsidRPr="005D2619" w:rsidRDefault="00CE66F1" w:rsidP="00CE66F1">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color w:val="auto"/>
          <w:sz w:val="20"/>
          <w:szCs w:val="20"/>
          <w:lang w:val="es-ES"/>
        </w:rPr>
      </w:pPr>
    </w:p>
    <w:p w14:paraId="04C1D241" w14:textId="77777777" w:rsidR="00B15834" w:rsidRPr="005D2619" w:rsidRDefault="001C1179" w:rsidP="00CE66F1">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color w:val="auto"/>
          <w:sz w:val="20"/>
          <w:szCs w:val="20"/>
          <w:lang w:val="es-ES"/>
        </w:rPr>
      </w:pPr>
      <w:r w:rsidRPr="005D2619">
        <w:rPr>
          <w:rFonts w:ascii="Cambria" w:hAnsi="Cambria"/>
          <w:color w:val="auto"/>
          <w:sz w:val="20"/>
          <w:szCs w:val="20"/>
          <w:lang w:val="es-ES"/>
        </w:rPr>
        <w:t xml:space="preserve">En cuanto a las circunstancias que rodearon su detención, el </w:t>
      </w:r>
      <w:r w:rsidR="0024346B" w:rsidRPr="005D2619">
        <w:rPr>
          <w:rFonts w:ascii="Cambria" w:hAnsi="Cambria"/>
          <w:color w:val="auto"/>
          <w:sz w:val="20"/>
          <w:szCs w:val="20"/>
          <w:lang w:val="es-ES"/>
        </w:rPr>
        <w:t xml:space="preserve">señor </w:t>
      </w:r>
      <w:r w:rsidR="00200B8D" w:rsidRPr="005D2619">
        <w:rPr>
          <w:rFonts w:ascii="Cambria" w:hAnsi="Cambria"/>
          <w:color w:val="auto"/>
          <w:sz w:val="20"/>
          <w:szCs w:val="20"/>
          <w:lang w:val="es-ES"/>
        </w:rPr>
        <w:t>Gustavo Sastoque declaró que el 8 de marzo de 1995</w:t>
      </w:r>
      <w:r w:rsidR="00DA7725" w:rsidRPr="005D2619">
        <w:rPr>
          <w:rFonts w:ascii="Cambria" w:hAnsi="Cambria"/>
          <w:color w:val="auto"/>
          <w:sz w:val="20"/>
          <w:szCs w:val="20"/>
          <w:lang w:val="es-ES"/>
        </w:rPr>
        <w:t xml:space="preserve"> a las 2:00</w:t>
      </w:r>
      <w:r w:rsidR="0024346B" w:rsidRPr="005D2619">
        <w:rPr>
          <w:rFonts w:ascii="Cambria" w:hAnsi="Cambria"/>
          <w:color w:val="auto"/>
          <w:sz w:val="20"/>
          <w:szCs w:val="20"/>
          <w:lang w:val="es-ES"/>
        </w:rPr>
        <w:t xml:space="preserve"> </w:t>
      </w:r>
      <w:r w:rsidR="00DA7725" w:rsidRPr="005D2619">
        <w:rPr>
          <w:rFonts w:ascii="Cambria" w:hAnsi="Cambria"/>
          <w:color w:val="auto"/>
          <w:sz w:val="20"/>
          <w:szCs w:val="20"/>
          <w:lang w:val="es-ES"/>
        </w:rPr>
        <w:t>pm</w:t>
      </w:r>
      <w:r w:rsidR="00200B8D" w:rsidRPr="005D2619">
        <w:rPr>
          <w:rFonts w:ascii="Cambria" w:hAnsi="Cambria"/>
          <w:color w:val="auto"/>
          <w:sz w:val="20"/>
          <w:szCs w:val="20"/>
          <w:lang w:val="es-ES"/>
        </w:rPr>
        <w:t xml:space="preserve"> recibió </w:t>
      </w:r>
      <w:r w:rsidR="00DA7725" w:rsidRPr="005D2619">
        <w:rPr>
          <w:rFonts w:ascii="Cambria" w:hAnsi="Cambria"/>
          <w:color w:val="auto"/>
          <w:sz w:val="20"/>
          <w:szCs w:val="20"/>
          <w:lang w:val="es-ES"/>
        </w:rPr>
        <w:t xml:space="preserve">un </w:t>
      </w:r>
      <w:r w:rsidR="0024346B" w:rsidRPr="005D2619">
        <w:rPr>
          <w:rFonts w:ascii="Cambria" w:hAnsi="Cambria"/>
          <w:color w:val="auto"/>
          <w:sz w:val="20"/>
          <w:szCs w:val="20"/>
          <w:lang w:val="es-ES"/>
        </w:rPr>
        <w:t>mensaje</w:t>
      </w:r>
      <w:r w:rsidR="00DA7725" w:rsidRPr="005D2619">
        <w:rPr>
          <w:rFonts w:ascii="Cambria" w:hAnsi="Cambria"/>
          <w:color w:val="auto"/>
          <w:sz w:val="20"/>
          <w:szCs w:val="20"/>
          <w:lang w:val="es-ES"/>
        </w:rPr>
        <w:t xml:space="preserve"> de u</w:t>
      </w:r>
      <w:r w:rsidR="00B15834" w:rsidRPr="005D2619">
        <w:rPr>
          <w:rFonts w:ascii="Cambria" w:hAnsi="Cambria"/>
          <w:color w:val="auto"/>
          <w:sz w:val="20"/>
          <w:szCs w:val="20"/>
          <w:lang w:val="es-ES"/>
        </w:rPr>
        <w:t xml:space="preserve">na colega </w:t>
      </w:r>
      <w:r w:rsidR="005E5E9D" w:rsidRPr="005D2619">
        <w:rPr>
          <w:rFonts w:ascii="Cambria" w:hAnsi="Cambria"/>
          <w:color w:val="auto"/>
          <w:sz w:val="20"/>
          <w:szCs w:val="20"/>
          <w:lang w:val="es-ES"/>
        </w:rPr>
        <w:t xml:space="preserve">según el cual </w:t>
      </w:r>
      <w:r w:rsidR="00B15834" w:rsidRPr="005D2619">
        <w:rPr>
          <w:rFonts w:ascii="Cambria" w:hAnsi="Cambria"/>
          <w:color w:val="auto"/>
          <w:sz w:val="20"/>
          <w:szCs w:val="20"/>
          <w:lang w:val="es-ES"/>
        </w:rPr>
        <w:t>se le indicab</w:t>
      </w:r>
      <w:r w:rsidR="00DA7725" w:rsidRPr="005D2619">
        <w:rPr>
          <w:rFonts w:ascii="Cambria" w:hAnsi="Cambria"/>
          <w:color w:val="auto"/>
          <w:sz w:val="20"/>
          <w:szCs w:val="20"/>
          <w:lang w:val="es-ES"/>
        </w:rPr>
        <w:t>a que debía presentarse</w:t>
      </w:r>
      <w:r w:rsidR="00200B8D" w:rsidRPr="005D2619">
        <w:rPr>
          <w:rFonts w:ascii="Cambria" w:hAnsi="Cambria"/>
          <w:color w:val="auto"/>
          <w:sz w:val="20"/>
          <w:szCs w:val="20"/>
          <w:lang w:val="es-ES"/>
        </w:rPr>
        <w:t xml:space="preserve"> en el sexto piso de la Fiscalía</w:t>
      </w:r>
      <w:r w:rsidR="00DA7725" w:rsidRPr="005D2619">
        <w:rPr>
          <w:rFonts w:ascii="Cambria" w:hAnsi="Cambria"/>
          <w:color w:val="auto"/>
          <w:sz w:val="20"/>
          <w:szCs w:val="20"/>
          <w:lang w:val="es-ES"/>
        </w:rPr>
        <w:t xml:space="preserve"> </w:t>
      </w:r>
      <w:r w:rsidR="00B15834" w:rsidRPr="005D2619">
        <w:rPr>
          <w:rFonts w:ascii="Cambria" w:hAnsi="Cambria"/>
          <w:color w:val="auto"/>
          <w:sz w:val="20"/>
          <w:szCs w:val="20"/>
          <w:lang w:val="es-ES"/>
        </w:rPr>
        <w:t xml:space="preserve">Regional </w:t>
      </w:r>
      <w:r w:rsidR="00DA7725" w:rsidRPr="005D2619">
        <w:rPr>
          <w:rFonts w:ascii="Cambria" w:hAnsi="Cambria"/>
          <w:color w:val="auto"/>
          <w:sz w:val="20"/>
          <w:szCs w:val="20"/>
          <w:lang w:val="es-ES"/>
        </w:rPr>
        <w:t xml:space="preserve">para preguntar por el proceso </w:t>
      </w:r>
      <w:r w:rsidR="0063040D" w:rsidRPr="005D2619">
        <w:rPr>
          <w:rFonts w:ascii="Cambria" w:hAnsi="Cambria"/>
          <w:color w:val="auto"/>
          <w:sz w:val="20"/>
          <w:szCs w:val="20"/>
          <w:lang w:val="es-ES"/>
        </w:rPr>
        <w:t xml:space="preserve">No. </w:t>
      </w:r>
      <w:r w:rsidR="00DA7725" w:rsidRPr="005D2619">
        <w:rPr>
          <w:rFonts w:ascii="Cambria" w:hAnsi="Cambria"/>
          <w:color w:val="auto"/>
          <w:sz w:val="20"/>
          <w:szCs w:val="20"/>
          <w:lang w:val="es-ES"/>
        </w:rPr>
        <w:t>24</w:t>
      </w:r>
      <w:r w:rsidR="00220873" w:rsidRPr="005D2619">
        <w:rPr>
          <w:rFonts w:ascii="Cambria" w:hAnsi="Cambria"/>
          <w:color w:val="auto"/>
          <w:sz w:val="20"/>
          <w:szCs w:val="20"/>
          <w:lang w:val="es-ES"/>
        </w:rPr>
        <w:t>.</w:t>
      </w:r>
      <w:r w:rsidR="00DA7725" w:rsidRPr="005D2619">
        <w:rPr>
          <w:rFonts w:ascii="Cambria" w:hAnsi="Cambria"/>
          <w:color w:val="auto"/>
          <w:sz w:val="20"/>
          <w:szCs w:val="20"/>
          <w:lang w:val="es-ES"/>
        </w:rPr>
        <w:t xml:space="preserve">789. Sostuvo que no se le dio mayor información sobre dicho proceso ni sobre las razones </w:t>
      </w:r>
      <w:r w:rsidR="005E5E9D" w:rsidRPr="005D2619">
        <w:rPr>
          <w:rFonts w:ascii="Cambria" w:hAnsi="Cambria"/>
          <w:color w:val="auto"/>
          <w:sz w:val="20"/>
          <w:szCs w:val="20"/>
          <w:lang w:val="es-ES"/>
        </w:rPr>
        <w:t xml:space="preserve">por las cuales </w:t>
      </w:r>
      <w:r w:rsidR="00DA7725" w:rsidRPr="005D2619">
        <w:rPr>
          <w:rFonts w:ascii="Cambria" w:hAnsi="Cambria"/>
          <w:color w:val="auto"/>
          <w:sz w:val="20"/>
          <w:szCs w:val="20"/>
          <w:lang w:val="es-ES"/>
        </w:rPr>
        <w:t>debía apersonarse. Indicó que acudió a dicho piso y que luego de hablar con la secretaria, un hombre le dijo que lo acompañ</w:t>
      </w:r>
      <w:r w:rsidR="009F3B38" w:rsidRPr="005D2619">
        <w:rPr>
          <w:rFonts w:ascii="Cambria" w:hAnsi="Cambria"/>
          <w:color w:val="auto"/>
          <w:sz w:val="20"/>
          <w:szCs w:val="20"/>
          <w:lang w:val="es-ES"/>
        </w:rPr>
        <w:t>ara</w:t>
      </w:r>
      <w:r w:rsidR="00DA7725" w:rsidRPr="005D2619">
        <w:rPr>
          <w:rFonts w:ascii="Cambria" w:hAnsi="Cambria"/>
          <w:color w:val="auto"/>
          <w:sz w:val="20"/>
          <w:szCs w:val="20"/>
          <w:lang w:val="es-ES"/>
        </w:rPr>
        <w:t xml:space="preserve"> a un cuarto. El señor Sastoque </w:t>
      </w:r>
      <w:r w:rsidR="009F3B38" w:rsidRPr="005D2619">
        <w:rPr>
          <w:rFonts w:ascii="Cambria" w:hAnsi="Cambria"/>
          <w:color w:val="auto"/>
          <w:sz w:val="20"/>
          <w:szCs w:val="20"/>
          <w:lang w:val="es-ES"/>
        </w:rPr>
        <w:t>narró</w:t>
      </w:r>
      <w:r w:rsidR="00DA7725" w:rsidRPr="005D2619">
        <w:rPr>
          <w:rFonts w:ascii="Cambria" w:hAnsi="Cambria"/>
          <w:color w:val="auto"/>
          <w:sz w:val="20"/>
          <w:szCs w:val="20"/>
          <w:lang w:val="es-ES"/>
        </w:rPr>
        <w:t xml:space="preserve"> que</w:t>
      </w:r>
      <w:r w:rsidR="00B15834" w:rsidRPr="005D2619">
        <w:rPr>
          <w:rFonts w:ascii="Cambria" w:hAnsi="Cambria"/>
          <w:color w:val="auto"/>
          <w:sz w:val="20"/>
          <w:szCs w:val="20"/>
          <w:lang w:val="es-ES"/>
        </w:rPr>
        <w:t xml:space="preserve"> dicho hombre le preguntó si trabajaba en el CTI, a lo que él respondió afirmativamente. Agregó que el hombre le dijo que “iba a averiguar para qué era que </w:t>
      </w:r>
      <w:r w:rsidR="00B15834" w:rsidRPr="005D2619">
        <w:rPr>
          <w:rFonts w:ascii="Cambria" w:hAnsi="Cambria" w:cs="Arial"/>
          <w:color w:val="auto"/>
          <w:sz w:val="20"/>
          <w:szCs w:val="20"/>
          <w:shd w:val="clear" w:color="auto" w:fill="FFFFFF"/>
        </w:rPr>
        <w:t>[lo] habían citado</w:t>
      </w:r>
      <w:r w:rsidR="00B15834" w:rsidRPr="005D2619">
        <w:rPr>
          <w:rFonts w:ascii="Cambria" w:hAnsi="Cambria"/>
          <w:color w:val="auto"/>
          <w:sz w:val="20"/>
          <w:szCs w:val="20"/>
          <w:lang w:val="es-ES"/>
        </w:rPr>
        <w:t>”</w:t>
      </w:r>
      <w:r w:rsidR="00991211" w:rsidRPr="005D2619">
        <w:rPr>
          <w:rStyle w:val="FootnoteReference"/>
          <w:rFonts w:ascii="Cambria" w:hAnsi="Cambria"/>
          <w:color w:val="auto"/>
          <w:sz w:val="20"/>
          <w:szCs w:val="20"/>
          <w:lang w:val="es-MX"/>
        </w:rPr>
        <w:footnoteReference w:id="26"/>
      </w:r>
      <w:r w:rsidR="00B15834" w:rsidRPr="005D2619">
        <w:rPr>
          <w:rFonts w:ascii="Cambria" w:hAnsi="Cambria"/>
          <w:color w:val="auto"/>
          <w:sz w:val="20"/>
          <w:szCs w:val="20"/>
          <w:lang w:val="es-ES"/>
        </w:rPr>
        <w:t>.</w:t>
      </w:r>
    </w:p>
    <w:p w14:paraId="1AABC37C" w14:textId="77777777" w:rsidR="00CE66F1" w:rsidRPr="005D2619" w:rsidRDefault="00CE66F1" w:rsidP="00CE66F1">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color w:val="auto"/>
          <w:sz w:val="20"/>
          <w:szCs w:val="20"/>
          <w:lang w:val="es-ES"/>
        </w:rPr>
      </w:pPr>
    </w:p>
    <w:p w14:paraId="4A77248B" w14:textId="77777777" w:rsidR="00CE66F1" w:rsidRPr="005D2619" w:rsidRDefault="00CE66F1" w:rsidP="00CE66F1">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color w:val="auto"/>
          <w:sz w:val="20"/>
          <w:szCs w:val="20"/>
          <w:lang w:val="es-ES"/>
        </w:rPr>
      </w:pPr>
      <w:r w:rsidRPr="005D2619">
        <w:rPr>
          <w:rFonts w:ascii="Cambria" w:hAnsi="Cambria"/>
          <w:color w:val="auto"/>
          <w:sz w:val="20"/>
          <w:szCs w:val="20"/>
          <w:lang w:val="es-ES"/>
        </w:rPr>
        <w:t>El señor Sastoque declaró que luego de una hora el</w:t>
      </w:r>
      <w:r w:rsidR="009F3B38" w:rsidRPr="005D2619">
        <w:rPr>
          <w:rFonts w:ascii="Cambria" w:hAnsi="Cambria"/>
          <w:color w:val="auto"/>
          <w:sz w:val="20"/>
          <w:szCs w:val="20"/>
          <w:lang w:val="es-ES"/>
        </w:rPr>
        <w:t xml:space="preserve"> mismo</w:t>
      </w:r>
      <w:r w:rsidRPr="005D2619">
        <w:rPr>
          <w:rFonts w:ascii="Cambria" w:hAnsi="Cambria"/>
          <w:color w:val="auto"/>
          <w:sz w:val="20"/>
          <w:szCs w:val="20"/>
          <w:lang w:val="es-ES"/>
        </w:rPr>
        <w:t xml:space="preserve"> hombre regresó y</w:t>
      </w:r>
      <w:r w:rsidR="00205B09" w:rsidRPr="005D2619">
        <w:rPr>
          <w:rFonts w:ascii="Cambria" w:hAnsi="Cambria"/>
          <w:color w:val="auto"/>
          <w:sz w:val="20"/>
          <w:szCs w:val="20"/>
          <w:lang w:val="es-ES"/>
        </w:rPr>
        <w:t xml:space="preserve"> en ese momento</w:t>
      </w:r>
      <w:r w:rsidRPr="005D2619">
        <w:rPr>
          <w:rFonts w:ascii="Cambria" w:hAnsi="Cambria"/>
          <w:color w:val="auto"/>
          <w:sz w:val="20"/>
          <w:szCs w:val="20"/>
          <w:lang w:val="es-ES"/>
        </w:rPr>
        <w:t xml:space="preserve"> fue trasladado a un cuarto donde se toman las indagatorias en las investigaciones de la Fiscalía. Manifestó que </w:t>
      </w:r>
      <w:r w:rsidR="00991211" w:rsidRPr="005D2619">
        <w:rPr>
          <w:rFonts w:ascii="Cambria" w:hAnsi="Cambria"/>
          <w:color w:val="auto"/>
          <w:sz w:val="20"/>
          <w:szCs w:val="20"/>
          <w:lang w:val="es-ES"/>
        </w:rPr>
        <w:lastRenderedPageBreak/>
        <w:t>luego de otra hora dos personas</w:t>
      </w:r>
      <w:r w:rsidR="00220873" w:rsidRPr="005D2619">
        <w:rPr>
          <w:rFonts w:ascii="Cambria" w:hAnsi="Cambria"/>
          <w:color w:val="auto"/>
          <w:sz w:val="20"/>
          <w:szCs w:val="20"/>
          <w:lang w:val="es-ES"/>
        </w:rPr>
        <w:t xml:space="preserve"> distintas</w:t>
      </w:r>
      <w:r w:rsidR="00991211" w:rsidRPr="005D2619">
        <w:rPr>
          <w:rFonts w:ascii="Cambria" w:hAnsi="Cambria"/>
          <w:color w:val="auto"/>
          <w:sz w:val="20"/>
          <w:szCs w:val="20"/>
          <w:lang w:val="es-ES"/>
        </w:rPr>
        <w:t xml:space="preserve"> le entregaron un papel “que decía orden de captura por el delito de homicid</w:t>
      </w:r>
      <w:r w:rsidR="0009701B" w:rsidRPr="005D2619">
        <w:rPr>
          <w:rFonts w:ascii="Cambria" w:hAnsi="Cambria"/>
          <w:color w:val="auto"/>
          <w:sz w:val="20"/>
          <w:szCs w:val="20"/>
          <w:lang w:val="es-ES"/>
        </w:rPr>
        <w:t>i</w:t>
      </w:r>
      <w:r w:rsidR="00991211" w:rsidRPr="005D2619">
        <w:rPr>
          <w:rFonts w:ascii="Cambria" w:hAnsi="Cambria"/>
          <w:color w:val="auto"/>
          <w:sz w:val="20"/>
          <w:szCs w:val="20"/>
          <w:lang w:val="es-ES"/>
        </w:rPr>
        <w:t>o”</w:t>
      </w:r>
      <w:r w:rsidR="0009701B" w:rsidRPr="005D2619">
        <w:rPr>
          <w:rStyle w:val="FootnoteReference"/>
          <w:rFonts w:ascii="Cambria" w:hAnsi="Cambria"/>
          <w:color w:val="auto"/>
          <w:sz w:val="20"/>
          <w:szCs w:val="20"/>
          <w:lang w:val="es-MX"/>
        </w:rPr>
        <w:footnoteReference w:id="27"/>
      </w:r>
      <w:r w:rsidR="00991211" w:rsidRPr="005D2619">
        <w:rPr>
          <w:rFonts w:ascii="Cambria" w:hAnsi="Cambria"/>
          <w:color w:val="auto"/>
          <w:sz w:val="20"/>
          <w:szCs w:val="20"/>
          <w:lang w:val="es-ES"/>
        </w:rPr>
        <w:t>.</w:t>
      </w:r>
    </w:p>
    <w:p w14:paraId="57C1C0B0" w14:textId="77777777" w:rsidR="00B15834" w:rsidRPr="005D2619" w:rsidRDefault="00B15834" w:rsidP="00B15834">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ES"/>
        </w:rPr>
      </w:pPr>
    </w:p>
    <w:p w14:paraId="3F09F1C2" w14:textId="77777777" w:rsidR="003D1101" w:rsidRPr="005D2619" w:rsidRDefault="003D1101" w:rsidP="003D1101">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ES"/>
        </w:rPr>
      </w:pPr>
      <w:r w:rsidRPr="005D2619">
        <w:rPr>
          <w:rFonts w:ascii="Cambria" w:hAnsi="Cambria"/>
          <w:sz w:val="20"/>
          <w:szCs w:val="20"/>
          <w:lang w:val="es-ES"/>
        </w:rPr>
        <w:t>La CIDH nota que la orden de captura de 8 de marzo de 1995 se encuentra firmada por el Jefe de la Secretaría Colectiva de la Dirección Regional de Fiscalía. En dicha orden se incluye</w:t>
      </w:r>
      <w:r w:rsidR="00220873" w:rsidRPr="005D2619">
        <w:rPr>
          <w:rFonts w:ascii="Cambria" w:hAnsi="Cambria"/>
          <w:sz w:val="20"/>
          <w:szCs w:val="20"/>
          <w:lang w:val="es-ES"/>
        </w:rPr>
        <w:t>:</w:t>
      </w:r>
      <w:r w:rsidRPr="005D2619">
        <w:rPr>
          <w:rFonts w:ascii="Cambria" w:hAnsi="Cambria"/>
          <w:sz w:val="20"/>
          <w:szCs w:val="20"/>
          <w:lang w:val="es-ES"/>
        </w:rPr>
        <w:t xml:space="preserve"> i) su nombre y cédula (Gustavo Sastoque Alfonso); ii</w:t>
      </w:r>
      <w:r w:rsidR="0063040D" w:rsidRPr="005D2619">
        <w:rPr>
          <w:rFonts w:ascii="Cambria" w:hAnsi="Cambria"/>
          <w:sz w:val="20"/>
          <w:szCs w:val="20"/>
          <w:lang w:val="es-ES"/>
        </w:rPr>
        <w:t xml:space="preserve">) el número del proceso (24.789 - </w:t>
      </w:r>
      <w:r w:rsidRPr="005D2619">
        <w:rPr>
          <w:rFonts w:ascii="Cambria" w:hAnsi="Cambria"/>
          <w:sz w:val="20"/>
          <w:szCs w:val="20"/>
          <w:lang w:val="es-ES"/>
        </w:rPr>
        <w:t>Homicidio); iii) el sexo (masculino), y iv) un fragmento de su supuesto domicilio (N. 7-55 Puerto Rico, Caquetá). Las demás casillas (lugar y fecha de nacimiento, nacionalidad, nombre de los padres, rasgos físicos, contextura y observaciones) se encuentran vacías</w:t>
      </w:r>
      <w:r w:rsidRPr="005D2619">
        <w:rPr>
          <w:rStyle w:val="FootnoteReference"/>
          <w:rFonts w:ascii="Cambria" w:hAnsi="Cambria"/>
          <w:sz w:val="20"/>
          <w:szCs w:val="20"/>
          <w:lang w:val="es-ES"/>
        </w:rPr>
        <w:footnoteReference w:id="28"/>
      </w:r>
      <w:r w:rsidRPr="005D2619">
        <w:rPr>
          <w:rFonts w:ascii="Cambria" w:hAnsi="Cambria"/>
          <w:sz w:val="20"/>
          <w:szCs w:val="20"/>
          <w:lang w:val="es-ES"/>
        </w:rPr>
        <w:t>.</w:t>
      </w:r>
    </w:p>
    <w:p w14:paraId="7B8C86CD" w14:textId="77777777" w:rsidR="00AB45DB" w:rsidRPr="005D2619" w:rsidRDefault="00AB45DB" w:rsidP="00AB45DB">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ES"/>
        </w:rPr>
      </w:pPr>
    </w:p>
    <w:p w14:paraId="591C52D1" w14:textId="77777777" w:rsidR="00AB45DB" w:rsidRPr="005D2619" w:rsidRDefault="00AB45DB" w:rsidP="008751F4">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ES"/>
        </w:rPr>
      </w:pPr>
      <w:r w:rsidRPr="005D2619">
        <w:rPr>
          <w:rFonts w:ascii="Cambria" w:hAnsi="Cambria"/>
          <w:sz w:val="20"/>
          <w:szCs w:val="20"/>
          <w:lang w:val="es-ES"/>
        </w:rPr>
        <w:t>El mismo</w:t>
      </w:r>
      <w:r w:rsidR="00220873" w:rsidRPr="005D2619">
        <w:rPr>
          <w:rFonts w:ascii="Cambria" w:hAnsi="Cambria"/>
          <w:sz w:val="20"/>
          <w:szCs w:val="20"/>
          <w:lang w:val="es-ES"/>
        </w:rPr>
        <w:t xml:space="preserve"> 8 de marzo de 1995 </w:t>
      </w:r>
      <w:r w:rsidRPr="005D2619">
        <w:rPr>
          <w:rFonts w:ascii="Cambria" w:hAnsi="Cambria"/>
          <w:sz w:val="20"/>
          <w:szCs w:val="20"/>
          <w:lang w:val="es-ES"/>
        </w:rPr>
        <w:t>la Oficina de Divulgación y Prensa de la Fiscalía General de la Nación emitió un Boletín</w:t>
      </w:r>
      <w:r w:rsidR="000B2A6D" w:rsidRPr="005D2619">
        <w:rPr>
          <w:rFonts w:ascii="Cambria" w:hAnsi="Cambria"/>
          <w:sz w:val="20"/>
          <w:szCs w:val="20"/>
          <w:lang w:val="es-ES"/>
        </w:rPr>
        <w:t xml:space="preserve"> Público</w:t>
      </w:r>
      <w:r w:rsidRPr="005D2619">
        <w:rPr>
          <w:rFonts w:ascii="Cambria" w:hAnsi="Cambria"/>
          <w:sz w:val="20"/>
          <w:szCs w:val="20"/>
          <w:lang w:val="es-ES"/>
        </w:rPr>
        <w:t xml:space="preserve"> en </w:t>
      </w:r>
      <w:r w:rsidR="00220873" w:rsidRPr="005D2619">
        <w:rPr>
          <w:rFonts w:ascii="Cambria" w:hAnsi="Cambria"/>
          <w:sz w:val="20"/>
          <w:szCs w:val="20"/>
          <w:lang w:val="es-ES"/>
        </w:rPr>
        <w:t xml:space="preserve">el cual </w:t>
      </w:r>
      <w:r w:rsidRPr="005D2619">
        <w:rPr>
          <w:rFonts w:ascii="Cambria" w:hAnsi="Cambria"/>
          <w:sz w:val="20"/>
          <w:szCs w:val="20"/>
          <w:lang w:val="es-ES"/>
        </w:rPr>
        <w:t>indicó lo siguiente:</w:t>
      </w:r>
    </w:p>
    <w:p w14:paraId="2EA20EF1" w14:textId="77777777" w:rsidR="00AB45DB" w:rsidRPr="005D2619" w:rsidRDefault="00AB45DB" w:rsidP="00AB45DB">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ES"/>
        </w:rPr>
      </w:pPr>
    </w:p>
    <w:p w14:paraId="1A24066D" w14:textId="77777777" w:rsidR="00AB45DB" w:rsidRPr="005D2619" w:rsidRDefault="00AB45DB" w:rsidP="00AB45DB">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right="720" w:firstLine="0"/>
        <w:jc w:val="both"/>
        <w:rPr>
          <w:rFonts w:ascii="Cambria" w:hAnsi="Cambria"/>
          <w:sz w:val="20"/>
          <w:szCs w:val="20"/>
          <w:lang w:val="es-ES"/>
        </w:rPr>
      </w:pPr>
      <w:r w:rsidRPr="005D2619">
        <w:rPr>
          <w:rFonts w:ascii="Cambria" w:hAnsi="Cambria"/>
          <w:sz w:val="20"/>
          <w:szCs w:val="20"/>
          <w:lang w:val="es-ES"/>
        </w:rPr>
        <w:t>La Comisión Especial de Fiscales Regionales de Bogotá encontró pruebas suficientes para ordenar la vinculación de Gustavo Sastoque Alfonso como posible partícipe en el homicidio. La Comisión designada para la investigación integrada por diferentes cuerpos de Policía Judicial, es decir, el DAS, la Policía Nacional y el propio CTI capturaron a Gustavo (...) quien hasta el momento no ha podido explicar su presunta participación en los hechos, ya que su condición de empleado administrativo le impide ejercer funciones operativas. Queda claro que la muerte de Pizarro Leongómez no obedeció a un operativo legal diseñado por la Fiscalía General de la Nación, sino a actuaciones irregulares de personas que en el momento son investigadas</w:t>
      </w:r>
      <w:r w:rsidRPr="005D2619">
        <w:rPr>
          <w:rStyle w:val="FootnoteReference"/>
          <w:rFonts w:ascii="Cambria" w:hAnsi="Cambria"/>
          <w:sz w:val="20"/>
          <w:szCs w:val="20"/>
          <w:lang w:val="es-ES"/>
        </w:rPr>
        <w:footnoteReference w:id="29"/>
      </w:r>
      <w:r w:rsidRPr="005D2619">
        <w:rPr>
          <w:rFonts w:ascii="Cambria" w:hAnsi="Cambria"/>
          <w:sz w:val="20"/>
          <w:szCs w:val="20"/>
          <w:lang w:val="es-ES"/>
        </w:rPr>
        <w:t>.</w:t>
      </w:r>
    </w:p>
    <w:bookmarkEnd w:id="17"/>
    <w:p w14:paraId="73173306" w14:textId="77777777" w:rsidR="007829C1" w:rsidRPr="005D2619" w:rsidRDefault="007829C1" w:rsidP="00F718D7">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sz w:val="20"/>
          <w:szCs w:val="20"/>
          <w:lang w:val="es-ES"/>
        </w:rPr>
      </w:pPr>
    </w:p>
    <w:p w14:paraId="5C0D6C8E" w14:textId="77777777" w:rsidR="00B27B45" w:rsidRPr="005D2619" w:rsidRDefault="00B27B45" w:rsidP="00E10EE8">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ES"/>
        </w:rPr>
      </w:pPr>
      <w:r w:rsidRPr="005D2619">
        <w:rPr>
          <w:rFonts w:ascii="Cambria" w:hAnsi="Cambria"/>
          <w:sz w:val="20"/>
          <w:szCs w:val="20"/>
          <w:lang w:val="es-MX"/>
        </w:rPr>
        <w:t xml:space="preserve">El 10 </w:t>
      </w:r>
      <w:r w:rsidR="00775CCA" w:rsidRPr="005D2619">
        <w:rPr>
          <w:rFonts w:ascii="Cambria" w:hAnsi="Cambria"/>
          <w:sz w:val="20"/>
          <w:szCs w:val="20"/>
          <w:lang w:val="es-MX"/>
        </w:rPr>
        <w:t xml:space="preserve">y 16 </w:t>
      </w:r>
      <w:r w:rsidRPr="005D2619">
        <w:rPr>
          <w:rFonts w:ascii="Cambria" w:hAnsi="Cambria"/>
          <w:sz w:val="20"/>
          <w:szCs w:val="20"/>
          <w:lang w:val="es-MX"/>
        </w:rPr>
        <w:t xml:space="preserve">de marzo de 1995 el señor Sastoque </w:t>
      </w:r>
      <w:r w:rsidR="00775CCA" w:rsidRPr="005D2619">
        <w:rPr>
          <w:rFonts w:ascii="Cambria" w:hAnsi="Cambria"/>
          <w:sz w:val="20"/>
          <w:szCs w:val="20"/>
          <w:lang w:val="es-MX"/>
        </w:rPr>
        <w:t>participó de</w:t>
      </w:r>
      <w:r w:rsidR="000A11BB" w:rsidRPr="005D2619">
        <w:rPr>
          <w:rFonts w:ascii="Cambria" w:hAnsi="Cambria"/>
          <w:sz w:val="20"/>
          <w:szCs w:val="20"/>
          <w:lang w:val="es-MX"/>
        </w:rPr>
        <w:t xml:space="preserve"> diligencia</w:t>
      </w:r>
      <w:r w:rsidR="000D303C" w:rsidRPr="005D2619">
        <w:rPr>
          <w:rFonts w:ascii="Cambria" w:hAnsi="Cambria"/>
          <w:sz w:val="20"/>
          <w:szCs w:val="20"/>
          <w:lang w:val="es-MX"/>
        </w:rPr>
        <w:t>s</w:t>
      </w:r>
      <w:r w:rsidR="000A11BB" w:rsidRPr="005D2619">
        <w:rPr>
          <w:rFonts w:ascii="Cambria" w:hAnsi="Cambria"/>
          <w:sz w:val="20"/>
          <w:szCs w:val="20"/>
          <w:lang w:val="es-MX"/>
        </w:rPr>
        <w:t xml:space="preserve"> de</w:t>
      </w:r>
      <w:r w:rsidRPr="005D2619">
        <w:rPr>
          <w:rFonts w:ascii="Cambria" w:hAnsi="Cambria"/>
          <w:sz w:val="20"/>
          <w:szCs w:val="20"/>
          <w:lang w:val="es-MX"/>
        </w:rPr>
        <w:t xml:space="preserve"> reconocimiento en fila de personas</w:t>
      </w:r>
      <w:r w:rsidRPr="005D2619">
        <w:rPr>
          <w:rStyle w:val="FootnoteReference"/>
          <w:rFonts w:ascii="Cambria" w:hAnsi="Cambria"/>
          <w:sz w:val="20"/>
          <w:szCs w:val="20"/>
          <w:lang w:val="es-MX"/>
        </w:rPr>
        <w:footnoteReference w:id="30"/>
      </w:r>
      <w:r w:rsidRPr="005D2619">
        <w:rPr>
          <w:rFonts w:ascii="Cambria" w:hAnsi="Cambria"/>
          <w:sz w:val="20"/>
          <w:szCs w:val="20"/>
          <w:lang w:val="es-MX"/>
        </w:rPr>
        <w:t>.</w:t>
      </w:r>
      <w:r w:rsidR="00775CCA" w:rsidRPr="005D2619">
        <w:rPr>
          <w:rFonts w:ascii="Cambria" w:hAnsi="Cambria"/>
          <w:sz w:val="20"/>
          <w:szCs w:val="20"/>
          <w:lang w:val="es-MX"/>
        </w:rPr>
        <w:t xml:space="preserve"> Tanto la señora Guevara</w:t>
      </w:r>
      <w:r w:rsidR="007C2B44" w:rsidRPr="005D2619">
        <w:rPr>
          <w:rFonts w:ascii="Cambria" w:hAnsi="Cambria"/>
          <w:sz w:val="20"/>
          <w:szCs w:val="20"/>
          <w:lang w:val="es-MX"/>
        </w:rPr>
        <w:t xml:space="preserve"> –</w:t>
      </w:r>
      <w:r w:rsidR="00775CCA" w:rsidRPr="005D2619">
        <w:rPr>
          <w:rFonts w:ascii="Cambria" w:hAnsi="Cambria"/>
          <w:sz w:val="20"/>
          <w:szCs w:val="20"/>
          <w:lang w:val="es-MX"/>
        </w:rPr>
        <w:t xml:space="preserve"> conocida</w:t>
      </w:r>
      <w:r w:rsidR="007C2B44" w:rsidRPr="005D2619">
        <w:rPr>
          <w:rFonts w:ascii="Cambria" w:hAnsi="Cambria"/>
          <w:sz w:val="20"/>
          <w:szCs w:val="20"/>
          <w:lang w:val="es-MX"/>
        </w:rPr>
        <w:t xml:space="preserve"> </w:t>
      </w:r>
      <w:r w:rsidR="00775CCA" w:rsidRPr="005D2619">
        <w:rPr>
          <w:rFonts w:ascii="Cambria" w:hAnsi="Cambria"/>
          <w:sz w:val="20"/>
          <w:szCs w:val="20"/>
          <w:lang w:val="es-MX"/>
        </w:rPr>
        <w:t>como Testigo No. 1</w:t>
      </w:r>
      <w:r w:rsidR="007C2B44" w:rsidRPr="005D2619">
        <w:rPr>
          <w:rFonts w:ascii="Cambria" w:hAnsi="Cambria"/>
          <w:sz w:val="20"/>
          <w:szCs w:val="20"/>
          <w:lang w:val="es-MX"/>
        </w:rPr>
        <w:t xml:space="preserve"> –</w:t>
      </w:r>
      <w:r w:rsidR="00775CCA" w:rsidRPr="005D2619">
        <w:rPr>
          <w:rFonts w:ascii="Cambria" w:hAnsi="Cambria"/>
          <w:sz w:val="20"/>
          <w:szCs w:val="20"/>
          <w:lang w:val="es-MX"/>
        </w:rPr>
        <w:t xml:space="preserve"> y</w:t>
      </w:r>
      <w:r w:rsidR="007C2B44" w:rsidRPr="005D2619">
        <w:rPr>
          <w:rFonts w:ascii="Cambria" w:hAnsi="Cambria"/>
          <w:sz w:val="20"/>
          <w:szCs w:val="20"/>
          <w:lang w:val="es-MX"/>
        </w:rPr>
        <w:t xml:space="preserve"> </w:t>
      </w:r>
      <w:r w:rsidR="00775CCA" w:rsidRPr="005D2619">
        <w:rPr>
          <w:rFonts w:ascii="Cambria" w:hAnsi="Cambria"/>
          <w:sz w:val="20"/>
          <w:szCs w:val="20"/>
          <w:lang w:val="es-MX"/>
        </w:rPr>
        <w:t>el Testigo No. 2 reconocieron a Gustavo Sastoque como el autor del homicidio</w:t>
      </w:r>
      <w:r w:rsidR="00775CCA" w:rsidRPr="005D2619">
        <w:rPr>
          <w:rStyle w:val="FootnoteReference"/>
          <w:rFonts w:ascii="Cambria" w:hAnsi="Cambria"/>
          <w:sz w:val="20"/>
          <w:szCs w:val="20"/>
          <w:lang w:val="es-MX"/>
        </w:rPr>
        <w:footnoteReference w:id="31"/>
      </w:r>
      <w:r w:rsidR="00775CCA" w:rsidRPr="005D2619">
        <w:rPr>
          <w:rFonts w:ascii="Cambria" w:hAnsi="Cambria"/>
          <w:sz w:val="20"/>
          <w:szCs w:val="20"/>
          <w:lang w:val="es-MX"/>
        </w:rPr>
        <w:t>.</w:t>
      </w:r>
    </w:p>
    <w:p w14:paraId="0A0A7BB3" w14:textId="77777777" w:rsidR="00205FFD" w:rsidRPr="005D2619" w:rsidRDefault="00205FFD" w:rsidP="00101450">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ES"/>
        </w:rPr>
      </w:pPr>
    </w:p>
    <w:p w14:paraId="4F383C05" w14:textId="77777777" w:rsidR="003D1101" w:rsidRPr="005D2619" w:rsidRDefault="003D1101" w:rsidP="003D1101">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ES"/>
        </w:rPr>
      </w:pPr>
      <w:r w:rsidRPr="005D2619">
        <w:rPr>
          <w:rFonts w:ascii="Cambria" w:hAnsi="Cambria"/>
          <w:sz w:val="20"/>
          <w:szCs w:val="20"/>
          <w:lang w:val="es-ES"/>
        </w:rPr>
        <w:t xml:space="preserve">El 13 de marzo de 1995 el abogado defensor de Gustavo Sastoque presentó un escrito ante el Director Regional de Fiscalías en el cual indicó que las autoridades a cargo de la diligencia de reconocimiento de personas le informaron de la hora y lugar donde se iba a realizar </w:t>
      </w:r>
      <w:r w:rsidR="000B2A6D" w:rsidRPr="005D2619">
        <w:rPr>
          <w:rFonts w:ascii="Cambria" w:hAnsi="Cambria"/>
          <w:sz w:val="20"/>
          <w:szCs w:val="20"/>
          <w:lang w:val="es-ES"/>
        </w:rPr>
        <w:t>“</w:t>
      </w:r>
      <w:r w:rsidRPr="005D2619">
        <w:rPr>
          <w:rFonts w:ascii="Cambria" w:hAnsi="Cambria"/>
          <w:sz w:val="20"/>
          <w:szCs w:val="20"/>
          <w:lang w:val="es-ES"/>
        </w:rPr>
        <w:t>con muy poca antelación</w:t>
      </w:r>
      <w:r w:rsidR="000B2A6D" w:rsidRPr="005D2619">
        <w:rPr>
          <w:rFonts w:ascii="Cambria" w:hAnsi="Cambria"/>
          <w:sz w:val="20"/>
          <w:szCs w:val="20"/>
          <w:lang w:val="es-ES"/>
        </w:rPr>
        <w:t>”</w:t>
      </w:r>
      <w:r w:rsidRPr="005D2619">
        <w:rPr>
          <w:rFonts w:ascii="Cambria" w:hAnsi="Cambria"/>
          <w:sz w:val="20"/>
          <w:szCs w:val="20"/>
          <w:lang w:val="es-ES"/>
        </w:rPr>
        <w:t xml:space="preserve">. Agregó en el mismo escrito que las autoridades judiciales no le permitieron contrainterrogar ni cuestionar los </w:t>
      </w:r>
      <w:r w:rsidR="000D303C" w:rsidRPr="005D2619">
        <w:rPr>
          <w:rFonts w:ascii="Cambria" w:hAnsi="Cambria"/>
          <w:sz w:val="20"/>
          <w:szCs w:val="20"/>
          <w:lang w:val="es-ES"/>
        </w:rPr>
        <w:t>dichos de</w:t>
      </w:r>
      <w:r w:rsidRPr="005D2619">
        <w:rPr>
          <w:rFonts w:ascii="Cambria" w:hAnsi="Cambria"/>
          <w:sz w:val="20"/>
          <w:szCs w:val="20"/>
          <w:lang w:val="es-ES"/>
        </w:rPr>
        <w:t>l Testigo No. 1, lo cual vulnera el derecho de defensa del señor Sastoque</w:t>
      </w:r>
      <w:r w:rsidRPr="005D2619">
        <w:rPr>
          <w:rStyle w:val="FootnoteReference"/>
          <w:rFonts w:ascii="Cambria" w:hAnsi="Cambria"/>
          <w:sz w:val="20"/>
          <w:szCs w:val="20"/>
          <w:lang w:val="es-ES"/>
        </w:rPr>
        <w:footnoteReference w:id="32"/>
      </w:r>
      <w:r w:rsidRPr="005D2619">
        <w:rPr>
          <w:rFonts w:ascii="Cambria" w:hAnsi="Cambria"/>
          <w:sz w:val="20"/>
          <w:szCs w:val="20"/>
          <w:lang w:val="es-ES"/>
        </w:rPr>
        <w:t>.</w:t>
      </w:r>
    </w:p>
    <w:p w14:paraId="3B637C49" w14:textId="77777777" w:rsidR="00205FFD" w:rsidRPr="005D2619" w:rsidRDefault="00205FFD" w:rsidP="00F718D7">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ES"/>
        </w:rPr>
      </w:pPr>
    </w:p>
    <w:p w14:paraId="72A3C8A5" w14:textId="77777777" w:rsidR="00A071ED" w:rsidRPr="005D2619" w:rsidRDefault="00A071ED" w:rsidP="00A071ED">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ES"/>
        </w:rPr>
      </w:pPr>
      <w:r w:rsidRPr="005D2619">
        <w:rPr>
          <w:rFonts w:ascii="Cambria" w:hAnsi="Cambria"/>
          <w:sz w:val="20"/>
          <w:szCs w:val="20"/>
          <w:lang w:val="es-ES"/>
        </w:rPr>
        <w:t>El mismo día se tomó la declaración de</w:t>
      </w:r>
      <w:r w:rsidR="00DD3B77" w:rsidRPr="005D2619">
        <w:rPr>
          <w:rFonts w:ascii="Cambria" w:hAnsi="Cambria"/>
          <w:sz w:val="20"/>
          <w:szCs w:val="20"/>
          <w:lang w:val="es-ES"/>
        </w:rPr>
        <w:t xml:space="preserve"> una persona llamada</w:t>
      </w:r>
      <w:r w:rsidRPr="005D2619">
        <w:rPr>
          <w:rFonts w:ascii="Cambria" w:hAnsi="Cambria"/>
          <w:sz w:val="20"/>
          <w:szCs w:val="20"/>
          <w:lang w:val="es-ES"/>
        </w:rPr>
        <w:t xml:space="preserve"> José Rey</w:t>
      </w:r>
      <w:r w:rsidR="00790300" w:rsidRPr="005D2619">
        <w:rPr>
          <w:rFonts w:ascii="Cambria" w:hAnsi="Cambria"/>
          <w:sz w:val="20"/>
          <w:szCs w:val="20"/>
          <w:lang w:val="es-ES"/>
        </w:rPr>
        <w:t>, conocido como “Javier Delgado”</w:t>
      </w:r>
      <w:r w:rsidR="00E302E3" w:rsidRPr="005D2619">
        <w:rPr>
          <w:rFonts w:ascii="Cambria" w:hAnsi="Cambria"/>
          <w:sz w:val="20"/>
          <w:szCs w:val="20"/>
          <w:lang w:val="es-ES"/>
        </w:rPr>
        <w:t>,</w:t>
      </w:r>
      <w:r w:rsidRPr="005D2619">
        <w:rPr>
          <w:rFonts w:ascii="Cambria" w:hAnsi="Cambria"/>
          <w:sz w:val="20"/>
          <w:szCs w:val="20"/>
          <w:lang w:val="es-ES"/>
        </w:rPr>
        <w:t xml:space="preserve"> ante la Fiscalía Regional de </w:t>
      </w:r>
      <w:r w:rsidR="00790300" w:rsidRPr="005D2619">
        <w:rPr>
          <w:rFonts w:ascii="Cambria" w:hAnsi="Cambria"/>
          <w:sz w:val="20"/>
          <w:szCs w:val="20"/>
          <w:lang w:val="es-ES"/>
        </w:rPr>
        <w:t>Santafé de Bogotá. Indicó que se encontraba detenido y</w:t>
      </w:r>
      <w:r w:rsidRPr="005D2619">
        <w:rPr>
          <w:rFonts w:ascii="Cambria" w:hAnsi="Cambria"/>
          <w:sz w:val="20"/>
          <w:szCs w:val="20"/>
          <w:lang w:val="es-ES"/>
        </w:rPr>
        <w:t xml:space="preserve"> </w:t>
      </w:r>
      <w:r w:rsidR="00790300" w:rsidRPr="005D2619">
        <w:rPr>
          <w:rFonts w:ascii="Cambria" w:hAnsi="Cambria"/>
          <w:sz w:val="20"/>
          <w:szCs w:val="20"/>
          <w:lang w:val="es-ES"/>
        </w:rPr>
        <w:t>sostuvo</w:t>
      </w:r>
      <w:r w:rsidRPr="005D2619">
        <w:rPr>
          <w:rFonts w:ascii="Cambria" w:hAnsi="Cambria"/>
          <w:sz w:val="20"/>
          <w:szCs w:val="20"/>
          <w:lang w:val="es-ES"/>
        </w:rPr>
        <w:t xml:space="preserve"> que conocía al señor Pizarro desde 1968 cuando eran miembros de la guerrilla y agregó lo siguiente:</w:t>
      </w:r>
    </w:p>
    <w:p w14:paraId="105550C3" w14:textId="77777777" w:rsidR="00A071ED" w:rsidRPr="005D2619" w:rsidRDefault="00A071ED" w:rsidP="00A071ED">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sz w:val="20"/>
          <w:szCs w:val="20"/>
          <w:lang w:val="es-ES"/>
        </w:rPr>
      </w:pPr>
    </w:p>
    <w:p w14:paraId="34081531" w14:textId="77777777" w:rsidR="003D1101" w:rsidRPr="005D2619" w:rsidRDefault="003D1101" w:rsidP="003D1101">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right="720" w:firstLine="0"/>
        <w:jc w:val="both"/>
        <w:rPr>
          <w:rFonts w:ascii="Cambria" w:hAnsi="Cambria"/>
          <w:sz w:val="20"/>
          <w:szCs w:val="20"/>
          <w:lang w:val="es-ES"/>
        </w:rPr>
      </w:pPr>
      <w:r w:rsidRPr="005D2619">
        <w:rPr>
          <w:rFonts w:ascii="Cambria" w:hAnsi="Cambria"/>
          <w:sz w:val="20"/>
          <w:szCs w:val="20"/>
          <w:lang w:val="es-MX"/>
        </w:rPr>
        <w:t>Los únicos que yo veo que tienen que ver con la muerte de Hernando Pizarro, y a quien les interesaría y les interesa con el fin de acallar todo el conocimiento que Hernando Pizarro (…) tenía sobre el terrorismo del estado, sobre la ejecución por parte de la inteligencia militar de cantidades de misiones vinculadas a la guerra sucia es la inteligencia militar el B-2 del Ejercito</w:t>
      </w:r>
      <w:r w:rsidRPr="005D2619">
        <w:rPr>
          <w:rStyle w:val="FootnoteReference"/>
          <w:rFonts w:ascii="Cambria" w:hAnsi="Cambria"/>
          <w:sz w:val="20"/>
          <w:szCs w:val="20"/>
          <w:lang w:val="es-MX"/>
        </w:rPr>
        <w:footnoteReference w:id="33"/>
      </w:r>
      <w:r w:rsidRPr="005D2619">
        <w:rPr>
          <w:rFonts w:ascii="Cambria" w:hAnsi="Cambria"/>
          <w:sz w:val="20"/>
          <w:szCs w:val="20"/>
          <w:lang w:val="es-MX"/>
        </w:rPr>
        <w:t>.</w:t>
      </w:r>
    </w:p>
    <w:p w14:paraId="3521D62A" w14:textId="77777777" w:rsidR="00205FFD" w:rsidRPr="005D2619" w:rsidRDefault="00205FFD" w:rsidP="00A071ED">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ES"/>
        </w:rPr>
      </w:pPr>
    </w:p>
    <w:p w14:paraId="6E21C92B" w14:textId="15E7F988" w:rsidR="00984601" w:rsidRPr="005D2619" w:rsidRDefault="00A071ED" w:rsidP="00E10EE8">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ES"/>
        </w:rPr>
      </w:pPr>
      <w:r w:rsidRPr="005D2619">
        <w:rPr>
          <w:rFonts w:ascii="Cambria" w:hAnsi="Cambria"/>
          <w:sz w:val="20"/>
          <w:szCs w:val="20"/>
          <w:lang w:val="es-MX"/>
        </w:rPr>
        <w:t>El 14 de marzo de 1995 la Dirección Regional de Fiscalía</w:t>
      </w:r>
      <w:r w:rsidR="00984601" w:rsidRPr="005D2619">
        <w:rPr>
          <w:rFonts w:ascii="Cambria" w:hAnsi="Cambria"/>
          <w:sz w:val="20"/>
          <w:szCs w:val="20"/>
          <w:lang w:val="es-MX"/>
        </w:rPr>
        <w:t>s de Santafé de</w:t>
      </w:r>
      <w:r w:rsidRPr="005D2619">
        <w:rPr>
          <w:rFonts w:ascii="Cambria" w:hAnsi="Cambria"/>
          <w:sz w:val="20"/>
          <w:szCs w:val="20"/>
          <w:lang w:val="es-MX"/>
        </w:rPr>
        <w:t xml:space="preserve"> Bogotá, emitió una</w:t>
      </w:r>
      <w:r w:rsidR="00205FFD" w:rsidRPr="005D2619">
        <w:rPr>
          <w:rFonts w:ascii="Cambria" w:hAnsi="Cambria"/>
          <w:sz w:val="20"/>
          <w:szCs w:val="20"/>
          <w:lang w:val="es-MX"/>
        </w:rPr>
        <w:t xml:space="preserve"> resolución interlocutoria</w:t>
      </w:r>
      <w:r w:rsidR="00E0148D" w:rsidRPr="005D2619">
        <w:rPr>
          <w:rFonts w:ascii="Cambria" w:hAnsi="Cambria"/>
          <w:sz w:val="20"/>
          <w:szCs w:val="20"/>
          <w:lang w:val="es-MX"/>
        </w:rPr>
        <w:t xml:space="preserve"> decretando </w:t>
      </w:r>
      <w:r w:rsidR="00984601" w:rsidRPr="005D2619">
        <w:rPr>
          <w:rFonts w:ascii="Cambria" w:hAnsi="Cambria"/>
          <w:sz w:val="20"/>
          <w:szCs w:val="20"/>
          <w:lang w:val="es-MX"/>
        </w:rPr>
        <w:t xml:space="preserve">medida de aseguramiento en contra del señor Sastoque como presunto </w:t>
      </w:r>
      <w:r w:rsidR="00984601" w:rsidRPr="005D2619">
        <w:rPr>
          <w:rFonts w:ascii="Cambria" w:hAnsi="Cambria"/>
          <w:sz w:val="20"/>
          <w:szCs w:val="20"/>
          <w:lang w:val="es-MX"/>
        </w:rPr>
        <w:lastRenderedPageBreak/>
        <w:t xml:space="preserve">autor del delito de homicidio, establecido en el artículo 323 del Código Penal, con la agravante establecida en el artículo 324.8 del mismo </w:t>
      </w:r>
      <w:r w:rsidR="00E0148D" w:rsidRPr="005D2619">
        <w:rPr>
          <w:rFonts w:ascii="Cambria" w:hAnsi="Cambria"/>
          <w:sz w:val="20"/>
          <w:szCs w:val="20"/>
          <w:lang w:val="es-MX"/>
        </w:rPr>
        <w:t>C</w:t>
      </w:r>
      <w:r w:rsidR="00984601" w:rsidRPr="005D2619">
        <w:rPr>
          <w:rFonts w:ascii="Cambria" w:hAnsi="Cambria"/>
          <w:sz w:val="20"/>
          <w:szCs w:val="20"/>
          <w:lang w:val="es-MX"/>
        </w:rPr>
        <w:t>ódigo</w:t>
      </w:r>
      <w:r w:rsidR="00E0148D" w:rsidRPr="005D2619">
        <w:rPr>
          <w:rStyle w:val="FootnoteReference"/>
          <w:rFonts w:ascii="Cambria" w:hAnsi="Cambria"/>
          <w:sz w:val="20"/>
          <w:szCs w:val="20"/>
          <w:lang w:val="es-MX"/>
        </w:rPr>
        <w:footnoteReference w:id="34"/>
      </w:r>
      <w:r w:rsidR="00984601" w:rsidRPr="005D2619">
        <w:rPr>
          <w:rFonts w:ascii="Cambria" w:hAnsi="Cambria"/>
          <w:sz w:val="20"/>
          <w:szCs w:val="20"/>
          <w:lang w:val="es-MX"/>
        </w:rPr>
        <w:t>.</w:t>
      </w:r>
      <w:r w:rsidR="0034082D" w:rsidRPr="005D2619">
        <w:rPr>
          <w:rFonts w:ascii="Cambria" w:hAnsi="Cambria"/>
          <w:sz w:val="20"/>
          <w:szCs w:val="20"/>
          <w:lang w:val="es-MX"/>
        </w:rPr>
        <w:t xml:space="preserve"> La CIDH toma nota de que en dicho documento no se incluye el nombre del fiscal que emitió </w:t>
      </w:r>
      <w:r w:rsidR="00B425CD" w:rsidRPr="005D2619">
        <w:rPr>
          <w:rFonts w:ascii="Cambria" w:hAnsi="Cambria"/>
          <w:sz w:val="20"/>
          <w:szCs w:val="20"/>
          <w:lang w:val="es-MX"/>
        </w:rPr>
        <w:t xml:space="preserve">la </w:t>
      </w:r>
      <w:r w:rsidR="0034082D" w:rsidRPr="005D2619">
        <w:rPr>
          <w:rFonts w:ascii="Cambria" w:hAnsi="Cambria"/>
          <w:sz w:val="20"/>
          <w:szCs w:val="20"/>
          <w:lang w:val="es-MX"/>
        </w:rPr>
        <w:t>resolución.</w:t>
      </w:r>
    </w:p>
    <w:p w14:paraId="212F7481" w14:textId="77777777" w:rsidR="00984601" w:rsidRPr="005D2619" w:rsidRDefault="00984601" w:rsidP="00984601">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sz w:val="20"/>
          <w:szCs w:val="20"/>
          <w:lang w:val="es-ES"/>
        </w:rPr>
      </w:pPr>
    </w:p>
    <w:p w14:paraId="34953256" w14:textId="77777777" w:rsidR="00F918F8" w:rsidRPr="005D2619" w:rsidRDefault="00984601" w:rsidP="00E10EE8">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ES"/>
        </w:rPr>
      </w:pPr>
      <w:r w:rsidRPr="005D2619">
        <w:rPr>
          <w:rFonts w:ascii="Cambria" w:hAnsi="Cambria"/>
          <w:sz w:val="20"/>
          <w:szCs w:val="20"/>
          <w:lang w:val="es-MX"/>
        </w:rPr>
        <w:t xml:space="preserve">El </w:t>
      </w:r>
      <w:r w:rsidR="002C2C5A" w:rsidRPr="005D2619">
        <w:rPr>
          <w:rFonts w:ascii="Cambria" w:hAnsi="Cambria"/>
          <w:sz w:val="20"/>
          <w:szCs w:val="20"/>
          <w:lang w:val="es-MX"/>
        </w:rPr>
        <w:t>F</w:t>
      </w:r>
      <w:r w:rsidRPr="005D2619">
        <w:rPr>
          <w:rFonts w:ascii="Cambria" w:hAnsi="Cambria"/>
          <w:sz w:val="20"/>
          <w:szCs w:val="20"/>
          <w:lang w:val="es-MX"/>
        </w:rPr>
        <w:t xml:space="preserve">iscal indicó </w:t>
      </w:r>
      <w:r w:rsidR="00F918F8" w:rsidRPr="005D2619">
        <w:rPr>
          <w:rFonts w:ascii="Cambria" w:hAnsi="Cambria"/>
          <w:sz w:val="20"/>
          <w:szCs w:val="20"/>
          <w:lang w:val="es-MX"/>
        </w:rPr>
        <w:t>lo siguiente:</w:t>
      </w:r>
    </w:p>
    <w:p w14:paraId="5AB8CCEE" w14:textId="77777777" w:rsidR="00F918F8" w:rsidRPr="005D2619" w:rsidRDefault="00F918F8" w:rsidP="00F918F8">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MX"/>
        </w:rPr>
      </w:pPr>
    </w:p>
    <w:p w14:paraId="7E9AAF6F" w14:textId="77777777" w:rsidR="00205FFD" w:rsidRPr="005D2619" w:rsidRDefault="00F918F8" w:rsidP="00F918F8">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right="720" w:firstLine="0"/>
        <w:jc w:val="both"/>
        <w:rPr>
          <w:rFonts w:ascii="Cambria" w:hAnsi="Cambria"/>
          <w:sz w:val="20"/>
          <w:szCs w:val="20"/>
          <w:lang w:val="es-MX"/>
        </w:rPr>
      </w:pPr>
      <w:r w:rsidRPr="005D2619">
        <w:rPr>
          <w:rFonts w:ascii="Cambria" w:hAnsi="Cambria"/>
          <w:sz w:val="20"/>
          <w:szCs w:val="20"/>
          <w:lang w:val="es-MX"/>
        </w:rPr>
        <w:t>No fue un capricho de los funcionarios que así tomaron la determinación de vincular a esta persona, por el sólo hecho de buscar un chivo expiatorio (...). Fue precisamente por la seriedad de los testigos y de sus dichos. (...) A estos testimonios con rese</w:t>
      </w:r>
      <w:r w:rsidR="001060A2" w:rsidRPr="005D2619">
        <w:rPr>
          <w:rFonts w:ascii="Cambria" w:hAnsi="Cambria"/>
          <w:sz w:val="20"/>
          <w:szCs w:val="20"/>
          <w:lang w:val="es-MX"/>
        </w:rPr>
        <w:t>rva de identidad el despacho le</w:t>
      </w:r>
      <w:r w:rsidRPr="005D2619">
        <w:rPr>
          <w:rFonts w:ascii="Cambria" w:hAnsi="Cambria"/>
          <w:sz w:val="20"/>
          <w:szCs w:val="20"/>
          <w:lang w:val="es-MX"/>
        </w:rPr>
        <w:t>s</w:t>
      </w:r>
      <w:r w:rsidR="001060A2" w:rsidRPr="005D2619">
        <w:rPr>
          <w:rFonts w:ascii="Cambria" w:hAnsi="Cambria"/>
          <w:sz w:val="20"/>
          <w:szCs w:val="20"/>
          <w:lang w:val="es-MX"/>
        </w:rPr>
        <w:t xml:space="preserve"> </w:t>
      </w:r>
      <w:r w:rsidRPr="005D2619">
        <w:rPr>
          <w:rFonts w:ascii="Cambria" w:hAnsi="Cambria"/>
          <w:sz w:val="20"/>
          <w:szCs w:val="20"/>
          <w:lang w:val="es-MX"/>
        </w:rPr>
        <w:t>da suficiente credibilidad. (...) Mientras los testigos protegidos con la reserva abiertamente describen los presuntos autores del hecho, los demás testigos se abstienen de hacerlo (...). Es que cualesquier</w:t>
      </w:r>
      <w:r w:rsidR="005C1D31" w:rsidRPr="005D2619">
        <w:rPr>
          <w:rFonts w:ascii="Cambria" w:hAnsi="Cambria"/>
          <w:sz w:val="20"/>
          <w:szCs w:val="20"/>
          <w:lang w:val="es-MX"/>
        </w:rPr>
        <w:t xml:space="preserve"> (sic)</w:t>
      </w:r>
      <w:r w:rsidRPr="005D2619">
        <w:rPr>
          <w:rFonts w:ascii="Cambria" w:hAnsi="Cambria"/>
          <w:sz w:val="20"/>
          <w:szCs w:val="20"/>
          <w:lang w:val="es-MX"/>
        </w:rPr>
        <w:t xml:space="preserve"> lector desprevenido constata con claridad diáfana que todos los testimonios convergen en un punto, cuales las</w:t>
      </w:r>
      <w:r w:rsidR="0034082D" w:rsidRPr="005D2619">
        <w:rPr>
          <w:rFonts w:ascii="Cambria" w:hAnsi="Cambria"/>
          <w:sz w:val="20"/>
          <w:szCs w:val="20"/>
          <w:lang w:val="es-MX"/>
        </w:rPr>
        <w:t xml:space="preserve"> [sic]</w:t>
      </w:r>
      <w:r w:rsidRPr="005D2619">
        <w:rPr>
          <w:rFonts w:ascii="Cambria" w:hAnsi="Cambria"/>
          <w:sz w:val="20"/>
          <w:szCs w:val="20"/>
          <w:lang w:val="es-MX"/>
        </w:rPr>
        <w:t xml:space="preserve"> circunstancias de modo, tiempo y lugar, son casi que exactos en la descripción de estas circunstancias, vale decir se avalan, confirman y corroboran entre sí, por eso para el Despacho son creíbles estos testimonios y como tal les ha de dar el suficiente valor de prueba.</w:t>
      </w:r>
    </w:p>
    <w:p w14:paraId="0F492186" w14:textId="77777777" w:rsidR="00F918F8" w:rsidRPr="005D2619" w:rsidRDefault="00F918F8" w:rsidP="00F718D7">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sz w:val="20"/>
          <w:szCs w:val="20"/>
          <w:lang w:val="es-ES"/>
        </w:rPr>
      </w:pPr>
      <w:r w:rsidRPr="005D2619">
        <w:rPr>
          <w:rFonts w:ascii="Cambria" w:hAnsi="Cambria"/>
          <w:sz w:val="20"/>
          <w:szCs w:val="20"/>
          <w:lang w:val="es-ES"/>
        </w:rPr>
        <w:t>(...)</w:t>
      </w:r>
    </w:p>
    <w:p w14:paraId="0397D040" w14:textId="77777777" w:rsidR="00205FFD" w:rsidRPr="005D2619" w:rsidRDefault="00205FFD" w:rsidP="00F918F8">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right="720" w:firstLine="0"/>
        <w:jc w:val="both"/>
        <w:rPr>
          <w:rFonts w:ascii="Cambria" w:hAnsi="Cambria"/>
          <w:sz w:val="20"/>
          <w:szCs w:val="20"/>
          <w:lang w:val="es-ES"/>
        </w:rPr>
      </w:pPr>
      <w:r w:rsidRPr="005D2619">
        <w:rPr>
          <w:rFonts w:ascii="Cambria" w:hAnsi="Cambria"/>
          <w:sz w:val="20"/>
          <w:szCs w:val="20"/>
          <w:lang w:val="es-MX"/>
        </w:rPr>
        <w:t>Misael Sastoque Alfonso, corroboró la coartada o exculpación indagatoria esgrimida por Gustavo Sastoque, si, al igual que lo corrobora en parte su compañero Roberto, como también otros parientes suyos. Pero es que si analizamos todos estos testimonios obviamente deducimos que si hay un interés de por medio, cual es el de sacar avante de este lio judicial en el que se encuentra comprometido su pariente y amigo, realmente si hay un interés afectivo que por ello no ha de rechazarse ni tampoco tomarlo como beneficio de inventario, pero que no alcanzan a desvirtuar los testimonios con los que se compromete en la autoría del hecho</w:t>
      </w:r>
      <w:r w:rsidR="0034082D" w:rsidRPr="005D2619">
        <w:rPr>
          <w:rStyle w:val="FootnoteReference"/>
          <w:rFonts w:ascii="Cambria" w:hAnsi="Cambria"/>
          <w:sz w:val="20"/>
          <w:szCs w:val="20"/>
          <w:lang w:val="es-MX"/>
        </w:rPr>
        <w:footnoteReference w:id="35"/>
      </w:r>
      <w:r w:rsidRPr="005D2619">
        <w:rPr>
          <w:rFonts w:ascii="Cambria" w:hAnsi="Cambria"/>
          <w:sz w:val="20"/>
          <w:szCs w:val="20"/>
          <w:lang w:val="es-MX"/>
        </w:rPr>
        <w:t xml:space="preserve">.  </w:t>
      </w:r>
    </w:p>
    <w:p w14:paraId="721CCE0F" w14:textId="77777777" w:rsidR="00262114" w:rsidRPr="005D2619" w:rsidRDefault="00262114" w:rsidP="00262114">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i/>
          <w:sz w:val="20"/>
          <w:szCs w:val="20"/>
          <w:lang w:val="es-ES"/>
        </w:rPr>
      </w:pPr>
    </w:p>
    <w:p w14:paraId="561A1919" w14:textId="77777777" w:rsidR="0034082D" w:rsidRPr="005D2619" w:rsidRDefault="0034082D" w:rsidP="0034082D">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i/>
          <w:sz w:val="20"/>
          <w:szCs w:val="20"/>
          <w:lang w:val="es-ES"/>
        </w:rPr>
      </w:pPr>
      <w:r w:rsidRPr="005D2619">
        <w:rPr>
          <w:rFonts w:ascii="Cambria" w:hAnsi="Cambria"/>
          <w:sz w:val="20"/>
          <w:szCs w:val="20"/>
          <w:lang w:val="es-ES"/>
        </w:rPr>
        <w:t>El 19 de mayo de 1995 se realizó una nueva diligencia de reconocimiento en fila de personas</w:t>
      </w:r>
      <w:r w:rsidRPr="005D2619">
        <w:rPr>
          <w:rFonts w:ascii="Cambria" w:hAnsi="Cambria"/>
          <w:sz w:val="20"/>
          <w:szCs w:val="20"/>
        </w:rPr>
        <w:t>. En esta ocasión</w:t>
      </w:r>
      <w:r w:rsidRPr="005D2619">
        <w:rPr>
          <w:rFonts w:ascii="Cambria" w:hAnsi="Cambria"/>
          <w:sz w:val="20"/>
          <w:szCs w:val="20"/>
          <w:lang w:val="es-ES"/>
        </w:rPr>
        <w:t xml:space="preserve"> </w:t>
      </w:r>
      <w:r w:rsidR="00CB7134" w:rsidRPr="005D2619">
        <w:rPr>
          <w:rFonts w:ascii="Cambria" w:hAnsi="Cambria"/>
          <w:sz w:val="20"/>
          <w:szCs w:val="20"/>
          <w:lang w:val="es-ES"/>
        </w:rPr>
        <w:t>dos</w:t>
      </w:r>
      <w:r w:rsidRPr="005D2619">
        <w:rPr>
          <w:rFonts w:ascii="Cambria" w:hAnsi="Cambria"/>
          <w:sz w:val="20"/>
          <w:szCs w:val="20"/>
          <w:lang w:val="es-ES"/>
        </w:rPr>
        <w:t xml:space="preserve"> agentes policiales</w:t>
      </w:r>
      <w:r w:rsidR="00CB7134" w:rsidRPr="005D2619">
        <w:rPr>
          <w:rFonts w:ascii="Cambria" w:hAnsi="Cambria"/>
          <w:sz w:val="20"/>
          <w:szCs w:val="20"/>
          <w:lang w:val="es-ES"/>
        </w:rPr>
        <w:t>,</w:t>
      </w:r>
      <w:r w:rsidRPr="005D2619">
        <w:rPr>
          <w:rFonts w:ascii="Cambria" w:hAnsi="Cambria"/>
          <w:sz w:val="20"/>
          <w:szCs w:val="20"/>
          <w:lang w:val="es-ES"/>
        </w:rPr>
        <w:t xml:space="preserve"> Wander Trullo y José Roncancio</w:t>
      </w:r>
      <w:r w:rsidR="00CB7134" w:rsidRPr="005D2619">
        <w:rPr>
          <w:rFonts w:ascii="Cambria" w:hAnsi="Cambria"/>
          <w:sz w:val="20"/>
          <w:szCs w:val="20"/>
          <w:lang w:val="es-ES"/>
        </w:rPr>
        <w:t>,</w:t>
      </w:r>
      <w:r w:rsidRPr="005D2619">
        <w:rPr>
          <w:rFonts w:ascii="Cambria" w:hAnsi="Cambria"/>
          <w:sz w:val="20"/>
          <w:szCs w:val="20"/>
          <w:lang w:val="es-ES"/>
        </w:rPr>
        <w:t xml:space="preserve"> participaron de la misma. Ambos manifestaron estar de turno cuando dos personas de la Fiscalía llegaron el 27 de febrero del mismo año a examinar el lugar donde ocurrió el asesinato del señor Pizarro</w:t>
      </w:r>
      <w:r w:rsidRPr="005D2619">
        <w:rPr>
          <w:rStyle w:val="FootnoteReference"/>
          <w:rFonts w:ascii="Cambria" w:hAnsi="Cambria"/>
          <w:sz w:val="20"/>
          <w:szCs w:val="20"/>
          <w:lang w:val="es-ES"/>
        </w:rPr>
        <w:footnoteReference w:id="36"/>
      </w:r>
      <w:r w:rsidRPr="005D2619">
        <w:rPr>
          <w:rFonts w:ascii="Cambria" w:hAnsi="Cambria"/>
          <w:sz w:val="20"/>
          <w:szCs w:val="20"/>
          <w:lang w:val="es-ES"/>
        </w:rPr>
        <w:t>. El agente Trullo no pudo reconocer a ninguna de las personas</w:t>
      </w:r>
      <w:r w:rsidRPr="005D2619">
        <w:rPr>
          <w:rStyle w:val="FootnoteReference"/>
          <w:rFonts w:ascii="Cambria" w:hAnsi="Cambria"/>
          <w:sz w:val="20"/>
          <w:szCs w:val="20"/>
          <w:lang w:val="es-ES"/>
        </w:rPr>
        <w:footnoteReference w:id="37"/>
      </w:r>
      <w:r w:rsidRPr="005D2619">
        <w:rPr>
          <w:rFonts w:ascii="Cambria" w:hAnsi="Cambria"/>
          <w:sz w:val="20"/>
          <w:szCs w:val="20"/>
          <w:lang w:val="es-ES"/>
        </w:rPr>
        <w:t xml:space="preserve"> mientras que el agente Roncancio sí reconoció al señor Sastoque como oficial de la Fiscalía que estuvo en el lugar de los hechos el 27 de febrero</w:t>
      </w:r>
      <w:r w:rsidRPr="005D2619">
        <w:rPr>
          <w:rStyle w:val="FootnoteReference"/>
          <w:rFonts w:ascii="Cambria" w:hAnsi="Cambria"/>
          <w:sz w:val="20"/>
          <w:szCs w:val="20"/>
          <w:lang w:val="es-ES"/>
        </w:rPr>
        <w:footnoteReference w:id="38"/>
      </w:r>
      <w:r w:rsidRPr="005D2619">
        <w:rPr>
          <w:rFonts w:ascii="Cambria" w:hAnsi="Cambria"/>
          <w:sz w:val="20"/>
          <w:szCs w:val="20"/>
          <w:lang w:val="es-ES"/>
        </w:rPr>
        <w:t>.</w:t>
      </w:r>
    </w:p>
    <w:p w14:paraId="4241B377" w14:textId="77777777" w:rsidR="00F05504" w:rsidRPr="005D2619" w:rsidRDefault="00F05504" w:rsidP="00345FDB">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i/>
          <w:sz w:val="20"/>
          <w:szCs w:val="20"/>
          <w:lang w:val="es-ES"/>
        </w:rPr>
      </w:pPr>
    </w:p>
    <w:p w14:paraId="6D8EBED5" w14:textId="77777777" w:rsidR="0034082D" w:rsidRPr="005D2619" w:rsidRDefault="0034082D" w:rsidP="0034082D">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i/>
          <w:sz w:val="20"/>
          <w:szCs w:val="20"/>
          <w:lang w:val="es-ES"/>
        </w:rPr>
      </w:pPr>
      <w:r w:rsidRPr="005D2619">
        <w:rPr>
          <w:rFonts w:ascii="Cambria" w:hAnsi="Cambria"/>
          <w:sz w:val="20"/>
          <w:szCs w:val="20"/>
          <w:lang w:val="es-ES"/>
        </w:rPr>
        <w:t xml:space="preserve">El 23 de mayo de 1995 el Fiscal Regional tomó la declaración con reserva de identidad del “Testigo No. 4”. </w:t>
      </w:r>
      <w:r w:rsidR="0099000A" w:rsidRPr="005D2619">
        <w:rPr>
          <w:rFonts w:ascii="Cambria" w:hAnsi="Cambria"/>
          <w:sz w:val="20"/>
          <w:szCs w:val="20"/>
          <w:lang w:val="es-ES"/>
        </w:rPr>
        <w:t xml:space="preserve">La CIDH toma nota de no se indica el nombre del fiscal a cargo de la diligencia. </w:t>
      </w:r>
      <w:r w:rsidRPr="005D2619">
        <w:rPr>
          <w:rFonts w:ascii="Cambria" w:hAnsi="Cambria"/>
          <w:sz w:val="20"/>
          <w:szCs w:val="20"/>
          <w:lang w:val="es-ES"/>
        </w:rPr>
        <w:t>Esta persona indicó que conocía a Hernando Pizarro y que éste se encontraba viviendo en el domicilio de Carlos Celis por motivos de seguridad ya que habían capturado a alias “Javier Delgado”, quien había participado en la guerrilla con él. Sostuvo que Carlos Celis tenía conocimiento de que el señor Pizarro iba a recibir la suma de dos millones de pesos el 27 de febrero de 1995 pues pensaba salir del país.</w:t>
      </w:r>
      <w:r w:rsidRPr="005D2619">
        <w:rPr>
          <w:rFonts w:ascii="Cambria" w:hAnsi="Cambria"/>
          <w:i/>
          <w:sz w:val="20"/>
          <w:szCs w:val="20"/>
          <w:lang w:val="es-ES"/>
        </w:rPr>
        <w:t xml:space="preserve"> </w:t>
      </w:r>
      <w:r w:rsidRPr="005D2619">
        <w:rPr>
          <w:rFonts w:ascii="Cambria" w:hAnsi="Cambria"/>
          <w:sz w:val="20"/>
          <w:szCs w:val="20"/>
          <w:lang w:val="es-ES"/>
        </w:rPr>
        <w:t>También afirmó que Carlos Celis vendió una camioneta Toyota color blanco, del mismo modelo de la que se utilizó el 26 de febrero de 1995, a agentes del B-2 del Ejército</w:t>
      </w:r>
      <w:r w:rsidRPr="005D2619">
        <w:rPr>
          <w:rStyle w:val="FootnoteReference"/>
          <w:rFonts w:ascii="Cambria" w:hAnsi="Cambria"/>
          <w:sz w:val="20"/>
          <w:szCs w:val="20"/>
          <w:lang w:val="es-ES"/>
        </w:rPr>
        <w:footnoteReference w:id="39"/>
      </w:r>
      <w:r w:rsidRPr="005D2619">
        <w:rPr>
          <w:rFonts w:ascii="Cambria" w:hAnsi="Cambria"/>
          <w:sz w:val="20"/>
          <w:szCs w:val="20"/>
          <w:lang w:val="es-ES"/>
        </w:rPr>
        <w:t xml:space="preserve">. </w:t>
      </w:r>
    </w:p>
    <w:p w14:paraId="183BF315" w14:textId="77777777" w:rsidR="008E2014" w:rsidRPr="005D2619" w:rsidRDefault="008E2014" w:rsidP="008E2014">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i/>
          <w:sz w:val="20"/>
          <w:szCs w:val="20"/>
          <w:lang w:val="es-ES"/>
        </w:rPr>
      </w:pPr>
    </w:p>
    <w:p w14:paraId="4EE9304A" w14:textId="77777777" w:rsidR="0024715B" w:rsidRPr="005D2619" w:rsidRDefault="0024715B" w:rsidP="0034082D">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i/>
          <w:sz w:val="20"/>
          <w:szCs w:val="20"/>
          <w:lang w:val="es-ES"/>
        </w:rPr>
      </w:pPr>
      <w:r w:rsidRPr="005D2619">
        <w:rPr>
          <w:rFonts w:ascii="Cambria" w:hAnsi="Cambria"/>
          <w:sz w:val="20"/>
          <w:szCs w:val="20"/>
          <w:lang w:val="es-ES"/>
        </w:rPr>
        <w:t>El 25 de agosto de 1995 la Testigo No. 1 respondió a un cuestionario</w:t>
      </w:r>
      <w:r w:rsidR="00B15FA1" w:rsidRPr="005D2619">
        <w:rPr>
          <w:rFonts w:ascii="Cambria" w:hAnsi="Cambria"/>
          <w:sz w:val="20"/>
          <w:szCs w:val="20"/>
          <w:lang w:val="es-ES"/>
        </w:rPr>
        <w:t xml:space="preserve"> escrito</w:t>
      </w:r>
      <w:r w:rsidRPr="005D2619">
        <w:rPr>
          <w:rFonts w:ascii="Cambria" w:hAnsi="Cambria"/>
          <w:sz w:val="20"/>
          <w:szCs w:val="20"/>
          <w:lang w:val="es-ES"/>
        </w:rPr>
        <w:t xml:space="preserve"> presentado por el abogado defensor del señor Sastoque. De acuerdo al acta de declaración, el Fiscal a cargo</w:t>
      </w:r>
      <w:r w:rsidR="00B15FA1" w:rsidRPr="005D2619">
        <w:rPr>
          <w:rFonts w:ascii="Cambria" w:hAnsi="Cambria"/>
          <w:sz w:val="20"/>
          <w:szCs w:val="20"/>
          <w:lang w:val="es-ES"/>
        </w:rPr>
        <w:t>, quien estuvo presente durante la diligencia,</w:t>
      </w:r>
      <w:r w:rsidRPr="005D2619">
        <w:rPr>
          <w:rFonts w:ascii="Cambria" w:hAnsi="Cambria"/>
          <w:sz w:val="20"/>
          <w:szCs w:val="20"/>
          <w:lang w:val="es-ES"/>
        </w:rPr>
        <w:t xml:space="preserve"> le indicó a la testigo que “al momento de contestarlas se tendrá especial cuidado en que a través de sus respuestas no se revele su identidad”. La Testigo No. 1 indicó lo siguiente:</w:t>
      </w:r>
    </w:p>
    <w:p w14:paraId="62EE618B" w14:textId="77777777" w:rsidR="0024715B" w:rsidRPr="005D2619" w:rsidRDefault="0024715B" w:rsidP="0024715B">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i/>
          <w:sz w:val="20"/>
          <w:szCs w:val="20"/>
          <w:lang w:val="es-ES"/>
        </w:rPr>
      </w:pPr>
    </w:p>
    <w:p w14:paraId="6E210974" w14:textId="77777777" w:rsidR="0024715B" w:rsidRPr="005D2619" w:rsidRDefault="0024715B" w:rsidP="00B15FA1">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right="720" w:firstLine="0"/>
        <w:jc w:val="both"/>
        <w:rPr>
          <w:rFonts w:ascii="Cambria" w:hAnsi="Cambria"/>
          <w:sz w:val="20"/>
          <w:szCs w:val="20"/>
          <w:lang w:val="es-ES"/>
        </w:rPr>
      </w:pPr>
      <w:r w:rsidRPr="005D2619">
        <w:rPr>
          <w:rFonts w:ascii="Cambria" w:hAnsi="Cambria"/>
          <w:sz w:val="20"/>
          <w:szCs w:val="20"/>
          <w:lang w:val="es-ES"/>
        </w:rPr>
        <w:t xml:space="preserve">Al que yo pude ver bien y que lo estoy describiendo es el que le dispara al señor Pizarro. (…) </w:t>
      </w:r>
      <w:r w:rsidR="00B15FA1" w:rsidRPr="005D2619">
        <w:rPr>
          <w:rFonts w:ascii="Cambria" w:hAnsi="Cambria"/>
          <w:sz w:val="20"/>
          <w:szCs w:val="20"/>
          <w:lang w:val="es-ES"/>
        </w:rPr>
        <w:t>Lo que pasa es que yo tenía buena visibilidad [y el que disparó estaba] justo debajo de una bombilla de alumbrado público, además porque yo conozco de armas y tengo buena capacidad de observación. (…) Las características [físicas] que yo he dado siempre han sido las mismas</w:t>
      </w:r>
      <w:r w:rsidR="00B15FA1" w:rsidRPr="005D2619">
        <w:rPr>
          <w:rStyle w:val="FootnoteReference"/>
          <w:rFonts w:ascii="Cambria" w:hAnsi="Cambria"/>
          <w:sz w:val="20"/>
          <w:szCs w:val="20"/>
          <w:lang w:val="es-ES"/>
        </w:rPr>
        <w:footnoteReference w:id="40"/>
      </w:r>
      <w:r w:rsidR="00B15FA1" w:rsidRPr="005D2619">
        <w:rPr>
          <w:rFonts w:ascii="Cambria" w:hAnsi="Cambria"/>
          <w:sz w:val="20"/>
          <w:szCs w:val="20"/>
          <w:lang w:val="es-ES"/>
        </w:rPr>
        <w:t>.</w:t>
      </w:r>
    </w:p>
    <w:p w14:paraId="04749FEE" w14:textId="77777777" w:rsidR="0024715B" w:rsidRPr="005D2619" w:rsidRDefault="0024715B" w:rsidP="0024715B">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sz w:val="20"/>
          <w:szCs w:val="20"/>
          <w:lang w:val="es-ES"/>
        </w:rPr>
      </w:pPr>
    </w:p>
    <w:p w14:paraId="09281973" w14:textId="47F25FF5" w:rsidR="0034082D" w:rsidRPr="005D2619" w:rsidRDefault="0034082D" w:rsidP="0034082D">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i/>
          <w:sz w:val="20"/>
          <w:szCs w:val="20"/>
          <w:lang w:val="es-ES"/>
        </w:rPr>
      </w:pPr>
      <w:r w:rsidRPr="005D2619">
        <w:rPr>
          <w:rFonts w:ascii="Cambria" w:hAnsi="Cambria"/>
          <w:sz w:val="20"/>
          <w:szCs w:val="20"/>
          <w:lang w:val="es-ES"/>
        </w:rPr>
        <w:t>El 3 de octubre de 1995 el Fiscal Regional envió un oficio al Director Regional de Fiscalía</w:t>
      </w:r>
      <w:r w:rsidR="00BA69C3" w:rsidRPr="005D2619">
        <w:rPr>
          <w:rFonts w:ascii="Cambria" w:hAnsi="Cambria"/>
          <w:sz w:val="20"/>
          <w:szCs w:val="20"/>
          <w:lang w:val="es-ES"/>
        </w:rPr>
        <w:t>s</w:t>
      </w:r>
      <w:r w:rsidRPr="005D2619">
        <w:rPr>
          <w:rFonts w:ascii="Cambria" w:hAnsi="Cambria"/>
          <w:sz w:val="20"/>
          <w:szCs w:val="20"/>
          <w:lang w:val="es-ES"/>
        </w:rPr>
        <w:t xml:space="preserve"> indicando que la Testigo No. 1 presentó una “manifestación expresa y voluntaria” para que se levante su identidad.</w:t>
      </w:r>
      <w:r w:rsidR="0099000A" w:rsidRPr="005D2619">
        <w:rPr>
          <w:rFonts w:ascii="Cambria" w:hAnsi="Cambria"/>
          <w:sz w:val="20"/>
          <w:szCs w:val="20"/>
          <w:lang w:val="es-ES"/>
        </w:rPr>
        <w:t xml:space="preserve"> La CIDH toma nota de que en dicho oficio no consta el nombr</w:t>
      </w:r>
      <w:r w:rsidR="00E1406D">
        <w:rPr>
          <w:rFonts w:ascii="Cambria" w:hAnsi="Cambria"/>
          <w:sz w:val="20"/>
          <w:szCs w:val="20"/>
          <w:lang w:val="es-ES"/>
        </w:rPr>
        <w:t>e</w:t>
      </w:r>
      <w:r w:rsidR="0099000A" w:rsidRPr="005D2619">
        <w:rPr>
          <w:rFonts w:ascii="Cambria" w:hAnsi="Cambria"/>
          <w:sz w:val="20"/>
          <w:szCs w:val="20"/>
          <w:lang w:val="es-ES"/>
        </w:rPr>
        <w:t xml:space="preserve"> del fiscal.</w:t>
      </w:r>
      <w:r w:rsidRPr="005D2619">
        <w:rPr>
          <w:rFonts w:ascii="Cambria" w:hAnsi="Cambria"/>
          <w:sz w:val="20"/>
          <w:szCs w:val="20"/>
          <w:lang w:val="es-ES"/>
        </w:rPr>
        <w:t xml:space="preserve"> El Fiscal Regional sostuvo que se levantó un acta para que se procediera con el trámite correspondiente</w:t>
      </w:r>
      <w:r w:rsidRPr="005D2619">
        <w:rPr>
          <w:rStyle w:val="FootnoteReference"/>
          <w:rFonts w:ascii="Cambria" w:hAnsi="Cambria"/>
          <w:sz w:val="20"/>
          <w:szCs w:val="20"/>
          <w:lang w:val="es-ES"/>
        </w:rPr>
        <w:footnoteReference w:id="41"/>
      </w:r>
      <w:r w:rsidRPr="005D2619">
        <w:rPr>
          <w:rFonts w:ascii="Cambria" w:hAnsi="Cambria"/>
          <w:sz w:val="20"/>
          <w:szCs w:val="20"/>
          <w:lang w:val="es-ES"/>
        </w:rPr>
        <w:t>. Tres días después el Fiscal Regional declaró cerrada la investigación en donde aparece como sindicado el señor Sastoque por el delito de homicidio</w:t>
      </w:r>
      <w:r w:rsidRPr="005D2619">
        <w:rPr>
          <w:rStyle w:val="FootnoteReference"/>
          <w:rFonts w:ascii="Cambria" w:hAnsi="Cambria"/>
          <w:sz w:val="20"/>
          <w:szCs w:val="20"/>
          <w:lang w:val="es-ES"/>
        </w:rPr>
        <w:footnoteReference w:id="42"/>
      </w:r>
      <w:r w:rsidRPr="005D2619">
        <w:rPr>
          <w:rFonts w:ascii="Cambria" w:hAnsi="Cambria"/>
          <w:sz w:val="20"/>
          <w:szCs w:val="20"/>
          <w:lang w:val="es-ES"/>
        </w:rPr>
        <w:t>.</w:t>
      </w:r>
      <w:r w:rsidR="0024715B" w:rsidRPr="005D2619">
        <w:rPr>
          <w:rFonts w:ascii="Cambria" w:hAnsi="Cambria"/>
          <w:sz w:val="20"/>
          <w:szCs w:val="20"/>
          <w:lang w:val="es-ES"/>
        </w:rPr>
        <w:t xml:space="preserve"> La CIDH toma nota de que </w:t>
      </w:r>
      <w:r w:rsidR="0099000A" w:rsidRPr="005D2619">
        <w:rPr>
          <w:rFonts w:ascii="Cambria" w:hAnsi="Cambria"/>
          <w:sz w:val="20"/>
          <w:szCs w:val="20"/>
          <w:lang w:val="es-ES"/>
        </w:rPr>
        <w:t>el 16 de diciembre de 1996 se realizó una ampliación de testimonio de la Testigo No. 1 cuyo nombre</w:t>
      </w:r>
      <w:r w:rsidR="00BA69C3" w:rsidRPr="005D2619">
        <w:rPr>
          <w:rFonts w:ascii="Cambria" w:hAnsi="Cambria"/>
          <w:sz w:val="20"/>
          <w:szCs w:val="20"/>
          <w:lang w:val="es-ES"/>
        </w:rPr>
        <w:t>, como se indicó anteriormente,</w:t>
      </w:r>
      <w:r w:rsidR="0099000A" w:rsidRPr="005D2619">
        <w:rPr>
          <w:rFonts w:ascii="Cambria" w:hAnsi="Cambria"/>
          <w:sz w:val="20"/>
          <w:szCs w:val="20"/>
          <w:lang w:val="es-ES"/>
        </w:rPr>
        <w:t xml:space="preserve"> es Olga Esther Guevara Fajardo</w:t>
      </w:r>
      <w:r w:rsidR="00BA69C3" w:rsidRPr="005D2619">
        <w:rPr>
          <w:rFonts w:ascii="Cambria" w:hAnsi="Cambria"/>
          <w:sz w:val="20"/>
          <w:szCs w:val="20"/>
          <w:lang w:val="es-ES"/>
        </w:rPr>
        <w:t xml:space="preserve">. En esta oportunidad estuvo presente </w:t>
      </w:r>
      <w:r w:rsidR="0099000A" w:rsidRPr="005D2619">
        <w:rPr>
          <w:rFonts w:ascii="Cambria" w:hAnsi="Cambria"/>
          <w:sz w:val="20"/>
          <w:szCs w:val="20"/>
          <w:lang w:val="es-ES"/>
        </w:rPr>
        <w:t>el abogado defensor del señor Sastoque. La Comisión observa que la señora Guevara ratificó lo señalado en sus anteriores declaraciones</w:t>
      </w:r>
      <w:r w:rsidR="0099000A" w:rsidRPr="005D2619">
        <w:rPr>
          <w:rStyle w:val="FootnoteReference"/>
          <w:rFonts w:ascii="Cambria" w:hAnsi="Cambria"/>
          <w:sz w:val="20"/>
          <w:szCs w:val="20"/>
          <w:lang w:val="es-ES"/>
        </w:rPr>
        <w:footnoteReference w:id="43"/>
      </w:r>
      <w:r w:rsidR="0099000A" w:rsidRPr="005D2619">
        <w:rPr>
          <w:rFonts w:ascii="Cambria" w:hAnsi="Cambria"/>
          <w:sz w:val="20"/>
          <w:szCs w:val="20"/>
          <w:lang w:val="es-ES"/>
        </w:rPr>
        <w:t>.</w:t>
      </w:r>
    </w:p>
    <w:p w14:paraId="6264F5CA" w14:textId="77777777" w:rsidR="00440E49" w:rsidRPr="005D2619" w:rsidRDefault="00440E49" w:rsidP="00440E49">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i/>
          <w:sz w:val="20"/>
          <w:szCs w:val="20"/>
          <w:lang w:val="es-ES"/>
        </w:rPr>
      </w:pPr>
    </w:p>
    <w:p w14:paraId="56363C3E" w14:textId="77777777" w:rsidR="00440E49" w:rsidRPr="005D2619" w:rsidRDefault="00440E49" w:rsidP="00E10EE8">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i/>
          <w:sz w:val="20"/>
          <w:szCs w:val="20"/>
          <w:lang w:val="es-ES"/>
        </w:rPr>
      </w:pPr>
      <w:r w:rsidRPr="005D2619">
        <w:rPr>
          <w:rFonts w:ascii="Cambria" w:hAnsi="Cambria"/>
          <w:sz w:val="20"/>
          <w:szCs w:val="20"/>
          <w:lang w:val="es-ES"/>
        </w:rPr>
        <w:t xml:space="preserve">El 18 de </w:t>
      </w:r>
      <w:r w:rsidRPr="005D2619">
        <w:rPr>
          <w:rFonts w:ascii="Cambria" w:hAnsi="Cambria"/>
          <w:sz w:val="20"/>
          <w:szCs w:val="20"/>
          <w:lang w:val="es-MX"/>
        </w:rPr>
        <w:t>octubre de 1995</w:t>
      </w:r>
      <w:r w:rsidR="0022063F" w:rsidRPr="005D2619">
        <w:rPr>
          <w:rFonts w:ascii="Cambria" w:hAnsi="Cambria"/>
          <w:sz w:val="20"/>
          <w:szCs w:val="20"/>
          <w:lang w:val="es-MX"/>
        </w:rPr>
        <w:t xml:space="preserve"> Custodio Mora, Fiscal Delegado ante los Jueces Penales Municipales, rindió una declaración ante la Fiscalía General de la Nación. Indicó que él estuvo a cargo de la diligencia de levantamiento del cadáver del señor Pizarro y que no tenía conocimiento de que el señor Sastoque haya participado de la misma. Agregó que el Director Nacional del CTI podía brindar información sobre ello</w:t>
      </w:r>
      <w:r w:rsidR="0022063F" w:rsidRPr="005D2619">
        <w:rPr>
          <w:rStyle w:val="FootnoteReference"/>
          <w:rFonts w:ascii="Cambria" w:hAnsi="Cambria"/>
          <w:sz w:val="20"/>
          <w:szCs w:val="20"/>
          <w:lang w:val="es-MX"/>
        </w:rPr>
        <w:footnoteReference w:id="44"/>
      </w:r>
      <w:r w:rsidR="0022063F" w:rsidRPr="005D2619">
        <w:rPr>
          <w:rFonts w:ascii="Cambria" w:hAnsi="Cambria"/>
          <w:sz w:val="20"/>
          <w:szCs w:val="20"/>
          <w:lang w:val="es-MX"/>
        </w:rPr>
        <w:t>. Es así como Carlos Solórzano, Director Nacional del CTI, brindó su declaración y afirmó lo siguiente:</w:t>
      </w:r>
    </w:p>
    <w:p w14:paraId="79B20C02" w14:textId="77777777" w:rsidR="00AB2597" w:rsidRPr="005D2619" w:rsidRDefault="00AB2597" w:rsidP="00AB2597">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MX"/>
        </w:rPr>
      </w:pPr>
    </w:p>
    <w:p w14:paraId="3E83A1BC" w14:textId="08D3EC7D" w:rsidR="0022063F" w:rsidRPr="005D2619" w:rsidRDefault="0022063F" w:rsidP="0022063F">
      <w:pPr>
        <w:spacing w:after="0" w:line="240" w:lineRule="auto"/>
        <w:ind w:left="720" w:right="720"/>
        <w:jc w:val="both"/>
        <w:rPr>
          <w:rFonts w:ascii="Cambria" w:eastAsia="Times New Roman" w:hAnsi="Cambria"/>
          <w:color w:val="000000"/>
          <w:sz w:val="20"/>
          <w:szCs w:val="20"/>
          <w:u w:color="000000"/>
          <w:bdr w:val="nil"/>
          <w:lang w:val="es-MX" w:eastAsia="es-ES"/>
        </w:rPr>
      </w:pPr>
      <w:r w:rsidRPr="005D2619">
        <w:rPr>
          <w:rFonts w:ascii="Cambria" w:eastAsia="Times New Roman" w:hAnsi="Cambria"/>
          <w:color w:val="000000"/>
          <w:sz w:val="20"/>
          <w:szCs w:val="20"/>
          <w:u w:color="000000"/>
          <w:bdr w:val="nil"/>
          <w:lang w:val="es-MX" w:eastAsia="es-ES"/>
        </w:rPr>
        <w:t>[Gustavo Sastoque]</w:t>
      </w:r>
      <w:r w:rsidR="00463A59">
        <w:rPr>
          <w:rFonts w:ascii="Cambria" w:eastAsia="Times New Roman" w:hAnsi="Cambria"/>
          <w:color w:val="000000"/>
          <w:sz w:val="20"/>
          <w:szCs w:val="20"/>
          <w:u w:color="000000"/>
          <w:bdr w:val="nil"/>
          <w:lang w:val="es-MX" w:eastAsia="es-ES"/>
        </w:rPr>
        <w:t xml:space="preserve"> </w:t>
      </w:r>
      <w:r w:rsidRPr="005D2619">
        <w:rPr>
          <w:rFonts w:ascii="Cambria" w:hAnsi="Cambria"/>
          <w:sz w:val="20"/>
          <w:szCs w:val="20"/>
          <w:lang w:val="es-MX"/>
        </w:rPr>
        <w:t xml:space="preserve">nunca cumplió con funciones de inteligencia ya que no cumplía con funciones de </w:t>
      </w:r>
      <w:r w:rsidR="0024715B" w:rsidRPr="005D2619">
        <w:rPr>
          <w:rFonts w:ascii="Cambria" w:hAnsi="Cambria"/>
          <w:sz w:val="20"/>
          <w:szCs w:val="20"/>
          <w:lang w:val="es-MX"/>
        </w:rPr>
        <w:t>policía</w:t>
      </w:r>
      <w:r w:rsidRPr="005D2619">
        <w:rPr>
          <w:rFonts w:ascii="Cambria" w:hAnsi="Cambria"/>
          <w:sz w:val="20"/>
          <w:szCs w:val="20"/>
          <w:lang w:val="es-MX"/>
        </w:rPr>
        <w:t>, pues era un funcionario puramente administrativo, aclarando que ningún empleado puede cumplir funciones de inteligencia o de investigación sin una misión de trabajo dada por un fiscal o un juez de la república</w:t>
      </w:r>
      <w:r w:rsidRPr="005D2619">
        <w:rPr>
          <w:rStyle w:val="FootnoteReference"/>
          <w:rFonts w:ascii="Cambria" w:hAnsi="Cambria"/>
          <w:sz w:val="20"/>
          <w:szCs w:val="20"/>
          <w:lang w:val="es-MX"/>
        </w:rPr>
        <w:footnoteReference w:id="45"/>
      </w:r>
      <w:r w:rsidRPr="005D2619">
        <w:rPr>
          <w:rFonts w:ascii="Cambria" w:hAnsi="Cambria"/>
          <w:sz w:val="20"/>
          <w:szCs w:val="20"/>
          <w:lang w:val="es-MX"/>
        </w:rPr>
        <w:t>.</w:t>
      </w:r>
    </w:p>
    <w:p w14:paraId="5AE0909F" w14:textId="77777777" w:rsidR="00BC4D3D" w:rsidRPr="005D2619" w:rsidRDefault="00BC4D3D" w:rsidP="00BC4D3D">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MX"/>
        </w:rPr>
      </w:pPr>
    </w:p>
    <w:p w14:paraId="7419101B" w14:textId="77777777" w:rsidR="0034082D" w:rsidRPr="005D2619" w:rsidRDefault="0034082D" w:rsidP="0034082D">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ES"/>
        </w:rPr>
      </w:pPr>
      <w:r w:rsidRPr="005D2619">
        <w:rPr>
          <w:rFonts w:ascii="Cambria" w:hAnsi="Cambria"/>
          <w:sz w:val="20"/>
          <w:szCs w:val="20"/>
          <w:lang w:val="es-ES"/>
        </w:rPr>
        <w:t>El 3 de agosto de 1996 Gustavo Sastoque rindió una declaración ante los Juzgados Regionales de Santafé de Bogotá y sostuvo lo siguiente:</w:t>
      </w:r>
    </w:p>
    <w:p w14:paraId="008BCEAE" w14:textId="77777777" w:rsidR="00BC4D3D" w:rsidRPr="005D2619" w:rsidRDefault="00BC4D3D" w:rsidP="00BC4D3D">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ES"/>
        </w:rPr>
      </w:pPr>
    </w:p>
    <w:p w14:paraId="0E8487DC" w14:textId="77777777" w:rsidR="0034082D" w:rsidRPr="005D2619" w:rsidRDefault="0034082D" w:rsidP="0034082D">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right="720" w:firstLine="0"/>
        <w:jc w:val="both"/>
        <w:rPr>
          <w:rFonts w:ascii="Cambria" w:hAnsi="Cambria"/>
          <w:sz w:val="20"/>
          <w:szCs w:val="20"/>
          <w:lang w:val="es-ES"/>
        </w:rPr>
      </w:pPr>
      <w:r w:rsidRPr="005D2619">
        <w:rPr>
          <w:rFonts w:ascii="Cambria" w:hAnsi="Cambria"/>
          <w:sz w:val="20"/>
          <w:szCs w:val="20"/>
          <w:lang w:val="es-ES"/>
        </w:rPr>
        <w:t>Si yo fuera asesino no me hubiera entregado así tan infantilmente en una forma tan ilógica (...), lo que yo me pregunto es por qué (...) me involucraron en algo que yo nunca cometí. (...) Nunca hubo una investigación preliminar o sea porque leyendo papeles del proceso tengo entendido que la señora testigo falsa declaró el cuatro de marzo y un señor agente un ocho de marzo, día de mi detención, entonces yo me pregunto en este poco tiempo si se realizó una inves</w:t>
      </w:r>
      <w:r w:rsidR="0032355A" w:rsidRPr="005D2619">
        <w:rPr>
          <w:rFonts w:ascii="Cambria" w:hAnsi="Cambria"/>
          <w:sz w:val="20"/>
          <w:szCs w:val="20"/>
          <w:lang w:val="es-ES"/>
        </w:rPr>
        <w:t>tigación? Yo no creo que se hay</w:t>
      </w:r>
      <w:r w:rsidRPr="005D2619">
        <w:rPr>
          <w:rFonts w:ascii="Cambria" w:hAnsi="Cambria"/>
          <w:sz w:val="20"/>
          <w:szCs w:val="20"/>
          <w:lang w:val="es-ES"/>
        </w:rPr>
        <w:t>a realizado, el único afán era tener un chivo expiatorio únicamente (...) Otra cuestión es por qué no me se me practicó una prueba de absorción atómica (...). Otra cuestión es sobre el señor que dejó volar la Fiscalía, el señor Celis, yo no me explico por qué habiéndole allanado la casa a ese señor y habiéndole encontrado pruebas que lo comprometían, no me explico por qué la fiscalía lo dejó escapar</w:t>
      </w:r>
      <w:r w:rsidRPr="005D2619">
        <w:rPr>
          <w:rStyle w:val="FootnoteReference"/>
          <w:rFonts w:ascii="Cambria" w:hAnsi="Cambria"/>
          <w:color w:val="auto"/>
          <w:sz w:val="20"/>
          <w:szCs w:val="20"/>
          <w:lang w:val="es-MX"/>
        </w:rPr>
        <w:footnoteReference w:id="46"/>
      </w:r>
      <w:r w:rsidRPr="005D2619">
        <w:rPr>
          <w:rFonts w:ascii="Cambria" w:hAnsi="Cambria"/>
          <w:sz w:val="20"/>
          <w:szCs w:val="20"/>
          <w:lang w:val="es-ES"/>
        </w:rPr>
        <w:t>.</w:t>
      </w:r>
    </w:p>
    <w:p w14:paraId="0D5CC191" w14:textId="77777777" w:rsidR="00D3071B" w:rsidRPr="005D2619" w:rsidRDefault="00D3071B" w:rsidP="00F718D7">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ES"/>
        </w:rPr>
      </w:pPr>
    </w:p>
    <w:p w14:paraId="3A7A90F6" w14:textId="77777777" w:rsidR="0034082D" w:rsidRPr="005D2619" w:rsidRDefault="0034082D" w:rsidP="0034082D">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MX"/>
        </w:rPr>
      </w:pPr>
      <w:r w:rsidRPr="005D2619">
        <w:rPr>
          <w:rFonts w:ascii="Cambria" w:hAnsi="Cambria"/>
          <w:sz w:val="20"/>
          <w:szCs w:val="20"/>
          <w:lang w:val="es-MX"/>
        </w:rPr>
        <w:t xml:space="preserve">Adicionalmente, la CIDH toma nota de la recepción de las siguientes declaraciones, a las cuales se hizo referencia en la sentencia de primera instancia de </w:t>
      </w:r>
      <w:r w:rsidR="00CF727B" w:rsidRPr="005D2619">
        <w:rPr>
          <w:rFonts w:ascii="Cambria" w:hAnsi="Cambria"/>
          <w:sz w:val="20"/>
          <w:szCs w:val="20"/>
          <w:lang w:val="es-MX"/>
        </w:rPr>
        <w:t xml:space="preserve">26 de </w:t>
      </w:r>
      <w:r w:rsidRPr="005D2619">
        <w:rPr>
          <w:rFonts w:ascii="Cambria" w:hAnsi="Cambria"/>
          <w:sz w:val="20"/>
          <w:szCs w:val="20"/>
          <w:lang w:val="es-MX"/>
        </w:rPr>
        <w:t>mayo de 1997</w:t>
      </w:r>
      <w:r w:rsidR="0061462C" w:rsidRPr="005D2619">
        <w:rPr>
          <w:rFonts w:ascii="Cambria" w:hAnsi="Cambria"/>
          <w:sz w:val="20"/>
          <w:szCs w:val="20"/>
          <w:lang w:val="es-MX"/>
        </w:rPr>
        <w:t xml:space="preserve"> que se detalla más adelante</w:t>
      </w:r>
      <w:r w:rsidRPr="005D2619">
        <w:rPr>
          <w:rStyle w:val="FootnoteReference"/>
          <w:rFonts w:ascii="Cambria" w:hAnsi="Cambria"/>
          <w:sz w:val="20"/>
          <w:szCs w:val="20"/>
          <w:lang w:val="es-MX"/>
        </w:rPr>
        <w:footnoteReference w:id="47"/>
      </w:r>
      <w:r w:rsidRPr="005D2619">
        <w:rPr>
          <w:rFonts w:ascii="Cambria" w:hAnsi="Cambria"/>
          <w:sz w:val="20"/>
          <w:szCs w:val="20"/>
          <w:lang w:val="es-MX"/>
        </w:rPr>
        <w:t>:</w:t>
      </w:r>
    </w:p>
    <w:p w14:paraId="0B17EED2" w14:textId="77777777" w:rsidR="004763B3" w:rsidRPr="005D2619" w:rsidRDefault="004763B3" w:rsidP="004763B3">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MX"/>
        </w:rPr>
      </w:pPr>
    </w:p>
    <w:p w14:paraId="3031A7FC" w14:textId="77777777" w:rsidR="0061462C" w:rsidRPr="005D2619" w:rsidRDefault="004763B3" w:rsidP="0061462C">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ascii="Cambria" w:hAnsi="Cambria"/>
          <w:sz w:val="20"/>
          <w:szCs w:val="20"/>
          <w:lang w:val="es-MX"/>
        </w:rPr>
      </w:pPr>
      <w:r w:rsidRPr="005D2619">
        <w:rPr>
          <w:rFonts w:ascii="Cambria" w:hAnsi="Cambria"/>
          <w:sz w:val="20"/>
          <w:szCs w:val="20"/>
          <w:lang w:val="es-MX"/>
        </w:rPr>
        <w:t>- Gustavo Sastoque indicó que en la tarde del 26 de febrero de 1995 estuvo con su hermano comprando zapatos, y que alrededor de las 6:30</w:t>
      </w:r>
      <w:r w:rsidR="0061462C" w:rsidRPr="005D2619">
        <w:rPr>
          <w:rFonts w:ascii="Cambria" w:hAnsi="Cambria"/>
          <w:sz w:val="20"/>
          <w:szCs w:val="20"/>
          <w:lang w:val="es-MX"/>
        </w:rPr>
        <w:t xml:space="preserve"> </w:t>
      </w:r>
      <w:r w:rsidRPr="005D2619">
        <w:rPr>
          <w:rFonts w:ascii="Cambria" w:hAnsi="Cambria"/>
          <w:sz w:val="20"/>
          <w:szCs w:val="20"/>
          <w:lang w:val="es-MX"/>
        </w:rPr>
        <w:t>pm llegó a su casa y se encontró con su colega Roberto Bermúdez.</w:t>
      </w:r>
    </w:p>
    <w:p w14:paraId="7C064323" w14:textId="77777777" w:rsidR="004763B3" w:rsidRPr="005D2619" w:rsidRDefault="004763B3" w:rsidP="0034082D">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ascii="Cambria" w:hAnsi="Cambria"/>
          <w:sz w:val="20"/>
          <w:szCs w:val="20"/>
          <w:lang w:val="es-MX"/>
        </w:rPr>
      </w:pPr>
      <w:r w:rsidRPr="005D2619">
        <w:rPr>
          <w:rFonts w:ascii="Cambria" w:hAnsi="Cambria"/>
          <w:sz w:val="20"/>
          <w:szCs w:val="20"/>
          <w:lang w:val="es-MX"/>
        </w:rPr>
        <w:t>- Misael Sastoque, hermano del señor Sastoque, indicó que estuvo con Gustavo comprando zapatos en la tarde del 26 de febrero de 1995.</w:t>
      </w:r>
    </w:p>
    <w:p w14:paraId="174A98B1" w14:textId="77777777" w:rsidR="004763B3" w:rsidRPr="005D2619" w:rsidRDefault="004763B3" w:rsidP="0034082D">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ascii="Cambria" w:hAnsi="Cambria"/>
          <w:sz w:val="20"/>
          <w:szCs w:val="20"/>
          <w:lang w:val="es-MX"/>
        </w:rPr>
      </w:pPr>
      <w:r w:rsidRPr="005D2619">
        <w:rPr>
          <w:rFonts w:ascii="Cambria" w:hAnsi="Cambria"/>
          <w:sz w:val="20"/>
          <w:szCs w:val="20"/>
          <w:lang w:val="es-MX"/>
        </w:rPr>
        <w:t>- María Alfonso, madre del señor Sastoque, indicó que su hijo estuvo comprando zapatos en la tarde del 26 de febrero de 1995.</w:t>
      </w:r>
    </w:p>
    <w:p w14:paraId="23D08543" w14:textId="77777777" w:rsidR="004763B3" w:rsidRPr="005D2619" w:rsidRDefault="004763B3" w:rsidP="0034082D">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ascii="Cambria" w:hAnsi="Cambria"/>
          <w:sz w:val="20"/>
          <w:szCs w:val="20"/>
          <w:lang w:val="es-MX"/>
        </w:rPr>
      </w:pPr>
      <w:r w:rsidRPr="005D2619">
        <w:rPr>
          <w:rFonts w:ascii="Cambria" w:hAnsi="Cambria"/>
          <w:sz w:val="20"/>
          <w:szCs w:val="20"/>
          <w:lang w:val="es-MX"/>
        </w:rPr>
        <w:t>- Roberto Bermúdez, funcionario de la Fiscalía, declaró que estuvo con el señor Sastoque en su casa hasta las 7:30</w:t>
      </w:r>
      <w:r w:rsidR="0061462C" w:rsidRPr="005D2619">
        <w:rPr>
          <w:rFonts w:ascii="Cambria" w:hAnsi="Cambria"/>
          <w:sz w:val="20"/>
          <w:szCs w:val="20"/>
          <w:lang w:val="es-MX"/>
        </w:rPr>
        <w:t xml:space="preserve"> </w:t>
      </w:r>
      <w:r w:rsidRPr="005D2619">
        <w:rPr>
          <w:rFonts w:ascii="Cambria" w:hAnsi="Cambria"/>
          <w:sz w:val="20"/>
          <w:szCs w:val="20"/>
          <w:lang w:val="es-MX"/>
        </w:rPr>
        <w:t>pm.</w:t>
      </w:r>
    </w:p>
    <w:p w14:paraId="11950F58" w14:textId="77777777" w:rsidR="004763B3" w:rsidRPr="005D2619" w:rsidRDefault="004763B3" w:rsidP="0034082D">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ascii="Cambria" w:hAnsi="Cambria"/>
          <w:sz w:val="20"/>
          <w:szCs w:val="20"/>
          <w:lang w:val="es-MX"/>
        </w:rPr>
      </w:pPr>
      <w:r w:rsidRPr="005D2619">
        <w:rPr>
          <w:rFonts w:ascii="Cambria" w:hAnsi="Cambria"/>
          <w:sz w:val="20"/>
          <w:szCs w:val="20"/>
          <w:lang w:val="es-MX"/>
        </w:rPr>
        <w:t>- Néstor Sabogal sostuvo que una persona llegó en la tarde del 26 de febrero de 1995 a la tienda de la cual es dueño y compró un par de zapatos con una tarjeta de crédito. Cuando se le mostró una foto del señor Sastoque indic</w:t>
      </w:r>
      <w:r w:rsidR="0061462C" w:rsidRPr="005D2619">
        <w:rPr>
          <w:rFonts w:ascii="Cambria" w:hAnsi="Cambria"/>
          <w:sz w:val="20"/>
          <w:szCs w:val="20"/>
          <w:lang w:val="es-MX"/>
        </w:rPr>
        <w:t>ó</w:t>
      </w:r>
      <w:r w:rsidRPr="005D2619">
        <w:rPr>
          <w:rFonts w:ascii="Cambria" w:hAnsi="Cambria"/>
          <w:sz w:val="20"/>
          <w:szCs w:val="20"/>
          <w:lang w:val="es-MX"/>
        </w:rPr>
        <w:t xml:space="preserve"> que no estaba seguro pero se parecía a esa persona.</w:t>
      </w:r>
    </w:p>
    <w:p w14:paraId="1E7A58B2" w14:textId="77777777" w:rsidR="004763B3" w:rsidRPr="005D2619" w:rsidRDefault="004763B3" w:rsidP="0034082D">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ascii="Cambria" w:hAnsi="Cambria"/>
          <w:sz w:val="20"/>
          <w:szCs w:val="20"/>
          <w:lang w:val="es-MX"/>
        </w:rPr>
      </w:pPr>
      <w:r w:rsidRPr="005D2619">
        <w:rPr>
          <w:rFonts w:ascii="Cambria" w:hAnsi="Cambria"/>
          <w:sz w:val="20"/>
          <w:szCs w:val="20"/>
          <w:lang w:val="es-MX"/>
        </w:rPr>
        <w:t>- Hadisolamy Rojas, trabajadora la tienda de zapatos de Néstor Sabogal, sí reconoció a Gustavo Sastoque como la persona que compró zapatos en la tarde del 26 de febrero de 1995.</w:t>
      </w:r>
    </w:p>
    <w:p w14:paraId="56A96134" w14:textId="77777777" w:rsidR="004763B3" w:rsidRPr="005D2619" w:rsidRDefault="004763B3" w:rsidP="0034082D">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ascii="Cambria" w:hAnsi="Cambria"/>
          <w:sz w:val="20"/>
          <w:szCs w:val="20"/>
          <w:lang w:val="es-MX"/>
        </w:rPr>
      </w:pPr>
      <w:r w:rsidRPr="005D2619">
        <w:rPr>
          <w:rFonts w:ascii="Cambria" w:hAnsi="Cambria"/>
          <w:sz w:val="20"/>
          <w:szCs w:val="20"/>
          <w:lang w:val="es-MX"/>
        </w:rPr>
        <w:t xml:space="preserve">- Gladys Polania de Sastoque y Mayreli Sastoque Polania, cuñada y sobrina del señor Sastoque, indicaron </w:t>
      </w:r>
      <w:r w:rsidR="0061462C" w:rsidRPr="005D2619">
        <w:rPr>
          <w:rFonts w:ascii="Cambria" w:hAnsi="Cambria"/>
          <w:sz w:val="20"/>
          <w:szCs w:val="20"/>
          <w:lang w:val="es-MX"/>
        </w:rPr>
        <w:t xml:space="preserve">que </w:t>
      </w:r>
      <w:r w:rsidR="003D641C" w:rsidRPr="005D2619">
        <w:rPr>
          <w:rFonts w:ascii="Cambria" w:hAnsi="Cambria"/>
          <w:sz w:val="20"/>
          <w:szCs w:val="20"/>
          <w:lang w:val="es-MX"/>
        </w:rPr>
        <w:t>en la mañana del 26 de febrero de 1995 estaban viendo televisión con Gustavo. Indicaron que alrededor de la 1</w:t>
      </w:r>
      <w:r w:rsidR="0061462C" w:rsidRPr="005D2619">
        <w:rPr>
          <w:rFonts w:ascii="Cambria" w:hAnsi="Cambria"/>
          <w:sz w:val="20"/>
          <w:szCs w:val="20"/>
          <w:lang w:val="es-MX"/>
        </w:rPr>
        <w:t xml:space="preserve"> </w:t>
      </w:r>
      <w:r w:rsidR="003D641C" w:rsidRPr="005D2619">
        <w:rPr>
          <w:rFonts w:ascii="Cambria" w:hAnsi="Cambria"/>
          <w:sz w:val="20"/>
          <w:szCs w:val="20"/>
          <w:lang w:val="es-MX"/>
        </w:rPr>
        <w:t>pm salieron de la casa para hacer compras y regresaron a las 4:30</w:t>
      </w:r>
      <w:r w:rsidR="0061462C" w:rsidRPr="005D2619">
        <w:rPr>
          <w:rFonts w:ascii="Cambria" w:hAnsi="Cambria"/>
          <w:sz w:val="20"/>
          <w:szCs w:val="20"/>
          <w:lang w:val="es-MX"/>
        </w:rPr>
        <w:t xml:space="preserve"> </w:t>
      </w:r>
      <w:r w:rsidR="003D641C" w:rsidRPr="005D2619">
        <w:rPr>
          <w:rFonts w:ascii="Cambria" w:hAnsi="Cambria"/>
          <w:sz w:val="20"/>
          <w:szCs w:val="20"/>
          <w:lang w:val="es-MX"/>
        </w:rPr>
        <w:t>pm o 5:00</w:t>
      </w:r>
      <w:r w:rsidR="0061462C" w:rsidRPr="005D2619">
        <w:rPr>
          <w:rFonts w:ascii="Cambria" w:hAnsi="Cambria"/>
          <w:sz w:val="20"/>
          <w:szCs w:val="20"/>
          <w:lang w:val="es-MX"/>
        </w:rPr>
        <w:t xml:space="preserve"> </w:t>
      </w:r>
      <w:r w:rsidR="003D641C" w:rsidRPr="005D2619">
        <w:rPr>
          <w:rFonts w:ascii="Cambria" w:hAnsi="Cambria"/>
          <w:sz w:val="20"/>
          <w:szCs w:val="20"/>
          <w:lang w:val="es-MX"/>
        </w:rPr>
        <w:t>pm, y vieron que Gustavo se encontraba ahí.</w:t>
      </w:r>
    </w:p>
    <w:p w14:paraId="3B02FF1A" w14:textId="77777777" w:rsidR="00571646" w:rsidRPr="005D2619" w:rsidRDefault="00571646" w:rsidP="00F718D7">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MX"/>
        </w:rPr>
      </w:pPr>
    </w:p>
    <w:p w14:paraId="7D0161E8" w14:textId="77777777" w:rsidR="0034082D" w:rsidRPr="005D2619" w:rsidRDefault="0034082D" w:rsidP="0034082D">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MX"/>
        </w:rPr>
      </w:pPr>
      <w:r w:rsidRPr="005D2619">
        <w:rPr>
          <w:rFonts w:ascii="Cambria" w:hAnsi="Cambria"/>
          <w:sz w:val="20"/>
          <w:szCs w:val="20"/>
          <w:lang w:val="es-MX"/>
        </w:rPr>
        <w:t>El 26 de mayo de 1997 el Juzgado Regional de Santafé de Bogotá</w:t>
      </w:r>
      <w:r w:rsidR="00B15FA1" w:rsidRPr="005D2619">
        <w:rPr>
          <w:rFonts w:ascii="Cambria" w:hAnsi="Cambria"/>
          <w:sz w:val="20"/>
          <w:szCs w:val="20"/>
          <w:lang w:val="es-MX"/>
        </w:rPr>
        <w:t xml:space="preserve"> </w:t>
      </w:r>
      <w:r w:rsidRPr="005D2619">
        <w:rPr>
          <w:rFonts w:ascii="Cambria" w:hAnsi="Cambria"/>
          <w:sz w:val="20"/>
          <w:szCs w:val="20"/>
          <w:lang w:val="es-MX"/>
        </w:rPr>
        <w:t xml:space="preserve">emitió una sentencia condenatoria en contra de Gustavo Sastoque como </w:t>
      </w:r>
      <w:r w:rsidRPr="005D2619">
        <w:rPr>
          <w:rFonts w:ascii="Cambria" w:hAnsi="Cambria"/>
          <w:sz w:val="20"/>
          <w:szCs w:val="20"/>
          <w:lang w:val="es-ES"/>
        </w:rPr>
        <w:t xml:space="preserve">coautor del delito de homicidio agravado de Hernando Pizarro Leongómez. </w:t>
      </w:r>
      <w:r w:rsidR="0099000A" w:rsidRPr="005D2619">
        <w:rPr>
          <w:rFonts w:ascii="Cambria" w:hAnsi="Cambria"/>
          <w:sz w:val="20"/>
          <w:szCs w:val="20"/>
          <w:lang w:val="es-ES"/>
        </w:rPr>
        <w:t xml:space="preserve">La CIDH toma nota de que en dicha sentencia no figura ningún nombre y sólo se indica “juez regional”. </w:t>
      </w:r>
      <w:r w:rsidRPr="005D2619">
        <w:rPr>
          <w:rFonts w:ascii="Cambria" w:hAnsi="Cambria"/>
          <w:sz w:val="20"/>
          <w:szCs w:val="20"/>
          <w:lang w:val="es-ES"/>
        </w:rPr>
        <w:t>El Juzgado le impuso una pena de 41 años de prisión y una pena accesoria de interdicción de derechos y funciones públicas por un periodo de diez años</w:t>
      </w:r>
      <w:r w:rsidRPr="005D2619">
        <w:rPr>
          <w:rStyle w:val="FootnoteReference"/>
          <w:rFonts w:ascii="Cambria" w:hAnsi="Cambria"/>
          <w:sz w:val="20"/>
          <w:szCs w:val="20"/>
          <w:lang w:val="es-ES"/>
        </w:rPr>
        <w:footnoteReference w:id="48"/>
      </w:r>
      <w:r w:rsidRPr="005D2619">
        <w:rPr>
          <w:rFonts w:ascii="Cambria" w:hAnsi="Cambria"/>
          <w:sz w:val="20"/>
          <w:szCs w:val="20"/>
          <w:lang w:val="es-ES"/>
        </w:rPr>
        <w:t>.</w:t>
      </w:r>
      <w:r w:rsidR="00DF1096" w:rsidRPr="005D2619">
        <w:rPr>
          <w:rFonts w:ascii="Cambria" w:hAnsi="Cambria"/>
          <w:sz w:val="20"/>
          <w:szCs w:val="20"/>
          <w:lang w:val="es-ES"/>
        </w:rPr>
        <w:t xml:space="preserve"> Dentro de la motivación de la condena se encuentran las siguientes consideraciones: </w:t>
      </w:r>
    </w:p>
    <w:p w14:paraId="3915FCD7" w14:textId="77777777" w:rsidR="008654AB" w:rsidRPr="005D2619" w:rsidRDefault="008654AB" w:rsidP="008654AB">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MX"/>
        </w:rPr>
      </w:pPr>
    </w:p>
    <w:p w14:paraId="1B918BD0" w14:textId="77777777" w:rsidR="00C46A01" w:rsidRPr="005D2619" w:rsidRDefault="00C46A01" w:rsidP="00571646">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right="720" w:firstLine="0"/>
        <w:jc w:val="both"/>
        <w:rPr>
          <w:rFonts w:ascii="Cambria" w:hAnsi="Cambria"/>
          <w:sz w:val="20"/>
          <w:szCs w:val="20"/>
          <w:lang w:val="es-ES"/>
        </w:rPr>
      </w:pPr>
      <w:r w:rsidRPr="005D2619">
        <w:rPr>
          <w:rFonts w:ascii="Cambria" w:hAnsi="Cambria"/>
          <w:sz w:val="20"/>
          <w:szCs w:val="20"/>
          <w:lang w:val="es-ES"/>
        </w:rPr>
        <w:t>El despacho llega a la evidencia que se dan a plenitud las exigencias de la norma procedimental invocada para gravar a Gustavo S</w:t>
      </w:r>
      <w:r w:rsidR="008654AB" w:rsidRPr="005D2619">
        <w:rPr>
          <w:rFonts w:ascii="Cambria" w:hAnsi="Cambria"/>
          <w:sz w:val="20"/>
          <w:szCs w:val="20"/>
          <w:lang w:val="es-ES"/>
        </w:rPr>
        <w:t xml:space="preserve">astoque Alfonso como </w:t>
      </w:r>
      <w:r w:rsidRPr="005D2619">
        <w:rPr>
          <w:rFonts w:ascii="Cambria" w:hAnsi="Cambria"/>
          <w:sz w:val="20"/>
          <w:szCs w:val="20"/>
          <w:lang w:val="es-ES"/>
        </w:rPr>
        <w:t xml:space="preserve">fallo de condena, pues se considera a contrario de lo que manifiesta la defensa, que no siempre para llegar a la certeza o la plena comprobación de los hechos punibles, </w:t>
      </w:r>
      <w:r w:rsidR="008654AB" w:rsidRPr="005D2619">
        <w:rPr>
          <w:rFonts w:ascii="Cambria" w:hAnsi="Cambria"/>
          <w:sz w:val="20"/>
          <w:szCs w:val="20"/>
          <w:lang w:val="es-ES"/>
        </w:rPr>
        <w:t>así</w:t>
      </w:r>
      <w:r w:rsidRPr="005D2619">
        <w:rPr>
          <w:rFonts w:ascii="Cambria" w:hAnsi="Cambria"/>
          <w:sz w:val="20"/>
          <w:szCs w:val="20"/>
          <w:lang w:val="es-ES"/>
        </w:rPr>
        <w:t xml:space="preserve"> como de la responsabilidad del acusado o acusados se requiere determinada </w:t>
      </w:r>
      <w:r w:rsidR="008654AB" w:rsidRPr="005D2619">
        <w:rPr>
          <w:rFonts w:ascii="Cambria" w:hAnsi="Cambria"/>
          <w:sz w:val="20"/>
          <w:szCs w:val="20"/>
          <w:lang w:val="es-ES"/>
        </w:rPr>
        <w:t xml:space="preserve">cantidad </w:t>
      </w:r>
      <w:r w:rsidR="00F83193" w:rsidRPr="005D2619">
        <w:rPr>
          <w:rFonts w:ascii="Cambria" w:hAnsi="Cambria"/>
          <w:sz w:val="20"/>
          <w:szCs w:val="20"/>
          <w:lang w:val="es-ES"/>
        </w:rPr>
        <w:t>de pruebas, pues lo interesante que resulta es que gran cantidad o pocas,</w:t>
      </w:r>
      <w:r w:rsidR="008654AB" w:rsidRPr="005D2619">
        <w:rPr>
          <w:rFonts w:ascii="Cambria" w:hAnsi="Cambria"/>
          <w:sz w:val="20"/>
          <w:szCs w:val="20"/>
          <w:lang w:val="es-ES"/>
        </w:rPr>
        <w:t xml:space="preserve"> luego de ser sometidas a su estudio atendiendo la sana crítica, tengan la virtualidad de llevar a la convicción que una conducta que se exteriorizó, cumple en su totalidad con la descripción abstracta que hizo el legislador en el tipo penal y quien o quienes la realizaron.</w:t>
      </w:r>
    </w:p>
    <w:p w14:paraId="39AD7DE2" w14:textId="77777777" w:rsidR="00F83193" w:rsidRPr="005D2619" w:rsidRDefault="00571646" w:rsidP="00571646">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right="720" w:firstLine="0"/>
        <w:jc w:val="both"/>
        <w:rPr>
          <w:rFonts w:ascii="Cambria" w:hAnsi="Cambria"/>
          <w:sz w:val="20"/>
          <w:szCs w:val="20"/>
          <w:lang w:val="es-ES"/>
        </w:rPr>
      </w:pPr>
      <w:r w:rsidRPr="005D2619">
        <w:rPr>
          <w:rFonts w:ascii="Cambria" w:hAnsi="Cambria"/>
          <w:sz w:val="20"/>
          <w:szCs w:val="20"/>
          <w:lang w:val="es-ES"/>
        </w:rPr>
        <w:t>(...)</w:t>
      </w:r>
    </w:p>
    <w:p w14:paraId="4FC32057" w14:textId="77777777" w:rsidR="00F83193" w:rsidRPr="005D2619" w:rsidRDefault="00F83193" w:rsidP="00571646">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right="720" w:firstLine="0"/>
        <w:jc w:val="both"/>
        <w:rPr>
          <w:rFonts w:ascii="Cambria" w:hAnsi="Cambria"/>
          <w:sz w:val="20"/>
          <w:szCs w:val="20"/>
          <w:lang w:val="es-ES"/>
        </w:rPr>
      </w:pPr>
      <w:r w:rsidRPr="005D2619">
        <w:rPr>
          <w:rFonts w:ascii="Cambria" w:hAnsi="Cambria"/>
          <w:sz w:val="20"/>
          <w:szCs w:val="20"/>
          <w:lang w:val="es-ES"/>
        </w:rPr>
        <w:t>En lo atinente al aspecto subjetivo o de responsabilidad penal a</w:t>
      </w:r>
      <w:r w:rsidR="005C1D31" w:rsidRPr="005D2619">
        <w:rPr>
          <w:rFonts w:ascii="Cambria" w:hAnsi="Cambria"/>
          <w:sz w:val="20"/>
          <w:szCs w:val="20"/>
          <w:lang w:val="es-ES"/>
        </w:rPr>
        <w:t>tribuib</w:t>
      </w:r>
      <w:r w:rsidRPr="005D2619">
        <w:rPr>
          <w:rFonts w:ascii="Cambria" w:hAnsi="Cambria"/>
          <w:sz w:val="20"/>
          <w:szCs w:val="20"/>
          <w:lang w:val="es-ES"/>
        </w:rPr>
        <w:t>le al acusado Gustavo Sastoque Alfonso, tampoco se presenta dificultad para señalarlo como uno de los individuos que dio muerte a Hernando Pizarro Leongómez, pues se cuenta inicialmente con la versión reiterada de la testigo con reserva numeró 1 que posteriormente decidió suministrar la identidad y que corresponde a Olga Esther Guevara Fajardo, lo que nos lleva a la convicción que aquel fue el que en compañía de otros sujetos sacaron de su residencia a la víctima y ante la renu</w:t>
      </w:r>
      <w:r w:rsidR="000B2A6D" w:rsidRPr="005D2619">
        <w:rPr>
          <w:rFonts w:ascii="Cambria" w:hAnsi="Cambria"/>
          <w:sz w:val="20"/>
          <w:szCs w:val="20"/>
          <w:lang w:val="es-ES"/>
        </w:rPr>
        <w:t>e</w:t>
      </w:r>
      <w:r w:rsidRPr="005D2619">
        <w:rPr>
          <w:rFonts w:ascii="Cambria" w:hAnsi="Cambria"/>
          <w:sz w:val="20"/>
          <w:szCs w:val="20"/>
          <w:lang w:val="es-ES"/>
        </w:rPr>
        <w:t xml:space="preserve">ncia de subir al Toyota exclamando que se trataba de Hernando Pizarro Leongómez, que él no subía al automotor, que llamaran a la policía, a los periodistas, así como a su abogado para que se dieran cuenta como mataban al pueblo, le desarrajó cinco disparos en la cabeza, ocasionándole la muerte instantáneamente. </w:t>
      </w:r>
    </w:p>
    <w:p w14:paraId="0BBC9043" w14:textId="77777777" w:rsidR="001869F5" w:rsidRPr="005D2619" w:rsidRDefault="00C47085" w:rsidP="00571646">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right="720" w:firstLine="0"/>
        <w:jc w:val="both"/>
        <w:rPr>
          <w:rFonts w:ascii="Cambria" w:hAnsi="Cambria"/>
          <w:sz w:val="20"/>
          <w:szCs w:val="20"/>
          <w:lang w:val="es-ES"/>
        </w:rPr>
      </w:pPr>
      <w:r w:rsidRPr="005D2619">
        <w:rPr>
          <w:rFonts w:ascii="Cambria" w:hAnsi="Cambria"/>
          <w:sz w:val="20"/>
          <w:szCs w:val="20"/>
          <w:lang w:val="es-ES"/>
        </w:rPr>
        <w:t>(...)</w:t>
      </w:r>
    </w:p>
    <w:p w14:paraId="5BF707F8" w14:textId="77777777" w:rsidR="001869F5" w:rsidRPr="005D2619" w:rsidRDefault="001869F5" w:rsidP="00571646">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right="720" w:firstLine="0"/>
        <w:jc w:val="both"/>
        <w:rPr>
          <w:rFonts w:ascii="Cambria" w:hAnsi="Cambria"/>
          <w:sz w:val="20"/>
          <w:szCs w:val="20"/>
          <w:lang w:val="es-ES"/>
        </w:rPr>
      </w:pPr>
      <w:r w:rsidRPr="005D2619">
        <w:rPr>
          <w:rFonts w:ascii="Cambria" w:hAnsi="Cambria"/>
          <w:sz w:val="20"/>
          <w:szCs w:val="20"/>
          <w:lang w:val="es-ES"/>
        </w:rPr>
        <w:t xml:space="preserve">Versión que como lo analiza el señor fiscal </w:t>
      </w:r>
      <w:r w:rsidR="000A0660" w:rsidRPr="005D2619">
        <w:rPr>
          <w:rFonts w:ascii="Cambria" w:hAnsi="Cambria"/>
          <w:sz w:val="20"/>
          <w:szCs w:val="20"/>
          <w:lang w:val="es-ES"/>
        </w:rPr>
        <w:t xml:space="preserve">(...) </w:t>
      </w:r>
      <w:r w:rsidRPr="005D2619">
        <w:rPr>
          <w:rFonts w:ascii="Cambria" w:hAnsi="Cambria"/>
          <w:sz w:val="20"/>
          <w:szCs w:val="20"/>
          <w:lang w:val="es-ES"/>
        </w:rPr>
        <w:t xml:space="preserve">es testigo de excepción, quien de manera coherente, clara, enfática ha narrado detalladamente los hechos que pudo percibir por sus </w:t>
      </w:r>
      <w:r w:rsidRPr="005D2619">
        <w:rPr>
          <w:rFonts w:ascii="Cambria" w:hAnsi="Cambria"/>
          <w:sz w:val="20"/>
          <w:szCs w:val="20"/>
          <w:lang w:val="es-ES"/>
        </w:rPr>
        <w:lastRenderedPageBreak/>
        <w:t>sentidos la noche del 26 de febrero de 1995 y la mañana de los mismos mes y año, señalando a quien ha dicho responder a Gustavo Sastoque Alfonso, como la persona que dispar</w:t>
      </w:r>
      <w:r w:rsidR="008F3270" w:rsidRPr="005D2619">
        <w:rPr>
          <w:rFonts w:ascii="Cambria" w:hAnsi="Cambria"/>
          <w:sz w:val="20"/>
          <w:szCs w:val="20"/>
          <w:lang w:val="es-ES"/>
        </w:rPr>
        <w:t>ó</w:t>
      </w:r>
      <w:r w:rsidRPr="005D2619">
        <w:rPr>
          <w:rFonts w:ascii="Cambria" w:hAnsi="Cambria"/>
          <w:sz w:val="20"/>
          <w:szCs w:val="20"/>
          <w:lang w:val="es-ES"/>
        </w:rPr>
        <w:t xml:space="preserve"> en el cuerpo indefenso de Pizarro Leongómez. </w:t>
      </w:r>
    </w:p>
    <w:p w14:paraId="2EF9A6B0" w14:textId="77777777" w:rsidR="001869F5" w:rsidRPr="005D2619" w:rsidRDefault="00C47085" w:rsidP="00571646">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right="720" w:firstLine="0"/>
        <w:jc w:val="both"/>
        <w:rPr>
          <w:rFonts w:ascii="Cambria" w:hAnsi="Cambria"/>
          <w:sz w:val="20"/>
          <w:szCs w:val="20"/>
          <w:lang w:val="es-ES"/>
        </w:rPr>
      </w:pPr>
      <w:r w:rsidRPr="005D2619">
        <w:rPr>
          <w:rFonts w:ascii="Cambria" w:hAnsi="Cambria"/>
          <w:sz w:val="20"/>
          <w:szCs w:val="20"/>
          <w:lang w:val="es-ES"/>
        </w:rPr>
        <w:t>(...)</w:t>
      </w:r>
    </w:p>
    <w:p w14:paraId="3A7C6F80" w14:textId="77777777" w:rsidR="001869F5" w:rsidRPr="005D2619" w:rsidRDefault="001869F5" w:rsidP="00571646">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right="720" w:firstLine="0"/>
        <w:jc w:val="both"/>
        <w:rPr>
          <w:rFonts w:ascii="Cambria" w:hAnsi="Cambria"/>
          <w:sz w:val="20"/>
          <w:szCs w:val="20"/>
          <w:lang w:val="es-ES"/>
        </w:rPr>
      </w:pPr>
      <w:r w:rsidRPr="005D2619">
        <w:rPr>
          <w:rFonts w:ascii="Cambria" w:hAnsi="Cambria"/>
          <w:sz w:val="20"/>
          <w:szCs w:val="20"/>
          <w:lang w:val="es-ES"/>
        </w:rPr>
        <w:t>El testimonio de la señora Guevara Fajardo se ha convertido en pieza fundamental de acusación</w:t>
      </w:r>
      <w:r w:rsidR="00D92FF1" w:rsidRPr="005D2619">
        <w:rPr>
          <w:rFonts w:ascii="Cambria" w:hAnsi="Cambria"/>
          <w:sz w:val="20"/>
          <w:szCs w:val="20"/>
          <w:lang w:val="es-ES"/>
        </w:rPr>
        <w:t>, no solo por su precisión por lo detallado que este resulta, sino que los hechos por ella percibidos lo fueron gracias a su privilegiada ubicación que para tales momentos ten</w:t>
      </w:r>
      <w:r w:rsidR="00F41C9E" w:rsidRPr="005D2619">
        <w:rPr>
          <w:rFonts w:ascii="Cambria" w:hAnsi="Cambria"/>
          <w:sz w:val="20"/>
          <w:szCs w:val="20"/>
          <w:lang w:val="es-ES"/>
        </w:rPr>
        <w:t>í</w:t>
      </w:r>
      <w:r w:rsidR="00D92FF1" w:rsidRPr="005D2619">
        <w:rPr>
          <w:rFonts w:ascii="Cambria" w:hAnsi="Cambria"/>
          <w:sz w:val="20"/>
          <w:szCs w:val="20"/>
          <w:lang w:val="es-ES"/>
        </w:rPr>
        <w:t>a.</w:t>
      </w:r>
    </w:p>
    <w:p w14:paraId="52CE58DE" w14:textId="77777777" w:rsidR="000A0660" w:rsidRPr="005D2619" w:rsidRDefault="00C47085" w:rsidP="00571646">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right="720" w:firstLine="0"/>
        <w:jc w:val="both"/>
        <w:rPr>
          <w:rFonts w:ascii="Cambria" w:hAnsi="Cambria"/>
          <w:sz w:val="20"/>
          <w:szCs w:val="20"/>
          <w:lang w:val="es-ES"/>
        </w:rPr>
      </w:pPr>
      <w:r w:rsidRPr="005D2619">
        <w:rPr>
          <w:rFonts w:ascii="Cambria" w:hAnsi="Cambria"/>
          <w:sz w:val="20"/>
          <w:szCs w:val="20"/>
          <w:lang w:val="es-ES"/>
        </w:rPr>
        <w:t>(...)</w:t>
      </w:r>
    </w:p>
    <w:p w14:paraId="51340E8B" w14:textId="77777777" w:rsidR="002A0BDF" w:rsidRPr="005D2619" w:rsidRDefault="00C47085" w:rsidP="00571646">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right="720" w:firstLine="0"/>
        <w:jc w:val="both"/>
        <w:rPr>
          <w:rFonts w:ascii="Cambria" w:hAnsi="Cambria"/>
          <w:sz w:val="20"/>
          <w:szCs w:val="20"/>
          <w:lang w:val="es-ES"/>
        </w:rPr>
      </w:pPr>
      <w:r w:rsidRPr="005D2619">
        <w:rPr>
          <w:rFonts w:ascii="Cambria" w:hAnsi="Cambria"/>
          <w:sz w:val="20"/>
          <w:szCs w:val="20"/>
          <w:lang w:val="es-ES"/>
        </w:rPr>
        <w:t>L</w:t>
      </w:r>
      <w:r w:rsidR="002A0BDF" w:rsidRPr="005D2619">
        <w:rPr>
          <w:rFonts w:ascii="Cambria" w:hAnsi="Cambria"/>
          <w:sz w:val="20"/>
          <w:szCs w:val="20"/>
          <w:lang w:val="es-ES"/>
        </w:rPr>
        <w:t xml:space="preserve">a imputación que de la acción delincuencial hace la testigo a Sastoque se nota libre de toda presión de toda intención dañosa, o malsana, carente en absoluto de deseo de perjudicar o inculpar a un inocente. No aparece la menor evidencia que se trate de un señalamiento mentiroso, por el contrario, es el reflejo de una percepción real de lo acontecido, había consideración de la privilegiada ubicación de la testigo en la escena el crimen, que como aparece demostrado en autos, se hallaba a menos de un metro de distancia del lugar. (…) De otra parte la personalidad misma de la deponente, su nivel cultural, su capacidad de observación, su grado de percepción, permiten a este despacho afirmar que se trata de un testigo serio, objetivo, que ofrece toda credibilidad en su dicho. </w:t>
      </w:r>
      <w:r w:rsidR="009B1808" w:rsidRPr="005D2619">
        <w:rPr>
          <w:rFonts w:ascii="Cambria" w:hAnsi="Cambria"/>
          <w:sz w:val="20"/>
          <w:szCs w:val="20"/>
          <w:lang w:val="es-ES"/>
        </w:rPr>
        <w:t>(...) Obran al proceso (...) testimonios de pluralidad de personas que en una u otra forma tuvieron conocimiento de la ocurrencia de los acontecimientos, tales como (...) las declaraciones con reserva de identidad, números 2, 3 y 4, que en su conjunto concuerdan en describir el trágico episodio</w:t>
      </w:r>
      <w:r w:rsidR="000D2BEA" w:rsidRPr="005D2619">
        <w:rPr>
          <w:rFonts w:ascii="Cambria" w:hAnsi="Cambria"/>
          <w:sz w:val="20"/>
          <w:szCs w:val="20"/>
          <w:lang w:val="es-ES"/>
        </w:rPr>
        <w:t>. (...)</w:t>
      </w:r>
    </w:p>
    <w:p w14:paraId="551ED8CA" w14:textId="77777777" w:rsidR="00965379" w:rsidRPr="005D2619" w:rsidRDefault="000E222C" w:rsidP="00571646">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right="720" w:firstLine="0"/>
        <w:jc w:val="both"/>
        <w:rPr>
          <w:rFonts w:ascii="Cambria" w:hAnsi="Cambria"/>
          <w:sz w:val="20"/>
          <w:szCs w:val="20"/>
          <w:lang w:val="es-ES"/>
        </w:rPr>
      </w:pPr>
      <w:r w:rsidRPr="005D2619">
        <w:rPr>
          <w:rFonts w:ascii="Cambria" w:hAnsi="Cambria"/>
          <w:sz w:val="20"/>
          <w:szCs w:val="20"/>
          <w:lang w:val="es-ES"/>
        </w:rPr>
        <w:t>E</w:t>
      </w:r>
      <w:r w:rsidR="00965379" w:rsidRPr="005D2619">
        <w:rPr>
          <w:rFonts w:ascii="Cambria" w:hAnsi="Cambria"/>
          <w:sz w:val="20"/>
          <w:szCs w:val="20"/>
          <w:lang w:val="es-ES"/>
        </w:rPr>
        <w:t>s un hecho cierto y el juzgado no lo desconoce, que al informativo como lo aduce la defensa fueron aportados otros medios de prueba, específicamente de índole testifical que tratan de corroborar con Sastoque Alfonso respecto de que para el momento que acaecieron los hechos se encontraba en un sitio por cierto distante de donde aquellos tuvieron su ocurrencia, y que no era otro lugar que su propia residencia. Sin embargo, sopesado este acervo probatorio y confrontado con el de cargo, no tiene la virtualidad de</w:t>
      </w:r>
      <w:r w:rsidR="006D4763" w:rsidRPr="005D2619">
        <w:rPr>
          <w:rFonts w:ascii="Cambria" w:hAnsi="Cambria"/>
          <w:sz w:val="20"/>
          <w:szCs w:val="20"/>
          <w:lang w:val="es-ES"/>
        </w:rPr>
        <w:t xml:space="preserve"> debilitarlo</w:t>
      </w:r>
      <w:r w:rsidR="00965379" w:rsidRPr="005D2619">
        <w:rPr>
          <w:rFonts w:ascii="Cambria" w:hAnsi="Cambria"/>
          <w:sz w:val="20"/>
          <w:szCs w:val="20"/>
          <w:lang w:val="es-ES"/>
        </w:rPr>
        <w:t xml:space="preserve"> o por así decirlo colocarlo en la incertidumbre; pues todas esas atestaciones en primer lugar provienen de personas revestidas de interés en favorecerlo, por su propio v</w:t>
      </w:r>
      <w:r w:rsidR="00946BDC" w:rsidRPr="005D2619">
        <w:rPr>
          <w:rFonts w:ascii="Cambria" w:hAnsi="Cambria"/>
          <w:sz w:val="20"/>
          <w:szCs w:val="20"/>
          <w:lang w:val="es-ES"/>
        </w:rPr>
        <w:t>í</w:t>
      </w:r>
      <w:r w:rsidR="00965379" w:rsidRPr="005D2619">
        <w:rPr>
          <w:rFonts w:ascii="Cambria" w:hAnsi="Cambria"/>
          <w:sz w:val="20"/>
          <w:szCs w:val="20"/>
          <w:lang w:val="es-ES"/>
        </w:rPr>
        <w:t>nculo de consanguinidad co</w:t>
      </w:r>
      <w:r w:rsidR="006D4763" w:rsidRPr="005D2619">
        <w:rPr>
          <w:rFonts w:ascii="Cambria" w:hAnsi="Cambria"/>
          <w:sz w:val="20"/>
          <w:szCs w:val="20"/>
          <w:lang w:val="es-ES"/>
        </w:rPr>
        <w:t xml:space="preserve">n unos y de amistad con otros </w:t>
      </w:r>
      <w:r w:rsidR="00965379" w:rsidRPr="005D2619">
        <w:rPr>
          <w:rFonts w:ascii="Cambria" w:hAnsi="Cambria"/>
          <w:sz w:val="20"/>
          <w:szCs w:val="20"/>
          <w:lang w:val="es-ES"/>
        </w:rPr>
        <w:t>(…)</w:t>
      </w:r>
      <w:r w:rsidR="006D4763" w:rsidRPr="005D2619">
        <w:rPr>
          <w:rFonts w:ascii="Cambria" w:hAnsi="Cambria"/>
          <w:sz w:val="20"/>
          <w:szCs w:val="20"/>
          <w:lang w:val="es-ES"/>
        </w:rPr>
        <w:t>;</w:t>
      </w:r>
      <w:r w:rsidR="00965379" w:rsidRPr="005D2619">
        <w:rPr>
          <w:rFonts w:ascii="Cambria" w:hAnsi="Cambria"/>
          <w:sz w:val="20"/>
          <w:szCs w:val="20"/>
          <w:lang w:val="es-ES"/>
        </w:rPr>
        <w:t xml:space="preserve"> las versiones sean un tanto sospechosas, a punto que no tengan la potencialidad suficiente para desvirtuar las pruebas testimoniales de </w:t>
      </w:r>
      <w:r w:rsidR="006D4763" w:rsidRPr="005D2619">
        <w:rPr>
          <w:rFonts w:ascii="Cambria" w:hAnsi="Cambria"/>
          <w:sz w:val="20"/>
          <w:szCs w:val="20"/>
          <w:lang w:val="es-ES"/>
        </w:rPr>
        <w:t>cargo que incriminan a Sastoque</w:t>
      </w:r>
      <w:r w:rsidR="00965379" w:rsidRPr="005D2619">
        <w:rPr>
          <w:rStyle w:val="FootnoteReference"/>
          <w:rFonts w:ascii="Cambria" w:hAnsi="Cambria"/>
          <w:sz w:val="20"/>
          <w:szCs w:val="20"/>
          <w:lang w:val="es-ES"/>
        </w:rPr>
        <w:footnoteReference w:id="49"/>
      </w:r>
      <w:r w:rsidR="006D4763" w:rsidRPr="005D2619">
        <w:rPr>
          <w:rFonts w:ascii="Cambria" w:hAnsi="Cambria"/>
          <w:sz w:val="20"/>
          <w:szCs w:val="20"/>
          <w:lang w:val="es-ES"/>
        </w:rPr>
        <w:t>.</w:t>
      </w:r>
    </w:p>
    <w:p w14:paraId="1B6FA59C" w14:textId="77777777" w:rsidR="00F2675A" w:rsidRPr="005D2619" w:rsidRDefault="00F2675A" w:rsidP="00F718D7">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MX"/>
        </w:rPr>
      </w:pPr>
    </w:p>
    <w:p w14:paraId="25311E8D" w14:textId="77777777" w:rsidR="000E222C" w:rsidRPr="005D2619" w:rsidRDefault="006D4763" w:rsidP="00E10EE8">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MX"/>
        </w:rPr>
      </w:pPr>
      <w:r w:rsidRPr="005D2619">
        <w:rPr>
          <w:rFonts w:ascii="Cambria" w:hAnsi="Cambria"/>
          <w:sz w:val="20"/>
          <w:szCs w:val="20"/>
          <w:lang w:val="es-MX"/>
        </w:rPr>
        <w:t>En escrito sin fecha</w:t>
      </w:r>
      <w:r w:rsidR="00633310" w:rsidRPr="005D2619">
        <w:rPr>
          <w:rFonts w:ascii="Cambria" w:hAnsi="Cambria"/>
          <w:sz w:val="20"/>
          <w:szCs w:val="20"/>
          <w:lang w:val="es-MX"/>
        </w:rPr>
        <w:t xml:space="preserve"> </w:t>
      </w:r>
      <w:r w:rsidR="00AE1D41" w:rsidRPr="005D2619">
        <w:rPr>
          <w:rFonts w:ascii="Cambria" w:hAnsi="Cambria"/>
          <w:sz w:val="20"/>
          <w:szCs w:val="20"/>
          <w:lang w:val="es-MX"/>
        </w:rPr>
        <w:t>un agente especial del</w:t>
      </w:r>
      <w:r w:rsidR="00A11D5D" w:rsidRPr="005D2619">
        <w:rPr>
          <w:rFonts w:ascii="Cambria" w:hAnsi="Cambria"/>
          <w:sz w:val="20"/>
          <w:szCs w:val="20"/>
          <w:lang w:val="es-MX"/>
        </w:rPr>
        <w:t xml:space="preserve"> Ministerio Público presentó un recurso de apelación en contra de la </w:t>
      </w:r>
      <w:r w:rsidR="00F9561F" w:rsidRPr="005D2619">
        <w:rPr>
          <w:rFonts w:ascii="Cambria" w:hAnsi="Cambria"/>
          <w:sz w:val="20"/>
          <w:szCs w:val="20"/>
          <w:lang w:val="es-MX"/>
        </w:rPr>
        <w:t xml:space="preserve">sentencia de primera instancia. </w:t>
      </w:r>
      <w:r w:rsidR="00AE1D41" w:rsidRPr="005D2619">
        <w:rPr>
          <w:rFonts w:ascii="Cambria" w:hAnsi="Cambria"/>
          <w:sz w:val="20"/>
          <w:szCs w:val="20"/>
          <w:lang w:val="es-MX"/>
        </w:rPr>
        <w:t>La CIDH toma nota de que dicho documento no incluye el nombre de dicho agente</w:t>
      </w:r>
      <w:r w:rsidR="00BC3FAA" w:rsidRPr="005D2619">
        <w:rPr>
          <w:rFonts w:ascii="Cambria" w:hAnsi="Cambria"/>
          <w:sz w:val="20"/>
          <w:szCs w:val="20"/>
          <w:lang w:val="es-MX"/>
        </w:rPr>
        <w:t xml:space="preserve"> quien </w:t>
      </w:r>
      <w:r w:rsidR="00F9561F" w:rsidRPr="005D2619">
        <w:rPr>
          <w:rFonts w:ascii="Cambria" w:hAnsi="Cambria"/>
          <w:sz w:val="20"/>
          <w:szCs w:val="20"/>
          <w:lang w:val="es-MX"/>
        </w:rPr>
        <w:t>sostuvo que la sentencia condenatoria se basó exclusivamente en la declara</w:t>
      </w:r>
      <w:r w:rsidR="00330E97" w:rsidRPr="005D2619">
        <w:rPr>
          <w:rFonts w:ascii="Cambria" w:hAnsi="Cambria"/>
          <w:sz w:val="20"/>
          <w:szCs w:val="20"/>
          <w:lang w:val="es-MX"/>
        </w:rPr>
        <w:t>ción</w:t>
      </w:r>
      <w:r w:rsidR="00F9561F" w:rsidRPr="005D2619">
        <w:rPr>
          <w:rFonts w:ascii="Cambria" w:hAnsi="Cambria"/>
          <w:sz w:val="20"/>
          <w:szCs w:val="20"/>
          <w:lang w:val="es-MX"/>
        </w:rPr>
        <w:t xml:space="preserve"> de una testigo con reserva de identidad y que no se tomaron múltiples declaraciones o evidencia que permitían desechar la posibilidad de que el señor Sastoque haya estado presente en el lugar de los hechos el 26 de feb</w:t>
      </w:r>
      <w:r w:rsidR="00AE1D41" w:rsidRPr="005D2619">
        <w:rPr>
          <w:rFonts w:ascii="Cambria" w:hAnsi="Cambria"/>
          <w:sz w:val="20"/>
          <w:szCs w:val="20"/>
          <w:lang w:val="es-MX"/>
        </w:rPr>
        <w:t>rero de 1995 y que haya disparad</w:t>
      </w:r>
      <w:r w:rsidR="00F9561F" w:rsidRPr="005D2619">
        <w:rPr>
          <w:rFonts w:ascii="Cambria" w:hAnsi="Cambria"/>
          <w:sz w:val="20"/>
          <w:szCs w:val="20"/>
          <w:lang w:val="es-MX"/>
        </w:rPr>
        <w:t>o al señor Pizarro. Agregó lo siguiente:</w:t>
      </w:r>
    </w:p>
    <w:p w14:paraId="686DC8A2" w14:textId="77777777" w:rsidR="00F9561F" w:rsidRPr="005D2619" w:rsidRDefault="00F9561F" w:rsidP="00F9561F">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MX"/>
        </w:rPr>
      </w:pPr>
    </w:p>
    <w:p w14:paraId="56B6DEA5" w14:textId="77777777" w:rsidR="00F9561F" w:rsidRPr="005D2619" w:rsidRDefault="00A33F91" w:rsidP="00A33F91">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right="720" w:firstLine="0"/>
        <w:jc w:val="both"/>
        <w:rPr>
          <w:rFonts w:ascii="Cambria" w:hAnsi="Cambria"/>
          <w:sz w:val="20"/>
          <w:szCs w:val="20"/>
          <w:lang w:val="es-MX"/>
        </w:rPr>
      </w:pPr>
      <w:r w:rsidRPr="005D2619">
        <w:rPr>
          <w:rFonts w:ascii="Cambria" w:hAnsi="Cambria"/>
          <w:sz w:val="20"/>
          <w:szCs w:val="20"/>
          <w:lang w:val="es-MX"/>
        </w:rPr>
        <w:t>(...) revoquen la sentencia condenatoria (...) en razón a que gracias a los interrogantes, a los cuestionamientos, a las contradicciones que hay en el informativo penal, se present</w:t>
      </w:r>
      <w:r w:rsidR="005C1D31" w:rsidRPr="005D2619">
        <w:rPr>
          <w:rFonts w:ascii="Cambria" w:hAnsi="Cambria"/>
          <w:sz w:val="20"/>
          <w:szCs w:val="20"/>
          <w:lang w:val="es-MX"/>
        </w:rPr>
        <w:t>a</w:t>
      </w:r>
      <w:r w:rsidRPr="005D2619">
        <w:rPr>
          <w:rFonts w:ascii="Cambria" w:hAnsi="Cambria"/>
          <w:sz w:val="20"/>
          <w:szCs w:val="20"/>
          <w:lang w:val="es-MX"/>
        </w:rPr>
        <w:t xml:space="preserve"> la duda de que</w:t>
      </w:r>
      <w:r w:rsidR="005C1D31" w:rsidRPr="005D2619">
        <w:rPr>
          <w:rFonts w:ascii="Cambria" w:hAnsi="Cambria"/>
          <w:sz w:val="20"/>
          <w:szCs w:val="20"/>
          <w:lang w:val="es-MX"/>
        </w:rPr>
        <w:t xml:space="preserve"> (sic)</w:t>
      </w:r>
      <w:r w:rsidRPr="005D2619">
        <w:rPr>
          <w:rFonts w:ascii="Cambria" w:hAnsi="Cambria"/>
          <w:sz w:val="20"/>
          <w:szCs w:val="20"/>
          <w:lang w:val="es-MX"/>
        </w:rPr>
        <w:t xml:space="preserve"> hasta este momento no ha sido posible eliminarla y en su fav</w:t>
      </w:r>
      <w:r w:rsidR="000D2BEA" w:rsidRPr="005D2619">
        <w:rPr>
          <w:rFonts w:ascii="Cambria" w:hAnsi="Cambria"/>
          <w:sz w:val="20"/>
          <w:szCs w:val="20"/>
          <w:lang w:val="es-MX"/>
        </w:rPr>
        <w:t>o</w:t>
      </w:r>
      <w:r w:rsidRPr="005D2619">
        <w:rPr>
          <w:rFonts w:ascii="Cambria" w:hAnsi="Cambria"/>
          <w:sz w:val="20"/>
          <w:szCs w:val="20"/>
          <w:lang w:val="es-MX"/>
        </w:rPr>
        <w:t xml:space="preserve">r debe aplicarse el </w:t>
      </w:r>
      <w:r w:rsidRPr="005D2619">
        <w:rPr>
          <w:rFonts w:ascii="Cambria" w:hAnsi="Cambria"/>
          <w:i/>
          <w:sz w:val="20"/>
          <w:szCs w:val="20"/>
          <w:lang w:val="es-MX"/>
        </w:rPr>
        <w:t>indubio pro reo</w:t>
      </w:r>
      <w:r w:rsidRPr="005D2619">
        <w:rPr>
          <w:rFonts w:ascii="Cambria" w:hAnsi="Cambria"/>
          <w:sz w:val="20"/>
          <w:szCs w:val="20"/>
          <w:lang w:val="es-MX"/>
        </w:rPr>
        <w:t xml:space="preserve"> para el sindicado</w:t>
      </w:r>
      <w:r w:rsidRPr="005D2619">
        <w:rPr>
          <w:rStyle w:val="FootnoteReference"/>
          <w:rFonts w:ascii="Cambria" w:hAnsi="Cambria"/>
          <w:sz w:val="20"/>
          <w:szCs w:val="20"/>
          <w:lang w:val="es-MX"/>
        </w:rPr>
        <w:footnoteReference w:id="50"/>
      </w:r>
      <w:r w:rsidRPr="005D2619">
        <w:rPr>
          <w:rFonts w:ascii="Cambria" w:hAnsi="Cambria"/>
          <w:sz w:val="20"/>
          <w:szCs w:val="20"/>
          <w:lang w:val="es-MX"/>
        </w:rPr>
        <w:t>.</w:t>
      </w:r>
    </w:p>
    <w:p w14:paraId="40883A15" w14:textId="77777777" w:rsidR="00B10475" w:rsidRPr="005D2619" w:rsidRDefault="00B10475" w:rsidP="00F718D7">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MX"/>
        </w:rPr>
      </w:pPr>
    </w:p>
    <w:p w14:paraId="4528FED0" w14:textId="77777777" w:rsidR="005B039A" w:rsidRPr="005D2619" w:rsidRDefault="00D64BF7" w:rsidP="005B039A">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MX"/>
        </w:rPr>
      </w:pPr>
      <w:r w:rsidRPr="005D2619">
        <w:rPr>
          <w:rFonts w:ascii="Cambria" w:hAnsi="Cambria"/>
          <w:sz w:val="20"/>
          <w:szCs w:val="20"/>
          <w:lang w:val="es-MX"/>
        </w:rPr>
        <w:t>El 6 de marzo de 1998</w:t>
      </w:r>
      <w:r w:rsidR="00A33F91" w:rsidRPr="005D2619">
        <w:rPr>
          <w:rFonts w:ascii="Cambria" w:hAnsi="Cambria"/>
          <w:sz w:val="20"/>
          <w:szCs w:val="20"/>
          <w:lang w:val="es-MX"/>
        </w:rPr>
        <w:t xml:space="preserve"> la Sala de Decisión del Tribunal Nacional emitió una sentencia en la que confirmó la </w:t>
      </w:r>
      <w:r w:rsidR="00330E97" w:rsidRPr="005D2619">
        <w:rPr>
          <w:rFonts w:ascii="Cambria" w:hAnsi="Cambria"/>
          <w:sz w:val="20"/>
          <w:szCs w:val="20"/>
          <w:lang w:val="es-MX"/>
        </w:rPr>
        <w:t xml:space="preserve">decisión </w:t>
      </w:r>
      <w:r w:rsidR="00A33F91" w:rsidRPr="005D2619">
        <w:rPr>
          <w:rFonts w:ascii="Cambria" w:hAnsi="Cambria"/>
          <w:sz w:val="20"/>
          <w:szCs w:val="20"/>
          <w:lang w:val="es-MX"/>
        </w:rPr>
        <w:t xml:space="preserve">de primera instancia y </w:t>
      </w:r>
      <w:r w:rsidRPr="005D2619">
        <w:rPr>
          <w:rFonts w:ascii="Cambria" w:hAnsi="Cambria"/>
          <w:sz w:val="20"/>
          <w:szCs w:val="20"/>
          <w:lang w:val="es-MX"/>
        </w:rPr>
        <w:t>únicamente modi</w:t>
      </w:r>
      <w:r w:rsidR="004656A6" w:rsidRPr="005D2619">
        <w:rPr>
          <w:rFonts w:ascii="Cambria" w:hAnsi="Cambria"/>
          <w:sz w:val="20"/>
          <w:szCs w:val="20"/>
          <w:lang w:val="es-MX"/>
        </w:rPr>
        <w:t>ficó</w:t>
      </w:r>
      <w:r w:rsidRPr="005D2619">
        <w:rPr>
          <w:rFonts w:ascii="Cambria" w:hAnsi="Cambria"/>
          <w:sz w:val="20"/>
          <w:szCs w:val="20"/>
          <w:lang w:val="es-MX"/>
        </w:rPr>
        <w:t xml:space="preserve"> la pena principal de Gustavo Sastoque Alfonso a 40 años y 6 meses de prisión</w:t>
      </w:r>
      <w:r w:rsidR="00A33F91" w:rsidRPr="005D2619">
        <w:rPr>
          <w:rFonts w:ascii="Cambria" w:hAnsi="Cambria"/>
          <w:sz w:val="20"/>
          <w:szCs w:val="20"/>
          <w:lang w:val="es-MX"/>
        </w:rPr>
        <w:t>. El Tribunal sostuvo lo siguiente:</w:t>
      </w:r>
      <w:r w:rsidRPr="005D2619">
        <w:rPr>
          <w:rFonts w:ascii="Cambria" w:hAnsi="Cambria"/>
          <w:sz w:val="20"/>
          <w:szCs w:val="20"/>
          <w:lang w:val="es-MX"/>
        </w:rPr>
        <w:t xml:space="preserve"> </w:t>
      </w:r>
    </w:p>
    <w:p w14:paraId="50C43A78" w14:textId="77777777" w:rsidR="009079F2" w:rsidRPr="005D2619" w:rsidRDefault="009079F2" w:rsidP="0044649C">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right="720" w:firstLine="0"/>
        <w:jc w:val="both"/>
        <w:rPr>
          <w:rFonts w:ascii="Cambria" w:hAnsi="Cambria"/>
          <w:sz w:val="20"/>
          <w:szCs w:val="20"/>
          <w:lang w:val="es-MX"/>
        </w:rPr>
      </w:pPr>
    </w:p>
    <w:p w14:paraId="1303DD52" w14:textId="77777777" w:rsidR="009079F2" w:rsidRPr="005D2619" w:rsidRDefault="009079F2" w:rsidP="00A33F91">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right="720" w:firstLine="0"/>
        <w:jc w:val="both"/>
        <w:rPr>
          <w:rFonts w:ascii="Cambria" w:hAnsi="Cambria"/>
          <w:sz w:val="20"/>
          <w:szCs w:val="20"/>
          <w:lang w:val="es-MX"/>
        </w:rPr>
      </w:pPr>
      <w:r w:rsidRPr="005D2619">
        <w:rPr>
          <w:rFonts w:ascii="Cambria" w:hAnsi="Cambria"/>
          <w:sz w:val="20"/>
          <w:szCs w:val="20"/>
          <w:lang w:val="es-MX"/>
        </w:rPr>
        <w:t xml:space="preserve">En cuanto a Olga Esther dice que se </w:t>
      </w:r>
      <w:r w:rsidR="009073C3" w:rsidRPr="005D2619">
        <w:rPr>
          <w:rFonts w:ascii="Cambria" w:hAnsi="Cambria"/>
          <w:sz w:val="20"/>
          <w:szCs w:val="20"/>
          <w:lang w:val="es-MX"/>
        </w:rPr>
        <w:t>está</w:t>
      </w:r>
      <w:r w:rsidRPr="005D2619">
        <w:rPr>
          <w:rFonts w:ascii="Cambria" w:hAnsi="Cambria"/>
          <w:sz w:val="20"/>
          <w:szCs w:val="20"/>
          <w:lang w:val="es-MX"/>
        </w:rPr>
        <w:t xml:space="preserve"> frente a una persona normal sin alteraciones visuales ni auditivas, no padece enfermedades físicas o psíquicas que le impidieran u obstaculizaran apreciar los acontecimientos. Sus asertos se muestran claro</w:t>
      </w:r>
      <w:r w:rsidR="00A124C2" w:rsidRPr="005D2619">
        <w:rPr>
          <w:rFonts w:ascii="Cambria" w:hAnsi="Cambria"/>
          <w:sz w:val="20"/>
          <w:szCs w:val="20"/>
          <w:lang w:val="es-MX"/>
        </w:rPr>
        <w:t>s</w:t>
      </w:r>
      <w:r w:rsidRPr="005D2619">
        <w:rPr>
          <w:rFonts w:ascii="Cambria" w:hAnsi="Cambria"/>
          <w:sz w:val="20"/>
          <w:szCs w:val="20"/>
          <w:lang w:val="es-MX"/>
        </w:rPr>
        <w:t xml:space="preserve">, serios, concretos coherentes y confiables; amén de que no existen indicios de haber tenido algún determinado interés en </w:t>
      </w:r>
      <w:r w:rsidRPr="005D2619">
        <w:rPr>
          <w:rFonts w:ascii="Cambria" w:hAnsi="Cambria"/>
          <w:sz w:val="20"/>
          <w:szCs w:val="20"/>
          <w:lang w:val="es-MX"/>
        </w:rPr>
        <w:lastRenderedPageBreak/>
        <w:t xml:space="preserve">faltar a la verdad o en perjudicar a personas inocentes. </w:t>
      </w:r>
      <w:r w:rsidR="0044649C" w:rsidRPr="005D2619">
        <w:rPr>
          <w:rFonts w:ascii="Cambria" w:hAnsi="Cambria"/>
          <w:sz w:val="20"/>
          <w:szCs w:val="20"/>
          <w:lang w:val="es-MX"/>
        </w:rPr>
        <w:t>(…) L</w:t>
      </w:r>
      <w:r w:rsidR="009073C3" w:rsidRPr="005D2619">
        <w:rPr>
          <w:rFonts w:ascii="Cambria" w:hAnsi="Cambria"/>
          <w:sz w:val="20"/>
          <w:szCs w:val="20"/>
          <w:lang w:val="es-MX"/>
        </w:rPr>
        <w:t>as manifest</w:t>
      </w:r>
      <w:r w:rsidR="0044649C" w:rsidRPr="005D2619">
        <w:rPr>
          <w:rFonts w:ascii="Cambria" w:hAnsi="Cambria"/>
          <w:sz w:val="20"/>
          <w:szCs w:val="20"/>
          <w:lang w:val="es-MX"/>
        </w:rPr>
        <w:t>aciones de Olga Esther Guevara F</w:t>
      </w:r>
      <w:r w:rsidR="009073C3" w:rsidRPr="005D2619">
        <w:rPr>
          <w:rFonts w:ascii="Cambria" w:hAnsi="Cambria"/>
          <w:sz w:val="20"/>
          <w:szCs w:val="20"/>
          <w:lang w:val="es-MX"/>
        </w:rPr>
        <w:t>ajardo encontraron total respaldo en otros medios de prueba, pues buena parte de su relato fue corroborado p</w:t>
      </w:r>
      <w:r w:rsidR="0044649C" w:rsidRPr="005D2619">
        <w:rPr>
          <w:rFonts w:ascii="Cambria" w:hAnsi="Cambria"/>
          <w:sz w:val="20"/>
          <w:szCs w:val="20"/>
          <w:lang w:val="es-MX"/>
        </w:rPr>
        <w:t>or otros testigos presenciales</w:t>
      </w:r>
      <w:r w:rsidR="009073C3" w:rsidRPr="005D2619">
        <w:rPr>
          <w:rFonts w:ascii="Cambria" w:hAnsi="Cambria"/>
          <w:sz w:val="20"/>
          <w:szCs w:val="20"/>
          <w:lang w:val="es-MX"/>
        </w:rPr>
        <w:t>, lo que es más importante, personas diferentes a ella también reconocieron a Gustavo S</w:t>
      </w:r>
      <w:r w:rsidR="00AE1D41" w:rsidRPr="005D2619">
        <w:rPr>
          <w:rFonts w:ascii="Cambria" w:hAnsi="Cambria"/>
          <w:sz w:val="20"/>
          <w:szCs w:val="20"/>
          <w:lang w:val="es-MX"/>
        </w:rPr>
        <w:t>astoque Alfonso como a uno de los integrantes</w:t>
      </w:r>
      <w:r w:rsidR="009073C3" w:rsidRPr="005D2619">
        <w:rPr>
          <w:rFonts w:ascii="Cambria" w:hAnsi="Cambria"/>
          <w:sz w:val="20"/>
          <w:szCs w:val="20"/>
          <w:lang w:val="es-MX"/>
        </w:rPr>
        <w:t xml:space="preserve"> de</w:t>
      </w:r>
      <w:r w:rsidR="00AE1D41" w:rsidRPr="005D2619">
        <w:rPr>
          <w:rFonts w:ascii="Cambria" w:hAnsi="Cambria"/>
          <w:sz w:val="20"/>
          <w:szCs w:val="20"/>
          <w:lang w:val="es-MX"/>
        </w:rPr>
        <w:t>l grupo</w:t>
      </w:r>
      <w:r w:rsidR="009073C3" w:rsidRPr="005D2619">
        <w:rPr>
          <w:rFonts w:ascii="Cambria" w:hAnsi="Cambria"/>
          <w:sz w:val="20"/>
          <w:szCs w:val="20"/>
          <w:lang w:val="es-MX"/>
        </w:rPr>
        <w:t xml:space="preserve"> </w:t>
      </w:r>
      <w:r w:rsidR="00AE1D41" w:rsidRPr="005D2619">
        <w:rPr>
          <w:rFonts w:ascii="Cambria" w:hAnsi="Cambria"/>
          <w:sz w:val="20"/>
          <w:szCs w:val="20"/>
          <w:lang w:val="es-MX"/>
        </w:rPr>
        <w:t>de</w:t>
      </w:r>
      <w:r w:rsidR="009073C3" w:rsidRPr="005D2619">
        <w:rPr>
          <w:rFonts w:ascii="Cambria" w:hAnsi="Cambria"/>
          <w:sz w:val="20"/>
          <w:szCs w:val="20"/>
          <w:lang w:val="es-MX"/>
        </w:rPr>
        <w:t xml:space="preserve"> individuos</w:t>
      </w:r>
      <w:r w:rsidR="0044649C" w:rsidRPr="005D2619">
        <w:rPr>
          <w:rFonts w:ascii="Cambria" w:hAnsi="Cambria"/>
          <w:sz w:val="20"/>
          <w:szCs w:val="20"/>
          <w:lang w:val="es-MX"/>
        </w:rPr>
        <w:t>.</w:t>
      </w:r>
    </w:p>
    <w:p w14:paraId="164E5075" w14:textId="77777777" w:rsidR="009073C3" w:rsidRPr="005D2619" w:rsidRDefault="0044649C" w:rsidP="00A33F91">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right="720" w:firstLine="0"/>
        <w:jc w:val="both"/>
        <w:rPr>
          <w:rFonts w:ascii="Cambria" w:hAnsi="Cambria"/>
          <w:sz w:val="20"/>
          <w:szCs w:val="20"/>
          <w:lang w:val="es-MX"/>
        </w:rPr>
      </w:pPr>
      <w:r w:rsidRPr="005D2619">
        <w:rPr>
          <w:rFonts w:ascii="Cambria" w:hAnsi="Cambria"/>
          <w:sz w:val="20"/>
          <w:szCs w:val="20"/>
          <w:lang w:val="es-MX"/>
        </w:rPr>
        <w:t>(...)</w:t>
      </w:r>
    </w:p>
    <w:p w14:paraId="55715EC9" w14:textId="77777777" w:rsidR="00A33F91" w:rsidRPr="005D2619" w:rsidRDefault="00AE1D41" w:rsidP="0044649C">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right="720" w:firstLine="0"/>
        <w:jc w:val="both"/>
        <w:rPr>
          <w:rFonts w:ascii="Cambria" w:hAnsi="Cambria"/>
          <w:sz w:val="20"/>
          <w:szCs w:val="20"/>
          <w:lang w:val="es-MX"/>
        </w:rPr>
      </w:pPr>
      <w:r w:rsidRPr="005D2619">
        <w:rPr>
          <w:rFonts w:ascii="Cambria" w:hAnsi="Cambria"/>
          <w:sz w:val="20"/>
          <w:szCs w:val="20"/>
          <w:lang w:val="es-MX"/>
        </w:rPr>
        <w:t>[T]</w:t>
      </w:r>
      <w:r w:rsidR="00A33F91" w:rsidRPr="005D2619">
        <w:rPr>
          <w:rFonts w:ascii="Cambria" w:hAnsi="Cambria"/>
          <w:sz w:val="20"/>
          <w:szCs w:val="20"/>
          <w:lang w:val="es-MX"/>
        </w:rPr>
        <w:t>ampoco se aprecia inconsistencia alguna sobre el particular, pues si los testigos se encontraban ubicados en lugares diferentes es obvio que no todos estaban en capacidad de ver la totalidad de cuanto aconteció</w:t>
      </w:r>
      <w:r w:rsidR="0044649C" w:rsidRPr="005D2619">
        <w:rPr>
          <w:rStyle w:val="FootnoteReference"/>
          <w:rFonts w:ascii="Cambria" w:hAnsi="Cambria"/>
          <w:sz w:val="20"/>
          <w:szCs w:val="20"/>
          <w:lang w:val="es-MX"/>
        </w:rPr>
        <w:footnoteReference w:id="51"/>
      </w:r>
      <w:r w:rsidR="00A33F91" w:rsidRPr="005D2619">
        <w:rPr>
          <w:rFonts w:ascii="Cambria" w:hAnsi="Cambria"/>
          <w:sz w:val="20"/>
          <w:szCs w:val="20"/>
          <w:lang w:val="es-MX"/>
        </w:rPr>
        <w:t>.</w:t>
      </w:r>
      <w:r w:rsidR="00767A2A" w:rsidRPr="005D2619">
        <w:rPr>
          <w:rFonts w:ascii="Cambria" w:hAnsi="Cambria"/>
          <w:sz w:val="20"/>
          <w:szCs w:val="20"/>
          <w:lang w:val="es-MX"/>
        </w:rPr>
        <w:t xml:space="preserve"> </w:t>
      </w:r>
    </w:p>
    <w:p w14:paraId="794E2D64" w14:textId="77777777" w:rsidR="00406314" w:rsidRPr="005D2619" w:rsidRDefault="00406314" w:rsidP="005740E7">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MX"/>
        </w:rPr>
      </w:pPr>
    </w:p>
    <w:p w14:paraId="47305681" w14:textId="77777777" w:rsidR="00AE1D41" w:rsidRPr="005D2619" w:rsidRDefault="00AE1D41" w:rsidP="004877F6">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rPr>
      </w:pPr>
      <w:r w:rsidRPr="005D2619">
        <w:rPr>
          <w:rFonts w:ascii="Cambria" w:hAnsi="Cambria"/>
          <w:sz w:val="20"/>
          <w:szCs w:val="20"/>
        </w:rPr>
        <w:t xml:space="preserve">El 29 de julio de 1998 </w:t>
      </w:r>
      <w:r w:rsidR="006F6B5C" w:rsidRPr="005D2619">
        <w:rPr>
          <w:rFonts w:ascii="Cambria" w:hAnsi="Cambria"/>
          <w:sz w:val="20"/>
          <w:szCs w:val="20"/>
        </w:rPr>
        <w:t xml:space="preserve">la defensa del señor Sastoque </w:t>
      </w:r>
      <w:r w:rsidRPr="005D2619">
        <w:rPr>
          <w:rFonts w:ascii="Cambria" w:hAnsi="Cambria"/>
          <w:sz w:val="20"/>
          <w:szCs w:val="20"/>
        </w:rPr>
        <w:t xml:space="preserve">interpuso </w:t>
      </w:r>
      <w:r w:rsidR="006F6B5C" w:rsidRPr="005D2619">
        <w:rPr>
          <w:rFonts w:ascii="Cambria" w:hAnsi="Cambria"/>
          <w:sz w:val="20"/>
          <w:szCs w:val="20"/>
        </w:rPr>
        <w:t xml:space="preserve">una </w:t>
      </w:r>
      <w:r w:rsidRPr="005D2619">
        <w:rPr>
          <w:rFonts w:ascii="Cambria" w:hAnsi="Cambria"/>
          <w:sz w:val="20"/>
          <w:szCs w:val="20"/>
        </w:rPr>
        <w:t xml:space="preserve">demanda de casación en contra de la sentencia de segunda instancia. </w:t>
      </w:r>
      <w:r w:rsidR="00AD385B" w:rsidRPr="005D2619">
        <w:rPr>
          <w:rFonts w:ascii="Cambria" w:hAnsi="Cambria"/>
          <w:sz w:val="20"/>
          <w:szCs w:val="20"/>
        </w:rPr>
        <w:t xml:space="preserve">En dicha demanda se </w:t>
      </w:r>
      <w:r w:rsidR="004877F6" w:rsidRPr="005D2619">
        <w:rPr>
          <w:rFonts w:ascii="Cambria" w:hAnsi="Cambria"/>
          <w:sz w:val="20"/>
          <w:szCs w:val="20"/>
        </w:rPr>
        <w:t xml:space="preserve">reiteró la no participación del señor Sastoque en la muerte de Hernando Pizarro. Se </w:t>
      </w:r>
      <w:r w:rsidR="00AD385B" w:rsidRPr="005D2619">
        <w:rPr>
          <w:rFonts w:ascii="Cambria" w:hAnsi="Cambria"/>
          <w:sz w:val="20"/>
          <w:szCs w:val="20"/>
        </w:rPr>
        <w:t>alegó</w:t>
      </w:r>
      <w:r w:rsidR="004877F6" w:rsidRPr="005D2619">
        <w:rPr>
          <w:rFonts w:ascii="Cambria" w:hAnsi="Cambria"/>
          <w:sz w:val="20"/>
          <w:szCs w:val="20"/>
        </w:rPr>
        <w:t>, sin perjuicio de ello,</w:t>
      </w:r>
      <w:r w:rsidR="00AD385B" w:rsidRPr="005D2619">
        <w:rPr>
          <w:rFonts w:ascii="Cambria" w:hAnsi="Cambria"/>
          <w:sz w:val="20"/>
          <w:szCs w:val="20"/>
        </w:rPr>
        <w:t xml:space="preserve"> que el caso debió haber sido conocido por la jurisdicción penal ordinaria y no por la justicia regional. Ello debido a que </w:t>
      </w:r>
      <w:r w:rsidR="004877F6" w:rsidRPr="005D2619">
        <w:rPr>
          <w:rFonts w:ascii="Cambria" w:hAnsi="Cambria"/>
          <w:sz w:val="20"/>
          <w:szCs w:val="20"/>
        </w:rPr>
        <w:t xml:space="preserve">una de las causales para que se aplique la justicia regional es que el homicidio sea motivado por creencias políticas de la víctima, lo cual no sucedió en dicho caso. </w:t>
      </w:r>
      <w:r w:rsidR="00AD385B" w:rsidRPr="005D2619">
        <w:rPr>
          <w:rFonts w:ascii="Cambria" w:hAnsi="Cambria"/>
          <w:sz w:val="20"/>
          <w:szCs w:val="20"/>
        </w:rPr>
        <w:t>La defensa explicó que</w:t>
      </w:r>
      <w:r w:rsidR="005D2619" w:rsidRPr="005D2619">
        <w:rPr>
          <w:rFonts w:ascii="Cambria" w:hAnsi="Cambria"/>
          <w:sz w:val="20"/>
          <w:szCs w:val="20"/>
        </w:rPr>
        <w:t xml:space="preserve"> el caso no presentó este elemento dado que</w:t>
      </w:r>
      <w:r w:rsidR="00AD385B" w:rsidRPr="005D2619">
        <w:rPr>
          <w:rFonts w:ascii="Cambria" w:hAnsi="Cambria"/>
          <w:sz w:val="20"/>
          <w:szCs w:val="20"/>
        </w:rPr>
        <w:t xml:space="preserve"> el señor Pizarro se había retirado de la política ocho años antes de su homicidio. Adicionalmente, la defensa alegó que la sentencia condenatoria se basó exclusivamente en la declaración de testigos con reserva de identidad. Agregó que “nunca hubo oportunidad procesal real de confrontar el testimonio de Olga Esther Guevara Fajardo”</w:t>
      </w:r>
      <w:r w:rsidR="00AD385B" w:rsidRPr="005D2619">
        <w:rPr>
          <w:rStyle w:val="FootnoteReference"/>
          <w:rFonts w:ascii="Cambria" w:hAnsi="Cambria"/>
          <w:sz w:val="20"/>
          <w:szCs w:val="20"/>
        </w:rPr>
        <w:footnoteReference w:id="52"/>
      </w:r>
      <w:r w:rsidR="00AD385B" w:rsidRPr="005D2619">
        <w:rPr>
          <w:rFonts w:ascii="Cambria" w:hAnsi="Cambria"/>
          <w:sz w:val="20"/>
          <w:szCs w:val="20"/>
        </w:rPr>
        <w:t xml:space="preserve">. </w:t>
      </w:r>
    </w:p>
    <w:p w14:paraId="24737266" w14:textId="77777777" w:rsidR="00AE1D41" w:rsidRPr="005D2619" w:rsidRDefault="00AE1D41" w:rsidP="005740E7">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MX"/>
        </w:rPr>
      </w:pPr>
    </w:p>
    <w:p w14:paraId="7BF87D3B" w14:textId="77777777" w:rsidR="00AA1926" w:rsidRPr="005D2619" w:rsidRDefault="00AA1926" w:rsidP="00AA1926">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ES"/>
        </w:rPr>
      </w:pPr>
      <w:r w:rsidRPr="005D2619">
        <w:rPr>
          <w:rFonts w:ascii="Cambria" w:hAnsi="Cambria"/>
          <w:sz w:val="20"/>
          <w:szCs w:val="20"/>
          <w:lang w:val="es-MX"/>
        </w:rPr>
        <w:t>El 22 de febrero de 2000 Gustavo Sastoque de</w:t>
      </w:r>
      <w:r w:rsidR="000A56BA" w:rsidRPr="005D2619">
        <w:rPr>
          <w:rFonts w:ascii="Cambria" w:hAnsi="Cambria"/>
          <w:sz w:val="20"/>
          <w:szCs w:val="20"/>
          <w:lang w:val="es-MX"/>
        </w:rPr>
        <w:t>nunció</w:t>
      </w:r>
      <w:r w:rsidRPr="005D2619">
        <w:rPr>
          <w:rFonts w:ascii="Cambria" w:hAnsi="Cambria"/>
          <w:sz w:val="20"/>
          <w:szCs w:val="20"/>
          <w:lang w:val="es-MX"/>
        </w:rPr>
        <w:t xml:space="preserve"> ante el Fiscal Delegado de los Jueces Penales de Circuito Especializados que su abogado defensor</w:t>
      </w:r>
      <w:r w:rsidR="008F3496" w:rsidRPr="005D2619">
        <w:rPr>
          <w:rFonts w:ascii="Cambria" w:hAnsi="Cambria"/>
          <w:sz w:val="20"/>
          <w:szCs w:val="20"/>
          <w:lang w:val="es-MX"/>
        </w:rPr>
        <w:t xml:space="preserve"> particular</w:t>
      </w:r>
      <w:r w:rsidRPr="005D2619">
        <w:rPr>
          <w:rFonts w:ascii="Cambria" w:hAnsi="Cambria"/>
          <w:sz w:val="20"/>
          <w:szCs w:val="20"/>
          <w:lang w:val="es-MX"/>
        </w:rPr>
        <w:t>, Eduardo Umaña Mendoza, fue asesinado</w:t>
      </w:r>
      <w:r w:rsidR="008F3496" w:rsidRPr="005D2619">
        <w:rPr>
          <w:rFonts w:ascii="Cambria" w:hAnsi="Cambria"/>
          <w:sz w:val="20"/>
          <w:szCs w:val="20"/>
          <w:lang w:val="es-MX"/>
        </w:rPr>
        <w:t xml:space="preserve"> el 18 de julio de 1998,</w:t>
      </w:r>
      <w:r w:rsidRPr="005D2619">
        <w:rPr>
          <w:rFonts w:ascii="Cambria" w:hAnsi="Cambria"/>
          <w:sz w:val="20"/>
          <w:szCs w:val="20"/>
          <w:lang w:val="es-MX"/>
        </w:rPr>
        <w:t xml:space="preserve"> luego de la emisión de la sentencia condenatoria de primera instancia. El señor Sastoque explicó lo siguiente:</w:t>
      </w:r>
    </w:p>
    <w:p w14:paraId="06E939E5" w14:textId="77777777" w:rsidR="00AA1926" w:rsidRPr="005D2619" w:rsidRDefault="00AA1926" w:rsidP="00AA1926">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sz w:val="20"/>
          <w:szCs w:val="20"/>
          <w:lang w:val="es-ES"/>
        </w:rPr>
      </w:pPr>
    </w:p>
    <w:p w14:paraId="3C5ECA9A" w14:textId="77777777" w:rsidR="00AA1926" w:rsidRPr="005D2619" w:rsidRDefault="00AA1926" w:rsidP="00AA1926">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right="720" w:firstLine="0"/>
        <w:jc w:val="both"/>
        <w:rPr>
          <w:rFonts w:ascii="Cambria" w:hAnsi="Cambria"/>
          <w:sz w:val="20"/>
          <w:szCs w:val="20"/>
          <w:lang w:val="es-ES"/>
        </w:rPr>
      </w:pPr>
      <w:r w:rsidRPr="005D2619">
        <w:rPr>
          <w:rFonts w:ascii="Cambria" w:hAnsi="Cambria"/>
          <w:sz w:val="20"/>
          <w:szCs w:val="20"/>
          <w:lang w:val="es-ES"/>
        </w:rPr>
        <w:t xml:space="preserve">[El señor Umaña me dijo] </w:t>
      </w:r>
      <w:r w:rsidRPr="005D2619">
        <w:rPr>
          <w:rFonts w:ascii="Cambria" w:hAnsi="Cambria"/>
          <w:sz w:val="20"/>
          <w:szCs w:val="20"/>
          <w:lang w:val="es-MX"/>
        </w:rPr>
        <w:t xml:space="preserve">yo se que Ud. no fue el que asesinó a Hernando, </w:t>
      </w:r>
      <w:r w:rsidR="0069620F" w:rsidRPr="005D2619">
        <w:rPr>
          <w:rFonts w:ascii="Cambria" w:hAnsi="Cambria"/>
          <w:sz w:val="20"/>
          <w:szCs w:val="20"/>
          <w:lang w:val="es-MX"/>
        </w:rPr>
        <w:t>e</w:t>
      </w:r>
      <w:r w:rsidRPr="005D2619">
        <w:rPr>
          <w:rFonts w:ascii="Cambria" w:hAnsi="Cambria"/>
          <w:sz w:val="20"/>
          <w:szCs w:val="20"/>
          <w:lang w:val="es-MX"/>
        </w:rPr>
        <w:t>stoy seguro de su inocencia</w:t>
      </w:r>
      <w:r w:rsidR="0069620F" w:rsidRPr="005D2619">
        <w:rPr>
          <w:rFonts w:ascii="Cambria" w:hAnsi="Cambria"/>
          <w:sz w:val="20"/>
          <w:szCs w:val="20"/>
          <w:lang w:val="es-MX"/>
        </w:rPr>
        <w:t>,</w:t>
      </w:r>
      <w:r w:rsidRPr="005D2619">
        <w:rPr>
          <w:rFonts w:ascii="Cambria" w:hAnsi="Cambria"/>
          <w:sz w:val="20"/>
          <w:szCs w:val="20"/>
          <w:lang w:val="es-MX"/>
        </w:rPr>
        <w:t xml:space="preserve"> seguimos charlando y me comentó que detrás de la muerte del señor Pizarro había gente de mucho poder como la inteligencia militar y que la testigo que me señalaba, o sea la señora Olga Esther Guevara, era miembro de la inteligencia militar. El día que el Tribunal me confirmó la condena, el doctor Umaña vino acá a la picota</w:t>
      </w:r>
      <w:r w:rsidR="00065EF6" w:rsidRPr="005D2619">
        <w:rPr>
          <w:rFonts w:ascii="Cambria" w:hAnsi="Cambria"/>
          <w:sz w:val="20"/>
          <w:szCs w:val="20"/>
          <w:lang w:val="es-MX"/>
        </w:rPr>
        <w:t xml:space="preserve"> </w:t>
      </w:r>
      <w:r w:rsidR="0069620F" w:rsidRPr="005D2619">
        <w:rPr>
          <w:rFonts w:ascii="Cambria" w:hAnsi="Cambria"/>
          <w:sz w:val="20"/>
          <w:szCs w:val="20"/>
          <w:lang w:val="es-MX"/>
        </w:rPr>
        <w:t>(…)</w:t>
      </w:r>
      <w:r w:rsidRPr="005D2619">
        <w:rPr>
          <w:rFonts w:ascii="Cambria" w:hAnsi="Cambria"/>
          <w:sz w:val="20"/>
          <w:szCs w:val="20"/>
          <w:lang w:val="es-MX"/>
        </w:rPr>
        <w:t>, yo hable ese día con</w:t>
      </w:r>
      <w:r w:rsidR="0069620F" w:rsidRPr="005D2619">
        <w:rPr>
          <w:rFonts w:ascii="Cambria" w:hAnsi="Cambria"/>
          <w:sz w:val="20"/>
          <w:szCs w:val="20"/>
          <w:lang w:val="es-MX"/>
        </w:rPr>
        <w:t xml:space="preserve"> él</w:t>
      </w:r>
      <w:r w:rsidRPr="005D2619">
        <w:rPr>
          <w:rFonts w:ascii="Cambria" w:hAnsi="Cambria"/>
          <w:sz w:val="20"/>
          <w:szCs w:val="20"/>
          <w:lang w:val="es-MX"/>
        </w:rPr>
        <w:t xml:space="preserve"> y me dijo que no me preocupara, que ya estaba cansado de tanta injusticia y que en la Corte Suprema se iba a manifestar, eso fue lo último que hablamos, </w:t>
      </w:r>
      <w:r w:rsidR="00393F6C" w:rsidRPr="005D2619">
        <w:rPr>
          <w:rFonts w:ascii="Cambria" w:hAnsi="Cambria"/>
          <w:sz w:val="20"/>
          <w:szCs w:val="20"/>
          <w:lang w:val="es-MX"/>
        </w:rPr>
        <w:t xml:space="preserve">ya después lo </w:t>
      </w:r>
      <w:r w:rsidR="0069620F" w:rsidRPr="005D2619">
        <w:rPr>
          <w:rFonts w:ascii="Cambria" w:hAnsi="Cambria"/>
          <w:sz w:val="20"/>
          <w:szCs w:val="20"/>
          <w:lang w:val="es-MX"/>
        </w:rPr>
        <w:t>asesinaron a él</w:t>
      </w:r>
      <w:r w:rsidRPr="005D2619">
        <w:rPr>
          <w:rStyle w:val="FootnoteReference"/>
          <w:rFonts w:ascii="Cambria" w:hAnsi="Cambria"/>
          <w:sz w:val="20"/>
          <w:szCs w:val="20"/>
          <w:lang w:val="es-MX"/>
        </w:rPr>
        <w:footnoteReference w:id="53"/>
      </w:r>
      <w:r w:rsidR="0069620F" w:rsidRPr="005D2619">
        <w:rPr>
          <w:rFonts w:ascii="Cambria" w:hAnsi="Cambria"/>
          <w:sz w:val="20"/>
          <w:szCs w:val="20"/>
          <w:lang w:val="es-MX"/>
        </w:rPr>
        <w:t>.</w:t>
      </w:r>
    </w:p>
    <w:p w14:paraId="1B8F4991" w14:textId="77777777" w:rsidR="00AA1926" w:rsidRPr="005D2619" w:rsidRDefault="00AA1926" w:rsidP="005740E7">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MX"/>
        </w:rPr>
      </w:pPr>
    </w:p>
    <w:p w14:paraId="63060E6C" w14:textId="77777777" w:rsidR="00AA1926" w:rsidRPr="005D2619" w:rsidRDefault="00AA1926" w:rsidP="00610FA2">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MX"/>
        </w:rPr>
      </w:pPr>
      <w:r w:rsidRPr="005D2619">
        <w:rPr>
          <w:rFonts w:ascii="Cambria" w:hAnsi="Cambria"/>
          <w:sz w:val="20"/>
          <w:szCs w:val="20"/>
          <w:lang w:val="es-MX"/>
        </w:rPr>
        <w:t>La CIDH no cuenta con información sobre las investigaciones realizadas por la muerte del señor Umaña.</w:t>
      </w:r>
    </w:p>
    <w:p w14:paraId="7A6441C3" w14:textId="77777777" w:rsidR="00AA1926" w:rsidRPr="005D2619" w:rsidRDefault="00AA1926" w:rsidP="00AA1926">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sz w:val="20"/>
          <w:szCs w:val="20"/>
          <w:lang w:val="es-MX"/>
        </w:rPr>
      </w:pPr>
    </w:p>
    <w:p w14:paraId="733BD1B2" w14:textId="6C2EDAC7" w:rsidR="00674C92" w:rsidRPr="005D2619" w:rsidRDefault="00654512" w:rsidP="00674C92">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MX"/>
        </w:rPr>
      </w:pPr>
      <w:r w:rsidRPr="005D2619">
        <w:rPr>
          <w:rFonts w:ascii="Cambria" w:hAnsi="Cambria"/>
          <w:sz w:val="20"/>
          <w:szCs w:val="20"/>
          <w:lang w:val="es-MX"/>
        </w:rPr>
        <w:t>El 5 de julio de 2000 el Fiscal Especializado del CTI</w:t>
      </w:r>
      <w:r w:rsidR="00610FA2" w:rsidRPr="005D2619">
        <w:rPr>
          <w:rFonts w:ascii="Cambria" w:hAnsi="Cambria"/>
          <w:sz w:val="20"/>
          <w:szCs w:val="20"/>
          <w:lang w:val="es-MX"/>
        </w:rPr>
        <w:t xml:space="preserve"> envió un oficio a la Sala de Casación Penal de la Corte Suprema de Justicia</w:t>
      </w:r>
      <w:r w:rsidR="001D1EF8" w:rsidRPr="005D2619">
        <w:rPr>
          <w:rFonts w:ascii="Cambria" w:hAnsi="Cambria"/>
          <w:sz w:val="20"/>
          <w:szCs w:val="20"/>
          <w:lang w:val="es-MX"/>
        </w:rPr>
        <w:t xml:space="preserve"> – que para ese momento tenía pendiente pronunciarse sobre la demanda de casación contra la sentencia condenatoria de segunda instancia – </w:t>
      </w:r>
      <w:r w:rsidR="00610FA2" w:rsidRPr="005D2619">
        <w:rPr>
          <w:rFonts w:ascii="Cambria" w:hAnsi="Cambria"/>
          <w:sz w:val="20"/>
          <w:szCs w:val="20"/>
          <w:lang w:val="es-MX"/>
        </w:rPr>
        <w:t xml:space="preserve">adjuntando una declaración de Mercedes Yolima Guaqueta </w:t>
      </w:r>
      <w:r w:rsidR="00DA2F02" w:rsidRPr="005D2619">
        <w:rPr>
          <w:rFonts w:ascii="Cambria" w:hAnsi="Cambria"/>
          <w:sz w:val="20"/>
          <w:szCs w:val="20"/>
          <w:lang w:val="es-MX"/>
        </w:rPr>
        <w:t>Hernández</w:t>
      </w:r>
      <w:r w:rsidR="00610FA2" w:rsidRPr="005D2619">
        <w:rPr>
          <w:rFonts w:ascii="Cambria" w:hAnsi="Cambria"/>
          <w:sz w:val="20"/>
          <w:szCs w:val="20"/>
          <w:lang w:val="es-MX"/>
        </w:rPr>
        <w:t xml:space="preserve">. La señora Guaqueta indicó </w:t>
      </w:r>
      <w:r w:rsidRPr="005D2619">
        <w:rPr>
          <w:rFonts w:ascii="Cambria" w:hAnsi="Cambria"/>
          <w:sz w:val="20"/>
          <w:szCs w:val="20"/>
          <w:lang w:val="es-MX"/>
        </w:rPr>
        <w:t xml:space="preserve">haber trabajado en el Ejército Nacional por catorce años y </w:t>
      </w:r>
      <w:r w:rsidR="00671B79" w:rsidRPr="005D2619">
        <w:rPr>
          <w:rFonts w:ascii="Cambria" w:hAnsi="Cambria"/>
          <w:sz w:val="20"/>
          <w:szCs w:val="20"/>
          <w:lang w:val="es-MX"/>
        </w:rPr>
        <w:t xml:space="preserve">señaló </w:t>
      </w:r>
      <w:r w:rsidRPr="005D2619">
        <w:rPr>
          <w:rFonts w:ascii="Cambria" w:hAnsi="Cambria"/>
          <w:sz w:val="20"/>
          <w:szCs w:val="20"/>
          <w:lang w:val="es-MX"/>
        </w:rPr>
        <w:t>que participó del operativo que culminó con la muerte del señor Pizarro. Sostuvo que seis agentes públicos participaron del operativo y que la persona que disparó al señor Pizarro era un funcionario de la Fiscalía, a quien describió físicamente. Agregó que no conocía el nombre de esa persona pero que su sobrenombre era “Hermes” y trabajaba con el Director del CTI, Hernán Jiménez</w:t>
      </w:r>
      <w:r w:rsidRPr="005D2619">
        <w:rPr>
          <w:rStyle w:val="FootnoteReference"/>
          <w:rFonts w:ascii="Cambria" w:hAnsi="Cambria"/>
          <w:sz w:val="20"/>
          <w:szCs w:val="20"/>
          <w:lang w:val="es-MX"/>
        </w:rPr>
        <w:footnoteReference w:id="54"/>
      </w:r>
      <w:r w:rsidR="00674C92" w:rsidRPr="005D2619">
        <w:rPr>
          <w:rFonts w:ascii="Cambria" w:hAnsi="Cambria"/>
          <w:sz w:val="20"/>
          <w:szCs w:val="20"/>
          <w:lang w:val="es-MX"/>
        </w:rPr>
        <w:t xml:space="preserve">. </w:t>
      </w:r>
    </w:p>
    <w:p w14:paraId="58E87D3E" w14:textId="77777777" w:rsidR="00654512" w:rsidRPr="005D2619" w:rsidRDefault="00654512" w:rsidP="00654512">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MX"/>
        </w:rPr>
      </w:pPr>
    </w:p>
    <w:p w14:paraId="6A199CCC" w14:textId="77777777" w:rsidR="00916EAF" w:rsidRPr="005D2619" w:rsidRDefault="00654512" w:rsidP="00916EAF">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MX"/>
        </w:rPr>
      </w:pPr>
      <w:r w:rsidRPr="005D2619">
        <w:rPr>
          <w:rFonts w:ascii="Cambria" w:hAnsi="Cambria"/>
          <w:sz w:val="20"/>
          <w:szCs w:val="20"/>
          <w:lang w:val="es-MX"/>
        </w:rPr>
        <w:t>La señora Guaqueta informó que el objetivo del operativo era capturar a Hern</w:t>
      </w:r>
      <w:r w:rsidR="00671B79" w:rsidRPr="005D2619">
        <w:rPr>
          <w:rFonts w:ascii="Cambria" w:hAnsi="Cambria"/>
          <w:sz w:val="20"/>
          <w:szCs w:val="20"/>
          <w:lang w:val="es-MX"/>
        </w:rPr>
        <w:t>a</w:t>
      </w:r>
      <w:r w:rsidRPr="005D2619">
        <w:rPr>
          <w:rFonts w:ascii="Cambria" w:hAnsi="Cambria"/>
          <w:sz w:val="20"/>
          <w:szCs w:val="20"/>
          <w:lang w:val="es-MX"/>
        </w:rPr>
        <w:t>n</w:t>
      </w:r>
      <w:r w:rsidR="00671B79" w:rsidRPr="005D2619">
        <w:rPr>
          <w:rFonts w:ascii="Cambria" w:hAnsi="Cambria"/>
          <w:sz w:val="20"/>
          <w:szCs w:val="20"/>
          <w:lang w:val="es-MX"/>
        </w:rPr>
        <w:t>do</w:t>
      </w:r>
      <w:r w:rsidRPr="005D2619">
        <w:rPr>
          <w:rFonts w:ascii="Cambria" w:hAnsi="Cambria"/>
          <w:sz w:val="20"/>
          <w:szCs w:val="20"/>
          <w:lang w:val="es-MX"/>
        </w:rPr>
        <w:t xml:space="preserve"> Pizarro y obtener un diario en el q</w:t>
      </w:r>
      <w:r w:rsidR="00FD2BB0" w:rsidRPr="005D2619">
        <w:rPr>
          <w:rFonts w:ascii="Cambria" w:hAnsi="Cambria"/>
          <w:sz w:val="20"/>
          <w:szCs w:val="20"/>
          <w:lang w:val="es-MX"/>
        </w:rPr>
        <w:t xml:space="preserve">ue tenía pruebas en contra del Ejército y de la Fiscalía. Sostuvo que Carlos Celis era el informante del Ejército y quien dio a conocer que el señor Pizarro contaba con dicha documentación. </w:t>
      </w:r>
      <w:r w:rsidRPr="005D2619">
        <w:rPr>
          <w:rFonts w:ascii="Cambria" w:hAnsi="Cambria"/>
          <w:sz w:val="20"/>
          <w:szCs w:val="20"/>
          <w:lang w:val="es-MX"/>
        </w:rPr>
        <w:t>Afirmó qu</w:t>
      </w:r>
      <w:r w:rsidR="00FD2BB0" w:rsidRPr="005D2619">
        <w:rPr>
          <w:rFonts w:ascii="Cambria" w:hAnsi="Cambria"/>
          <w:sz w:val="20"/>
          <w:szCs w:val="20"/>
          <w:lang w:val="es-MX"/>
        </w:rPr>
        <w:t>e el Director del CTI seleccionó</w:t>
      </w:r>
      <w:r w:rsidRPr="005D2619">
        <w:rPr>
          <w:rFonts w:ascii="Cambria" w:hAnsi="Cambria"/>
          <w:sz w:val="20"/>
          <w:szCs w:val="20"/>
          <w:lang w:val="es-MX"/>
        </w:rPr>
        <w:t xml:space="preserve"> a tres trabajadores </w:t>
      </w:r>
      <w:r w:rsidR="00FD2BB0" w:rsidRPr="005D2619">
        <w:rPr>
          <w:rFonts w:ascii="Cambria" w:hAnsi="Cambria"/>
          <w:sz w:val="20"/>
          <w:szCs w:val="20"/>
          <w:lang w:val="es-MX"/>
        </w:rPr>
        <w:t>“</w:t>
      </w:r>
      <w:r w:rsidRPr="005D2619">
        <w:rPr>
          <w:rFonts w:ascii="Cambria" w:hAnsi="Cambria"/>
          <w:sz w:val="20"/>
          <w:szCs w:val="20"/>
          <w:lang w:val="es-MX"/>
        </w:rPr>
        <w:t>de escasos recursos</w:t>
      </w:r>
      <w:r w:rsidR="00916EAF" w:rsidRPr="005D2619">
        <w:rPr>
          <w:rFonts w:ascii="Cambria" w:hAnsi="Cambria"/>
          <w:sz w:val="20"/>
          <w:szCs w:val="20"/>
          <w:lang w:val="es-MX"/>
        </w:rPr>
        <w:t xml:space="preserve"> (...) para que no tuvieran defensa</w:t>
      </w:r>
      <w:r w:rsidR="00FD2BB0" w:rsidRPr="005D2619">
        <w:rPr>
          <w:rFonts w:ascii="Cambria" w:hAnsi="Cambria"/>
          <w:sz w:val="20"/>
          <w:szCs w:val="20"/>
          <w:lang w:val="es-MX"/>
        </w:rPr>
        <w:t>”</w:t>
      </w:r>
      <w:r w:rsidRPr="005D2619">
        <w:rPr>
          <w:rFonts w:ascii="Cambria" w:hAnsi="Cambria"/>
          <w:sz w:val="20"/>
          <w:szCs w:val="20"/>
          <w:lang w:val="es-MX"/>
        </w:rPr>
        <w:t xml:space="preserve"> </w:t>
      </w:r>
      <w:r w:rsidR="00916EAF" w:rsidRPr="005D2619">
        <w:rPr>
          <w:rFonts w:ascii="Cambria" w:hAnsi="Cambria"/>
          <w:sz w:val="20"/>
          <w:szCs w:val="20"/>
          <w:lang w:val="es-MX"/>
        </w:rPr>
        <w:lastRenderedPageBreak/>
        <w:t>de la Fiscalía y finalmente se escogió a Gustavo Sastoque</w:t>
      </w:r>
      <w:r w:rsidR="00AD385B" w:rsidRPr="005D2619">
        <w:rPr>
          <w:rFonts w:ascii="Cambria" w:hAnsi="Cambria"/>
          <w:sz w:val="20"/>
          <w:szCs w:val="20"/>
          <w:lang w:val="es-MX"/>
        </w:rPr>
        <w:t xml:space="preserve"> para que sea procesado </w:t>
      </w:r>
      <w:r w:rsidR="00916EAF" w:rsidRPr="005D2619">
        <w:rPr>
          <w:rFonts w:ascii="Cambria" w:hAnsi="Cambria"/>
          <w:sz w:val="20"/>
          <w:szCs w:val="20"/>
          <w:lang w:val="es-MX"/>
        </w:rPr>
        <w:t xml:space="preserve">con el fin de </w:t>
      </w:r>
      <w:r w:rsidRPr="005D2619">
        <w:rPr>
          <w:rFonts w:ascii="Cambria" w:hAnsi="Cambria"/>
          <w:sz w:val="20"/>
          <w:szCs w:val="20"/>
          <w:lang w:val="es-MX"/>
        </w:rPr>
        <w:t>responsabilizarlo del homicidio de Pizarro</w:t>
      </w:r>
      <w:r w:rsidR="00916EAF" w:rsidRPr="005D2619">
        <w:rPr>
          <w:rStyle w:val="FootnoteReference"/>
          <w:rFonts w:ascii="Cambria" w:hAnsi="Cambria"/>
          <w:sz w:val="20"/>
          <w:szCs w:val="20"/>
          <w:lang w:val="es-MX"/>
        </w:rPr>
        <w:footnoteReference w:id="55"/>
      </w:r>
      <w:r w:rsidR="00916EAF" w:rsidRPr="005D2619">
        <w:rPr>
          <w:rFonts w:ascii="Cambria" w:hAnsi="Cambria"/>
          <w:sz w:val="20"/>
          <w:szCs w:val="20"/>
          <w:lang w:val="es-MX"/>
        </w:rPr>
        <w:t>.</w:t>
      </w:r>
    </w:p>
    <w:p w14:paraId="73A11FD0" w14:textId="77777777" w:rsidR="00916EAF" w:rsidRPr="005D2619" w:rsidRDefault="00916EAF" w:rsidP="00916EAF">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MX"/>
        </w:rPr>
      </w:pPr>
    </w:p>
    <w:p w14:paraId="074E6960" w14:textId="77777777" w:rsidR="00916EAF" w:rsidRPr="005D2619" w:rsidRDefault="00916EAF" w:rsidP="0069620F">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MX"/>
        </w:rPr>
      </w:pPr>
      <w:r w:rsidRPr="005D2619">
        <w:rPr>
          <w:rFonts w:ascii="Cambria" w:hAnsi="Cambria"/>
          <w:sz w:val="20"/>
          <w:szCs w:val="20"/>
          <w:lang w:val="es-MX"/>
        </w:rPr>
        <w:t>Asimismo, manifestó que el Ejército le pagó 20 millones de pesos a Olga Esther Guevara, conocida como Testigo No. 1, para que memorice los rasgos de Sastoque y declare que él fue quien disparó al señor Pizarro. Indicó que el Ejército se comprometió a brindar protección a la señora Guevara. Añadió que el Ejército dio la orden de asesinar al abogado del señor Sastoque, Eduardo Umaña, puesto que tenía “mucha información”</w:t>
      </w:r>
      <w:r w:rsidRPr="005D2619">
        <w:rPr>
          <w:rStyle w:val="FootnoteReference"/>
          <w:rFonts w:ascii="Cambria" w:hAnsi="Cambria"/>
          <w:sz w:val="20"/>
          <w:szCs w:val="20"/>
          <w:lang w:val="es-MX"/>
        </w:rPr>
        <w:footnoteReference w:id="56"/>
      </w:r>
      <w:r w:rsidRPr="005D2619">
        <w:rPr>
          <w:rFonts w:ascii="Cambria" w:hAnsi="Cambria"/>
          <w:sz w:val="20"/>
          <w:szCs w:val="20"/>
          <w:lang w:val="es-MX"/>
        </w:rPr>
        <w:t>.</w:t>
      </w:r>
      <w:r w:rsidR="00674C92" w:rsidRPr="005D2619">
        <w:rPr>
          <w:rFonts w:ascii="Cambria" w:hAnsi="Cambria"/>
          <w:sz w:val="20"/>
          <w:szCs w:val="20"/>
          <w:lang w:val="es-MX"/>
        </w:rPr>
        <w:t xml:space="preserve"> La CIDH no cuenta con información sobre si se inició una investigación al respecto.</w:t>
      </w:r>
    </w:p>
    <w:p w14:paraId="662D3042" w14:textId="77777777" w:rsidR="00654512" w:rsidRPr="005D2619" w:rsidRDefault="00654512" w:rsidP="0069620F">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MX"/>
        </w:rPr>
      </w:pPr>
    </w:p>
    <w:p w14:paraId="6EA15081" w14:textId="77777777" w:rsidR="0069620F" w:rsidRPr="005D2619" w:rsidRDefault="0069620F" w:rsidP="0069620F">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ES"/>
        </w:rPr>
      </w:pPr>
      <w:r w:rsidRPr="005D2619">
        <w:rPr>
          <w:rFonts w:ascii="Cambria" w:hAnsi="Cambria"/>
          <w:sz w:val="20"/>
          <w:szCs w:val="20"/>
          <w:lang w:val="es-MX"/>
        </w:rPr>
        <w:t>El 9 de noviembre de 2000 Ángel Junca rindió una declaración ante la Fiscalía General de la Nación. Indicó que en la época de la muerte del señor Pizarro se desempeñaba como fiscal local. Indicó que dos días antes de la muerte del señor Pizarro, entregó una camioneta Toyota de color blanco, del mismo modelo de la que emplearon las personas que asesinaron a dicha persona, al Director del CTI, Hernán Jiménez</w:t>
      </w:r>
      <w:r w:rsidRPr="005D2619">
        <w:rPr>
          <w:rStyle w:val="FootnoteReference"/>
          <w:rFonts w:ascii="Cambria" w:hAnsi="Cambria"/>
          <w:sz w:val="20"/>
          <w:szCs w:val="20"/>
          <w:lang w:val="es-MX"/>
        </w:rPr>
        <w:footnoteReference w:id="57"/>
      </w:r>
      <w:r w:rsidRPr="005D2619">
        <w:rPr>
          <w:rFonts w:ascii="Cambria" w:hAnsi="Cambria"/>
          <w:sz w:val="20"/>
          <w:szCs w:val="20"/>
          <w:lang w:val="es-MX"/>
        </w:rPr>
        <w:t xml:space="preserve">. </w:t>
      </w:r>
    </w:p>
    <w:p w14:paraId="3D9A60B8" w14:textId="77777777" w:rsidR="0069620F" w:rsidRPr="005D2619" w:rsidRDefault="0069620F" w:rsidP="0069620F">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MX"/>
        </w:rPr>
      </w:pPr>
    </w:p>
    <w:p w14:paraId="667D566C" w14:textId="77777777" w:rsidR="0034082D" w:rsidRPr="005D2619" w:rsidRDefault="0034082D" w:rsidP="0034082D">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MX"/>
        </w:rPr>
      </w:pPr>
      <w:r w:rsidRPr="005D2619">
        <w:rPr>
          <w:rFonts w:ascii="Cambria" w:hAnsi="Cambria"/>
          <w:sz w:val="20"/>
          <w:szCs w:val="20"/>
          <w:lang w:val="es-MX"/>
        </w:rPr>
        <w:t xml:space="preserve">El 13 de febrero de 2003 la Sala de Casación Penal de la Corte Suprema de Justicia resolvió el recurso de casación presentado </w:t>
      </w:r>
      <w:r w:rsidR="00671B79" w:rsidRPr="005D2619">
        <w:rPr>
          <w:rFonts w:ascii="Cambria" w:hAnsi="Cambria"/>
          <w:sz w:val="20"/>
          <w:szCs w:val="20"/>
          <w:lang w:val="es-MX"/>
        </w:rPr>
        <w:t xml:space="preserve">por la defensa del señor Sastoque </w:t>
      </w:r>
      <w:r w:rsidRPr="005D2619">
        <w:rPr>
          <w:rFonts w:ascii="Cambria" w:hAnsi="Cambria"/>
          <w:sz w:val="20"/>
          <w:szCs w:val="20"/>
          <w:lang w:val="es-MX"/>
        </w:rPr>
        <w:t>y dispuso “no casar la sentencia impugnada”. La Sala indicó lo siguiente:</w:t>
      </w:r>
    </w:p>
    <w:p w14:paraId="7169566E" w14:textId="77777777" w:rsidR="00505420" w:rsidRPr="005D2619" w:rsidRDefault="00505420" w:rsidP="0069620F">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sz w:val="20"/>
          <w:szCs w:val="20"/>
          <w:lang w:val="es-MX"/>
        </w:rPr>
      </w:pPr>
    </w:p>
    <w:p w14:paraId="7125BB0F" w14:textId="0C5AC38B" w:rsidR="00505420" w:rsidRPr="005D2619" w:rsidRDefault="00250FD4" w:rsidP="0069620F">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right="720" w:firstLine="0"/>
        <w:jc w:val="both"/>
        <w:rPr>
          <w:rFonts w:ascii="Cambria" w:hAnsi="Cambria"/>
          <w:sz w:val="20"/>
          <w:szCs w:val="20"/>
          <w:lang w:val="es-MX"/>
        </w:rPr>
      </w:pPr>
      <w:r w:rsidRPr="005D2619">
        <w:rPr>
          <w:rFonts w:ascii="Cambria" w:hAnsi="Cambria"/>
          <w:sz w:val="20"/>
          <w:szCs w:val="20"/>
          <w:lang w:val="es-MX"/>
        </w:rPr>
        <w:t xml:space="preserve">El impugnante no sólo debió identificar las pruebas y hacer referencia a su contenido, sino que además le corresponde, para que se dicte el fallo de sustitución, suministrar la verdad establecida con la eficacia de las pruebas omitidas </w:t>
      </w:r>
      <w:r w:rsidR="00E36558" w:rsidRPr="005D2619">
        <w:rPr>
          <w:rFonts w:ascii="Cambria" w:hAnsi="Cambria"/>
          <w:sz w:val="20"/>
          <w:szCs w:val="20"/>
          <w:lang w:val="es-MX"/>
        </w:rPr>
        <w:t>o supuestas y la ineficacia de las que determinaron la orientación de la sentencia impugnada</w:t>
      </w:r>
      <w:r w:rsidR="00E36558" w:rsidRPr="005D2619">
        <w:rPr>
          <w:rStyle w:val="FootnoteReference"/>
          <w:rFonts w:ascii="Cambria" w:hAnsi="Cambria"/>
          <w:sz w:val="20"/>
          <w:szCs w:val="20"/>
          <w:lang w:val="es-MX"/>
        </w:rPr>
        <w:footnoteReference w:id="58"/>
      </w:r>
      <w:r w:rsidR="00E36558" w:rsidRPr="005D2619">
        <w:rPr>
          <w:rFonts w:ascii="Cambria" w:hAnsi="Cambria"/>
          <w:sz w:val="20"/>
          <w:szCs w:val="20"/>
          <w:lang w:val="es-MX"/>
        </w:rPr>
        <w:t>.</w:t>
      </w:r>
    </w:p>
    <w:p w14:paraId="4F862D74" w14:textId="77777777" w:rsidR="00D1160F" w:rsidRPr="005D2619" w:rsidRDefault="00D1160F" w:rsidP="0069620F">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MX"/>
        </w:rPr>
      </w:pPr>
    </w:p>
    <w:p w14:paraId="698A907B" w14:textId="77777777" w:rsidR="008F17FB" w:rsidRPr="005D2619" w:rsidRDefault="00916EAF" w:rsidP="0069620F">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MX"/>
        </w:rPr>
      </w:pPr>
      <w:r w:rsidRPr="005D2619">
        <w:rPr>
          <w:rFonts w:ascii="Cambria" w:hAnsi="Cambria"/>
          <w:sz w:val="20"/>
          <w:szCs w:val="20"/>
          <w:lang w:val="es-MX"/>
        </w:rPr>
        <w:t xml:space="preserve">El 8 de agosto de 2003 la Sala de Casación Civil de la Corte Suprema de Justicia resolvió una acción de tutela presentada por el señor Sastoque. </w:t>
      </w:r>
      <w:r w:rsidR="008F17FB" w:rsidRPr="005D2619">
        <w:rPr>
          <w:rFonts w:ascii="Cambria" w:hAnsi="Cambria"/>
          <w:sz w:val="20"/>
          <w:szCs w:val="20"/>
          <w:lang w:val="es-MX"/>
        </w:rPr>
        <w:t>La Sala tomó nota de los siguientes alegatos del señor Sastoque:</w:t>
      </w:r>
    </w:p>
    <w:p w14:paraId="03D5BA9E" w14:textId="77777777" w:rsidR="008F17FB" w:rsidRPr="005D2619" w:rsidRDefault="008F17FB" w:rsidP="0069620F">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sz w:val="20"/>
          <w:szCs w:val="20"/>
          <w:lang w:val="es-MX"/>
        </w:rPr>
      </w:pPr>
    </w:p>
    <w:p w14:paraId="39650382" w14:textId="77777777" w:rsidR="008F17FB" w:rsidRPr="005D2619" w:rsidRDefault="008F17FB" w:rsidP="0069620F">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right="720" w:firstLine="0"/>
        <w:jc w:val="both"/>
        <w:rPr>
          <w:rFonts w:ascii="Cambria" w:hAnsi="Cambria"/>
          <w:sz w:val="20"/>
          <w:szCs w:val="20"/>
          <w:lang w:val="es-MX"/>
        </w:rPr>
      </w:pPr>
      <w:r w:rsidRPr="005D2619">
        <w:rPr>
          <w:rFonts w:ascii="Cambria" w:hAnsi="Cambria"/>
          <w:sz w:val="20"/>
          <w:szCs w:val="20"/>
          <w:lang w:val="es-MX"/>
        </w:rPr>
        <w:t>El actor en síntesis aduce que la sentencia condenatoria es arbitraria y desconoce sus derechos fundamentales, toda vez que se fundó en pruebas recaudadas irregularmente y producto del montaje que en su contra se hizo en la investigación previa, habiendo omitido el fiscal regional ejercer control de legalidad en los testimonios recaudados y apreciar los informes en que se concluyó que él no tenía relación alguna con los hechos investigados, así como también no obró con imparcialidad para establecer los móviles y autores materiales e intelectuales del homicidio investigado.</w:t>
      </w:r>
      <w:r w:rsidR="000D784C" w:rsidRPr="005D2619">
        <w:rPr>
          <w:rFonts w:ascii="Cambria" w:hAnsi="Cambria"/>
          <w:sz w:val="20"/>
          <w:szCs w:val="20"/>
          <w:lang w:val="es-MX"/>
        </w:rPr>
        <w:t xml:space="preserve"> Asimismo, acuso la decisión condenatoria de no haber analizado ni profundizado en la valoración de las pruebas de descargo que se recaudaron, especialmente en los testimonios recepcionados, a los que se descalificaron dando credibilidad a los deponentes con reserva de identidad.</w:t>
      </w:r>
    </w:p>
    <w:p w14:paraId="73447055" w14:textId="77777777" w:rsidR="000D784C" w:rsidRPr="005D2619" w:rsidRDefault="000D784C" w:rsidP="000D784C">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right="720" w:firstLine="0"/>
        <w:jc w:val="both"/>
        <w:rPr>
          <w:rFonts w:ascii="Cambria" w:hAnsi="Cambria"/>
          <w:sz w:val="20"/>
          <w:szCs w:val="20"/>
          <w:lang w:val="es-MX"/>
        </w:rPr>
      </w:pPr>
    </w:p>
    <w:p w14:paraId="2396727A" w14:textId="77777777" w:rsidR="000D784C" w:rsidRPr="005D2619" w:rsidRDefault="000D784C" w:rsidP="000D784C">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MX"/>
        </w:rPr>
      </w:pPr>
      <w:r w:rsidRPr="005D2619">
        <w:rPr>
          <w:rFonts w:ascii="Cambria" w:hAnsi="Cambria"/>
          <w:sz w:val="20"/>
          <w:szCs w:val="20"/>
          <w:lang w:val="es-MX"/>
        </w:rPr>
        <w:t>La Sala concluyó lo siguiente:</w:t>
      </w:r>
    </w:p>
    <w:p w14:paraId="5DB28710" w14:textId="77777777" w:rsidR="000D784C" w:rsidRPr="005D2619" w:rsidRDefault="000D784C" w:rsidP="000D784C">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sz w:val="20"/>
          <w:szCs w:val="20"/>
          <w:lang w:val="es-MX"/>
        </w:rPr>
      </w:pPr>
    </w:p>
    <w:p w14:paraId="24F45B5D" w14:textId="77777777" w:rsidR="000D784C" w:rsidRPr="005D2619" w:rsidRDefault="000D784C" w:rsidP="000D784C">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right="720" w:firstLine="0"/>
        <w:jc w:val="both"/>
        <w:rPr>
          <w:rFonts w:ascii="Cambria" w:hAnsi="Cambria"/>
          <w:sz w:val="20"/>
          <w:szCs w:val="20"/>
          <w:lang w:val="es-MX"/>
        </w:rPr>
      </w:pPr>
      <w:r w:rsidRPr="005D2619">
        <w:rPr>
          <w:rFonts w:ascii="Cambria" w:hAnsi="Cambria"/>
          <w:sz w:val="20"/>
          <w:szCs w:val="20"/>
          <w:lang w:val="es-MX"/>
        </w:rPr>
        <w:t xml:space="preserve">El que una resolución dictada por el organismo supremo de la jurisdicción ordinaria, dentro de una actuación judicial, sea objeto de un nuevo examen a cargo de una jurisdicción distinta, </w:t>
      </w:r>
      <w:r w:rsidR="00B52427" w:rsidRPr="005D2619">
        <w:rPr>
          <w:rFonts w:ascii="Cambria" w:hAnsi="Cambria"/>
          <w:sz w:val="20"/>
          <w:szCs w:val="20"/>
          <w:lang w:val="es-MX"/>
        </w:rPr>
        <w:t>genera inseguridad jurídica (...). Resultarían, en fin, van</w:t>
      </w:r>
      <w:r w:rsidR="0032355A" w:rsidRPr="005D2619">
        <w:rPr>
          <w:rFonts w:ascii="Cambria" w:hAnsi="Cambria"/>
          <w:sz w:val="20"/>
          <w:szCs w:val="20"/>
          <w:lang w:val="es-MX"/>
        </w:rPr>
        <w:t>o los postulados constitucional</w:t>
      </w:r>
      <w:r w:rsidR="00B52427" w:rsidRPr="005D2619">
        <w:rPr>
          <w:rFonts w:ascii="Cambria" w:hAnsi="Cambria"/>
          <w:sz w:val="20"/>
          <w:szCs w:val="20"/>
          <w:lang w:val="es-MX"/>
        </w:rPr>
        <w:t>es y legales del debido proceso, que incluye la garantía fundamental de la cosa juzgada (...). De ahí que lo expuesto permita colegir que la providencia dictada por la Sala de Casación Penal de la Corte Suprema de Justicia (...) no pueda controvertirse por vía de tutela (...).</w:t>
      </w:r>
    </w:p>
    <w:p w14:paraId="4D61BD80" w14:textId="77777777" w:rsidR="00916EAF" w:rsidRPr="005D2619" w:rsidRDefault="00916EAF" w:rsidP="00B52427">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MX"/>
        </w:rPr>
      </w:pPr>
    </w:p>
    <w:p w14:paraId="39AFB29D" w14:textId="77777777" w:rsidR="004F09F4" w:rsidRPr="005D2619" w:rsidRDefault="00001657" w:rsidP="00001657">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MX"/>
        </w:rPr>
      </w:pPr>
      <w:r w:rsidRPr="005D2619">
        <w:rPr>
          <w:rFonts w:ascii="Cambria" w:hAnsi="Cambria"/>
          <w:sz w:val="20"/>
          <w:szCs w:val="20"/>
          <w:lang w:val="es-MX"/>
        </w:rPr>
        <w:lastRenderedPageBreak/>
        <w:t xml:space="preserve">El </w:t>
      </w:r>
      <w:r w:rsidR="004F09F4" w:rsidRPr="005D2619">
        <w:rPr>
          <w:rFonts w:ascii="Cambria" w:hAnsi="Cambria"/>
          <w:sz w:val="20"/>
          <w:szCs w:val="20"/>
          <w:lang w:val="es-MX"/>
        </w:rPr>
        <w:t xml:space="preserve">3 de septiembre de 2003 el </w:t>
      </w:r>
      <w:r w:rsidR="008A46F1" w:rsidRPr="005D2619">
        <w:rPr>
          <w:rFonts w:ascii="Cambria" w:hAnsi="Cambria"/>
          <w:sz w:val="20"/>
          <w:szCs w:val="20"/>
          <w:lang w:val="es-ES"/>
        </w:rPr>
        <w:t>J</w:t>
      </w:r>
      <w:r w:rsidR="004F09F4" w:rsidRPr="005D2619">
        <w:rPr>
          <w:rFonts w:ascii="Cambria" w:hAnsi="Cambria"/>
          <w:sz w:val="20"/>
          <w:szCs w:val="20"/>
          <w:lang w:val="es-ES"/>
        </w:rPr>
        <w:t xml:space="preserve">uzgado Quinto de Ejecución de Pena y </w:t>
      </w:r>
      <w:r w:rsidR="008A46F1" w:rsidRPr="005D2619">
        <w:rPr>
          <w:rFonts w:ascii="Cambria" w:hAnsi="Cambria"/>
          <w:sz w:val="20"/>
          <w:szCs w:val="20"/>
          <w:lang w:val="es-ES"/>
        </w:rPr>
        <w:t>M</w:t>
      </w:r>
      <w:r w:rsidR="004F09F4" w:rsidRPr="005D2619">
        <w:rPr>
          <w:rFonts w:ascii="Cambria" w:hAnsi="Cambria"/>
          <w:sz w:val="20"/>
          <w:szCs w:val="20"/>
          <w:lang w:val="es-ES"/>
        </w:rPr>
        <w:t>edidas de Seguridad de Bogotá “redosificó la pena de prisión” del señor Sastoque en 25 años y tres meses de prisión</w:t>
      </w:r>
      <w:r w:rsidR="004F09F4" w:rsidRPr="005D2619">
        <w:rPr>
          <w:rStyle w:val="FootnoteReference"/>
          <w:rFonts w:ascii="Cambria" w:hAnsi="Cambria"/>
          <w:sz w:val="20"/>
          <w:szCs w:val="20"/>
          <w:lang w:val="es-MX"/>
        </w:rPr>
        <w:footnoteReference w:id="59"/>
      </w:r>
      <w:r w:rsidR="004F09F4" w:rsidRPr="005D2619">
        <w:rPr>
          <w:rFonts w:ascii="Cambria" w:hAnsi="Cambria"/>
          <w:sz w:val="20"/>
          <w:szCs w:val="20"/>
          <w:lang w:val="es-ES"/>
        </w:rPr>
        <w:t>. El 27 de octubre de 2005 se concedió una rebaja de prisión de dos años, seis meses y nueve días</w:t>
      </w:r>
      <w:r w:rsidR="004F09F4" w:rsidRPr="005D2619">
        <w:rPr>
          <w:rStyle w:val="FootnoteReference"/>
          <w:rFonts w:ascii="Cambria" w:hAnsi="Cambria"/>
          <w:sz w:val="20"/>
          <w:szCs w:val="20"/>
          <w:lang w:val="es-MX"/>
        </w:rPr>
        <w:footnoteReference w:id="60"/>
      </w:r>
      <w:r w:rsidR="004F09F4" w:rsidRPr="005D2619">
        <w:rPr>
          <w:rFonts w:ascii="Cambria" w:hAnsi="Cambria"/>
          <w:sz w:val="20"/>
          <w:szCs w:val="20"/>
          <w:lang w:val="es-ES"/>
        </w:rPr>
        <w:t>.</w:t>
      </w:r>
    </w:p>
    <w:p w14:paraId="24640615" w14:textId="77777777" w:rsidR="004F09F4" w:rsidRPr="005D2619" w:rsidRDefault="004F09F4" w:rsidP="004F09F4">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sz w:val="20"/>
          <w:szCs w:val="20"/>
          <w:lang w:val="es-MX"/>
        </w:rPr>
      </w:pPr>
    </w:p>
    <w:p w14:paraId="2C4A0D53" w14:textId="77777777" w:rsidR="0034082D" w:rsidRPr="005D2619" w:rsidRDefault="0034082D" w:rsidP="0034082D">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MX"/>
        </w:rPr>
      </w:pPr>
      <w:r w:rsidRPr="005D2619">
        <w:rPr>
          <w:rFonts w:ascii="Cambria" w:hAnsi="Cambria"/>
          <w:sz w:val="20"/>
          <w:szCs w:val="20"/>
          <w:lang w:val="es-MX"/>
        </w:rPr>
        <w:t xml:space="preserve">El 30 de noviembre de 2005 el </w:t>
      </w:r>
      <w:r w:rsidRPr="005D2619">
        <w:rPr>
          <w:rFonts w:ascii="Cambria" w:hAnsi="Cambria"/>
          <w:sz w:val="20"/>
          <w:szCs w:val="20"/>
          <w:lang w:val="es-ES"/>
        </w:rPr>
        <w:t>juzgado Quinto de Ejecución de Pena y medidas de Seguridad de Bogotá emitió una providencia mediante la cual otorgó libertad condicional al señor Sastoque</w:t>
      </w:r>
      <w:r w:rsidRPr="005D2619">
        <w:rPr>
          <w:rStyle w:val="FootnoteReference"/>
          <w:rFonts w:ascii="Cambria" w:hAnsi="Cambria"/>
          <w:sz w:val="20"/>
          <w:szCs w:val="20"/>
          <w:lang w:val="es-MX"/>
        </w:rPr>
        <w:footnoteReference w:id="61"/>
      </w:r>
      <w:r w:rsidRPr="005D2619">
        <w:rPr>
          <w:rFonts w:ascii="Cambria" w:hAnsi="Cambria"/>
          <w:sz w:val="20"/>
          <w:szCs w:val="20"/>
          <w:lang w:val="es-ES"/>
        </w:rPr>
        <w:t xml:space="preserve">. El juzgado indicó lo siguiente: </w:t>
      </w:r>
    </w:p>
    <w:p w14:paraId="2FEDFDBF" w14:textId="77777777" w:rsidR="00B52427" w:rsidRPr="005D2619" w:rsidRDefault="00B52427" w:rsidP="00B52427">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sz w:val="20"/>
          <w:szCs w:val="20"/>
          <w:lang w:val="es-MX"/>
        </w:rPr>
      </w:pPr>
    </w:p>
    <w:p w14:paraId="582C64FF" w14:textId="77777777" w:rsidR="00001657" w:rsidRPr="005D2619" w:rsidRDefault="004F09F4" w:rsidP="004F09F4">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right="720" w:firstLine="0"/>
        <w:jc w:val="both"/>
        <w:rPr>
          <w:rFonts w:ascii="Cambria" w:hAnsi="Cambria"/>
          <w:sz w:val="20"/>
          <w:szCs w:val="20"/>
          <w:lang w:val="es-MX"/>
        </w:rPr>
      </w:pPr>
      <w:r w:rsidRPr="005D2619">
        <w:rPr>
          <w:rFonts w:ascii="Cambria" w:hAnsi="Cambria"/>
          <w:sz w:val="20"/>
          <w:szCs w:val="20"/>
          <w:lang w:val="es-MX"/>
        </w:rPr>
        <w:t>Por los hechos que dieron origen a la condena, el interno ha estado privado de la libertad desde el 8 de marzo de 1995, un total de 10 años, 8 meses y 21 días de prisión, más 2 años, 6 meses y 9 días por la mencionada rebaja, para un total de 13 años, 3 meses de prisión (...). El sentenciado ha mantenido buenas relaciones con la</w:t>
      </w:r>
      <w:r w:rsidR="0034082D" w:rsidRPr="005D2619">
        <w:rPr>
          <w:rFonts w:ascii="Cambria" w:hAnsi="Cambria"/>
          <w:sz w:val="20"/>
          <w:szCs w:val="20"/>
          <w:lang w:val="es-MX"/>
        </w:rPr>
        <w:t>s</w:t>
      </w:r>
      <w:r w:rsidRPr="005D2619">
        <w:rPr>
          <w:rFonts w:ascii="Cambria" w:hAnsi="Cambria"/>
          <w:sz w:val="20"/>
          <w:szCs w:val="20"/>
          <w:lang w:val="es-MX"/>
        </w:rPr>
        <w:t xml:space="preserve"> directivas del reclusorio y con los otros penados, lo que le ha valido para que se le reconozca su buena conducta (....)</w:t>
      </w:r>
      <w:r w:rsidR="00001657" w:rsidRPr="005D2619">
        <w:rPr>
          <w:rStyle w:val="FootnoteReference"/>
          <w:rFonts w:ascii="Cambria" w:hAnsi="Cambria"/>
          <w:sz w:val="20"/>
          <w:szCs w:val="20"/>
          <w:lang w:val="es-MX"/>
        </w:rPr>
        <w:footnoteReference w:id="62"/>
      </w:r>
      <w:r w:rsidR="00001657" w:rsidRPr="005D2619">
        <w:rPr>
          <w:rFonts w:ascii="Cambria" w:hAnsi="Cambria"/>
          <w:sz w:val="20"/>
          <w:szCs w:val="20"/>
          <w:lang w:val="es-MX"/>
        </w:rPr>
        <w:t>.</w:t>
      </w:r>
    </w:p>
    <w:p w14:paraId="3A2B77F5" w14:textId="77777777" w:rsidR="00511ED6" w:rsidRPr="005D2619" w:rsidRDefault="00511ED6" w:rsidP="00E36558">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MX"/>
        </w:rPr>
      </w:pPr>
    </w:p>
    <w:p w14:paraId="30A5CC5E" w14:textId="77777777" w:rsidR="00406314" w:rsidRPr="00C4427B" w:rsidRDefault="00406314" w:rsidP="00C4427B">
      <w:pPr>
        <w:pStyle w:val="Heading2"/>
        <w:ind w:left="1440" w:hanging="720"/>
        <w:rPr>
          <w:lang w:val="es-MX"/>
        </w:rPr>
      </w:pPr>
      <w:bookmarkStart w:id="20" w:name="_Toc203986805"/>
      <w:r w:rsidRPr="00C4427B">
        <w:rPr>
          <w:lang w:val="es-MX"/>
        </w:rPr>
        <w:t xml:space="preserve">Sobre el </w:t>
      </w:r>
      <w:r w:rsidRPr="00C4427B">
        <w:rPr>
          <w:lang w:val="es-ES"/>
        </w:rPr>
        <w:t>proceso</w:t>
      </w:r>
      <w:r w:rsidRPr="00C4427B">
        <w:rPr>
          <w:lang w:val="es-MX"/>
        </w:rPr>
        <w:t xml:space="preserve"> por falso testimonio y fraude procesal</w:t>
      </w:r>
      <w:bookmarkEnd w:id="20"/>
    </w:p>
    <w:p w14:paraId="639E0E3C" w14:textId="77777777" w:rsidR="00406314" w:rsidRPr="005D2619" w:rsidRDefault="00406314" w:rsidP="00023BA1">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sz w:val="20"/>
          <w:szCs w:val="20"/>
          <w:lang w:val="es-MX"/>
        </w:rPr>
      </w:pPr>
    </w:p>
    <w:p w14:paraId="4194F6B4" w14:textId="77777777" w:rsidR="00197FD1" w:rsidRPr="005D2619" w:rsidRDefault="00E36558" w:rsidP="00B51EA9">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MX"/>
        </w:rPr>
      </w:pPr>
      <w:r w:rsidRPr="005D2619">
        <w:rPr>
          <w:rFonts w:ascii="Cambria" w:hAnsi="Cambria"/>
          <w:sz w:val="20"/>
          <w:szCs w:val="20"/>
          <w:lang w:val="es-MX"/>
        </w:rPr>
        <w:t xml:space="preserve">El 20 de junio de 1999 el señor </w:t>
      </w:r>
      <w:r w:rsidR="00D1160F" w:rsidRPr="005D2619">
        <w:rPr>
          <w:rFonts w:ascii="Cambria" w:hAnsi="Cambria"/>
          <w:sz w:val="20"/>
          <w:szCs w:val="20"/>
          <w:lang w:val="es-MX"/>
        </w:rPr>
        <w:t>Sastoque</w:t>
      </w:r>
      <w:r w:rsidR="00197FD1" w:rsidRPr="005D2619">
        <w:rPr>
          <w:rFonts w:ascii="Cambria" w:hAnsi="Cambria"/>
          <w:sz w:val="20"/>
          <w:szCs w:val="20"/>
          <w:lang w:val="es-MX"/>
        </w:rPr>
        <w:t>, mientras se encontraba detenido en el centro penitenciario La Picota,</w:t>
      </w:r>
      <w:r w:rsidR="00D1160F" w:rsidRPr="005D2619">
        <w:rPr>
          <w:rFonts w:ascii="Cambria" w:hAnsi="Cambria"/>
          <w:sz w:val="20"/>
          <w:szCs w:val="20"/>
          <w:lang w:val="es-MX"/>
        </w:rPr>
        <w:t xml:space="preserve"> presentó una denuncia en contra de </w:t>
      </w:r>
      <w:r w:rsidRPr="005D2619">
        <w:rPr>
          <w:rFonts w:ascii="Cambria" w:hAnsi="Cambria"/>
          <w:sz w:val="20"/>
          <w:szCs w:val="20"/>
          <w:lang w:val="es-MX"/>
        </w:rPr>
        <w:t>Olga Esther Guevara Fajardo, su hermana Claudia, y Germán Ramírez</w:t>
      </w:r>
      <w:r w:rsidR="00BD3248" w:rsidRPr="005D2619">
        <w:rPr>
          <w:rFonts w:ascii="Cambria" w:hAnsi="Cambria"/>
          <w:sz w:val="20"/>
          <w:szCs w:val="20"/>
          <w:lang w:val="es-MX"/>
        </w:rPr>
        <w:t>, quien consideraba que había sido el Testigo No. 2,</w:t>
      </w:r>
      <w:r w:rsidRPr="005D2619">
        <w:rPr>
          <w:rFonts w:ascii="Cambria" w:hAnsi="Cambria"/>
          <w:sz w:val="20"/>
          <w:szCs w:val="20"/>
          <w:lang w:val="es-MX"/>
        </w:rPr>
        <w:t xml:space="preserve"> por los delitos de falso testimonio y fraude procesal</w:t>
      </w:r>
      <w:r w:rsidRPr="005D2619">
        <w:rPr>
          <w:rStyle w:val="FootnoteReference"/>
          <w:rFonts w:ascii="Cambria" w:hAnsi="Cambria"/>
          <w:sz w:val="20"/>
          <w:szCs w:val="20"/>
          <w:lang w:val="es-MX"/>
        </w:rPr>
        <w:footnoteReference w:id="63"/>
      </w:r>
      <w:r w:rsidRPr="005D2619">
        <w:rPr>
          <w:rFonts w:ascii="Cambria" w:hAnsi="Cambria"/>
          <w:sz w:val="20"/>
          <w:szCs w:val="20"/>
          <w:lang w:val="es-MX"/>
        </w:rPr>
        <w:t xml:space="preserve">. </w:t>
      </w:r>
      <w:r w:rsidR="00197FD1" w:rsidRPr="005D2619">
        <w:rPr>
          <w:rFonts w:ascii="Cambria" w:hAnsi="Cambria"/>
          <w:sz w:val="20"/>
          <w:szCs w:val="20"/>
          <w:lang w:val="es-MX"/>
        </w:rPr>
        <w:t>La CIDH toma nota de que la investigación fue asumida por i) la Fiscalía Delegada ante la Corte Suprema de Justicia el 24 de agosto de 2000; ii) la Subunidad de Terrorismo el 21 de junio de 2001; y iii) la Unidad Nacional de Derechos Humanos y DIH el 27 de enero de 2006</w:t>
      </w:r>
      <w:r w:rsidR="00197FD1" w:rsidRPr="005D2619">
        <w:rPr>
          <w:rStyle w:val="FootnoteReference"/>
          <w:rFonts w:ascii="Cambria" w:hAnsi="Cambria"/>
          <w:sz w:val="20"/>
          <w:szCs w:val="20"/>
          <w:lang w:val="es-MX"/>
        </w:rPr>
        <w:footnoteReference w:id="64"/>
      </w:r>
      <w:r w:rsidR="00197FD1" w:rsidRPr="005D2619">
        <w:rPr>
          <w:rFonts w:ascii="Cambria" w:hAnsi="Cambria"/>
          <w:sz w:val="20"/>
          <w:szCs w:val="20"/>
          <w:lang w:val="es-MX"/>
        </w:rPr>
        <w:t xml:space="preserve">. </w:t>
      </w:r>
    </w:p>
    <w:p w14:paraId="0AC9283E" w14:textId="77777777" w:rsidR="00116194" w:rsidRPr="005D2619" w:rsidRDefault="00116194" w:rsidP="00116194">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sz w:val="20"/>
          <w:szCs w:val="20"/>
          <w:lang w:val="es-MX"/>
        </w:rPr>
      </w:pPr>
    </w:p>
    <w:p w14:paraId="6219859F" w14:textId="77777777" w:rsidR="00116194" w:rsidRPr="005D2619" w:rsidRDefault="00116194" w:rsidP="00B51EA9">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MX"/>
        </w:rPr>
      </w:pPr>
      <w:r w:rsidRPr="005D2619">
        <w:rPr>
          <w:rFonts w:ascii="Cambria" w:hAnsi="Cambria"/>
          <w:sz w:val="20"/>
          <w:szCs w:val="20"/>
          <w:lang w:val="es-MX"/>
        </w:rPr>
        <w:t>De acuerdo a un oficio de la Fiscalía 28 Especializada de la Fiscalía General de la Nación, “tan solo el 1 de septiembre de 2006 se ordena la evacuación de pruebas de declaración, entre éstas las de Olga Esther Guevara, los funcionarios judiciales que participaron en operativo de levantamiento de cadáver, compañeros de trabajo del denunciante”. Indicó que el 10 de agosto de 2007 la investigación pasó ser conocid</w:t>
      </w:r>
      <w:r w:rsidR="000C4C9B" w:rsidRPr="005D2619">
        <w:rPr>
          <w:rFonts w:ascii="Cambria" w:hAnsi="Cambria"/>
          <w:sz w:val="20"/>
          <w:szCs w:val="20"/>
          <w:lang w:val="es-MX"/>
        </w:rPr>
        <w:t>a</w:t>
      </w:r>
      <w:r w:rsidRPr="005D2619">
        <w:rPr>
          <w:rFonts w:ascii="Cambria" w:hAnsi="Cambria"/>
          <w:sz w:val="20"/>
          <w:szCs w:val="20"/>
          <w:lang w:val="es-MX"/>
        </w:rPr>
        <w:t xml:space="preserve"> por</w:t>
      </w:r>
      <w:r w:rsidR="000C4C9B" w:rsidRPr="005D2619">
        <w:rPr>
          <w:rFonts w:ascii="Cambria" w:hAnsi="Cambria"/>
          <w:sz w:val="20"/>
          <w:szCs w:val="20"/>
          <w:lang w:val="es-MX"/>
        </w:rPr>
        <w:t xml:space="preserve"> dicha Fiscalía Especializada </w:t>
      </w:r>
      <w:r w:rsidRPr="005D2619">
        <w:rPr>
          <w:rFonts w:ascii="Cambria" w:hAnsi="Cambria"/>
          <w:sz w:val="20"/>
          <w:szCs w:val="20"/>
          <w:lang w:val="es-MX"/>
        </w:rPr>
        <w:t xml:space="preserve">y que se volvió a reiterar la evacuación de las diligencias ya señaladas. Asimismo, </w:t>
      </w:r>
      <w:r w:rsidR="00184C44" w:rsidRPr="005D2619">
        <w:rPr>
          <w:rFonts w:ascii="Cambria" w:hAnsi="Cambria"/>
          <w:sz w:val="20"/>
          <w:szCs w:val="20"/>
          <w:lang w:val="es-MX"/>
        </w:rPr>
        <w:t xml:space="preserve">en este oficio </w:t>
      </w:r>
      <w:r w:rsidRPr="005D2619">
        <w:rPr>
          <w:rFonts w:ascii="Cambria" w:hAnsi="Cambria"/>
          <w:sz w:val="20"/>
          <w:szCs w:val="20"/>
          <w:lang w:val="es-MX"/>
        </w:rPr>
        <w:t xml:space="preserve">solicitó que se indague si se realizó una investigación disciplinaria </w:t>
      </w:r>
      <w:r w:rsidR="00184C44" w:rsidRPr="005D2619">
        <w:rPr>
          <w:rFonts w:ascii="Cambria" w:hAnsi="Cambria"/>
          <w:sz w:val="20"/>
          <w:szCs w:val="20"/>
          <w:lang w:val="es-MX"/>
        </w:rPr>
        <w:t>al</w:t>
      </w:r>
      <w:r w:rsidRPr="005D2619">
        <w:rPr>
          <w:rFonts w:ascii="Cambria" w:hAnsi="Cambria"/>
          <w:sz w:val="20"/>
          <w:szCs w:val="20"/>
          <w:lang w:val="es-MX"/>
        </w:rPr>
        <w:t xml:space="preserve"> personal del Ejército Nacional y Brigada 20 involucrada con los hechos</w:t>
      </w:r>
      <w:r w:rsidR="00A34F79" w:rsidRPr="005D2619">
        <w:rPr>
          <w:rFonts w:ascii="Cambria" w:hAnsi="Cambria"/>
          <w:sz w:val="20"/>
          <w:szCs w:val="20"/>
          <w:lang w:val="es-MX"/>
        </w:rPr>
        <w:t xml:space="preserve"> y que se ubique el paradero de </w:t>
      </w:r>
      <w:r w:rsidR="008D078B" w:rsidRPr="005D2619">
        <w:rPr>
          <w:rFonts w:ascii="Cambria" w:hAnsi="Cambria"/>
          <w:sz w:val="20"/>
          <w:szCs w:val="20"/>
          <w:lang w:val="es-MX"/>
        </w:rPr>
        <w:t>Germán Ramírez, en tanto no había sido localizado</w:t>
      </w:r>
      <w:r w:rsidRPr="005D2619">
        <w:rPr>
          <w:rFonts w:ascii="Cambria" w:hAnsi="Cambria"/>
          <w:sz w:val="20"/>
          <w:szCs w:val="20"/>
          <w:lang w:val="es-MX"/>
        </w:rPr>
        <w:t>.</w:t>
      </w:r>
      <w:r w:rsidR="008D078B" w:rsidRPr="005D2619">
        <w:rPr>
          <w:rFonts w:ascii="Cambria" w:hAnsi="Cambria"/>
          <w:sz w:val="20"/>
          <w:szCs w:val="20"/>
          <w:lang w:val="es-MX"/>
        </w:rPr>
        <w:t xml:space="preserve"> La Fiscalía agregó lo siguiente:</w:t>
      </w:r>
    </w:p>
    <w:p w14:paraId="08282052" w14:textId="77777777" w:rsidR="008D078B" w:rsidRPr="005D2619" w:rsidRDefault="008D078B" w:rsidP="008D078B">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MX"/>
        </w:rPr>
      </w:pPr>
    </w:p>
    <w:p w14:paraId="066CB16D" w14:textId="77777777" w:rsidR="008D078B" w:rsidRPr="005D2619" w:rsidRDefault="008D078B" w:rsidP="00660082">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right="720" w:firstLine="0"/>
        <w:jc w:val="both"/>
        <w:rPr>
          <w:rFonts w:ascii="Cambria" w:hAnsi="Cambria"/>
          <w:sz w:val="20"/>
          <w:szCs w:val="20"/>
          <w:lang w:val="es-MX"/>
        </w:rPr>
      </w:pPr>
      <w:r w:rsidRPr="005D2619">
        <w:rPr>
          <w:rFonts w:ascii="Cambria" w:hAnsi="Cambria"/>
          <w:sz w:val="20"/>
          <w:szCs w:val="20"/>
          <w:lang w:val="es-MX"/>
        </w:rPr>
        <w:t>Compendiado el acontecer cronológico que ha llevado esta investigación preliminar, se tiene que la misma ha perdurado en el tiempo por un término superior a ocho años (...) sin que ninguno de los fiscales de conocimiento se pronunciasen de fondo para optar por una formal apertura de investigación, o por el proferimiento de una resolución inhibitoria</w:t>
      </w:r>
      <w:r w:rsidR="00660082" w:rsidRPr="005D2619">
        <w:rPr>
          <w:rFonts w:ascii="Cambria" w:hAnsi="Cambria"/>
          <w:sz w:val="20"/>
          <w:szCs w:val="20"/>
          <w:lang w:val="es-MX"/>
        </w:rPr>
        <w:t>, y ante este silencio en el que predominó el decreto de pruebas (...) no se auscultó en realidad sobre la veracidad de dicho de los declarantes de cargo (...). La acción penal a que hubiere lugar se encuentra prescrita, sin que tal ficción jurídica pueda ser enrostrada y asumida por el denunciante, que de siempre o de manera regular (...) pregonaba por su defensa (...). No debemos olvidar que por esos presuntos falsos testimonios se vulneró uno de los máximos derechos universales fundamentales, cual es el de la libertad de una person</w:t>
      </w:r>
      <w:r w:rsidR="00EC4F54" w:rsidRPr="005D2619">
        <w:rPr>
          <w:rFonts w:ascii="Cambria" w:hAnsi="Cambria"/>
          <w:sz w:val="20"/>
          <w:szCs w:val="20"/>
          <w:lang w:val="es-MX"/>
        </w:rPr>
        <w:t xml:space="preserve">a y por ende su </w:t>
      </w:r>
      <w:r w:rsidR="00EC4F54" w:rsidRPr="005D2619">
        <w:rPr>
          <w:rFonts w:ascii="Cambria" w:hAnsi="Cambria"/>
          <w:sz w:val="20"/>
          <w:szCs w:val="20"/>
          <w:lang w:val="es-MX"/>
        </w:rPr>
        <w:lastRenderedPageBreak/>
        <w:t>desmedro a su dignidad humana, principios que se enmarcan por encima de nuestro ordenamiento constitucional</w:t>
      </w:r>
      <w:r w:rsidR="00660082" w:rsidRPr="005D2619">
        <w:rPr>
          <w:rStyle w:val="FootnoteReference"/>
          <w:rFonts w:ascii="Cambria" w:hAnsi="Cambria"/>
          <w:sz w:val="20"/>
          <w:szCs w:val="20"/>
          <w:lang w:val="es-MX"/>
        </w:rPr>
        <w:footnoteReference w:id="65"/>
      </w:r>
      <w:r w:rsidR="00660082" w:rsidRPr="005D2619">
        <w:rPr>
          <w:rFonts w:ascii="Cambria" w:hAnsi="Cambria"/>
          <w:sz w:val="20"/>
          <w:szCs w:val="20"/>
          <w:lang w:val="es-MX"/>
        </w:rPr>
        <w:t>.</w:t>
      </w:r>
    </w:p>
    <w:p w14:paraId="12DF4897" w14:textId="77777777" w:rsidR="00654512" w:rsidRPr="005D2619" w:rsidRDefault="00654512" w:rsidP="00F073DA">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MX"/>
        </w:rPr>
      </w:pPr>
    </w:p>
    <w:p w14:paraId="1AF07FDB" w14:textId="77777777" w:rsidR="00660082" w:rsidRPr="005D2619" w:rsidRDefault="00EC4F54" w:rsidP="009C17AD">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MX"/>
        </w:rPr>
      </w:pPr>
      <w:r w:rsidRPr="005D2619">
        <w:rPr>
          <w:rFonts w:ascii="Cambria" w:hAnsi="Cambria"/>
          <w:sz w:val="20"/>
          <w:szCs w:val="20"/>
          <w:lang w:val="es-MX"/>
        </w:rPr>
        <w:t>Por lo expuesto, la Fiscalía decretó un auto formal de apertura de instrucción por el delito de falso testimonio y fraude procesal, y solicitó que se requieran las indagatorias de las tres personas procesadas</w:t>
      </w:r>
      <w:r w:rsidRPr="005D2619">
        <w:rPr>
          <w:rStyle w:val="FootnoteReference"/>
          <w:rFonts w:ascii="Cambria" w:hAnsi="Cambria"/>
          <w:sz w:val="20"/>
          <w:szCs w:val="20"/>
          <w:lang w:val="es-MX"/>
        </w:rPr>
        <w:footnoteReference w:id="66"/>
      </w:r>
      <w:r w:rsidRPr="005D2619">
        <w:rPr>
          <w:rFonts w:ascii="Cambria" w:hAnsi="Cambria"/>
          <w:sz w:val="20"/>
          <w:szCs w:val="20"/>
          <w:lang w:val="es-MX"/>
        </w:rPr>
        <w:t>.</w:t>
      </w:r>
    </w:p>
    <w:p w14:paraId="1765B47A" w14:textId="77777777" w:rsidR="00660082" w:rsidRPr="005D2619" w:rsidRDefault="00660082" w:rsidP="00660082">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sz w:val="20"/>
          <w:szCs w:val="20"/>
          <w:lang w:val="es-MX"/>
        </w:rPr>
      </w:pPr>
    </w:p>
    <w:p w14:paraId="33C95D79" w14:textId="77777777" w:rsidR="00EC4F54" w:rsidRPr="005D2619" w:rsidRDefault="009C17AD" w:rsidP="009C17AD">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MX"/>
        </w:rPr>
      </w:pPr>
      <w:r w:rsidRPr="005D2619">
        <w:rPr>
          <w:rFonts w:ascii="Cambria" w:hAnsi="Cambria"/>
          <w:sz w:val="20"/>
          <w:szCs w:val="20"/>
          <w:lang w:val="es-MX"/>
        </w:rPr>
        <w:t>El 1 de julio de 2010</w:t>
      </w:r>
      <w:r w:rsidR="00EC4F54" w:rsidRPr="005D2619">
        <w:rPr>
          <w:rFonts w:ascii="Cambria" w:hAnsi="Cambria"/>
          <w:sz w:val="20"/>
          <w:szCs w:val="20"/>
          <w:lang w:val="es-MX"/>
        </w:rPr>
        <w:t xml:space="preserve"> Fiscalía 28 Especializada resolvió precluir la investigación al indicar lo siguiente:</w:t>
      </w:r>
    </w:p>
    <w:p w14:paraId="4F13CACA" w14:textId="77777777" w:rsidR="00EC4F54" w:rsidRPr="005D2619" w:rsidRDefault="00EC4F54" w:rsidP="00EC4F54">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MX"/>
        </w:rPr>
      </w:pPr>
    </w:p>
    <w:p w14:paraId="45578D6F" w14:textId="77777777" w:rsidR="00EC4F54" w:rsidRPr="005D2619" w:rsidRDefault="006F36C1" w:rsidP="0062660B">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right="720" w:firstLine="0"/>
        <w:jc w:val="both"/>
        <w:rPr>
          <w:rFonts w:ascii="Cambria" w:hAnsi="Cambria"/>
          <w:sz w:val="20"/>
          <w:szCs w:val="20"/>
          <w:lang w:val="es-MX"/>
        </w:rPr>
      </w:pPr>
      <w:r w:rsidRPr="005D2619">
        <w:rPr>
          <w:rFonts w:ascii="Cambria" w:hAnsi="Cambria"/>
          <w:sz w:val="20"/>
          <w:szCs w:val="20"/>
          <w:lang w:val="es-MX"/>
        </w:rPr>
        <w:t>(...) el artículo 232 de la ley 600 de 2000 exige para una eventual trascendencia a estadio de juicio y posterior condena, la existencia de prueba que conduzca a la certeza de la conducta punible (...) y de la responsabilidad del (sic) procesados, situación de exigencia objetiva (...) que no se encuentran probada en este plenario. Es decir ni la inocencia del denunciante, ni la responsabilidad de los (...) sindicados (...), aunada al fenómeno jurídico de la prescripción de la acción penal fundan motivos suficientes para la adopción de esta determinación.</w:t>
      </w:r>
    </w:p>
    <w:p w14:paraId="4AD9C44C" w14:textId="77777777" w:rsidR="00205FFD" w:rsidRPr="005D2619" w:rsidRDefault="00205FFD" w:rsidP="0062660B">
      <w:pPr>
        <w:pStyle w:val="BodyText3"/>
        <w:spacing w:after="0"/>
        <w:ind w:firstLine="720"/>
        <w:jc w:val="both"/>
        <w:rPr>
          <w:rFonts w:ascii="Cambria" w:hAnsi="Cambria"/>
          <w:sz w:val="20"/>
          <w:szCs w:val="20"/>
          <w:lang w:val="es-ES"/>
        </w:rPr>
      </w:pPr>
    </w:p>
    <w:p w14:paraId="1F4C83CF" w14:textId="77777777" w:rsidR="008D08BD" w:rsidRPr="005D2619" w:rsidRDefault="008D08BD" w:rsidP="0062660B">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ES"/>
        </w:rPr>
      </w:pPr>
      <w:r w:rsidRPr="005D2619">
        <w:rPr>
          <w:rFonts w:ascii="Cambria" w:hAnsi="Cambria"/>
          <w:sz w:val="20"/>
          <w:szCs w:val="20"/>
          <w:lang w:val="es-ES"/>
        </w:rPr>
        <w:t>El Estado informó que dicha resolución fue apelada por la defensa del señor Sastoque y que se remitió a la Fiscalía Delegada ante el Tribunal de Bogotá para que sea resuelta</w:t>
      </w:r>
      <w:r w:rsidRPr="005D2619">
        <w:rPr>
          <w:rStyle w:val="FootnoteReference"/>
          <w:rFonts w:ascii="Cambria" w:hAnsi="Cambria"/>
          <w:sz w:val="20"/>
          <w:szCs w:val="20"/>
          <w:lang w:val="es-ES"/>
        </w:rPr>
        <w:footnoteReference w:id="67"/>
      </w:r>
      <w:r w:rsidRPr="005D2619">
        <w:rPr>
          <w:rFonts w:ascii="Cambria" w:hAnsi="Cambria"/>
          <w:sz w:val="20"/>
          <w:szCs w:val="20"/>
          <w:lang w:val="es-ES"/>
        </w:rPr>
        <w:t>.</w:t>
      </w:r>
    </w:p>
    <w:p w14:paraId="55695AC3" w14:textId="77777777" w:rsidR="001A744E" w:rsidRPr="005D2619" w:rsidRDefault="001A744E" w:rsidP="0062660B">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sz w:val="20"/>
          <w:szCs w:val="20"/>
          <w:lang w:val="es-ES"/>
        </w:rPr>
      </w:pPr>
    </w:p>
    <w:p w14:paraId="45CBDE61" w14:textId="77777777" w:rsidR="00FC3FDA" w:rsidRPr="005D2619" w:rsidRDefault="00112CB0" w:rsidP="006F72FC">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rPr>
      </w:pPr>
      <w:r w:rsidRPr="005D2619">
        <w:rPr>
          <w:rFonts w:ascii="Cambria" w:hAnsi="Cambria"/>
          <w:sz w:val="20"/>
          <w:szCs w:val="20"/>
          <w:lang w:val="es-ES"/>
        </w:rPr>
        <w:t>De acuerdo a una nota de prensa</w:t>
      </w:r>
      <w:r w:rsidR="008425A9" w:rsidRPr="005D2619">
        <w:rPr>
          <w:rFonts w:ascii="Cambria" w:hAnsi="Cambria"/>
          <w:sz w:val="20"/>
          <w:szCs w:val="20"/>
          <w:lang w:val="es-ES"/>
        </w:rPr>
        <w:t>, a inicios del año 2011 la Fiscalía Delegada ante el Tribunal Superior de Bogotá revocó la preclusión de la investigación y dictó un auto de acusación en contra de las tres personas procesadas</w:t>
      </w:r>
      <w:r w:rsidRPr="005D2619">
        <w:rPr>
          <w:rStyle w:val="FootnoteReference"/>
          <w:rFonts w:ascii="Cambria" w:hAnsi="Cambria"/>
          <w:sz w:val="20"/>
          <w:szCs w:val="20"/>
          <w:lang w:val="es-ES"/>
        </w:rPr>
        <w:footnoteReference w:id="68"/>
      </w:r>
      <w:r w:rsidR="008425A9" w:rsidRPr="005D2619">
        <w:rPr>
          <w:rFonts w:ascii="Cambria" w:hAnsi="Cambria"/>
          <w:sz w:val="20"/>
          <w:szCs w:val="20"/>
          <w:lang w:val="es-ES"/>
        </w:rPr>
        <w:t>.</w:t>
      </w:r>
      <w:r w:rsidR="0062660B" w:rsidRPr="005D2619">
        <w:rPr>
          <w:rFonts w:ascii="Cambria" w:hAnsi="Cambria"/>
          <w:sz w:val="20"/>
          <w:szCs w:val="20"/>
          <w:lang w:val="es-ES"/>
        </w:rPr>
        <w:t xml:space="preserve"> Asimismo, conforme a otra nota de prensa, el 4 de octubre de 2012 se inició el juicio ante el J</w:t>
      </w:r>
      <w:r w:rsidR="009B5CD8" w:rsidRPr="005D2619">
        <w:rPr>
          <w:rFonts w:ascii="Cambria" w:hAnsi="Cambria"/>
          <w:sz w:val="20"/>
          <w:szCs w:val="20"/>
          <w:shd w:val="clear" w:color="auto" w:fill="FFFFFF"/>
        </w:rPr>
        <w:t>uzgado</w:t>
      </w:r>
      <w:r w:rsidR="0062660B" w:rsidRPr="005D2619">
        <w:rPr>
          <w:rFonts w:ascii="Cambria" w:hAnsi="Cambria"/>
          <w:sz w:val="20"/>
          <w:szCs w:val="20"/>
          <w:shd w:val="clear" w:color="auto" w:fill="FFFFFF"/>
        </w:rPr>
        <w:t xml:space="preserve"> Quinto Penal del Circuito Adjunto de Bogotá en contra de las personas ya citadas. </w:t>
      </w:r>
      <w:r w:rsidR="00FC3FDA" w:rsidRPr="005D2619">
        <w:rPr>
          <w:rFonts w:ascii="Cambria" w:hAnsi="Cambria"/>
          <w:sz w:val="20"/>
          <w:szCs w:val="20"/>
          <w:shd w:val="clear" w:color="auto" w:fill="FFFFFF"/>
        </w:rPr>
        <w:t xml:space="preserve">En dicha nota de prensa se indica que las hermanas Guevara se habrían dado a la fuga y que el señor Ramírez habría reconocido que fue amenazado por agentes que dijeron ser de la Fiscalía para que indique que Gustavo Sastoque fue la persona que disparó a </w:t>
      </w:r>
      <w:r w:rsidR="00A124C2" w:rsidRPr="005D2619">
        <w:rPr>
          <w:rFonts w:ascii="Cambria" w:hAnsi="Cambria"/>
          <w:sz w:val="20"/>
          <w:szCs w:val="20"/>
          <w:shd w:val="clear" w:color="auto" w:fill="FFFFFF"/>
        </w:rPr>
        <w:t>Hernando</w:t>
      </w:r>
      <w:r w:rsidR="00FC3FDA" w:rsidRPr="005D2619">
        <w:rPr>
          <w:rFonts w:ascii="Cambria" w:hAnsi="Cambria"/>
          <w:sz w:val="20"/>
          <w:szCs w:val="20"/>
          <w:shd w:val="clear" w:color="auto" w:fill="FFFFFF"/>
        </w:rPr>
        <w:t xml:space="preserve"> Pizarro</w:t>
      </w:r>
      <w:r w:rsidR="00FC3FDA" w:rsidRPr="005D2619">
        <w:rPr>
          <w:rStyle w:val="FootnoteReference"/>
          <w:rFonts w:ascii="Cambria" w:hAnsi="Cambria"/>
          <w:sz w:val="20"/>
          <w:szCs w:val="20"/>
          <w:lang w:val="es-ES"/>
        </w:rPr>
        <w:footnoteReference w:id="69"/>
      </w:r>
      <w:r w:rsidR="00FC3FDA" w:rsidRPr="005D2619">
        <w:rPr>
          <w:rFonts w:ascii="Cambria" w:hAnsi="Cambria"/>
          <w:sz w:val="20"/>
          <w:szCs w:val="20"/>
          <w:shd w:val="clear" w:color="auto" w:fill="FFFFFF"/>
        </w:rPr>
        <w:t>.</w:t>
      </w:r>
    </w:p>
    <w:p w14:paraId="391F0C86" w14:textId="77777777" w:rsidR="00F970AF" w:rsidRPr="005D2619" w:rsidRDefault="00F970AF" w:rsidP="00A46D91">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shd w:val="clear" w:color="auto" w:fill="FFFFFF"/>
        </w:rPr>
      </w:pPr>
    </w:p>
    <w:p w14:paraId="77304FFC" w14:textId="77777777" w:rsidR="0062660B" w:rsidRPr="005D2619" w:rsidRDefault="0062660B" w:rsidP="00A46D91">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rPr>
      </w:pPr>
      <w:r w:rsidRPr="005D2619">
        <w:rPr>
          <w:rFonts w:ascii="Cambria" w:hAnsi="Cambria"/>
          <w:sz w:val="20"/>
          <w:szCs w:val="20"/>
          <w:shd w:val="clear" w:color="auto" w:fill="FFFFFF"/>
        </w:rPr>
        <w:t>La CIDH no cuenta con información sobre el estado</w:t>
      </w:r>
      <w:r w:rsidR="004A073A" w:rsidRPr="005D2619">
        <w:rPr>
          <w:rFonts w:ascii="Cambria" w:hAnsi="Cambria"/>
          <w:sz w:val="20"/>
          <w:szCs w:val="20"/>
          <w:shd w:val="clear" w:color="auto" w:fill="FFFFFF"/>
        </w:rPr>
        <w:t xml:space="preserve"> actual</w:t>
      </w:r>
      <w:r w:rsidRPr="005D2619">
        <w:rPr>
          <w:rFonts w:ascii="Cambria" w:hAnsi="Cambria"/>
          <w:sz w:val="20"/>
          <w:szCs w:val="20"/>
          <w:shd w:val="clear" w:color="auto" w:fill="FFFFFF"/>
        </w:rPr>
        <w:t xml:space="preserve"> de dicho proceso.</w:t>
      </w:r>
    </w:p>
    <w:p w14:paraId="1379788D" w14:textId="77777777" w:rsidR="001A744E" w:rsidRPr="005D2619" w:rsidRDefault="001A744E" w:rsidP="00A46D91">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ES"/>
        </w:rPr>
      </w:pPr>
    </w:p>
    <w:p w14:paraId="100C1C63" w14:textId="77777777" w:rsidR="007C6AC2" w:rsidRDefault="007C6AC2">
      <w:pPr>
        <w:spacing w:after="0" w:line="240" w:lineRule="auto"/>
        <w:rPr>
          <w:rFonts w:ascii="Cambria" w:eastAsia="MS Gothic" w:hAnsi="Cambria"/>
          <w:b/>
          <w:bCs/>
          <w:sz w:val="20"/>
          <w:szCs w:val="20"/>
          <w:bdr w:val="nil"/>
          <w:lang w:val="es-MX"/>
        </w:rPr>
      </w:pPr>
      <w:r>
        <w:rPr>
          <w:lang w:val="es-MX"/>
        </w:rPr>
        <w:br w:type="page"/>
      </w:r>
    </w:p>
    <w:p w14:paraId="36127265" w14:textId="04B432C3" w:rsidR="006F72FC" w:rsidRPr="005D2619" w:rsidRDefault="006F72FC" w:rsidP="00A46D91">
      <w:pPr>
        <w:pStyle w:val="Heading1"/>
        <w:ind w:left="1440" w:hanging="720"/>
        <w:jc w:val="both"/>
        <w:rPr>
          <w:lang w:val="es-ES_tradnl"/>
        </w:rPr>
      </w:pPr>
      <w:bookmarkStart w:id="21" w:name="_Toc203986806"/>
      <w:r w:rsidRPr="005D2619">
        <w:rPr>
          <w:lang w:val="es-MX"/>
        </w:rPr>
        <w:lastRenderedPageBreak/>
        <w:t>ANÁLISIS</w:t>
      </w:r>
      <w:r w:rsidRPr="005D2619">
        <w:rPr>
          <w:lang w:val="es-ES_tradnl"/>
        </w:rPr>
        <w:t xml:space="preserve"> DE DERECHO</w:t>
      </w:r>
      <w:bookmarkEnd w:id="21"/>
    </w:p>
    <w:p w14:paraId="7CBB56DE" w14:textId="77777777" w:rsidR="006F72FC" w:rsidRPr="005D2619" w:rsidRDefault="006F72FC" w:rsidP="00A46D91">
      <w:pPr>
        <w:spacing w:after="0" w:line="240" w:lineRule="auto"/>
        <w:rPr>
          <w:rFonts w:ascii="Cambria" w:hAnsi="Cambria"/>
          <w:sz w:val="20"/>
          <w:szCs w:val="20"/>
          <w:lang w:val="es-ES_tradnl"/>
        </w:rPr>
      </w:pPr>
    </w:p>
    <w:p w14:paraId="3A007C1C" w14:textId="77777777" w:rsidR="00A46D91" w:rsidRPr="005D2619" w:rsidRDefault="00A46D91" w:rsidP="007C4794">
      <w:pPr>
        <w:pStyle w:val="Heading2"/>
        <w:numPr>
          <w:ilvl w:val="0"/>
          <w:numId w:val="55"/>
        </w:numPr>
        <w:rPr>
          <w:lang w:val="es-ES"/>
        </w:rPr>
      </w:pPr>
      <w:bookmarkStart w:id="22" w:name="_Toc203986807"/>
      <w:bookmarkStart w:id="23" w:name="_Toc494277030"/>
      <w:r w:rsidRPr="005D2619">
        <w:rPr>
          <w:lang w:val="es-ES"/>
        </w:rPr>
        <w:t>Derecho a la libertad personal (artículo 7</w:t>
      </w:r>
      <w:r w:rsidRPr="005D2619">
        <w:rPr>
          <w:rStyle w:val="FootnoteReference"/>
        </w:rPr>
        <w:footnoteReference w:id="70"/>
      </w:r>
      <w:r w:rsidRPr="005D2619">
        <w:rPr>
          <w:lang w:val="es-ES"/>
        </w:rPr>
        <w:t xml:space="preserve"> de la Convención Americana, en relación con el artículo 1.1 del mismo instrumento)</w:t>
      </w:r>
      <w:bookmarkEnd w:id="22"/>
    </w:p>
    <w:p w14:paraId="3FA60295" w14:textId="77777777" w:rsidR="00A46D91" w:rsidRPr="005D2619" w:rsidRDefault="00A46D91" w:rsidP="002541C5">
      <w:pPr>
        <w:pStyle w:val="Heading2"/>
        <w:numPr>
          <w:ilvl w:val="0"/>
          <w:numId w:val="0"/>
        </w:numPr>
        <w:ind w:left="1440"/>
        <w:rPr>
          <w:lang w:val="es-ES"/>
        </w:rPr>
      </w:pPr>
    </w:p>
    <w:p w14:paraId="5EBDE1BF" w14:textId="77777777" w:rsidR="002541C5" w:rsidRPr="005D2619" w:rsidRDefault="002541C5" w:rsidP="00E07E25">
      <w:pPr>
        <w:numPr>
          <w:ilvl w:val="3"/>
          <w:numId w:val="53"/>
        </w:numPr>
        <w:tabs>
          <w:tab w:val="clear" w:pos="2880"/>
          <w:tab w:val="num" w:pos="1440"/>
        </w:tabs>
        <w:spacing w:after="0" w:line="240" w:lineRule="auto"/>
        <w:ind w:left="1440" w:hanging="720"/>
        <w:jc w:val="both"/>
        <w:rPr>
          <w:rFonts w:ascii="Cambria" w:hAnsi="Cambria"/>
          <w:b/>
          <w:sz w:val="20"/>
          <w:szCs w:val="20"/>
          <w:lang w:val="es-ES"/>
        </w:rPr>
      </w:pPr>
      <w:r w:rsidRPr="005D2619">
        <w:rPr>
          <w:rFonts w:ascii="Cambria" w:hAnsi="Cambria"/>
          <w:b/>
          <w:sz w:val="20"/>
          <w:szCs w:val="20"/>
          <w:lang w:val="es-ES"/>
        </w:rPr>
        <w:t>El derecho a no ser privado de libertad ilegalmente</w:t>
      </w:r>
      <w:r w:rsidR="007F6A75" w:rsidRPr="005D2619">
        <w:rPr>
          <w:rFonts w:ascii="Cambria" w:hAnsi="Cambria"/>
          <w:b/>
          <w:sz w:val="20"/>
          <w:szCs w:val="20"/>
          <w:lang w:val="es-ES"/>
        </w:rPr>
        <w:t xml:space="preserve"> y a conocer las razones de la detención</w:t>
      </w:r>
    </w:p>
    <w:p w14:paraId="358A5180" w14:textId="77777777" w:rsidR="002541C5" w:rsidRPr="005D2619" w:rsidRDefault="002541C5" w:rsidP="002541C5">
      <w:pPr>
        <w:spacing w:after="0" w:line="240" w:lineRule="auto"/>
        <w:rPr>
          <w:rFonts w:ascii="Cambria" w:hAnsi="Cambria"/>
          <w:sz w:val="20"/>
          <w:szCs w:val="20"/>
          <w:lang w:val="es-ES"/>
        </w:rPr>
      </w:pPr>
    </w:p>
    <w:p w14:paraId="166571AC" w14:textId="77777777" w:rsidR="002541C5" w:rsidRPr="005D2619" w:rsidRDefault="00BE7A7D" w:rsidP="002541C5">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b/>
          <w:sz w:val="20"/>
          <w:szCs w:val="20"/>
          <w:lang w:val="es-CO"/>
        </w:rPr>
      </w:pPr>
      <w:r w:rsidRPr="005D2619">
        <w:rPr>
          <w:rFonts w:ascii="Cambria" w:hAnsi="Cambria" w:cs="Arial"/>
          <w:sz w:val="20"/>
          <w:szCs w:val="20"/>
          <w:lang w:val="es-ES"/>
        </w:rPr>
        <w:t>L</w:t>
      </w:r>
      <w:r w:rsidR="002541C5" w:rsidRPr="005D2619">
        <w:rPr>
          <w:rFonts w:ascii="Cambria" w:hAnsi="Cambria" w:cs="Arial"/>
          <w:sz w:val="20"/>
          <w:szCs w:val="20"/>
          <w:lang w:val="es-CO"/>
        </w:rPr>
        <w:t xml:space="preserve">a Corte Interamericana ha indicado que el </w:t>
      </w:r>
      <w:r w:rsidRPr="005D2619">
        <w:rPr>
          <w:rFonts w:ascii="Cambria" w:hAnsi="Cambria" w:cs="Arial"/>
          <w:sz w:val="20"/>
          <w:szCs w:val="20"/>
          <w:lang w:val="es-CO"/>
        </w:rPr>
        <w:t>artículo 7.2 de la Convención Americana</w:t>
      </w:r>
      <w:r w:rsidR="002541C5" w:rsidRPr="005D2619">
        <w:rPr>
          <w:rFonts w:ascii="Cambria" w:hAnsi="Cambria" w:cs="Arial"/>
          <w:sz w:val="20"/>
          <w:szCs w:val="20"/>
          <w:lang w:val="es-CO"/>
        </w:rPr>
        <w:t xml:space="preserve"> “</w:t>
      </w:r>
      <w:r w:rsidR="002541C5" w:rsidRPr="005D2619">
        <w:rPr>
          <w:rFonts w:ascii="Cambria" w:hAnsi="Cambria"/>
          <w:sz w:val="20"/>
          <w:szCs w:val="20"/>
          <w:lang w:val="es-CO"/>
        </w:rPr>
        <w:t>reconoce la garantía primaria del derecho a la libertad física: la reserva de ley, según la cual, únicamente a través de una ley puede afectarse el derecho a la libertad personal”</w:t>
      </w:r>
      <w:r w:rsidR="002541C5" w:rsidRPr="005D2619">
        <w:rPr>
          <w:rStyle w:val="FootnoteReference"/>
          <w:rFonts w:ascii="Cambria" w:hAnsi="Cambria"/>
          <w:sz w:val="20"/>
          <w:szCs w:val="20"/>
        </w:rPr>
        <w:footnoteReference w:id="71"/>
      </w:r>
      <w:r w:rsidR="002541C5" w:rsidRPr="005D2619">
        <w:rPr>
          <w:rFonts w:ascii="Cambria" w:hAnsi="Cambria"/>
          <w:sz w:val="20"/>
          <w:szCs w:val="20"/>
          <w:lang w:val="es-CO"/>
        </w:rPr>
        <w:t>.</w:t>
      </w:r>
      <w:r w:rsidR="002541C5" w:rsidRPr="005D2619">
        <w:rPr>
          <w:rFonts w:ascii="Cambria" w:hAnsi="Cambria"/>
          <w:b/>
          <w:sz w:val="20"/>
          <w:szCs w:val="20"/>
          <w:lang w:val="es-CO"/>
        </w:rPr>
        <w:t xml:space="preserve"> </w:t>
      </w:r>
      <w:r w:rsidR="002541C5" w:rsidRPr="005D2619">
        <w:rPr>
          <w:rFonts w:ascii="Cambria" w:hAnsi="Cambria"/>
          <w:sz w:val="20"/>
          <w:szCs w:val="20"/>
          <w:lang w:val="es-US"/>
        </w:rPr>
        <w:t xml:space="preserve">La reserva de ley que se requiere para afectar el derecho a la </w:t>
      </w:r>
      <w:r w:rsidR="002541C5" w:rsidRPr="005D2619">
        <w:rPr>
          <w:rFonts w:ascii="Cambria" w:hAnsi="Cambria"/>
          <w:sz w:val="20"/>
          <w:szCs w:val="20"/>
          <w:lang w:val="es-ES"/>
        </w:rPr>
        <w:t>libertad</w:t>
      </w:r>
      <w:r w:rsidR="002541C5" w:rsidRPr="005D2619">
        <w:rPr>
          <w:rFonts w:ascii="Cambria" w:hAnsi="Cambria"/>
          <w:sz w:val="20"/>
          <w:szCs w:val="20"/>
          <w:lang w:val="es-US"/>
        </w:rPr>
        <w:t xml:space="preserve"> personal de conformidad con el artículo 7.2 de la Convención es que debe forzosamente ir acompañada del principio de tipicidad, que obliga a los Estados a establecer, tan concretamente como sea posible y “de antemano”, las “causas” y “condiciones” de la </w:t>
      </w:r>
      <w:r w:rsidRPr="005D2619">
        <w:rPr>
          <w:rFonts w:ascii="Cambria" w:hAnsi="Cambria"/>
          <w:sz w:val="20"/>
          <w:szCs w:val="20"/>
          <w:lang w:val="es-US"/>
        </w:rPr>
        <w:t>privación de la libertad física</w:t>
      </w:r>
      <w:r w:rsidR="002541C5" w:rsidRPr="005D2619">
        <w:rPr>
          <w:rStyle w:val="FootnoteReference"/>
          <w:rFonts w:ascii="Cambria" w:hAnsi="Cambria"/>
          <w:sz w:val="20"/>
          <w:szCs w:val="20"/>
          <w:lang w:val="es-ES"/>
        </w:rPr>
        <w:footnoteReference w:id="72"/>
      </w:r>
      <w:r w:rsidR="002541C5" w:rsidRPr="005D2619">
        <w:rPr>
          <w:rFonts w:ascii="Cambria" w:hAnsi="Cambria"/>
          <w:sz w:val="20"/>
          <w:szCs w:val="20"/>
          <w:lang w:val="es-US"/>
        </w:rPr>
        <w:t>.</w:t>
      </w:r>
    </w:p>
    <w:p w14:paraId="4CC6829D" w14:textId="77777777" w:rsidR="002541C5" w:rsidRPr="005D2619" w:rsidRDefault="002541C5" w:rsidP="002541C5">
      <w:pPr>
        <w:spacing w:after="0" w:line="240" w:lineRule="auto"/>
        <w:rPr>
          <w:rFonts w:ascii="Cambria" w:hAnsi="Cambria"/>
          <w:sz w:val="20"/>
          <w:szCs w:val="20"/>
          <w:lang w:val="es-CO"/>
        </w:rPr>
      </w:pPr>
    </w:p>
    <w:p w14:paraId="768DA489" w14:textId="77777777" w:rsidR="00AD0F93" w:rsidRPr="005D2619" w:rsidRDefault="00AD0F93" w:rsidP="00E07E25">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CO"/>
        </w:rPr>
      </w:pPr>
      <w:r w:rsidRPr="005D2619">
        <w:rPr>
          <w:rFonts w:ascii="Cambria" w:hAnsi="Cambria"/>
          <w:sz w:val="20"/>
        </w:rPr>
        <w:t xml:space="preserve">En cuanto al artículo 7.4 de la Convención, los órganos del sistema interamericano han indicado que la información de los “motivos y razones” de la detención debe darse “cuando ésta se produce”, lo cual constituye un mecanismo para evitar detenciones </w:t>
      </w:r>
      <w:r w:rsidRPr="005D2619">
        <w:rPr>
          <w:rFonts w:ascii="Cambria" w:hAnsi="Cambria" w:cs="Arial"/>
          <w:sz w:val="20"/>
          <w:szCs w:val="20"/>
          <w:lang w:val="es-ES"/>
        </w:rPr>
        <w:t>ilegales</w:t>
      </w:r>
      <w:r w:rsidRPr="005D2619">
        <w:rPr>
          <w:rFonts w:ascii="Cambria" w:hAnsi="Cambria"/>
          <w:sz w:val="20"/>
        </w:rPr>
        <w:t xml:space="preserve"> o arbitrarias desde el momento mismo de la privación de libertad y, a su vez, garantiza el derecho de defensa del individuo</w:t>
      </w:r>
      <w:r w:rsidRPr="005D2619">
        <w:rPr>
          <w:rStyle w:val="FootnoteReference"/>
          <w:rFonts w:ascii="Cambria" w:hAnsi="Cambria"/>
          <w:sz w:val="20"/>
        </w:rPr>
        <w:footnoteReference w:id="73"/>
      </w:r>
      <w:r w:rsidRPr="005D2619">
        <w:rPr>
          <w:rFonts w:ascii="Cambria" w:hAnsi="Cambria"/>
          <w:sz w:val="20"/>
        </w:rPr>
        <w:t xml:space="preserve">. Asimismo, la Corte ha </w:t>
      </w:r>
      <w:r w:rsidRPr="005D2619">
        <w:rPr>
          <w:rFonts w:ascii="Cambria" w:hAnsi="Cambria" w:cs="Arial"/>
          <w:sz w:val="20"/>
        </w:rPr>
        <w:t>señalado</w:t>
      </w:r>
      <w:r w:rsidRPr="005D2619">
        <w:rPr>
          <w:rFonts w:ascii="Cambria" w:hAnsi="Cambria"/>
          <w:sz w:val="20"/>
        </w:rPr>
        <w:t xml:space="preserve"> que el agente que lleva a cabo la detención debe informar en un lenguaje simple, libre de tecnicismos, los hechos y bases jurídicas esenciales en los que se basa la detención. No se satisface el artículo 7.4 de la Convención si sólo se menciona la base legal</w:t>
      </w:r>
      <w:r w:rsidRPr="005D2619">
        <w:rPr>
          <w:rStyle w:val="FootnoteReference"/>
          <w:rFonts w:ascii="Cambria" w:hAnsi="Cambria"/>
          <w:sz w:val="20"/>
        </w:rPr>
        <w:footnoteReference w:id="74"/>
      </w:r>
      <w:r w:rsidRPr="005D2619">
        <w:rPr>
          <w:rFonts w:ascii="Cambria" w:hAnsi="Cambria"/>
          <w:sz w:val="20"/>
        </w:rPr>
        <w:t>. La Corte Interamericana ha precisado que, en síntesis, el artículo 7.4 de la Convención alude a dos aspectos: i) la información en forma oral o escrita sobre las razones de la detención, y ii) la notificación, que debe ser por escrito, de los cargos</w:t>
      </w:r>
      <w:r w:rsidRPr="005D2619">
        <w:rPr>
          <w:rStyle w:val="FootnoteReference"/>
          <w:rFonts w:ascii="Cambria" w:hAnsi="Cambria"/>
          <w:sz w:val="20"/>
        </w:rPr>
        <w:footnoteReference w:id="75"/>
      </w:r>
      <w:r w:rsidRPr="005D2619">
        <w:rPr>
          <w:rFonts w:ascii="Cambria" w:hAnsi="Cambria"/>
          <w:sz w:val="20"/>
        </w:rPr>
        <w:t>.</w:t>
      </w:r>
    </w:p>
    <w:p w14:paraId="32EE245D" w14:textId="77777777" w:rsidR="00AD0F93" w:rsidRPr="005D2619" w:rsidRDefault="00AD0F93" w:rsidP="002541C5">
      <w:pPr>
        <w:spacing w:after="0" w:line="240" w:lineRule="auto"/>
        <w:rPr>
          <w:rFonts w:ascii="Cambria" w:hAnsi="Cambria"/>
          <w:sz w:val="20"/>
          <w:szCs w:val="20"/>
          <w:lang w:val="es-CO"/>
        </w:rPr>
      </w:pPr>
    </w:p>
    <w:p w14:paraId="74F5E2B7" w14:textId="77777777" w:rsidR="00F65839" w:rsidRPr="005D2619" w:rsidRDefault="0037214F" w:rsidP="00A227F7">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ES"/>
        </w:rPr>
      </w:pPr>
      <w:r w:rsidRPr="005D2619">
        <w:rPr>
          <w:rFonts w:ascii="Cambria" w:hAnsi="Cambria"/>
          <w:sz w:val="20"/>
          <w:szCs w:val="20"/>
          <w:lang w:val="es-ES"/>
        </w:rPr>
        <w:t>En aplicación de los anteriores estándares al presente caso, e</w:t>
      </w:r>
      <w:r w:rsidR="00F65839" w:rsidRPr="005D2619">
        <w:rPr>
          <w:rFonts w:ascii="Cambria" w:hAnsi="Cambria"/>
          <w:sz w:val="20"/>
          <w:szCs w:val="20"/>
          <w:lang w:val="es-ES"/>
        </w:rPr>
        <w:t>l artículo 28 de la Constitución Política de Colombia establece: “</w:t>
      </w:r>
      <w:r w:rsidR="00F65839" w:rsidRPr="005D2619">
        <w:rPr>
          <w:rFonts w:ascii="Cambria" w:hAnsi="Cambria" w:cs="Arial"/>
          <w:sz w:val="20"/>
          <w:szCs w:val="20"/>
          <w:lang w:val="es-ES"/>
        </w:rPr>
        <w:t xml:space="preserve">Toda persona es libre. Nadie puede ser molestado en su persona o familia, ni reducido a prisión o arresto, ni detenido, ni su domicilio registrado, sino en virtud de mandamiento escrito de autoridad judicial competente, con las formalidades legales y por motivo previamente definido en la ley (…).” </w:t>
      </w:r>
    </w:p>
    <w:p w14:paraId="18078C01" w14:textId="77777777" w:rsidR="00F65839" w:rsidRPr="005D2619" w:rsidRDefault="00F65839" w:rsidP="00E07E25">
      <w:pPr>
        <w:suppressAutoHyphens/>
        <w:spacing w:after="0" w:line="240" w:lineRule="auto"/>
        <w:jc w:val="both"/>
        <w:rPr>
          <w:rFonts w:ascii="Cambria" w:hAnsi="Cambria"/>
          <w:sz w:val="20"/>
          <w:szCs w:val="20"/>
          <w:lang w:val="es-ES"/>
        </w:rPr>
      </w:pPr>
    </w:p>
    <w:p w14:paraId="7492D036" w14:textId="77777777" w:rsidR="00734BD4" w:rsidRPr="005D2619" w:rsidRDefault="002541C5" w:rsidP="00A227F7">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ES"/>
        </w:rPr>
      </w:pPr>
      <w:r w:rsidRPr="005D2619">
        <w:rPr>
          <w:rFonts w:ascii="Cambria" w:hAnsi="Cambria"/>
          <w:sz w:val="20"/>
          <w:szCs w:val="20"/>
          <w:lang w:val="es-ES"/>
        </w:rPr>
        <w:t>En el presente caso, no existe controversia en</w:t>
      </w:r>
      <w:r w:rsidR="008D6FDD" w:rsidRPr="005D2619">
        <w:rPr>
          <w:rFonts w:ascii="Cambria" w:hAnsi="Cambria"/>
          <w:sz w:val="20"/>
          <w:szCs w:val="20"/>
          <w:lang w:val="es-ES"/>
        </w:rPr>
        <w:t xml:space="preserve"> cuanto a</w:t>
      </w:r>
      <w:r w:rsidRPr="005D2619">
        <w:rPr>
          <w:rFonts w:ascii="Cambria" w:hAnsi="Cambria"/>
          <w:sz w:val="20"/>
          <w:szCs w:val="20"/>
          <w:lang w:val="es-ES"/>
        </w:rPr>
        <w:t xml:space="preserve"> que el señor </w:t>
      </w:r>
      <w:r w:rsidR="00BE7A7D" w:rsidRPr="005D2619">
        <w:rPr>
          <w:rFonts w:ascii="Cambria" w:hAnsi="Cambria"/>
          <w:sz w:val="20"/>
          <w:szCs w:val="20"/>
          <w:lang w:val="es-ES"/>
        </w:rPr>
        <w:t>Sastoque</w:t>
      </w:r>
      <w:r w:rsidRPr="005D2619">
        <w:rPr>
          <w:rFonts w:ascii="Cambria" w:hAnsi="Cambria"/>
          <w:sz w:val="20"/>
          <w:szCs w:val="20"/>
          <w:lang w:val="es-ES"/>
        </w:rPr>
        <w:t xml:space="preserve"> fue detenido el </w:t>
      </w:r>
      <w:r w:rsidR="00BE7A7D" w:rsidRPr="005D2619">
        <w:rPr>
          <w:rFonts w:ascii="Cambria" w:hAnsi="Cambria"/>
          <w:sz w:val="20"/>
          <w:szCs w:val="20"/>
          <w:lang w:val="es-ES"/>
        </w:rPr>
        <w:t>8 de marzo de 1995 por agentes estatales</w:t>
      </w:r>
      <w:r w:rsidRPr="005D2619">
        <w:rPr>
          <w:rFonts w:ascii="Cambria" w:hAnsi="Cambria"/>
          <w:sz w:val="20"/>
          <w:szCs w:val="20"/>
          <w:lang w:val="es-ES"/>
        </w:rPr>
        <w:t>.</w:t>
      </w:r>
      <w:r w:rsidR="00BE7A7D" w:rsidRPr="005D2619">
        <w:rPr>
          <w:rFonts w:ascii="Cambria" w:hAnsi="Cambria"/>
          <w:sz w:val="20"/>
          <w:szCs w:val="20"/>
          <w:lang w:val="es-ES"/>
        </w:rPr>
        <w:t xml:space="preserve"> La CIDH toma nota de que el señor Sastoque</w:t>
      </w:r>
      <w:r w:rsidR="00EB19C5" w:rsidRPr="005D2619">
        <w:rPr>
          <w:rFonts w:ascii="Cambria" w:hAnsi="Cambria"/>
          <w:sz w:val="20"/>
          <w:szCs w:val="20"/>
          <w:lang w:val="es-ES"/>
        </w:rPr>
        <w:t xml:space="preserve"> fue citado informalmente mediante una colega y que </w:t>
      </w:r>
      <w:r w:rsidR="00BE7A7D" w:rsidRPr="005D2619">
        <w:rPr>
          <w:rFonts w:ascii="Cambria" w:hAnsi="Cambria"/>
          <w:sz w:val="20"/>
          <w:szCs w:val="20"/>
          <w:lang w:val="es-ES"/>
        </w:rPr>
        <w:t xml:space="preserve">estuvo retenido durante al menos tres horas en dos cuartos de la Fiscalía Regional, sin que se le indicara durante ese lapso de tiempo las razones por las cuales se encontraba </w:t>
      </w:r>
      <w:r w:rsidR="00EB19C5" w:rsidRPr="005D2619">
        <w:rPr>
          <w:rFonts w:ascii="Cambria" w:hAnsi="Cambria"/>
          <w:sz w:val="20"/>
          <w:szCs w:val="20"/>
          <w:lang w:val="es-ES"/>
        </w:rPr>
        <w:t xml:space="preserve">en ese lugar, ni se le exhibiera una orden de detención emitida por autoridad competente. Fue pasadas dichas horas que </w:t>
      </w:r>
      <w:r w:rsidR="002C0AFE" w:rsidRPr="005D2619">
        <w:rPr>
          <w:rFonts w:ascii="Cambria" w:hAnsi="Cambria"/>
          <w:sz w:val="20"/>
          <w:szCs w:val="20"/>
          <w:lang w:val="es-ES"/>
        </w:rPr>
        <w:t>el señor Sastoque recibió un documento denominado “Orden de Captura”</w:t>
      </w:r>
      <w:r w:rsidR="00401D95" w:rsidRPr="005D2619">
        <w:rPr>
          <w:rFonts w:ascii="Cambria" w:hAnsi="Cambria"/>
          <w:sz w:val="20"/>
          <w:szCs w:val="20"/>
          <w:lang w:val="es-ES"/>
        </w:rPr>
        <w:t xml:space="preserve"> con la fecha del mismo día.</w:t>
      </w:r>
      <w:r w:rsidR="002C0AFE" w:rsidRPr="005D2619">
        <w:rPr>
          <w:rFonts w:ascii="Cambria" w:hAnsi="Cambria"/>
          <w:sz w:val="20"/>
          <w:szCs w:val="20"/>
          <w:lang w:val="es-ES"/>
        </w:rPr>
        <w:t xml:space="preserve"> </w:t>
      </w:r>
      <w:r w:rsidR="00401D95" w:rsidRPr="005D2619">
        <w:rPr>
          <w:rFonts w:ascii="Cambria" w:hAnsi="Cambria"/>
          <w:sz w:val="20"/>
          <w:szCs w:val="20"/>
          <w:lang w:val="es-ES"/>
        </w:rPr>
        <w:t>La Comisión observa que dicha orden se limita a incluir el nombre y cédula del señor Sastoque</w:t>
      </w:r>
      <w:r w:rsidR="00C14044" w:rsidRPr="005D2619">
        <w:rPr>
          <w:rFonts w:ascii="Cambria" w:hAnsi="Cambria"/>
          <w:sz w:val="20"/>
          <w:szCs w:val="20"/>
          <w:lang w:val="es-ES"/>
        </w:rPr>
        <w:t xml:space="preserve"> y que</w:t>
      </w:r>
      <w:r w:rsidR="00EB19C5" w:rsidRPr="005D2619">
        <w:rPr>
          <w:rFonts w:ascii="Cambria" w:hAnsi="Cambria"/>
          <w:sz w:val="20"/>
          <w:szCs w:val="20"/>
          <w:lang w:val="es-ES"/>
        </w:rPr>
        <w:t xml:space="preserve"> </w:t>
      </w:r>
      <w:r w:rsidR="00401D95" w:rsidRPr="005D2619">
        <w:rPr>
          <w:rFonts w:ascii="Cambria" w:hAnsi="Cambria"/>
          <w:sz w:val="20"/>
          <w:szCs w:val="20"/>
          <w:lang w:val="es-ES"/>
        </w:rPr>
        <w:t>se le procesaba por el delito de homicidio</w:t>
      </w:r>
      <w:r w:rsidR="00EB19C5" w:rsidRPr="005D2619">
        <w:rPr>
          <w:rFonts w:ascii="Cambria" w:hAnsi="Cambria"/>
          <w:sz w:val="20"/>
          <w:szCs w:val="20"/>
          <w:lang w:val="es-ES"/>
        </w:rPr>
        <w:t>, estando</w:t>
      </w:r>
      <w:r w:rsidR="00401D95" w:rsidRPr="005D2619">
        <w:rPr>
          <w:rFonts w:ascii="Cambria" w:hAnsi="Cambria"/>
          <w:sz w:val="20"/>
          <w:szCs w:val="20"/>
          <w:lang w:val="es-ES"/>
        </w:rPr>
        <w:t xml:space="preserve"> diversas secciones incompletas, tal</w:t>
      </w:r>
      <w:r w:rsidR="00EB19C5" w:rsidRPr="005D2619">
        <w:rPr>
          <w:rFonts w:ascii="Cambria" w:hAnsi="Cambria"/>
          <w:sz w:val="20"/>
          <w:szCs w:val="20"/>
          <w:lang w:val="es-ES"/>
        </w:rPr>
        <w:t xml:space="preserve"> como se indicó en los hechos probados. </w:t>
      </w:r>
    </w:p>
    <w:p w14:paraId="3F4A9D41" w14:textId="77777777" w:rsidR="00734BD4" w:rsidRPr="005D2619" w:rsidRDefault="00734BD4" w:rsidP="00734BD4">
      <w:pPr>
        <w:suppressAutoHyphens/>
        <w:spacing w:after="0" w:line="240" w:lineRule="auto"/>
        <w:ind w:left="720"/>
        <w:jc w:val="both"/>
        <w:rPr>
          <w:rFonts w:ascii="Cambria" w:hAnsi="Cambria"/>
          <w:sz w:val="20"/>
          <w:szCs w:val="20"/>
          <w:lang w:val="es-ES"/>
        </w:rPr>
      </w:pPr>
    </w:p>
    <w:p w14:paraId="2C7FA759" w14:textId="77777777" w:rsidR="00EB19C5" w:rsidRPr="005D2619" w:rsidRDefault="00EB19C5" w:rsidP="00A227F7">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ES"/>
        </w:rPr>
      </w:pPr>
      <w:r w:rsidRPr="005D2619">
        <w:rPr>
          <w:rFonts w:ascii="Cambria" w:hAnsi="Cambria"/>
          <w:sz w:val="20"/>
          <w:szCs w:val="20"/>
          <w:lang w:val="es-ES"/>
        </w:rPr>
        <w:lastRenderedPageBreak/>
        <w:t xml:space="preserve">La Comisión destaca que recae sobre los Estados demostrar que las actuaciones de sus agentes que afecten la libertad de una persona, se encuentran ajustadas a los parámetros establecidos en la normativa interna. Esto resulta especialmente relevante en </w:t>
      </w:r>
      <w:r w:rsidR="00E4663B" w:rsidRPr="005D2619">
        <w:rPr>
          <w:rFonts w:ascii="Cambria" w:hAnsi="Cambria"/>
          <w:sz w:val="20"/>
          <w:szCs w:val="20"/>
          <w:lang w:val="es-ES"/>
        </w:rPr>
        <w:t>este caso</w:t>
      </w:r>
      <w:r w:rsidRPr="005D2619">
        <w:rPr>
          <w:rFonts w:ascii="Cambria" w:hAnsi="Cambria"/>
          <w:sz w:val="20"/>
          <w:szCs w:val="20"/>
          <w:lang w:val="es-ES"/>
        </w:rPr>
        <w:t xml:space="preserve">, en el cual </w:t>
      </w:r>
      <w:r w:rsidR="00E4663B" w:rsidRPr="005D2619">
        <w:rPr>
          <w:rFonts w:ascii="Cambria" w:hAnsi="Cambria"/>
          <w:sz w:val="20"/>
          <w:szCs w:val="20"/>
          <w:lang w:val="es-ES"/>
        </w:rPr>
        <w:t xml:space="preserve">la privación de libertad en los términos </w:t>
      </w:r>
      <w:r w:rsidR="00F65839" w:rsidRPr="005D2619">
        <w:rPr>
          <w:rFonts w:ascii="Cambria" w:hAnsi="Cambria"/>
          <w:sz w:val="20"/>
          <w:szCs w:val="20"/>
          <w:lang w:val="es-ES"/>
        </w:rPr>
        <w:t>descritos por el señor Sastoque y a la luz de una apreciación de la totalidad del expediente,</w:t>
      </w:r>
      <w:r w:rsidR="00E4663B" w:rsidRPr="005D2619">
        <w:rPr>
          <w:rFonts w:ascii="Cambria" w:hAnsi="Cambria"/>
          <w:sz w:val="20"/>
          <w:szCs w:val="20"/>
          <w:lang w:val="es-ES"/>
        </w:rPr>
        <w:t xml:space="preserve"> presenta indicios de irregularidad. </w:t>
      </w:r>
    </w:p>
    <w:p w14:paraId="3843C7EA" w14:textId="77777777" w:rsidR="00EB19C5" w:rsidRPr="005D2619" w:rsidRDefault="00EB19C5" w:rsidP="00E07E25">
      <w:pPr>
        <w:suppressAutoHyphens/>
        <w:spacing w:after="0" w:line="240" w:lineRule="auto"/>
        <w:jc w:val="both"/>
        <w:rPr>
          <w:rFonts w:ascii="Cambria" w:hAnsi="Cambria"/>
          <w:sz w:val="20"/>
          <w:szCs w:val="20"/>
          <w:lang w:val="es-ES"/>
        </w:rPr>
      </w:pPr>
    </w:p>
    <w:p w14:paraId="1B5939E5" w14:textId="77777777" w:rsidR="00E67EAE" w:rsidRPr="005D2619" w:rsidRDefault="00401D95" w:rsidP="00A227F7">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ES"/>
        </w:rPr>
      </w:pPr>
      <w:r w:rsidRPr="005D2619">
        <w:rPr>
          <w:rFonts w:ascii="Cambria" w:hAnsi="Cambria"/>
          <w:sz w:val="20"/>
          <w:szCs w:val="20"/>
          <w:lang w:val="es-ES"/>
        </w:rPr>
        <w:t>La CIDH resalta que el Estado no ha logrado explicar satisfactoriamente las razones por las cuales se citó de manera informal al señor Sastoque a las oficinas de la Fiscalía Regional, y sobre por qué estuvo retenido durante tres horas</w:t>
      </w:r>
      <w:r w:rsidR="00230726" w:rsidRPr="005D2619">
        <w:rPr>
          <w:rFonts w:ascii="Cambria" w:hAnsi="Cambria"/>
          <w:sz w:val="20"/>
          <w:szCs w:val="20"/>
          <w:lang w:val="es-ES"/>
        </w:rPr>
        <w:t xml:space="preserve"> </w:t>
      </w:r>
      <w:r w:rsidR="00EB19C5" w:rsidRPr="005D2619">
        <w:rPr>
          <w:rFonts w:ascii="Cambria" w:hAnsi="Cambria"/>
          <w:sz w:val="20"/>
          <w:szCs w:val="20"/>
          <w:lang w:val="es-ES"/>
        </w:rPr>
        <w:t xml:space="preserve">en la situación de desinformación e incertidumbre descritas. </w:t>
      </w:r>
      <w:r w:rsidR="00A30403" w:rsidRPr="005D2619">
        <w:rPr>
          <w:rFonts w:ascii="Cambria" w:hAnsi="Cambria"/>
          <w:sz w:val="20"/>
          <w:szCs w:val="20"/>
          <w:lang w:val="es-ES"/>
        </w:rPr>
        <w:t>Igualmente</w:t>
      </w:r>
      <w:r w:rsidRPr="005D2619">
        <w:rPr>
          <w:rFonts w:ascii="Cambria" w:hAnsi="Cambria"/>
          <w:sz w:val="20"/>
          <w:szCs w:val="20"/>
          <w:lang w:val="es-ES"/>
        </w:rPr>
        <w:t xml:space="preserve">, </w:t>
      </w:r>
      <w:r w:rsidR="00055A12" w:rsidRPr="005D2619">
        <w:rPr>
          <w:rFonts w:ascii="Cambria" w:hAnsi="Cambria"/>
          <w:sz w:val="20"/>
          <w:szCs w:val="20"/>
          <w:lang w:val="es-ES"/>
        </w:rPr>
        <w:t xml:space="preserve">la Comisión considera que el Estado colombiano tampoco ha logrado </w:t>
      </w:r>
      <w:r w:rsidR="00E4663B" w:rsidRPr="005D2619">
        <w:rPr>
          <w:rFonts w:ascii="Cambria" w:hAnsi="Cambria"/>
          <w:sz w:val="20"/>
          <w:szCs w:val="20"/>
          <w:lang w:val="es-ES"/>
        </w:rPr>
        <w:t>demostrar que el documento que se le presentó al señor Sastoque tres horas después de estar retenido, era efectivamente una orden de detención emitida por autoridad competente y en cumplimiento de todos los requisitos legales</w:t>
      </w:r>
      <w:r w:rsidR="008136D4" w:rsidRPr="005D2619">
        <w:rPr>
          <w:rFonts w:ascii="Cambria" w:hAnsi="Cambria"/>
          <w:sz w:val="20"/>
          <w:szCs w:val="20"/>
          <w:lang w:val="es-ES"/>
        </w:rPr>
        <w:t xml:space="preserve"> y convencionales sobre la información de los motivos y los cargos respectivos.</w:t>
      </w:r>
      <w:r w:rsidR="00E4663B" w:rsidRPr="005D2619">
        <w:rPr>
          <w:rFonts w:ascii="Cambria" w:hAnsi="Cambria"/>
          <w:sz w:val="20"/>
          <w:szCs w:val="20"/>
          <w:lang w:val="es-ES"/>
        </w:rPr>
        <w:t xml:space="preserve"> El Estado tampoco aportó explicación sobre las </w:t>
      </w:r>
      <w:r w:rsidR="00055A12" w:rsidRPr="005D2619">
        <w:rPr>
          <w:rFonts w:ascii="Cambria" w:hAnsi="Cambria"/>
          <w:sz w:val="20"/>
          <w:szCs w:val="20"/>
          <w:lang w:val="es-ES"/>
        </w:rPr>
        <w:t>diversas secciones vacías</w:t>
      </w:r>
      <w:r w:rsidR="00E4663B" w:rsidRPr="005D2619">
        <w:rPr>
          <w:rFonts w:ascii="Cambria" w:hAnsi="Cambria"/>
          <w:sz w:val="20"/>
          <w:szCs w:val="20"/>
          <w:lang w:val="es-ES"/>
        </w:rPr>
        <w:t xml:space="preserve"> en dicho documento</w:t>
      </w:r>
      <w:r w:rsidR="00AB5750" w:rsidRPr="005D2619">
        <w:rPr>
          <w:rFonts w:ascii="Cambria" w:hAnsi="Cambria"/>
          <w:sz w:val="20"/>
          <w:szCs w:val="20"/>
          <w:lang w:val="es-ES"/>
        </w:rPr>
        <w:t>.</w:t>
      </w:r>
      <w:r w:rsidR="00E67EAE" w:rsidRPr="005D2619">
        <w:rPr>
          <w:rFonts w:ascii="Cambria" w:hAnsi="Cambria"/>
          <w:sz w:val="20"/>
          <w:szCs w:val="20"/>
          <w:lang w:val="es-ES"/>
        </w:rPr>
        <w:t xml:space="preserve"> </w:t>
      </w:r>
      <w:r w:rsidR="008B6C35" w:rsidRPr="005D2619">
        <w:rPr>
          <w:rFonts w:ascii="Cambria" w:hAnsi="Cambria"/>
          <w:sz w:val="20"/>
          <w:szCs w:val="20"/>
          <w:lang w:val="es-ES"/>
        </w:rPr>
        <w:t>Al respecto, la CIDH recuerda que</w:t>
      </w:r>
      <w:r w:rsidR="00F65839" w:rsidRPr="005D2619">
        <w:rPr>
          <w:rFonts w:ascii="Cambria" w:hAnsi="Cambria"/>
          <w:sz w:val="20"/>
          <w:szCs w:val="20"/>
          <w:lang w:val="es-ES"/>
        </w:rPr>
        <w:t xml:space="preserve"> en similares circunstancias,</w:t>
      </w:r>
      <w:r w:rsidR="008B6C35" w:rsidRPr="005D2619">
        <w:rPr>
          <w:rFonts w:ascii="Cambria" w:hAnsi="Cambria"/>
          <w:sz w:val="20"/>
          <w:szCs w:val="20"/>
          <w:lang w:val="es-ES"/>
        </w:rPr>
        <w:t xml:space="preserve"> en el </w:t>
      </w:r>
      <w:r w:rsidR="00D7323F" w:rsidRPr="005D2619">
        <w:rPr>
          <w:rFonts w:ascii="Cambria" w:hAnsi="Cambria"/>
          <w:sz w:val="20"/>
          <w:szCs w:val="20"/>
          <w:lang w:val="es-ES"/>
        </w:rPr>
        <w:t>c</w:t>
      </w:r>
      <w:r w:rsidR="008B6C35" w:rsidRPr="005D2619">
        <w:rPr>
          <w:rFonts w:ascii="Cambria" w:hAnsi="Cambria"/>
          <w:sz w:val="20"/>
          <w:szCs w:val="20"/>
          <w:lang w:val="es-ES"/>
        </w:rPr>
        <w:t xml:space="preserve">aso </w:t>
      </w:r>
      <w:r w:rsidR="008B6C35" w:rsidRPr="005D2619">
        <w:rPr>
          <w:rFonts w:ascii="Cambria" w:hAnsi="Cambria"/>
          <w:i/>
          <w:sz w:val="20"/>
          <w:szCs w:val="20"/>
          <w:lang w:val="es-ES"/>
        </w:rPr>
        <w:t xml:space="preserve">Chaparro Álvarez y Lapo Iñiguez </w:t>
      </w:r>
      <w:r w:rsidR="00F65839" w:rsidRPr="005D2619">
        <w:rPr>
          <w:rFonts w:ascii="Cambria" w:hAnsi="Cambria"/>
          <w:i/>
          <w:sz w:val="20"/>
          <w:szCs w:val="20"/>
          <w:lang w:val="es-ES"/>
        </w:rPr>
        <w:t>v</w:t>
      </w:r>
      <w:r w:rsidR="008B6C35" w:rsidRPr="005D2619">
        <w:rPr>
          <w:rFonts w:ascii="Cambria" w:hAnsi="Cambria"/>
          <w:i/>
          <w:sz w:val="20"/>
          <w:szCs w:val="20"/>
          <w:lang w:val="es-ES"/>
        </w:rPr>
        <w:t>s. Ecuador</w:t>
      </w:r>
      <w:r w:rsidR="008B6C35" w:rsidRPr="005D2619">
        <w:rPr>
          <w:rFonts w:ascii="Cambria" w:hAnsi="Cambria"/>
          <w:sz w:val="20"/>
          <w:szCs w:val="20"/>
          <w:lang w:val="es-ES"/>
        </w:rPr>
        <w:t xml:space="preserve"> la Corte consideró que la detención </w:t>
      </w:r>
      <w:r w:rsidR="00AF25DD" w:rsidRPr="005D2619">
        <w:rPr>
          <w:rFonts w:ascii="Cambria" w:hAnsi="Cambria"/>
          <w:sz w:val="20"/>
          <w:szCs w:val="20"/>
          <w:lang w:val="es-ES"/>
        </w:rPr>
        <w:t>del señor Lapo</w:t>
      </w:r>
      <w:r w:rsidR="008B6C35" w:rsidRPr="005D2619">
        <w:rPr>
          <w:rFonts w:ascii="Cambria" w:hAnsi="Cambria"/>
          <w:sz w:val="20"/>
          <w:szCs w:val="20"/>
          <w:lang w:val="es-ES"/>
        </w:rPr>
        <w:t xml:space="preserve"> fue ilegal</w:t>
      </w:r>
      <w:r w:rsidR="00AF25DD" w:rsidRPr="005D2619">
        <w:rPr>
          <w:rFonts w:ascii="Cambria" w:hAnsi="Cambria"/>
          <w:sz w:val="20"/>
          <w:szCs w:val="20"/>
          <w:lang w:val="es-ES"/>
        </w:rPr>
        <w:t xml:space="preserve"> a pesar de la existencia de una boleta de detención en su contra. La Corte observó que dicha boleta fue emitida el mismo día de su arresto</w:t>
      </w:r>
      <w:r w:rsidR="00C90AE2" w:rsidRPr="005D2619">
        <w:rPr>
          <w:rFonts w:ascii="Cambria" w:hAnsi="Cambria"/>
          <w:sz w:val="20"/>
          <w:szCs w:val="20"/>
          <w:lang w:val="es-ES"/>
        </w:rPr>
        <w:t xml:space="preserve"> y que el Estado no “ha dado una explicación razonable” sobre “la existencia de una autorización judicial previa a la detención del señor Lapo que cumpliera con la legislación interna”</w:t>
      </w:r>
      <w:r w:rsidR="00C90AE2" w:rsidRPr="005D2619">
        <w:rPr>
          <w:rStyle w:val="FootnoteReference"/>
          <w:rFonts w:ascii="Cambria" w:hAnsi="Cambria"/>
          <w:sz w:val="20"/>
          <w:szCs w:val="20"/>
          <w:lang w:val="es-ES"/>
        </w:rPr>
        <w:footnoteReference w:id="76"/>
      </w:r>
      <w:r w:rsidR="00C90AE2" w:rsidRPr="005D2619">
        <w:rPr>
          <w:rFonts w:ascii="Cambria" w:hAnsi="Cambria"/>
          <w:sz w:val="20"/>
          <w:szCs w:val="20"/>
          <w:lang w:val="es-ES"/>
        </w:rPr>
        <w:t>.</w:t>
      </w:r>
    </w:p>
    <w:p w14:paraId="490ED085" w14:textId="77777777" w:rsidR="00E67EAE" w:rsidRPr="005D2619" w:rsidRDefault="00E67EAE" w:rsidP="00E67EAE">
      <w:pPr>
        <w:suppressAutoHyphens/>
        <w:spacing w:after="0" w:line="240" w:lineRule="auto"/>
        <w:ind w:left="720"/>
        <w:jc w:val="both"/>
        <w:rPr>
          <w:rFonts w:ascii="Cambria" w:hAnsi="Cambria"/>
          <w:sz w:val="20"/>
          <w:szCs w:val="20"/>
          <w:lang w:val="es-ES"/>
        </w:rPr>
      </w:pPr>
    </w:p>
    <w:p w14:paraId="58625F59" w14:textId="77777777" w:rsidR="00900AA9" w:rsidRPr="005D2619" w:rsidRDefault="00900AA9" w:rsidP="00A227F7">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ES"/>
        </w:rPr>
      </w:pPr>
      <w:r w:rsidRPr="005D2619">
        <w:rPr>
          <w:rFonts w:ascii="Cambria" w:hAnsi="Cambria"/>
          <w:sz w:val="20"/>
          <w:szCs w:val="20"/>
          <w:lang w:val="es-ES"/>
        </w:rPr>
        <w:t>En virtud de lo anterior, la Comisión considera que</w:t>
      </w:r>
      <w:r w:rsidR="00231D0B" w:rsidRPr="005D2619">
        <w:rPr>
          <w:rFonts w:ascii="Cambria" w:hAnsi="Cambria"/>
          <w:sz w:val="20"/>
          <w:szCs w:val="20"/>
          <w:lang w:val="es-ES"/>
        </w:rPr>
        <w:t xml:space="preserve"> la privación de libertad del señor Gustavo Sastoque Alfonso fue ilegal</w:t>
      </w:r>
      <w:r w:rsidR="00550C23" w:rsidRPr="005D2619">
        <w:rPr>
          <w:rFonts w:ascii="Cambria" w:hAnsi="Cambria"/>
          <w:sz w:val="20"/>
          <w:szCs w:val="20"/>
          <w:lang w:val="es-ES"/>
        </w:rPr>
        <w:t xml:space="preserve"> y que no se le informaron debidamente las razones de su detención. En consecuencia, </w:t>
      </w:r>
      <w:r w:rsidRPr="005D2619">
        <w:rPr>
          <w:rFonts w:ascii="Cambria" w:hAnsi="Cambria"/>
          <w:sz w:val="20"/>
          <w:szCs w:val="20"/>
          <w:lang w:val="es-ES"/>
        </w:rPr>
        <w:t xml:space="preserve">el Estado de </w:t>
      </w:r>
      <w:r w:rsidR="00231D0B" w:rsidRPr="005D2619">
        <w:rPr>
          <w:rFonts w:ascii="Cambria" w:hAnsi="Cambria"/>
          <w:sz w:val="20"/>
          <w:szCs w:val="20"/>
          <w:lang w:val="es-ES"/>
        </w:rPr>
        <w:t xml:space="preserve">Colombia </w:t>
      </w:r>
      <w:r w:rsidRPr="005D2619">
        <w:rPr>
          <w:rFonts w:ascii="Cambria" w:hAnsi="Cambria"/>
          <w:sz w:val="20"/>
          <w:szCs w:val="20"/>
          <w:lang w:val="es-ES"/>
        </w:rPr>
        <w:t>violó</w:t>
      </w:r>
      <w:r w:rsidR="00231D0B" w:rsidRPr="005D2619">
        <w:rPr>
          <w:rFonts w:ascii="Cambria" w:hAnsi="Cambria"/>
          <w:sz w:val="20"/>
          <w:szCs w:val="20"/>
          <w:lang w:val="es-ES"/>
        </w:rPr>
        <w:t xml:space="preserve"> en su perjuicio</w:t>
      </w:r>
      <w:r w:rsidRPr="005D2619">
        <w:rPr>
          <w:rFonts w:ascii="Cambria" w:hAnsi="Cambria"/>
          <w:sz w:val="20"/>
          <w:szCs w:val="20"/>
          <w:lang w:val="es-ES"/>
        </w:rPr>
        <w:t xml:space="preserve"> </w:t>
      </w:r>
      <w:r w:rsidR="00C14044" w:rsidRPr="005D2619">
        <w:rPr>
          <w:rFonts w:ascii="Cambria" w:hAnsi="Cambria"/>
          <w:sz w:val="20"/>
          <w:szCs w:val="20"/>
          <w:lang w:val="es-ES"/>
        </w:rPr>
        <w:t xml:space="preserve">las garantías relacionadas con el derecho a la libertad personal establecidas en los </w:t>
      </w:r>
      <w:r w:rsidRPr="005D2619">
        <w:rPr>
          <w:rFonts w:ascii="Cambria" w:hAnsi="Cambria"/>
          <w:sz w:val="20"/>
          <w:szCs w:val="20"/>
          <w:lang w:val="es-ES"/>
        </w:rPr>
        <w:t>artículos 7.1</w:t>
      </w:r>
      <w:r w:rsidR="00C14044" w:rsidRPr="005D2619">
        <w:rPr>
          <w:rFonts w:ascii="Cambria" w:hAnsi="Cambria"/>
          <w:sz w:val="20"/>
          <w:szCs w:val="20"/>
          <w:lang w:val="es-ES"/>
        </w:rPr>
        <w:t>,</w:t>
      </w:r>
      <w:r w:rsidRPr="005D2619">
        <w:rPr>
          <w:rFonts w:ascii="Cambria" w:hAnsi="Cambria"/>
          <w:sz w:val="20"/>
          <w:szCs w:val="20"/>
          <w:lang w:val="es-ES"/>
        </w:rPr>
        <w:t xml:space="preserve"> 7.2</w:t>
      </w:r>
      <w:r w:rsidR="00C14044" w:rsidRPr="005D2619">
        <w:rPr>
          <w:rFonts w:ascii="Cambria" w:hAnsi="Cambria"/>
          <w:sz w:val="20"/>
          <w:szCs w:val="20"/>
          <w:lang w:val="es-ES"/>
        </w:rPr>
        <w:t xml:space="preserve"> y 7.4</w:t>
      </w:r>
      <w:r w:rsidRPr="005D2619">
        <w:rPr>
          <w:rFonts w:ascii="Cambria" w:hAnsi="Cambria"/>
          <w:sz w:val="20"/>
          <w:szCs w:val="20"/>
          <w:lang w:val="es-ES"/>
        </w:rPr>
        <w:t xml:space="preserve"> de la Convención </w:t>
      </w:r>
      <w:r w:rsidR="00231D0B" w:rsidRPr="005D2619">
        <w:rPr>
          <w:rFonts w:ascii="Cambria" w:hAnsi="Cambria"/>
          <w:sz w:val="20"/>
          <w:szCs w:val="20"/>
          <w:lang w:val="es-ES"/>
        </w:rPr>
        <w:t xml:space="preserve">Americana, </w:t>
      </w:r>
      <w:r w:rsidRPr="005D2619">
        <w:rPr>
          <w:rFonts w:ascii="Cambria" w:hAnsi="Cambria"/>
          <w:sz w:val="20"/>
          <w:szCs w:val="20"/>
          <w:lang w:val="es-ES"/>
        </w:rPr>
        <w:t>en relación con las obligaciones establecidas en el artículo 1.1 del mismo instrumento.</w:t>
      </w:r>
    </w:p>
    <w:p w14:paraId="50F0BBC9" w14:textId="77777777" w:rsidR="00900AA9" w:rsidRPr="005D2619" w:rsidRDefault="00900AA9" w:rsidP="00900AA9">
      <w:pPr>
        <w:spacing w:after="0" w:line="240" w:lineRule="auto"/>
        <w:ind w:left="1440"/>
        <w:jc w:val="both"/>
        <w:rPr>
          <w:rFonts w:ascii="Cambria" w:hAnsi="Cambria"/>
          <w:b/>
          <w:sz w:val="20"/>
          <w:szCs w:val="20"/>
          <w:lang w:val="es-ES"/>
        </w:rPr>
      </w:pPr>
    </w:p>
    <w:p w14:paraId="3E6101C9" w14:textId="77777777" w:rsidR="002541C5" w:rsidRPr="005D2619" w:rsidRDefault="002541C5" w:rsidP="007C4794">
      <w:pPr>
        <w:numPr>
          <w:ilvl w:val="0"/>
          <w:numId w:val="58"/>
        </w:numPr>
        <w:tabs>
          <w:tab w:val="clear" w:pos="2880"/>
          <w:tab w:val="num" w:pos="1440"/>
        </w:tabs>
        <w:spacing w:after="0" w:line="240" w:lineRule="auto"/>
        <w:ind w:left="1440" w:hanging="720"/>
        <w:jc w:val="both"/>
        <w:rPr>
          <w:rFonts w:ascii="Cambria" w:hAnsi="Cambria"/>
          <w:b/>
          <w:sz w:val="20"/>
          <w:szCs w:val="20"/>
          <w:lang w:val="es-ES"/>
        </w:rPr>
      </w:pPr>
      <w:r w:rsidRPr="005D2619">
        <w:rPr>
          <w:rFonts w:ascii="Cambria" w:hAnsi="Cambria"/>
          <w:b/>
          <w:sz w:val="20"/>
          <w:szCs w:val="20"/>
          <w:lang w:val="es-ES"/>
        </w:rPr>
        <w:t xml:space="preserve">El derecho a no ser privado de libertad arbitrariamente </w:t>
      </w:r>
    </w:p>
    <w:p w14:paraId="2A8E47D9" w14:textId="77777777" w:rsidR="00EB3777" w:rsidRPr="005D2619" w:rsidRDefault="00EB3777" w:rsidP="00E07E25">
      <w:pPr>
        <w:suppressAutoHyphens/>
        <w:spacing w:after="0" w:line="240" w:lineRule="auto"/>
        <w:jc w:val="both"/>
        <w:rPr>
          <w:rFonts w:ascii="Cambria" w:hAnsi="Cambria"/>
          <w:sz w:val="20"/>
          <w:szCs w:val="20"/>
          <w:lang w:val="es-ES"/>
        </w:rPr>
      </w:pPr>
    </w:p>
    <w:p w14:paraId="2F6722C7" w14:textId="77777777" w:rsidR="002541C5" w:rsidRPr="005D2619" w:rsidRDefault="002541C5" w:rsidP="00A227F7">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CO"/>
        </w:rPr>
      </w:pPr>
      <w:r w:rsidRPr="005D2619">
        <w:rPr>
          <w:rFonts w:ascii="Cambria" w:hAnsi="Cambria" w:cs="Arial"/>
          <w:sz w:val="20"/>
          <w:szCs w:val="20"/>
          <w:lang w:val="es-MX"/>
        </w:rPr>
        <w:t xml:space="preserve">La </w:t>
      </w:r>
      <w:r w:rsidRPr="00A227F7">
        <w:rPr>
          <w:rFonts w:ascii="Cambria" w:hAnsi="Cambria"/>
          <w:sz w:val="20"/>
          <w:szCs w:val="20"/>
          <w:lang w:val="es-ES"/>
        </w:rPr>
        <w:t>Comisión</w:t>
      </w:r>
      <w:r w:rsidRPr="005D2619">
        <w:rPr>
          <w:rFonts w:ascii="Cambria" w:hAnsi="Cambria" w:cs="Arial"/>
          <w:sz w:val="20"/>
          <w:szCs w:val="20"/>
          <w:lang w:val="es-MX"/>
        </w:rPr>
        <w:t xml:space="preserve"> y la Corte han señalado que la detención preventiva se encuentra limitada </w:t>
      </w:r>
      <w:r w:rsidRPr="005D2619">
        <w:rPr>
          <w:rFonts w:ascii="Cambria" w:hAnsi="Cambria"/>
          <w:sz w:val="20"/>
          <w:szCs w:val="20"/>
          <w:lang w:val="es-CO"/>
        </w:rPr>
        <w:t>por los principios de legalidad, presunción de inocencia, necesidad y proporcionalidad</w:t>
      </w:r>
      <w:r w:rsidRPr="005D2619">
        <w:rPr>
          <w:rStyle w:val="FootnoteReference"/>
          <w:rFonts w:ascii="Cambria" w:hAnsi="Cambria"/>
          <w:sz w:val="20"/>
          <w:szCs w:val="20"/>
        </w:rPr>
        <w:footnoteReference w:id="77"/>
      </w:r>
      <w:r w:rsidRPr="005D2619">
        <w:rPr>
          <w:rFonts w:ascii="Cambria" w:hAnsi="Cambria"/>
          <w:sz w:val="20"/>
          <w:szCs w:val="20"/>
          <w:lang w:val="es-CO"/>
        </w:rPr>
        <w:t>. Asimismo, ha indicado que se trata de una medida cautelar y no punitiva</w:t>
      </w:r>
      <w:r w:rsidRPr="005D2619">
        <w:rPr>
          <w:rStyle w:val="FootnoteReference"/>
          <w:rFonts w:ascii="Cambria" w:hAnsi="Cambria"/>
          <w:sz w:val="20"/>
          <w:szCs w:val="20"/>
        </w:rPr>
        <w:footnoteReference w:id="78"/>
      </w:r>
      <w:r w:rsidRPr="005D2619">
        <w:rPr>
          <w:rFonts w:ascii="Cambria" w:hAnsi="Cambria"/>
          <w:sz w:val="20"/>
          <w:szCs w:val="20"/>
          <w:lang w:val="es-CO"/>
        </w:rPr>
        <w:t xml:space="preserve"> y que es la más severa que se puede imponer al imputado por lo que debe aplicarse excepcionalmente. En consideración de ambos órganos del sistema interamericano, la regla debe ser la libertad del procesado mientras se resuelve acerca de su responsabilidad penal</w:t>
      </w:r>
      <w:r w:rsidRPr="005D2619">
        <w:rPr>
          <w:rStyle w:val="FootnoteReference"/>
          <w:rFonts w:ascii="Cambria" w:hAnsi="Cambria"/>
          <w:sz w:val="20"/>
          <w:szCs w:val="20"/>
        </w:rPr>
        <w:footnoteReference w:id="79"/>
      </w:r>
      <w:r w:rsidRPr="005D2619">
        <w:rPr>
          <w:rFonts w:ascii="Cambria" w:hAnsi="Cambria"/>
          <w:sz w:val="20"/>
          <w:szCs w:val="20"/>
          <w:lang w:val="es-CO"/>
        </w:rPr>
        <w:t xml:space="preserve">. </w:t>
      </w:r>
    </w:p>
    <w:p w14:paraId="22AE090E" w14:textId="77777777" w:rsidR="002541C5" w:rsidRPr="005D2619" w:rsidRDefault="002541C5" w:rsidP="002541C5">
      <w:pPr>
        <w:spacing w:after="0" w:line="240" w:lineRule="auto"/>
        <w:jc w:val="both"/>
        <w:rPr>
          <w:rFonts w:ascii="Cambria" w:hAnsi="Cambria"/>
          <w:sz w:val="20"/>
          <w:szCs w:val="20"/>
          <w:lang w:val="es-CO"/>
        </w:rPr>
      </w:pPr>
    </w:p>
    <w:p w14:paraId="099E32FC" w14:textId="77777777" w:rsidR="002541C5" w:rsidRPr="005D2619" w:rsidRDefault="000D2424" w:rsidP="00A227F7">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CO"/>
        </w:rPr>
      </w:pPr>
      <w:r w:rsidRPr="00A227F7">
        <w:rPr>
          <w:rFonts w:ascii="Cambria" w:hAnsi="Cambria"/>
          <w:sz w:val="20"/>
          <w:szCs w:val="20"/>
          <w:lang w:val="es-ES"/>
        </w:rPr>
        <w:t>Ambos</w:t>
      </w:r>
      <w:r w:rsidRPr="005D2619">
        <w:rPr>
          <w:rFonts w:ascii="Cambria" w:hAnsi="Cambria"/>
          <w:sz w:val="20"/>
          <w:szCs w:val="20"/>
          <w:lang w:val="es-CO"/>
        </w:rPr>
        <w:t xml:space="preserve"> órganos del sistema </w:t>
      </w:r>
      <w:r w:rsidR="002541C5" w:rsidRPr="005D2619">
        <w:rPr>
          <w:rFonts w:ascii="Cambria" w:hAnsi="Cambria"/>
          <w:sz w:val="20"/>
          <w:szCs w:val="20"/>
          <w:lang w:val="es-CO"/>
        </w:rPr>
        <w:t>han resaltado que las</w:t>
      </w:r>
      <w:r w:rsidR="00E25059" w:rsidRPr="005D2619">
        <w:rPr>
          <w:rFonts w:ascii="Cambria" w:hAnsi="Cambria"/>
          <w:sz w:val="20"/>
          <w:szCs w:val="20"/>
          <w:lang w:val="es-CO"/>
        </w:rPr>
        <w:t xml:space="preserve"> circunstancias</w:t>
      </w:r>
      <w:r w:rsidR="002541C5" w:rsidRPr="005D2619">
        <w:rPr>
          <w:rFonts w:ascii="Cambria" w:hAnsi="Cambria"/>
          <w:sz w:val="20"/>
          <w:szCs w:val="20"/>
          <w:lang w:val="es-CO"/>
        </w:rPr>
        <w:t xml:space="preserve"> personales del supuesto autor y la gravedad del delito que se le imputa no son, por sí mismos, justificación suficiente de la prisión preventiva</w:t>
      </w:r>
      <w:r w:rsidR="002541C5" w:rsidRPr="005D2619">
        <w:rPr>
          <w:rStyle w:val="FootnoteReference"/>
          <w:rFonts w:ascii="Cambria" w:eastAsia="MS Gothic" w:hAnsi="Cambria"/>
          <w:sz w:val="20"/>
          <w:szCs w:val="20"/>
        </w:rPr>
        <w:footnoteReference w:id="80"/>
      </w:r>
      <w:r w:rsidR="002541C5" w:rsidRPr="005D2619">
        <w:rPr>
          <w:rFonts w:ascii="Cambria" w:hAnsi="Cambria"/>
          <w:sz w:val="20"/>
          <w:szCs w:val="20"/>
          <w:lang w:val="es-CO"/>
        </w:rPr>
        <w:t>.</w:t>
      </w:r>
      <w:r w:rsidR="002541C5" w:rsidRPr="005D2619">
        <w:rPr>
          <w:rFonts w:ascii="Cambria" w:hAnsi="Cambria" w:cs="Univers"/>
          <w:sz w:val="20"/>
          <w:szCs w:val="20"/>
          <w:lang w:val="es-CO"/>
        </w:rPr>
        <w:t xml:space="preserve"> </w:t>
      </w:r>
      <w:r w:rsidR="002541C5" w:rsidRPr="005D2619">
        <w:rPr>
          <w:rFonts w:ascii="Cambria" w:hAnsi="Cambria"/>
          <w:sz w:val="20"/>
          <w:szCs w:val="20"/>
          <w:lang w:val="es-CO"/>
        </w:rPr>
        <w:t xml:space="preserve">Respecto de las razones que pueden justificar la detención preventiva, los órganos del sistema han interpretado el artículo 7.3 de la Convención Americana en el sentido de que los indicios de responsabilidad son condición necesaria pero no suficiente para imponer tal medida. En palabras de la Corte: </w:t>
      </w:r>
      <w:bookmarkStart w:id="24" w:name="_Ref242782550"/>
    </w:p>
    <w:p w14:paraId="1516994F" w14:textId="77777777" w:rsidR="002541C5" w:rsidRPr="005D2619" w:rsidRDefault="002541C5" w:rsidP="002541C5">
      <w:pPr>
        <w:spacing w:after="0" w:line="240" w:lineRule="auto"/>
        <w:ind w:left="720" w:right="720"/>
        <w:jc w:val="both"/>
        <w:rPr>
          <w:rFonts w:ascii="Cambria" w:hAnsi="Cambria"/>
          <w:sz w:val="20"/>
          <w:szCs w:val="20"/>
          <w:lang w:val="es-CO"/>
        </w:rPr>
      </w:pPr>
    </w:p>
    <w:p w14:paraId="1F04222D" w14:textId="77777777" w:rsidR="002541C5" w:rsidRPr="005D2619" w:rsidRDefault="002541C5" w:rsidP="002541C5">
      <w:pPr>
        <w:spacing w:after="0" w:line="240" w:lineRule="auto"/>
        <w:ind w:left="720" w:right="720"/>
        <w:jc w:val="both"/>
        <w:rPr>
          <w:rFonts w:ascii="Cambria" w:hAnsi="Cambria"/>
          <w:sz w:val="20"/>
          <w:szCs w:val="20"/>
          <w:lang w:val="es-CO"/>
        </w:rPr>
      </w:pPr>
      <w:r w:rsidRPr="005D2619">
        <w:rPr>
          <w:rFonts w:ascii="Cambria" w:hAnsi="Cambria"/>
          <w:sz w:val="20"/>
          <w:szCs w:val="20"/>
          <w:lang w:val="es-CO"/>
        </w:rPr>
        <w:t>(…) deben existir indicios suficientes que permitan suponer razonablemente que la persona sometida a proceso ha participado en el ilícito que se investiga</w:t>
      </w:r>
      <w:bookmarkStart w:id="25" w:name="_Ref247965465"/>
      <w:r w:rsidRPr="005D2619">
        <w:rPr>
          <w:rStyle w:val="FootnoteReference"/>
          <w:rFonts w:ascii="Cambria" w:hAnsi="Cambria"/>
          <w:sz w:val="20"/>
          <w:szCs w:val="20"/>
        </w:rPr>
        <w:footnoteReference w:id="81"/>
      </w:r>
      <w:bookmarkEnd w:id="25"/>
      <w:r w:rsidRPr="005D2619">
        <w:rPr>
          <w:rFonts w:ascii="Cambria" w:hAnsi="Cambria"/>
          <w:sz w:val="20"/>
          <w:szCs w:val="20"/>
          <w:lang w:val="es-CO"/>
        </w:rPr>
        <w:t>. Sin embargo, aún verificado este extremo, la privación de libertad del imputado no puede residir en fines preventivo-</w:t>
      </w:r>
      <w:r w:rsidRPr="005D2619">
        <w:rPr>
          <w:rFonts w:ascii="Cambria" w:hAnsi="Cambria"/>
          <w:sz w:val="20"/>
          <w:szCs w:val="20"/>
          <w:lang w:val="es-CO"/>
        </w:rPr>
        <w:lastRenderedPageBreak/>
        <w:t>generales o preventivo-especiales atribuibles a la pena, sino</w:t>
      </w:r>
      <w:r w:rsidR="00142135" w:rsidRPr="005D2619">
        <w:rPr>
          <w:rFonts w:ascii="Cambria" w:hAnsi="Cambria"/>
          <w:sz w:val="20"/>
          <w:szCs w:val="20"/>
          <w:lang w:val="es-CO"/>
        </w:rPr>
        <w:t xml:space="preserve"> que sólo se puede fundamentar (…)</w:t>
      </w:r>
      <w:r w:rsidRPr="005D2619">
        <w:rPr>
          <w:rFonts w:ascii="Cambria" w:hAnsi="Cambria"/>
          <w:sz w:val="20"/>
          <w:szCs w:val="20"/>
          <w:lang w:val="es-CO"/>
        </w:rPr>
        <w:t xml:space="preserve"> en un fin legítimo, a saber: asegurar que el acusado no impedirá el desarrollo del procedimiento ni eludirá la acción de la justicia</w:t>
      </w:r>
      <w:r w:rsidRPr="005D2619">
        <w:rPr>
          <w:rStyle w:val="FootnoteReference"/>
          <w:rFonts w:ascii="Cambria" w:hAnsi="Cambria"/>
          <w:sz w:val="20"/>
          <w:szCs w:val="20"/>
        </w:rPr>
        <w:footnoteReference w:id="82"/>
      </w:r>
      <w:r w:rsidRPr="005D2619">
        <w:rPr>
          <w:rFonts w:ascii="Cambria" w:hAnsi="Cambria"/>
          <w:sz w:val="20"/>
          <w:szCs w:val="20"/>
          <w:lang w:val="es-CO"/>
        </w:rPr>
        <w:t>.</w:t>
      </w:r>
      <w:bookmarkEnd w:id="24"/>
    </w:p>
    <w:p w14:paraId="7C9FCDD8" w14:textId="77777777" w:rsidR="002541C5" w:rsidRPr="005D2619" w:rsidRDefault="002541C5" w:rsidP="002541C5">
      <w:pPr>
        <w:pStyle w:val="MediumGrid1-Accent21"/>
        <w:spacing w:after="0" w:line="240" w:lineRule="auto"/>
        <w:rPr>
          <w:rFonts w:ascii="Cambria" w:hAnsi="Cambria"/>
          <w:sz w:val="20"/>
          <w:szCs w:val="20"/>
          <w:lang w:val="es-VE"/>
        </w:rPr>
      </w:pPr>
    </w:p>
    <w:p w14:paraId="19A8CBD6" w14:textId="77777777" w:rsidR="002541C5" w:rsidRPr="005D2619" w:rsidRDefault="002541C5" w:rsidP="00A227F7">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VE"/>
        </w:rPr>
      </w:pPr>
      <w:r w:rsidRPr="005D2619">
        <w:rPr>
          <w:rFonts w:ascii="Cambria" w:hAnsi="Cambria" w:cs="Calibri"/>
          <w:sz w:val="20"/>
          <w:szCs w:val="20"/>
          <w:lang w:val="es-CO"/>
        </w:rPr>
        <w:t xml:space="preserve">En esta línea, toda decisión por medio de la cual se restrinja el derecho a la libertad personal por medio de la </w:t>
      </w:r>
      <w:r w:rsidRPr="00A227F7">
        <w:rPr>
          <w:rFonts w:ascii="Cambria" w:hAnsi="Cambria"/>
          <w:sz w:val="20"/>
          <w:szCs w:val="20"/>
          <w:lang w:val="es-ES"/>
        </w:rPr>
        <w:t>aplicación</w:t>
      </w:r>
      <w:r w:rsidRPr="005D2619">
        <w:rPr>
          <w:rFonts w:ascii="Cambria" w:hAnsi="Cambria" w:cs="Calibri"/>
          <w:sz w:val="20"/>
          <w:szCs w:val="20"/>
          <w:lang w:val="es-CO"/>
        </w:rPr>
        <w:t xml:space="preserve"> de la prisión preventiva deberá contener una motivación suficiente e individualizada que permita evaluar si tal detención se ajusta a las condiciones necesarias para su aplicación</w:t>
      </w:r>
      <w:r w:rsidRPr="005D2619">
        <w:rPr>
          <w:rStyle w:val="FootnoteReference"/>
          <w:rFonts w:ascii="Cambria" w:eastAsia="MS Gothic" w:hAnsi="Cambria" w:cs="Calibri"/>
          <w:sz w:val="20"/>
          <w:szCs w:val="20"/>
          <w:lang w:val="es-CO"/>
        </w:rPr>
        <w:footnoteReference w:id="83"/>
      </w:r>
      <w:r w:rsidRPr="005D2619">
        <w:rPr>
          <w:rFonts w:ascii="Cambria" w:hAnsi="Cambria" w:cs="Calibri"/>
          <w:sz w:val="20"/>
          <w:szCs w:val="20"/>
          <w:lang w:val="es-CO"/>
        </w:rPr>
        <w:t xml:space="preserve">. </w:t>
      </w:r>
    </w:p>
    <w:p w14:paraId="7BA087A9" w14:textId="77777777" w:rsidR="002541C5" w:rsidRPr="005D2619" w:rsidRDefault="002541C5" w:rsidP="00E67EAE">
      <w:pPr>
        <w:pStyle w:val="MediumGrid1-Accent21"/>
        <w:spacing w:after="0" w:line="240" w:lineRule="auto"/>
        <w:ind w:left="0"/>
        <w:rPr>
          <w:rFonts w:ascii="Cambria" w:hAnsi="Cambria"/>
          <w:sz w:val="20"/>
          <w:szCs w:val="20"/>
          <w:lang w:val="es-ES"/>
        </w:rPr>
      </w:pPr>
    </w:p>
    <w:p w14:paraId="58816411" w14:textId="77777777" w:rsidR="002541C5" w:rsidRPr="005D2619" w:rsidRDefault="002541C5" w:rsidP="00A227F7">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cs="Calibri"/>
          <w:sz w:val="20"/>
          <w:szCs w:val="20"/>
          <w:lang w:val="es-CO"/>
        </w:rPr>
      </w:pPr>
      <w:r w:rsidRPr="005D2619">
        <w:rPr>
          <w:rFonts w:ascii="Cambria" w:hAnsi="Cambria"/>
          <w:sz w:val="20"/>
          <w:szCs w:val="20"/>
          <w:lang w:val="es-ES"/>
        </w:rPr>
        <w:t xml:space="preserve">Además de sus efectos en el ejercicio del derecho a la libertad personal, tanto la Comisión como la Corte han indicado que el uso indebido de la detención preventiva puede tener un impacto en el principio de presunción de inocencia contenida en el artículo 8.2 de la Convención Americana. </w:t>
      </w:r>
      <w:r w:rsidRPr="005D2619">
        <w:rPr>
          <w:rFonts w:ascii="Cambria" w:hAnsi="Cambria" w:cs="Calibri"/>
          <w:sz w:val="20"/>
          <w:szCs w:val="20"/>
          <w:lang w:val="es-CO"/>
        </w:rPr>
        <w:t>El respeto al derecho a la</w:t>
      </w:r>
      <w:r w:rsidR="00142135" w:rsidRPr="005D2619">
        <w:rPr>
          <w:rFonts w:ascii="Cambria" w:hAnsi="Cambria" w:cs="Calibri"/>
          <w:sz w:val="20"/>
          <w:szCs w:val="20"/>
          <w:lang w:val="es-CO"/>
        </w:rPr>
        <w:t xml:space="preserve"> presunción de inocencia exige </w:t>
      </w:r>
      <w:r w:rsidRPr="005D2619">
        <w:rPr>
          <w:rFonts w:ascii="Cambria" w:hAnsi="Cambria" w:cs="Calibri"/>
          <w:sz w:val="20"/>
          <w:szCs w:val="20"/>
          <w:lang w:val="es-CO"/>
        </w:rPr>
        <w:t>que el Estado fundamente y acredite, de manera clara y motivada, según cada caso concreto, la existencia de los requisitos válidos de procedencia de la prisión preventiva</w:t>
      </w:r>
      <w:r w:rsidRPr="005D2619">
        <w:rPr>
          <w:rStyle w:val="FootnoteReference"/>
          <w:rFonts w:ascii="Cambria" w:eastAsia="MS Gothic" w:hAnsi="Cambria" w:cs="Calibri"/>
          <w:sz w:val="20"/>
          <w:szCs w:val="20"/>
          <w:lang w:val="es-CO"/>
        </w:rPr>
        <w:footnoteReference w:id="84"/>
      </w:r>
      <w:r w:rsidRPr="005D2619">
        <w:rPr>
          <w:rFonts w:ascii="Cambria" w:hAnsi="Cambria" w:cs="Calibri"/>
          <w:sz w:val="20"/>
          <w:szCs w:val="20"/>
          <w:lang w:val="es-CO"/>
        </w:rPr>
        <w:t xml:space="preserve">. Por ende, también se viola el principio de presunción de inocencia cuando la prisión preventiva se impone arbitrariamente; o bien, cuando su aplicación está determinada esencialmente, por ejemplo, por el tipo de delito, la expectativa de la pena o la mera existencia de indicios razonables que vinculen </w:t>
      </w:r>
      <w:r w:rsidR="00506932" w:rsidRPr="005D2619">
        <w:rPr>
          <w:rFonts w:ascii="Cambria" w:hAnsi="Cambria" w:cs="Calibri"/>
          <w:sz w:val="20"/>
          <w:szCs w:val="20"/>
          <w:lang w:val="es-CO"/>
        </w:rPr>
        <w:t>a la persona acusada</w:t>
      </w:r>
      <w:r w:rsidRPr="005D2619">
        <w:rPr>
          <w:rStyle w:val="FootnoteReference"/>
          <w:rFonts w:ascii="Cambria" w:eastAsia="MS Gothic" w:hAnsi="Cambria" w:cs="Calibri"/>
          <w:sz w:val="20"/>
          <w:szCs w:val="20"/>
          <w:lang w:val="es-CO"/>
        </w:rPr>
        <w:footnoteReference w:id="85"/>
      </w:r>
      <w:r w:rsidRPr="005D2619">
        <w:rPr>
          <w:rFonts w:ascii="Cambria" w:hAnsi="Cambria" w:cs="Calibri"/>
          <w:sz w:val="20"/>
          <w:szCs w:val="20"/>
          <w:lang w:val="es-CO"/>
        </w:rPr>
        <w:t>.</w:t>
      </w:r>
    </w:p>
    <w:p w14:paraId="76E8BBCF" w14:textId="77777777" w:rsidR="002541C5" w:rsidRPr="005D2619" w:rsidRDefault="002541C5" w:rsidP="002541C5">
      <w:pPr>
        <w:suppressAutoHyphens/>
        <w:spacing w:after="0" w:line="240" w:lineRule="auto"/>
        <w:ind w:left="720"/>
        <w:jc w:val="both"/>
        <w:rPr>
          <w:rFonts w:ascii="Cambria" w:hAnsi="Cambria"/>
          <w:sz w:val="20"/>
          <w:szCs w:val="20"/>
          <w:lang w:val="es-ES"/>
        </w:rPr>
      </w:pPr>
    </w:p>
    <w:p w14:paraId="5979FA05" w14:textId="77777777" w:rsidR="00900AA9" w:rsidRPr="005D2619" w:rsidRDefault="002541C5" w:rsidP="00A227F7">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ES"/>
        </w:rPr>
      </w:pPr>
      <w:r w:rsidRPr="005D2619">
        <w:rPr>
          <w:rFonts w:ascii="Cambria" w:hAnsi="Cambria"/>
          <w:sz w:val="20"/>
          <w:szCs w:val="20"/>
          <w:lang w:val="es-ES"/>
        </w:rPr>
        <w:t xml:space="preserve">En el presente caso, la Comisión observa que </w:t>
      </w:r>
      <w:r w:rsidR="00E25790" w:rsidRPr="005D2619">
        <w:rPr>
          <w:rFonts w:ascii="Cambria" w:hAnsi="Cambria"/>
          <w:sz w:val="20"/>
          <w:szCs w:val="20"/>
          <w:lang w:val="es-ES"/>
        </w:rPr>
        <w:t xml:space="preserve">en </w:t>
      </w:r>
      <w:r w:rsidR="00321E94" w:rsidRPr="005D2619">
        <w:rPr>
          <w:rFonts w:ascii="Cambria" w:hAnsi="Cambria"/>
          <w:sz w:val="20"/>
          <w:szCs w:val="20"/>
          <w:lang w:val="es-ES"/>
        </w:rPr>
        <w:t xml:space="preserve">el documento exhibido al señor Sastoque Alonso tres horas después de estar retenido el </w:t>
      </w:r>
      <w:r w:rsidR="00E25790" w:rsidRPr="005D2619">
        <w:rPr>
          <w:rFonts w:ascii="Cambria" w:hAnsi="Cambria"/>
          <w:sz w:val="20"/>
          <w:szCs w:val="20"/>
          <w:lang w:val="es-ES"/>
        </w:rPr>
        <w:t>8 de marzo de 1995</w:t>
      </w:r>
      <w:r w:rsidR="00321E94" w:rsidRPr="005D2619">
        <w:rPr>
          <w:rFonts w:ascii="Cambria" w:hAnsi="Cambria"/>
          <w:sz w:val="20"/>
          <w:szCs w:val="20"/>
          <w:lang w:val="es-ES"/>
        </w:rPr>
        <w:t>,</w:t>
      </w:r>
      <w:r w:rsidR="00EB20B6" w:rsidRPr="005D2619">
        <w:rPr>
          <w:rFonts w:ascii="Cambria" w:hAnsi="Cambria"/>
          <w:sz w:val="20"/>
          <w:szCs w:val="20"/>
          <w:lang w:val="es-ES"/>
        </w:rPr>
        <w:t xml:space="preserve"> no se indican los fines procesales en los cuales se basó la </w:t>
      </w:r>
      <w:r w:rsidR="00321E94" w:rsidRPr="005D2619">
        <w:rPr>
          <w:rFonts w:ascii="Cambria" w:hAnsi="Cambria"/>
          <w:sz w:val="20"/>
          <w:szCs w:val="20"/>
          <w:lang w:val="es-ES"/>
        </w:rPr>
        <w:t xml:space="preserve">privación de libertad. </w:t>
      </w:r>
      <w:r w:rsidR="00DC6671" w:rsidRPr="005D2619">
        <w:rPr>
          <w:rFonts w:ascii="Cambria" w:hAnsi="Cambria"/>
          <w:sz w:val="20"/>
          <w:szCs w:val="20"/>
          <w:lang w:val="es-ES"/>
        </w:rPr>
        <w:t>La CIDH nota que ese día la Oficina de Divulgación y Prensa de la Fiscalía General  de la Nación emitió un boletín donde se indicó que se ordenó la detención del señor Sastoque como presunto responsable del delito de homicidio de Hernando Pizarro. En dicho boletín se indicó que se “encontró pruebas suficientes para ordenar la vinculación de Gustavo (…) Sastoque (…) quien hasta el momento no ha podido explicar su presunta participación en los hechos”.</w:t>
      </w:r>
    </w:p>
    <w:p w14:paraId="37797B8B" w14:textId="77777777" w:rsidR="00DC6671" w:rsidRPr="005D2619" w:rsidRDefault="00DC6671" w:rsidP="00DC6671">
      <w:pPr>
        <w:suppressAutoHyphens/>
        <w:spacing w:after="0" w:line="240" w:lineRule="auto"/>
        <w:ind w:left="720"/>
        <w:jc w:val="both"/>
        <w:rPr>
          <w:rFonts w:ascii="Cambria" w:hAnsi="Cambria"/>
          <w:sz w:val="20"/>
          <w:szCs w:val="20"/>
          <w:lang w:val="es-ES"/>
        </w:rPr>
      </w:pPr>
    </w:p>
    <w:p w14:paraId="4A854249" w14:textId="77777777" w:rsidR="00432255" w:rsidRPr="005D2619" w:rsidRDefault="00DC6671" w:rsidP="00A227F7">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ES"/>
        </w:rPr>
      </w:pPr>
      <w:r w:rsidRPr="005D2619">
        <w:rPr>
          <w:rFonts w:ascii="Cambria" w:hAnsi="Cambria"/>
          <w:sz w:val="20"/>
          <w:szCs w:val="20"/>
          <w:lang w:val="es-ES"/>
        </w:rPr>
        <w:t>Asimismo,</w:t>
      </w:r>
      <w:r w:rsidR="00321E94" w:rsidRPr="005D2619">
        <w:rPr>
          <w:rFonts w:ascii="Cambria" w:hAnsi="Cambria"/>
          <w:sz w:val="20"/>
          <w:szCs w:val="20"/>
          <w:lang w:val="es-ES"/>
        </w:rPr>
        <w:t xml:space="preserve"> el 14 de marzo de 1995, </w:t>
      </w:r>
      <w:r w:rsidRPr="005D2619">
        <w:rPr>
          <w:rFonts w:ascii="Cambria" w:hAnsi="Cambria"/>
          <w:sz w:val="20"/>
          <w:szCs w:val="20"/>
          <w:lang w:val="es-ES"/>
        </w:rPr>
        <w:t xml:space="preserve">la Dirección Regional de Fiscalías de Santafé de Bogotá emitió una resolución decretando la medida de aseguramiento en contra del señor Sastoque. </w:t>
      </w:r>
      <w:r w:rsidR="00321E94" w:rsidRPr="005D2619">
        <w:rPr>
          <w:rFonts w:ascii="Cambria" w:hAnsi="Cambria"/>
          <w:sz w:val="20"/>
          <w:szCs w:val="20"/>
          <w:lang w:val="es-ES"/>
        </w:rPr>
        <w:t>E</w:t>
      </w:r>
      <w:r w:rsidRPr="005D2619">
        <w:rPr>
          <w:rFonts w:ascii="Cambria" w:hAnsi="Cambria"/>
          <w:sz w:val="20"/>
          <w:szCs w:val="20"/>
          <w:lang w:val="es-ES"/>
        </w:rPr>
        <w:t xml:space="preserve">n dicha resolución se indicó que </w:t>
      </w:r>
      <w:r w:rsidR="00CD46F8" w:rsidRPr="005D2619">
        <w:rPr>
          <w:rFonts w:ascii="Cambria" w:hAnsi="Cambria"/>
          <w:sz w:val="20"/>
          <w:szCs w:val="20"/>
          <w:lang w:val="es-ES"/>
        </w:rPr>
        <w:t xml:space="preserve">la </w:t>
      </w:r>
      <w:r w:rsidRPr="005D2619">
        <w:rPr>
          <w:rFonts w:ascii="Cambria" w:hAnsi="Cambria"/>
          <w:sz w:val="20"/>
          <w:szCs w:val="20"/>
          <w:lang w:val="es-ES"/>
        </w:rPr>
        <w:t>medida se basó “en la seriedad de los testigos y de sus dichos”. Ello en tanto los testimonio</w:t>
      </w:r>
      <w:r w:rsidR="00432255" w:rsidRPr="005D2619">
        <w:rPr>
          <w:rFonts w:ascii="Cambria" w:hAnsi="Cambria"/>
          <w:sz w:val="20"/>
          <w:szCs w:val="20"/>
          <w:lang w:val="es-ES"/>
        </w:rPr>
        <w:t>s con reserva de identidad “convergen en (…) las circunstancias de modo, tiempo y lugar”. Respecto de los testimonios de los familiares del señor Sastoque y de otros testigos que indicaron que él se encontraba comprando zapatos mientras ocurrieron los hechos, la resolución sostuvo que “obviamente [se] deduc[e] que sí hay un interés de por medio, cual es el de sacar avante de este lío judicial en el que se encuentra comprometido su pariente y amigo”.</w:t>
      </w:r>
    </w:p>
    <w:p w14:paraId="754CCC99" w14:textId="77777777" w:rsidR="00432255" w:rsidRPr="005D2619" w:rsidRDefault="00432255" w:rsidP="00432255">
      <w:pPr>
        <w:suppressAutoHyphens/>
        <w:spacing w:after="0" w:line="240" w:lineRule="auto"/>
        <w:ind w:left="720"/>
        <w:jc w:val="both"/>
        <w:rPr>
          <w:rFonts w:ascii="Cambria" w:hAnsi="Cambria"/>
          <w:sz w:val="20"/>
          <w:szCs w:val="20"/>
          <w:lang w:val="es-ES"/>
        </w:rPr>
      </w:pPr>
    </w:p>
    <w:p w14:paraId="1E5200DF" w14:textId="77777777" w:rsidR="008823AE" w:rsidRPr="005D2619" w:rsidRDefault="00CD46F8" w:rsidP="00A227F7">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ES"/>
        </w:rPr>
      </w:pPr>
      <w:r w:rsidRPr="005D2619">
        <w:rPr>
          <w:rFonts w:ascii="Cambria" w:hAnsi="Cambria"/>
          <w:sz w:val="20"/>
          <w:szCs w:val="20"/>
          <w:lang w:val="es-ES"/>
        </w:rPr>
        <w:t>De esta manera, l</w:t>
      </w:r>
      <w:r w:rsidR="00380905" w:rsidRPr="005D2619">
        <w:rPr>
          <w:rFonts w:ascii="Cambria" w:hAnsi="Cambria"/>
          <w:sz w:val="20"/>
          <w:szCs w:val="20"/>
          <w:lang w:val="es-ES"/>
        </w:rPr>
        <w:t xml:space="preserve">a Comisión </w:t>
      </w:r>
      <w:r w:rsidRPr="005D2619">
        <w:rPr>
          <w:rFonts w:ascii="Cambria" w:hAnsi="Cambria"/>
          <w:sz w:val="20"/>
          <w:szCs w:val="20"/>
          <w:lang w:val="es-ES"/>
        </w:rPr>
        <w:t xml:space="preserve">destaca </w:t>
      </w:r>
      <w:r w:rsidR="00380905" w:rsidRPr="005D2619">
        <w:rPr>
          <w:rFonts w:ascii="Cambria" w:hAnsi="Cambria"/>
          <w:sz w:val="20"/>
          <w:szCs w:val="20"/>
          <w:lang w:val="es-ES"/>
        </w:rPr>
        <w:t xml:space="preserve">que en </w:t>
      </w:r>
      <w:r w:rsidRPr="005D2619">
        <w:rPr>
          <w:rFonts w:ascii="Cambria" w:hAnsi="Cambria"/>
          <w:sz w:val="20"/>
          <w:szCs w:val="20"/>
          <w:lang w:val="es-ES"/>
        </w:rPr>
        <w:t xml:space="preserve">ninguno de los dos documentos que disponen, primero el arresto y segundo la detención preventiva, </w:t>
      </w:r>
      <w:r w:rsidR="00380905" w:rsidRPr="005D2619">
        <w:rPr>
          <w:rFonts w:ascii="Cambria" w:hAnsi="Cambria"/>
          <w:sz w:val="20"/>
          <w:szCs w:val="20"/>
          <w:lang w:val="es-ES"/>
        </w:rPr>
        <w:t>se indican los fines procesales por los cuales correspond</w:t>
      </w:r>
      <w:r w:rsidR="002337EC" w:rsidRPr="005D2619">
        <w:rPr>
          <w:rFonts w:ascii="Cambria" w:hAnsi="Cambria"/>
          <w:sz w:val="20"/>
          <w:szCs w:val="20"/>
          <w:lang w:val="es-ES"/>
        </w:rPr>
        <w:t>ía</w:t>
      </w:r>
      <w:r w:rsidR="00380905" w:rsidRPr="005D2619">
        <w:rPr>
          <w:rFonts w:ascii="Cambria" w:hAnsi="Cambria"/>
          <w:sz w:val="20"/>
          <w:szCs w:val="20"/>
          <w:lang w:val="es-ES"/>
        </w:rPr>
        <w:t xml:space="preserve"> </w:t>
      </w:r>
      <w:r w:rsidRPr="005D2619">
        <w:rPr>
          <w:rFonts w:ascii="Cambria" w:hAnsi="Cambria"/>
          <w:sz w:val="20"/>
          <w:szCs w:val="20"/>
          <w:lang w:val="es-ES"/>
        </w:rPr>
        <w:t xml:space="preserve">privar de libertad al señor </w:t>
      </w:r>
      <w:r w:rsidR="00380905" w:rsidRPr="005D2619">
        <w:rPr>
          <w:rFonts w:ascii="Cambria" w:hAnsi="Cambria"/>
          <w:sz w:val="20"/>
          <w:szCs w:val="20"/>
          <w:lang w:val="es-ES"/>
        </w:rPr>
        <w:t xml:space="preserve">Sastoque. </w:t>
      </w:r>
      <w:r w:rsidR="008C1D45" w:rsidRPr="005D2619">
        <w:rPr>
          <w:rFonts w:ascii="Cambria" w:hAnsi="Cambria"/>
          <w:sz w:val="20"/>
          <w:szCs w:val="20"/>
          <w:lang w:val="es-ES"/>
        </w:rPr>
        <w:t>Por el contrario</w:t>
      </w:r>
      <w:r w:rsidR="002337EC" w:rsidRPr="005D2619">
        <w:rPr>
          <w:rFonts w:ascii="Cambria" w:hAnsi="Cambria"/>
          <w:sz w:val="20"/>
          <w:szCs w:val="20"/>
          <w:lang w:val="es-ES"/>
        </w:rPr>
        <w:t>,</w:t>
      </w:r>
      <w:r w:rsidR="008C1D45" w:rsidRPr="005D2619">
        <w:rPr>
          <w:rFonts w:ascii="Cambria" w:hAnsi="Cambria"/>
          <w:sz w:val="20"/>
          <w:szCs w:val="20"/>
          <w:lang w:val="es-ES"/>
        </w:rPr>
        <w:t xml:space="preserve"> </w:t>
      </w:r>
      <w:r w:rsidR="00380905" w:rsidRPr="005D2619">
        <w:rPr>
          <w:rFonts w:ascii="Cambria" w:hAnsi="Cambria"/>
          <w:sz w:val="20"/>
          <w:szCs w:val="20"/>
          <w:lang w:val="es-ES"/>
        </w:rPr>
        <w:t xml:space="preserve">la Comisión </w:t>
      </w:r>
      <w:r w:rsidR="002337EC" w:rsidRPr="005D2619">
        <w:rPr>
          <w:rFonts w:ascii="Cambria" w:hAnsi="Cambria"/>
          <w:sz w:val="20"/>
          <w:szCs w:val="20"/>
          <w:lang w:val="es-ES"/>
        </w:rPr>
        <w:t xml:space="preserve">resalta </w:t>
      </w:r>
      <w:r w:rsidR="00380905" w:rsidRPr="005D2619">
        <w:rPr>
          <w:rFonts w:ascii="Cambria" w:hAnsi="Cambria"/>
          <w:sz w:val="20"/>
          <w:szCs w:val="20"/>
          <w:lang w:val="es-ES"/>
        </w:rPr>
        <w:t xml:space="preserve">que </w:t>
      </w:r>
      <w:r w:rsidR="00BF35E6" w:rsidRPr="005D2619">
        <w:rPr>
          <w:rFonts w:ascii="Cambria" w:hAnsi="Cambria"/>
          <w:sz w:val="20"/>
          <w:szCs w:val="20"/>
          <w:lang w:val="es-ES"/>
        </w:rPr>
        <w:t xml:space="preserve">dichas </w:t>
      </w:r>
      <w:r w:rsidR="00380905" w:rsidRPr="005D2619">
        <w:rPr>
          <w:rFonts w:ascii="Cambria" w:hAnsi="Cambria"/>
          <w:sz w:val="20"/>
          <w:szCs w:val="20"/>
          <w:lang w:val="es-ES"/>
        </w:rPr>
        <w:t xml:space="preserve">consideraciones se refieren </w:t>
      </w:r>
      <w:r w:rsidR="00BF35E6" w:rsidRPr="005D2619">
        <w:rPr>
          <w:rFonts w:ascii="Cambria" w:hAnsi="Cambria"/>
          <w:sz w:val="20"/>
          <w:szCs w:val="20"/>
          <w:lang w:val="es-ES"/>
        </w:rPr>
        <w:t>a la</w:t>
      </w:r>
      <w:r w:rsidR="008823AE" w:rsidRPr="005D2619">
        <w:rPr>
          <w:rFonts w:ascii="Cambria" w:hAnsi="Cambria"/>
          <w:sz w:val="20"/>
          <w:szCs w:val="20"/>
          <w:lang w:val="es-ES"/>
        </w:rPr>
        <w:t xml:space="preserve"> verosimilitud de los testimonios presentados en el proceso y la</w:t>
      </w:r>
      <w:r w:rsidR="00BF35E6" w:rsidRPr="005D2619">
        <w:rPr>
          <w:rFonts w:ascii="Cambria" w:hAnsi="Cambria"/>
          <w:sz w:val="20"/>
          <w:szCs w:val="20"/>
          <w:lang w:val="es-ES"/>
        </w:rPr>
        <w:t xml:space="preserve"> </w:t>
      </w:r>
      <w:r w:rsidR="008823AE" w:rsidRPr="005D2619">
        <w:rPr>
          <w:rFonts w:ascii="Cambria" w:hAnsi="Cambria"/>
          <w:sz w:val="20"/>
          <w:szCs w:val="20"/>
          <w:lang w:val="es-ES"/>
        </w:rPr>
        <w:t xml:space="preserve">eventual </w:t>
      </w:r>
      <w:r w:rsidR="00BF35E6" w:rsidRPr="005D2619">
        <w:rPr>
          <w:rFonts w:ascii="Cambria" w:hAnsi="Cambria"/>
          <w:sz w:val="20"/>
          <w:szCs w:val="20"/>
          <w:lang w:val="es-ES"/>
        </w:rPr>
        <w:t>responsabilidad o no del</w:t>
      </w:r>
      <w:r w:rsidR="008823AE" w:rsidRPr="005D2619">
        <w:rPr>
          <w:rFonts w:ascii="Cambria" w:hAnsi="Cambria"/>
          <w:sz w:val="20"/>
          <w:szCs w:val="20"/>
          <w:lang w:val="es-ES"/>
        </w:rPr>
        <w:t xml:space="preserve"> señor Sastoque</w:t>
      </w:r>
      <w:r w:rsidR="00380905" w:rsidRPr="005D2619">
        <w:rPr>
          <w:rFonts w:ascii="Cambria" w:hAnsi="Cambria"/>
          <w:sz w:val="20"/>
          <w:szCs w:val="20"/>
          <w:lang w:val="es-ES"/>
        </w:rPr>
        <w:t xml:space="preserve">. </w:t>
      </w:r>
      <w:r w:rsidR="008823AE" w:rsidRPr="005D2619">
        <w:rPr>
          <w:rFonts w:ascii="Cambria" w:hAnsi="Cambria"/>
          <w:sz w:val="20"/>
          <w:szCs w:val="20"/>
          <w:lang w:val="es-ES"/>
        </w:rPr>
        <w:t xml:space="preserve">A ello se suma que los testimonios utilizados tenían carácter anónimo y que la resolución de 14 de marzo fue emitida por un fiscal cuyo nombre se encontraba reservado. </w:t>
      </w:r>
    </w:p>
    <w:p w14:paraId="4AF82515" w14:textId="77777777" w:rsidR="002541C5" w:rsidRPr="005D2619" w:rsidRDefault="002541C5" w:rsidP="00380905">
      <w:pPr>
        <w:pStyle w:val="ColorfulList-Accent11"/>
        <w:pBdr>
          <w:top w:val="none" w:sz="0" w:space="0" w:color="auto"/>
          <w:left w:val="none" w:sz="0" w:space="0" w:color="auto"/>
          <w:bottom w:val="none" w:sz="0" w:space="0" w:color="auto"/>
          <w:right w:val="none" w:sz="0" w:space="0" w:color="auto"/>
          <w:bar w:val="none" w:sz="0" w:color="auto"/>
        </w:pBdr>
        <w:ind w:left="0"/>
        <w:rPr>
          <w:rFonts w:cs="TimesNewRoman"/>
          <w:color w:val="auto"/>
          <w:sz w:val="20"/>
          <w:szCs w:val="20"/>
          <w:lang w:val="es-ES" w:eastAsia="es-ES_tradnl"/>
        </w:rPr>
      </w:pPr>
    </w:p>
    <w:p w14:paraId="2CB367B4" w14:textId="77777777" w:rsidR="003717B5" w:rsidRPr="005D2619" w:rsidRDefault="002541C5" w:rsidP="00A227F7">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cs="TimesNewRoman"/>
          <w:sz w:val="20"/>
          <w:szCs w:val="20"/>
          <w:lang w:val="es-ES" w:eastAsia="es-ES_tradnl"/>
        </w:rPr>
      </w:pPr>
      <w:r w:rsidRPr="005D2619">
        <w:rPr>
          <w:rFonts w:ascii="Cambria" w:hAnsi="Cambria" w:cs="TimesNewRoman"/>
          <w:sz w:val="20"/>
          <w:szCs w:val="20"/>
          <w:lang w:val="es-ES" w:eastAsia="es-ES_tradnl"/>
        </w:rPr>
        <w:t xml:space="preserve"> En vista de lo señalado, la Comisión concluye que la detención preventiva del s</w:t>
      </w:r>
      <w:r w:rsidR="00380905" w:rsidRPr="005D2619">
        <w:rPr>
          <w:rFonts w:ascii="Cambria" w:hAnsi="Cambria" w:cs="TimesNewRoman"/>
          <w:sz w:val="20"/>
          <w:szCs w:val="20"/>
          <w:lang w:val="es-ES" w:eastAsia="es-ES_tradnl"/>
        </w:rPr>
        <w:t xml:space="preserve">eñor </w:t>
      </w:r>
      <w:r w:rsidR="002337EC" w:rsidRPr="005D2619">
        <w:rPr>
          <w:rFonts w:ascii="Cambria" w:hAnsi="Cambria" w:cs="TimesNewRoman"/>
          <w:sz w:val="20"/>
          <w:szCs w:val="20"/>
          <w:lang w:val="es-ES" w:eastAsia="es-ES_tradnl"/>
        </w:rPr>
        <w:t xml:space="preserve">Sastoque </w:t>
      </w:r>
      <w:r w:rsidR="00380905" w:rsidRPr="005D2619">
        <w:rPr>
          <w:rFonts w:ascii="Cambria" w:hAnsi="Cambria" w:cs="TimesNewRoman"/>
          <w:sz w:val="20"/>
          <w:szCs w:val="20"/>
          <w:lang w:val="es-ES" w:eastAsia="es-ES_tradnl"/>
        </w:rPr>
        <w:t xml:space="preserve">fue </w:t>
      </w:r>
      <w:r w:rsidR="00380905" w:rsidRPr="00A227F7">
        <w:rPr>
          <w:rFonts w:ascii="Cambria" w:hAnsi="Cambria"/>
          <w:sz w:val="20"/>
          <w:szCs w:val="20"/>
          <w:lang w:val="es-ES"/>
        </w:rPr>
        <w:t>arbitraria</w:t>
      </w:r>
      <w:r w:rsidR="00380905" w:rsidRPr="005D2619">
        <w:rPr>
          <w:rFonts w:ascii="Cambria" w:hAnsi="Cambria" w:cs="TimesNewRoman"/>
          <w:sz w:val="20"/>
          <w:szCs w:val="20"/>
          <w:lang w:val="es-ES" w:eastAsia="es-ES_tradnl"/>
        </w:rPr>
        <w:t xml:space="preserve"> y no </w:t>
      </w:r>
      <w:r w:rsidRPr="005D2619">
        <w:rPr>
          <w:rFonts w:ascii="Cambria" w:hAnsi="Cambria" w:cs="TimesNewRoman"/>
          <w:sz w:val="20"/>
          <w:szCs w:val="20"/>
          <w:lang w:val="es-ES" w:eastAsia="es-ES_tradnl"/>
        </w:rPr>
        <w:t>tuvo fines no procesales</w:t>
      </w:r>
      <w:r w:rsidR="008823AE" w:rsidRPr="005D2619">
        <w:rPr>
          <w:rFonts w:ascii="Cambria" w:hAnsi="Cambria" w:cs="TimesNewRoman"/>
          <w:sz w:val="20"/>
          <w:szCs w:val="20"/>
          <w:lang w:val="es-ES" w:eastAsia="es-ES_tradnl"/>
        </w:rPr>
        <w:t>, por lo que</w:t>
      </w:r>
      <w:r w:rsidR="002337EC" w:rsidRPr="005D2619">
        <w:rPr>
          <w:rFonts w:ascii="Cambria" w:hAnsi="Cambria" w:cs="TimesNewRoman"/>
          <w:sz w:val="20"/>
          <w:szCs w:val="20"/>
          <w:lang w:val="es-ES" w:eastAsia="es-ES_tradnl"/>
        </w:rPr>
        <w:t>, además,</w:t>
      </w:r>
      <w:r w:rsidR="008823AE" w:rsidRPr="005D2619">
        <w:rPr>
          <w:rFonts w:ascii="Cambria" w:hAnsi="Cambria" w:cs="TimesNewRoman"/>
          <w:sz w:val="20"/>
          <w:szCs w:val="20"/>
          <w:lang w:val="es-ES" w:eastAsia="es-ES_tradnl"/>
        </w:rPr>
        <w:t xml:space="preserve"> se vulneró el principio de</w:t>
      </w:r>
      <w:r w:rsidR="002337EC" w:rsidRPr="005D2619">
        <w:rPr>
          <w:rFonts w:ascii="Cambria" w:hAnsi="Cambria" w:cs="TimesNewRoman"/>
          <w:sz w:val="20"/>
          <w:szCs w:val="20"/>
          <w:lang w:val="es-ES" w:eastAsia="es-ES_tradnl"/>
        </w:rPr>
        <w:t xml:space="preserve"> presunción de</w:t>
      </w:r>
      <w:r w:rsidR="008823AE" w:rsidRPr="005D2619">
        <w:rPr>
          <w:rFonts w:ascii="Cambria" w:hAnsi="Cambria" w:cs="TimesNewRoman"/>
          <w:sz w:val="20"/>
          <w:szCs w:val="20"/>
          <w:lang w:val="es-ES" w:eastAsia="es-ES_tradnl"/>
        </w:rPr>
        <w:t xml:space="preserve"> inocencia</w:t>
      </w:r>
      <w:r w:rsidRPr="005D2619">
        <w:rPr>
          <w:rFonts w:ascii="Cambria" w:hAnsi="Cambria" w:cs="TimesNewRoman"/>
          <w:sz w:val="20"/>
          <w:szCs w:val="20"/>
          <w:lang w:val="es-ES" w:eastAsia="es-ES_tradnl"/>
        </w:rPr>
        <w:t xml:space="preserve">. En consecuencia, el Estado de </w:t>
      </w:r>
      <w:r w:rsidR="00380905" w:rsidRPr="005D2619">
        <w:rPr>
          <w:rFonts w:ascii="Cambria" w:hAnsi="Cambria" w:cs="TimesNewRoman"/>
          <w:sz w:val="20"/>
          <w:szCs w:val="20"/>
          <w:lang w:val="es-ES" w:eastAsia="es-ES_tradnl"/>
        </w:rPr>
        <w:t xml:space="preserve">Colombia </w:t>
      </w:r>
      <w:r w:rsidRPr="005D2619">
        <w:rPr>
          <w:rFonts w:ascii="Cambria" w:hAnsi="Cambria" w:cs="TimesNewRoman"/>
          <w:sz w:val="20"/>
          <w:szCs w:val="20"/>
          <w:lang w:val="es-ES" w:eastAsia="es-ES_tradnl"/>
        </w:rPr>
        <w:t xml:space="preserve">es responsable por la violación de los artículos </w:t>
      </w:r>
      <w:r w:rsidR="00380905" w:rsidRPr="005D2619">
        <w:rPr>
          <w:rFonts w:ascii="Cambria" w:hAnsi="Cambria" w:cs="TimesNewRoman"/>
          <w:sz w:val="20"/>
          <w:szCs w:val="20"/>
          <w:lang w:val="es-ES" w:eastAsia="es-ES_tradnl"/>
        </w:rPr>
        <w:t xml:space="preserve">7.1, </w:t>
      </w:r>
      <w:r w:rsidRPr="005D2619">
        <w:rPr>
          <w:rFonts w:ascii="Cambria" w:hAnsi="Cambria" w:cs="TimesNewRoman"/>
          <w:sz w:val="20"/>
          <w:szCs w:val="20"/>
          <w:lang w:val="es-ES" w:eastAsia="es-ES_tradnl"/>
        </w:rPr>
        <w:t xml:space="preserve">7.3, </w:t>
      </w:r>
      <w:r w:rsidR="00380905" w:rsidRPr="005D2619">
        <w:rPr>
          <w:rFonts w:ascii="Cambria" w:hAnsi="Cambria" w:cs="TimesNewRoman"/>
          <w:sz w:val="20"/>
          <w:szCs w:val="20"/>
          <w:lang w:val="es-ES" w:eastAsia="es-ES_tradnl"/>
        </w:rPr>
        <w:t xml:space="preserve">y </w:t>
      </w:r>
      <w:r w:rsidRPr="005D2619">
        <w:rPr>
          <w:rFonts w:ascii="Cambria" w:hAnsi="Cambria" w:cs="TimesNewRoman"/>
          <w:sz w:val="20"/>
          <w:szCs w:val="20"/>
          <w:lang w:val="es-ES" w:eastAsia="es-ES_tradnl"/>
        </w:rPr>
        <w:t xml:space="preserve">8.2 de la Convención Americana, en relación con </w:t>
      </w:r>
      <w:r w:rsidR="00380905" w:rsidRPr="005D2619">
        <w:rPr>
          <w:rFonts w:ascii="Cambria" w:hAnsi="Cambria" w:cs="TimesNewRoman"/>
          <w:sz w:val="20"/>
          <w:szCs w:val="20"/>
          <w:lang w:val="es-ES" w:eastAsia="es-ES_tradnl"/>
        </w:rPr>
        <w:t>el artículo</w:t>
      </w:r>
      <w:r w:rsidRPr="005D2619">
        <w:rPr>
          <w:rFonts w:ascii="Cambria" w:hAnsi="Cambria" w:cs="TimesNewRoman"/>
          <w:sz w:val="20"/>
          <w:szCs w:val="20"/>
          <w:lang w:val="es-ES" w:eastAsia="es-ES_tradnl"/>
        </w:rPr>
        <w:t xml:space="preserve"> 1.1 del mismo instrumento</w:t>
      </w:r>
      <w:r w:rsidR="00380905" w:rsidRPr="005D2619">
        <w:rPr>
          <w:rFonts w:ascii="Cambria" w:hAnsi="Cambria" w:cs="TimesNewRoman"/>
          <w:sz w:val="20"/>
          <w:szCs w:val="20"/>
          <w:lang w:val="es-ES" w:eastAsia="es-ES_tradnl"/>
        </w:rPr>
        <w:t>, en perjuicio de  Gustavo Sastoque Alfonso</w:t>
      </w:r>
      <w:r w:rsidRPr="005D2619">
        <w:rPr>
          <w:rFonts w:ascii="Cambria" w:hAnsi="Cambria" w:cs="TimesNewRoman"/>
          <w:sz w:val="20"/>
          <w:szCs w:val="20"/>
          <w:lang w:val="es-ES" w:eastAsia="es-ES_tradnl"/>
        </w:rPr>
        <w:t>.</w:t>
      </w:r>
      <w:r w:rsidR="00E643BA" w:rsidRPr="005D2619">
        <w:rPr>
          <w:rFonts w:ascii="Cambria" w:hAnsi="Cambria" w:cs="TimesNewRoman"/>
          <w:sz w:val="20"/>
          <w:szCs w:val="20"/>
          <w:lang w:val="es-ES" w:eastAsia="es-ES_tradnl"/>
        </w:rPr>
        <w:t xml:space="preserve"> La Comisión destaca que esta violación inició con la privación de libertad de la víctima y se mantuvo </w:t>
      </w:r>
      <w:r w:rsidR="006C737B" w:rsidRPr="005D2619">
        <w:rPr>
          <w:rFonts w:ascii="Cambria" w:hAnsi="Cambria" w:cs="TimesNewRoman"/>
          <w:sz w:val="20"/>
          <w:szCs w:val="20"/>
          <w:lang w:val="es-ES" w:eastAsia="es-ES_tradnl"/>
        </w:rPr>
        <w:t>durante todo el tiempo en que estuvo detenido preventivamente, en tanto no consta en el expediente revisión periódica alguna</w:t>
      </w:r>
      <w:r w:rsidR="003717B5" w:rsidRPr="005D2619">
        <w:rPr>
          <w:rFonts w:ascii="Cambria" w:hAnsi="Cambria" w:cs="TimesNewRoman"/>
          <w:sz w:val="20"/>
          <w:szCs w:val="20"/>
          <w:lang w:val="es-ES" w:eastAsia="es-ES_tradnl"/>
        </w:rPr>
        <w:t xml:space="preserve"> de la continuidad de dicha figura,</w:t>
      </w:r>
      <w:r w:rsidR="006C737B" w:rsidRPr="005D2619">
        <w:rPr>
          <w:rFonts w:ascii="Cambria" w:hAnsi="Cambria" w:cs="TimesNewRoman"/>
          <w:sz w:val="20"/>
          <w:szCs w:val="20"/>
          <w:lang w:val="es-ES" w:eastAsia="es-ES_tradnl"/>
        </w:rPr>
        <w:t xml:space="preserve"> ni que en algú</w:t>
      </w:r>
      <w:r w:rsidR="003717B5" w:rsidRPr="005D2619">
        <w:rPr>
          <w:rFonts w:ascii="Cambria" w:hAnsi="Cambria" w:cs="TimesNewRoman"/>
          <w:sz w:val="20"/>
          <w:szCs w:val="20"/>
          <w:lang w:val="es-ES" w:eastAsia="es-ES_tradnl"/>
        </w:rPr>
        <w:t xml:space="preserve">n momento posterior se hubiese subsanado </w:t>
      </w:r>
      <w:r w:rsidR="006C737B" w:rsidRPr="005D2619">
        <w:rPr>
          <w:rFonts w:ascii="Cambria" w:hAnsi="Cambria" w:cs="TimesNewRoman"/>
          <w:sz w:val="20"/>
          <w:szCs w:val="20"/>
          <w:lang w:val="es-ES" w:eastAsia="es-ES_tradnl"/>
        </w:rPr>
        <w:t>la ausencia de fines procesales</w:t>
      </w:r>
      <w:r w:rsidR="003717B5" w:rsidRPr="005D2619">
        <w:rPr>
          <w:rFonts w:ascii="Cambria" w:hAnsi="Cambria" w:cs="TimesNewRoman"/>
          <w:sz w:val="20"/>
          <w:szCs w:val="20"/>
          <w:lang w:val="es-ES" w:eastAsia="es-ES_tradnl"/>
        </w:rPr>
        <w:t>.</w:t>
      </w:r>
      <w:r w:rsidR="003717B5" w:rsidRPr="005D2619">
        <w:rPr>
          <w:rFonts w:ascii="Cambria" w:hAnsi="Cambria"/>
          <w:bCs/>
          <w:sz w:val="20"/>
          <w:szCs w:val="20"/>
          <w:lang w:val="es-ES"/>
        </w:rPr>
        <w:t xml:space="preserve"> </w:t>
      </w:r>
    </w:p>
    <w:p w14:paraId="799E2C65" w14:textId="77777777" w:rsidR="00F80D80" w:rsidRPr="005D2619" w:rsidRDefault="00F80D80" w:rsidP="00F80D80">
      <w:pPr>
        <w:spacing w:after="0" w:line="240" w:lineRule="auto"/>
        <w:rPr>
          <w:sz w:val="20"/>
          <w:szCs w:val="20"/>
          <w:lang w:val="es-CO"/>
        </w:rPr>
      </w:pPr>
    </w:p>
    <w:p w14:paraId="441A0DE3" w14:textId="77777777" w:rsidR="008D547D" w:rsidRPr="005D2619" w:rsidRDefault="008D547D" w:rsidP="007C4794">
      <w:pPr>
        <w:pStyle w:val="Heading2"/>
        <w:numPr>
          <w:ilvl w:val="0"/>
          <w:numId w:val="55"/>
        </w:numPr>
      </w:pPr>
      <w:bookmarkStart w:id="26" w:name="_Toc203986808"/>
      <w:r w:rsidRPr="005D2619">
        <w:t>Derechos a las garantías judiciales y protección judicial (artículos 8</w:t>
      </w:r>
      <w:r w:rsidRPr="005D2619">
        <w:rPr>
          <w:rStyle w:val="FootnoteReference"/>
        </w:rPr>
        <w:footnoteReference w:id="86"/>
      </w:r>
      <w:r w:rsidRPr="005D2619">
        <w:t xml:space="preserve"> y 25</w:t>
      </w:r>
      <w:r w:rsidRPr="005D2619">
        <w:rPr>
          <w:rStyle w:val="FootnoteReference"/>
        </w:rPr>
        <w:footnoteReference w:id="87"/>
      </w:r>
      <w:r w:rsidRPr="005D2619">
        <w:t xml:space="preserve"> de la Convención Americana</w:t>
      </w:r>
      <w:r w:rsidR="00C05E8B" w:rsidRPr="005D2619">
        <w:t xml:space="preserve"> </w:t>
      </w:r>
      <w:r w:rsidR="00C05E8B" w:rsidRPr="005D2619">
        <w:rPr>
          <w:lang w:val="es-ES"/>
        </w:rPr>
        <w:t>en relación con los artículos 1.1 y 2 del mismo instrumento</w:t>
      </w:r>
      <w:r w:rsidRPr="005D2619">
        <w:t>)</w:t>
      </w:r>
      <w:bookmarkEnd w:id="23"/>
      <w:bookmarkEnd w:id="26"/>
    </w:p>
    <w:p w14:paraId="36938639" w14:textId="77777777" w:rsidR="008D547D" w:rsidRPr="005D2619" w:rsidRDefault="008D547D" w:rsidP="00A46D91">
      <w:pPr>
        <w:spacing w:after="0" w:line="240" w:lineRule="auto"/>
        <w:rPr>
          <w:rFonts w:ascii="Cambria" w:hAnsi="Cambria"/>
          <w:sz w:val="20"/>
          <w:szCs w:val="20"/>
          <w:lang w:val="es-CO"/>
        </w:rPr>
      </w:pPr>
    </w:p>
    <w:p w14:paraId="5490FA7E" w14:textId="77777777" w:rsidR="00E25790" w:rsidRPr="005D2619" w:rsidRDefault="00E25790" w:rsidP="00E25790">
      <w:pPr>
        <w:numPr>
          <w:ilvl w:val="3"/>
          <w:numId w:val="53"/>
        </w:numPr>
        <w:tabs>
          <w:tab w:val="clear" w:pos="2880"/>
          <w:tab w:val="num" w:pos="1440"/>
        </w:tabs>
        <w:spacing w:after="0" w:line="240" w:lineRule="auto"/>
        <w:ind w:hanging="2160"/>
        <w:rPr>
          <w:rFonts w:ascii="Cambria" w:hAnsi="Cambria"/>
          <w:b/>
          <w:sz w:val="20"/>
          <w:szCs w:val="20"/>
          <w:lang w:val="es-CO"/>
        </w:rPr>
      </w:pPr>
      <w:r w:rsidRPr="005D2619">
        <w:rPr>
          <w:rFonts w:ascii="Cambria" w:hAnsi="Cambria"/>
          <w:b/>
          <w:sz w:val="20"/>
          <w:szCs w:val="20"/>
          <w:lang w:val="es-CO"/>
        </w:rPr>
        <w:t xml:space="preserve">Derecho a contar con jueces y fiscales </w:t>
      </w:r>
      <w:r w:rsidR="008B2C7F" w:rsidRPr="005D2619">
        <w:rPr>
          <w:rFonts w:ascii="Cambria" w:hAnsi="Cambria"/>
          <w:b/>
          <w:sz w:val="20"/>
          <w:szCs w:val="20"/>
          <w:lang w:val="es-CO"/>
        </w:rPr>
        <w:t xml:space="preserve">competentes, </w:t>
      </w:r>
      <w:r w:rsidR="00823781" w:rsidRPr="005D2619">
        <w:rPr>
          <w:rFonts w:ascii="Cambria" w:hAnsi="Cambria"/>
          <w:b/>
          <w:sz w:val="20"/>
          <w:szCs w:val="20"/>
          <w:lang w:val="es-CO"/>
        </w:rPr>
        <w:t xml:space="preserve">independientes </w:t>
      </w:r>
      <w:r w:rsidRPr="005D2619">
        <w:rPr>
          <w:rFonts w:ascii="Cambria" w:hAnsi="Cambria"/>
          <w:b/>
          <w:sz w:val="20"/>
          <w:szCs w:val="20"/>
          <w:lang w:val="es-CO"/>
        </w:rPr>
        <w:t>e imparciales</w:t>
      </w:r>
    </w:p>
    <w:p w14:paraId="58E6A00B" w14:textId="77777777" w:rsidR="00F910C0" w:rsidRPr="005D2619" w:rsidRDefault="00F910C0" w:rsidP="00E07E25">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pPr>
    </w:p>
    <w:p w14:paraId="2296B1E5" w14:textId="77777777" w:rsidR="009321B6" w:rsidRPr="005D2619" w:rsidRDefault="00F910C0" w:rsidP="00A227F7">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ES"/>
        </w:rPr>
      </w:pPr>
      <w:r w:rsidRPr="005D2619">
        <w:rPr>
          <w:rFonts w:ascii="Cambria" w:hAnsi="Cambria" w:cs="Verdana"/>
          <w:spacing w:val="-2"/>
          <w:sz w:val="20"/>
          <w:szCs w:val="20"/>
        </w:rPr>
        <w:t>En el presente caso la</w:t>
      </w:r>
      <w:r w:rsidR="008167E5" w:rsidRPr="005D2619">
        <w:rPr>
          <w:rFonts w:ascii="Cambria" w:hAnsi="Cambria" w:cs="Verdana"/>
          <w:spacing w:val="-2"/>
          <w:sz w:val="20"/>
          <w:szCs w:val="20"/>
        </w:rPr>
        <w:t xml:space="preserve"> CIDH </w:t>
      </w:r>
      <w:r w:rsidR="00E15550" w:rsidRPr="005D2619">
        <w:rPr>
          <w:rFonts w:ascii="Cambria" w:hAnsi="Cambria" w:cs="Verdana"/>
          <w:spacing w:val="-2"/>
          <w:sz w:val="20"/>
          <w:szCs w:val="20"/>
        </w:rPr>
        <w:t>observa que el proceso seguido en contra del señor Sastoque</w:t>
      </w:r>
      <w:r w:rsidR="009321B6" w:rsidRPr="005D2619">
        <w:rPr>
          <w:rFonts w:ascii="Cambria" w:hAnsi="Cambria" w:cs="Verdana"/>
          <w:spacing w:val="-2"/>
          <w:sz w:val="20"/>
          <w:szCs w:val="20"/>
        </w:rPr>
        <w:t xml:space="preserve"> se dio ante la justicia regional. Tal como se indicó en la sección de Determinaciones de Hecho, tanto la Comisión como órganos de Naciones Unidas han mostrado su preocupación sobre la aplicación de dicha jurisdicción, en particular debido a la utilización de jueces y fiscales con identidad reservada.</w:t>
      </w:r>
    </w:p>
    <w:p w14:paraId="0A336740" w14:textId="77777777" w:rsidR="008B2C7F" w:rsidRPr="005D2619" w:rsidRDefault="008B2C7F" w:rsidP="00E07E25">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ES"/>
        </w:rPr>
      </w:pPr>
    </w:p>
    <w:p w14:paraId="710CB98B" w14:textId="77777777" w:rsidR="0032340A" w:rsidRPr="005D2619" w:rsidRDefault="0032340A" w:rsidP="00A227F7">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b/>
          <w:sz w:val="20"/>
          <w:szCs w:val="20"/>
        </w:rPr>
      </w:pPr>
      <w:r w:rsidRPr="005D2619">
        <w:rPr>
          <w:rFonts w:ascii="Cambria" w:hAnsi="Cambria"/>
          <w:sz w:val="20"/>
          <w:szCs w:val="20"/>
          <w:lang w:val="es-ES"/>
        </w:rPr>
        <w:t xml:space="preserve">La Comisión ha indicado reiteradamente que el juzgamiento por "tribunales sin rostro" contraviene el derecho de todo individuo de saber quién o quiénes son los jueces que van a conocer de su causa, si éstos </w:t>
      </w:r>
      <w:r w:rsidRPr="00A227F7">
        <w:rPr>
          <w:rFonts w:ascii="Cambria" w:hAnsi="Cambria" w:cs="Verdana"/>
          <w:spacing w:val="-2"/>
          <w:sz w:val="20"/>
          <w:szCs w:val="20"/>
        </w:rPr>
        <w:t>son</w:t>
      </w:r>
      <w:r w:rsidRPr="005D2619">
        <w:rPr>
          <w:rFonts w:ascii="Cambria" w:hAnsi="Cambria"/>
          <w:sz w:val="20"/>
          <w:szCs w:val="20"/>
          <w:lang w:val="es-ES"/>
        </w:rPr>
        <w:t xml:space="preserve"> o no </w:t>
      </w:r>
      <w:r w:rsidRPr="005D2619">
        <w:rPr>
          <w:rFonts w:ascii="Cambria" w:hAnsi="Cambria" w:cs="Verdana"/>
          <w:spacing w:val="-2"/>
          <w:sz w:val="20"/>
          <w:szCs w:val="20"/>
        </w:rPr>
        <w:t>competentes</w:t>
      </w:r>
      <w:r w:rsidRPr="005D2619">
        <w:rPr>
          <w:rFonts w:ascii="Cambria" w:hAnsi="Cambria"/>
          <w:sz w:val="20"/>
          <w:szCs w:val="20"/>
          <w:lang w:val="es-ES"/>
        </w:rPr>
        <w:t xml:space="preserve"> para conocer de ésta y, si éstos tienen o no algún interés en los resultados de la misma, de manera tal que pueda afectar el derecho a ser juzgado por un juez imparcial. Al no conocerse la identidad del juez o jueza, se compromete la posibilidad de conocer sobre su independencia e imparcialidad</w:t>
      </w:r>
      <w:r w:rsidRPr="005D2619">
        <w:rPr>
          <w:rStyle w:val="FootnoteReference"/>
          <w:rFonts w:ascii="Cambria" w:hAnsi="Cambria"/>
          <w:sz w:val="20"/>
          <w:szCs w:val="20"/>
          <w:lang w:val="es-ES"/>
        </w:rPr>
        <w:footnoteReference w:id="88"/>
      </w:r>
      <w:r w:rsidRPr="005D2619">
        <w:rPr>
          <w:rFonts w:ascii="Cambria" w:hAnsi="Cambria"/>
          <w:sz w:val="20"/>
          <w:szCs w:val="20"/>
          <w:lang w:val="es-ES"/>
        </w:rPr>
        <w:t xml:space="preserve">. En palabras de la CIDH: </w:t>
      </w:r>
    </w:p>
    <w:p w14:paraId="10370BA6" w14:textId="77777777" w:rsidR="0032340A" w:rsidRPr="005D2619" w:rsidRDefault="0032340A" w:rsidP="0032340A">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b/>
          <w:sz w:val="20"/>
          <w:szCs w:val="20"/>
        </w:rPr>
      </w:pPr>
    </w:p>
    <w:p w14:paraId="2AC6A66A" w14:textId="77777777" w:rsidR="0032340A" w:rsidRPr="005D2619" w:rsidRDefault="0032340A" w:rsidP="0032340A">
      <w:pPr>
        <w:pStyle w:val="BlockText"/>
        <w:rPr>
          <w:rFonts w:ascii="Cambria" w:hAnsi="Cambria" w:cs="Arial"/>
          <w:snapToGrid w:val="0"/>
          <w:sz w:val="20"/>
        </w:rPr>
      </w:pPr>
      <w:r w:rsidRPr="005D2619">
        <w:rPr>
          <w:rFonts w:ascii="Cambria" w:hAnsi="Cambria" w:cs="Arial"/>
          <w:snapToGrid w:val="0"/>
          <w:sz w:val="20"/>
        </w:rPr>
        <w:t>El desconocimiento de la identidad de los jueces y fiscales sin rostro impide que pueda garantizarse la independencia e imparcialidad de los tribunales.  El anonimato de los magistrados priva al encausado de las garantías básicas de justicia: el procesado no sabe quién lo está juzgando ni sabe si esa persona es competente para hacerlo.  El procesado se ve de esa forma imposibilitado de obtener un juicio por un tribunal competente, independiente e imparcial, tal como prevé el artículo 8 de la Convención Americana</w:t>
      </w:r>
      <w:r w:rsidR="00DA3477" w:rsidRPr="005D2619">
        <w:rPr>
          <w:rStyle w:val="FootnoteReference"/>
          <w:rFonts w:ascii="Cambria" w:hAnsi="Cambria" w:cs="Arial"/>
          <w:sz w:val="20"/>
          <w:lang w:val="es-ES"/>
        </w:rPr>
        <w:footnoteReference w:id="89"/>
      </w:r>
      <w:r w:rsidR="00DA3477" w:rsidRPr="005D2619">
        <w:rPr>
          <w:rFonts w:ascii="Cambria" w:hAnsi="Cambria" w:cs="Arial"/>
          <w:sz w:val="20"/>
          <w:lang w:val="es-ES"/>
        </w:rPr>
        <w:t>.</w:t>
      </w:r>
      <w:r w:rsidRPr="005D2619">
        <w:rPr>
          <w:rFonts w:ascii="Cambria" w:hAnsi="Cambria" w:cs="Arial"/>
          <w:snapToGrid w:val="0"/>
          <w:sz w:val="20"/>
        </w:rPr>
        <w:t xml:space="preserve">  </w:t>
      </w:r>
    </w:p>
    <w:p w14:paraId="21EAF272" w14:textId="77777777" w:rsidR="0032340A" w:rsidRPr="005D2619" w:rsidRDefault="0032340A" w:rsidP="00E07E25">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ES"/>
        </w:rPr>
      </w:pPr>
    </w:p>
    <w:p w14:paraId="4D63D342" w14:textId="71EC9EDC" w:rsidR="00B039C4" w:rsidRPr="005D2619" w:rsidRDefault="009F59CF" w:rsidP="00A227F7">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ES"/>
        </w:rPr>
      </w:pPr>
      <w:r w:rsidRPr="005D2619">
        <w:rPr>
          <w:rFonts w:ascii="Cambria" w:hAnsi="Cambria"/>
          <w:sz w:val="20"/>
          <w:szCs w:val="20"/>
          <w:lang w:val="es-ES"/>
        </w:rPr>
        <w:t xml:space="preserve">Por su parte, </w:t>
      </w:r>
      <w:r w:rsidR="002F41DB" w:rsidRPr="005D2619">
        <w:rPr>
          <w:rFonts w:ascii="Cambria" w:hAnsi="Cambria"/>
          <w:sz w:val="20"/>
          <w:szCs w:val="20"/>
          <w:lang w:val="es-ES"/>
        </w:rPr>
        <w:t xml:space="preserve">la Corte </w:t>
      </w:r>
      <w:r w:rsidRPr="005D2619">
        <w:rPr>
          <w:rFonts w:ascii="Cambria" w:hAnsi="Cambria"/>
          <w:sz w:val="20"/>
          <w:szCs w:val="20"/>
          <w:lang w:val="es-ES"/>
        </w:rPr>
        <w:t xml:space="preserve">también </w:t>
      </w:r>
      <w:r w:rsidR="002F41DB" w:rsidRPr="005D2619">
        <w:rPr>
          <w:rFonts w:ascii="Cambria" w:hAnsi="Cambria"/>
          <w:sz w:val="20"/>
          <w:szCs w:val="20"/>
          <w:lang w:val="es-ES"/>
        </w:rPr>
        <w:t xml:space="preserve">ha señalado que </w:t>
      </w:r>
      <w:r w:rsidR="00B039C4" w:rsidRPr="005D2619">
        <w:rPr>
          <w:rFonts w:ascii="Cambria" w:hAnsi="Cambria" w:cs="Verdana"/>
          <w:spacing w:val="-2"/>
          <w:sz w:val="20"/>
          <w:szCs w:val="20"/>
        </w:rPr>
        <w:t>los juicios ante jueces “sin rostro” o de identidad reservada infringen el artículo</w:t>
      </w:r>
      <w:r w:rsidR="002F41DB" w:rsidRPr="005D2619">
        <w:rPr>
          <w:rFonts w:ascii="Cambria" w:hAnsi="Cambria" w:cs="Verdana"/>
          <w:spacing w:val="-2"/>
          <w:sz w:val="20"/>
          <w:szCs w:val="20"/>
        </w:rPr>
        <w:t xml:space="preserve"> 8.1 de la Convención Americana. Ello debido a que</w:t>
      </w:r>
      <w:r w:rsidR="00B039C4" w:rsidRPr="005D2619">
        <w:rPr>
          <w:rFonts w:ascii="Cambria" w:hAnsi="Cambria" w:cs="Verdana"/>
          <w:spacing w:val="-2"/>
          <w:sz w:val="20"/>
          <w:szCs w:val="20"/>
        </w:rPr>
        <w:t xml:space="preserve"> impide a los procesados conocer la identidad de los juzgadores y por ende valorar su idoneidad y competencia, así como determinar si se configuraban causales de recusación, de manera de poder ejercer su defensa ante un tribunal independiente e imparcial</w:t>
      </w:r>
      <w:r w:rsidR="00B039C4" w:rsidRPr="005D2619">
        <w:rPr>
          <w:rFonts w:ascii="Cambria" w:hAnsi="Cambria" w:cs="Verdana"/>
          <w:spacing w:val="-2"/>
          <w:sz w:val="20"/>
          <w:szCs w:val="20"/>
          <w:vertAlign w:val="superscript"/>
        </w:rPr>
        <w:footnoteReference w:id="90"/>
      </w:r>
      <w:r w:rsidR="00B039C4" w:rsidRPr="005D2619">
        <w:rPr>
          <w:rFonts w:ascii="Cambria" w:hAnsi="Cambria" w:cs="Verdana"/>
          <w:spacing w:val="-2"/>
          <w:sz w:val="20"/>
          <w:szCs w:val="20"/>
        </w:rPr>
        <w:t xml:space="preserve">. </w:t>
      </w:r>
      <w:r w:rsidR="005E7299" w:rsidRPr="005D2619">
        <w:rPr>
          <w:rFonts w:ascii="Cambria" w:hAnsi="Cambria" w:cs="Verdana"/>
          <w:spacing w:val="-2"/>
          <w:sz w:val="20"/>
          <w:szCs w:val="20"/>
        </w:rPr>
        <w:t>La CIDH</w:t>
      </w:r>
      <w:r w:rsidRPr="005D2619">
        <w:rPr>
          <w:rFonts w:ascii="Cambria" w:hAnsi="Cambria" w:cs="Verdana"/>
          <w:spacing w:val="-2"/>
          <w:sz w:val="20"/>
          <w:szCs w:val="20"/>
        </w:rPr>
        <w:t xml:space="preserve"> destaca que las garantías de independencia e imparcialidad </w:t>
      </w:r>
      <w:r w:rsidR="00B039C4" w:rsidRPr="005D2619">
        <w:rPr>
          <w:rFonts w:ascii="Cambria" w:hAnsi="Cambria" w:cs="Verdana"/>
          <w:spacing w:val="-2"/>
          <w:sz w:val="20"/>
          <w:szCs w:val="20"/>
        </w:rPr>
        <w:t>se extiende</w:t>
      </w:r>
      <w:r w:rsidRPr="005D2619">
        <w:rPr>
          <w:rFonts w:ascii="Cambria" w:hAnsi="Cambria" w:cs="Verdana"/>
          <w:spacing w:val="-2"/>
          <w:sz w:val="20"/>
          <w:szCs w:val="20"/>
        </w:rPr>
        <w:t>n</w:t>
      </w:r>
      <w:r w:rsidR="00B039C4" w:rsidRPr="005D2619">
        <w:rPr>
          <w:rFonts w:ascii="Cambria" w:hAnsi="Cambria" w:cs="Verdana"/>
          <w:spacing w:val="-2"/>
          <w:sz w:val="20"/>
          <w:szCs w:val="20"/>
        </w:rPr>
        <w:t xml:space="preserve"> a otros funcionarios no judiciales que intervienen en el proceso,</w:t>
      </w:r>
      <w:r w:rsidR="002F41DB" w:rsidRPr="005D2619">
        <w:rPr>
          <w:rFonts w:ascii="Cambria" w:hAnsi="Cambria" w:cs="Verdana"/>
          <w:spacing w:val="-2"/>
          <w:sz w:val="20"/>
          <w:szCs w:val="20"/>
        </w:rPr>
        <w:t xml:space="preserve"> tales como fiscales</w:t>
      </w:r>
      <w:r w:rsidR="00B039C4" w:rsidRPr="005D2619">
        <w:rPr>
          <w:rStyle w:val="FootnoteReference"/>
          <w:rFonts w:ascii="Cambria" w:hAnsi="Cambria" w:cs="Verdana"/>
          <w:spacing w:val="-2"/>
          <w:sz w:val="20"/>
          <w:szCs w:val="20"/>
        </w:rPr>
        <w:footnoteReference w:id="91"/>
      </w:r>
      <w:r w:rsidR="00B039C4" w:rsidRPr="005D2619">
        <w:rPr>
          <w:rFonts w:ascii="Cambria" w:hAnsi="Cambria" w:cs="Verdana"/>
          <w:spacing w:val="-2"/>
          <w:sz w:val="20"/>
          <w:szCs w:val="20"/>
        </w:rPr>
        <w:t xml:space="preserve">. </w:t>
      </w:r>
    </w:p>
    <w:p w14:paraId="09AC6EA3" w14:textId="77777777" w:rsidR="002F41DB" w:rsidRPr="005D2619" w:rsidRDefault="002F41DB" w:rsidP="002F41DB">
      <w:pPr>
        <w:spacing w:after="0" w:line="240" w:lineRule="auto"/>
        <w:ind w:left="2880"/>
        <w:rPr>
          <w:rFonts w:ascii="Cambria" w:hAnsi="Cambria"/>
          <w:sz w:val="20"/>
          <w:szCs w:val="20"/>
          <w:lang w:val="es-ES"/>
        </w:rPr>
      </w:pPr>
    </w:p>
    <w:p w14:paraId="371D06A8" w14:textId="77777777" w:rsidR="002F41DB" w:rsidRPr="005D2619" w:rsidRDefault="005623F5" w:rsidP="00A227F7">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ES"/>
        </w:rPr>
      </w:pPr>
      <w:r w:rsidRPr="00A227F7">
        <w:rPr>
          <w:rFonts w:ascii="Cambria" w:hAnsi="Cambria"/>
          <w:sz w:val="20"/>
          <w:szCs w:val="20"/>
          <w:lang w:val="es-ES"/>
        </w:rPr>
        <w:t>Por</w:t>
      </w:r>
      <w:r w:rsidRPr="005D2619">
        <w:rPr>
          <w:rFonts w:ascii="Cambria" w:hAnsi="Cambria"/>
          <w:sz w:val="20"/>
          <w:szCs w:val="20"/>
          <w:lang w:val="es-ES"/>
        </w:rPr>
        <w:t xml:space="preserve"> lo señalado, la Comisión </w:t>
      </w:r>
      <w:r w:rsidRPr="005D2619">
        <w:rPr>
          <w:rFonts w:ascii="Cambria" w:hAnsi="Cambria" w:cs="Verdana"/>
          <w:spacing w:val="-2"/>
          <w:sz w:val="20"/>
          <w:szCs w:val="20"/>
        </w:rPr>
        <w:t xml:space="preserve">considera que el procesamiento </w:t>
      </w:r>
      <w:r w:rsidR="009F59CF" w:rsidRPr="005D2619">
        <w:rPr>
          <w:rFonts w:ascii="Cambria" w:hAnsi="Cambria" w:cs="Verdana"/>
          <w:spacing w:val="-2"/>
          <w:sz w:val="20"/>
          <w:szCs w:val="20"/>
        </w:rPr>
        <w:t xml:space="preserve">y juzgamiento de </w:t>
      </w:r>
      <w:r w:rsidRPr="005D2619">
        <w:rPr>
          <w:rFonts w:ascii="Cambria" w:hAnsi="Cambria" w:cs="Verdana"/>
          <w:spacing w:val="-2"/>
          <w:sz w:val="20"/>
          <w:szCs w:val="20"/>
        </w:rPr>
        <w:t>Gustavo Sastoque Alfonso por</w:t>
      </w:r>
      <w:r w:rsidR="003D779D" w:rsidRPr="005D2619">
        <w:rPr>
          <w:rFonts w:ascii="Cambria" w:hAnsi="Cambria" w:cs="Verdana"/>
          <w:spacing w:val="-2"/>
          <w:sz w:val="20"/>
          <w:szCs w:val="20"/>
        </w:rPr>
        <w:t xml:space="preserve"> parte de</w:t>
      </w:r>
      <w:r w:rsidRPr="005D2619">
        <w:rPr>
          <w:rFonts w:ascii="Cambria" w:hAnsi="Cambria" w:cs="Verdana"/>
          <w:spacing w:val="-2"/>
          <w:sz w:val="20"/>
          <w:szCs w:val="20"/>
        </w:rPr>
        <w:t xml:space="preserve"> jueces y fiscales “sin rostro” en el proceso penal seguido </w:t>
      </w:r>
      <w:r w:rsidR="009F59CF" w:rsidRPr="005D2619">
        <w:rPr>
          <w:rFonts w:ascii="Cambria" w:hAnsi="Cambria" w:cs="Verdana"/>
          <w:spacing w:val="-2"/>
          <w:sz w:val="20"/>
          <w:szCs w:val="20"/>
        </w:rPr>
        <w:t>por la entonces vigente</w:t>
      </w:r>
      <w:r w:rsidRPr="005D2619">
        <w:rPr>
          <w:rFonts w:ascii="Cambria" w:hAnsi="Cambria" w:cs="Verdana"/>
          <w:spacing w:val="-2"/>
          <w:sz w:val="20"/>
          <w:szCs w:val="20"/>
        </w:rPr>
        <w:t xml:space="preserve"> </w:t>
      </w:r>
      <w:r w:rsidRPr="005D2619">
        <w:rPr>
          <w:rFonts w:ascii="Cambria" w:hAnsi="Cambria" w:cs="Verdana"/>
          <w:spacing w:val="-2"/>
          <w:sz w:val="20"/>
          <w:szCs w:val="20"/>
        </w:rPr>
        <w:lastRenderedPageBreak/>
        <w:t>justicia regional</w:t>
      </w:r>
      <w:r w:rsidR="003D779D" w:rsidRPr="005D2619">
        <w:rPr>
          <w:rFonts w:ascii="Cambria" w:hAnsi="Cambria" w:cs="Verdana"/>
          <w:spacing w:val="-2"/>
          <w:sz w:val="20"/>
          <w:szCs w:val="20"/>
        </w:rPr>
        <w:t>,</w:t>
      </w:r>
      <w:r w:rsidRPr="005D2619">
        <w:rPr>
          <w:rFonts w:ascii="Cambria" w:hAnsi="Cambria" w:cs="Verdana"/>
          <w:spacing w:val="-2"/>
          <w:sz w:val="20"/>
          <w:szCs w:val="20"/>
        </w:rPr>
        <w:t xml:space="preserve"> constituyó una violación de su derecho a ser juzgada por un tribunal competente, independiente e imparcial previsto en el artículo 8.1 de la Convención Americana</w:t>
      </w:r>
      <w:r w:rsidR="009F59CF" w:rsidRPr="005D2619">
        <w:rPr>
          <w:rFonts w:ascii="Cambria" w:hAnsi="Cambria" w:cs="Verdana"/>
          <w:spacing w:val="-2"/>
          <w:sz w:val="20"/>
          <w:szCs w:val="20"/>
        </w:rPr>
        <w:t>, en relación con las obligaciones establecidas en los artículos 1.1 y 2 del mismo instrumento.</w:t>
      </w:r>
    </w:p>
    <w:p w14:paraId="6F9531A5" w14:textId="77777777" w:rsidR="00B039C4" w:rsidRPr="005D2619" w:rsidRDefault="00B039C4" w:rsidP="00B039C4">
      <w:pPr>
        <w:spacing w:after="0" w:line="240" w:lineRule="auto"/>
        <w:rPr>
          <w:rFonts w:ascii="Cambria" w:hAnsi="Cambria"/>
          <w:b/>
          <w:sz w:val="20"/>
          <w:szCs w:val="20"/>
          <w:lang w:val="es-ES_tradnl"/>
        </w:rPr>
      </w:pPr>
    </w:p>
    <w:p w14:paraId="499E863F" w14:textId="77777777" w:rsidR="00F71D2C" w:rsidRPr="005D2619" w:rsidRDefault="00F71D2C" w:rsidP="007C4794">
      <w:pPr>
        <w:numPr>
          <w:ilvl w:val="0"/>
          <w:numId w:val="59"/>
        </w:numPr>
        <w:tabs>
          <w:tab w:val="clear" w:pos="2880"/>
          <w:tab w:val="num" w:pos="1440"/>
        </w:tabs>
        <w:spacing w:after="0" w:line="240" w:lineRule="auto"/>
        <w:ind w:hanging="2160"/>
        <w:rPr>
          <w:rFonts w:ascii="Cambria" w:hAnsi="Cambria"/>
          <w:b/>
          <w:sz w:val="20"/>
          <w:szCs w:val="20"/>
          <w:lang w:val="es-CO"/>
        </w:rPr>
      </w:pPr>
      <w:r w:rsidRPr="005D2619">
        <w:rPr>
          <w:rFonts w:ascii="Cambria" w:hAnsi="Cambria"/>
          <w:b/>
          <w:sz w:val="20"/>
          <w:szCs w:val="20"/>
          <w:lang w:val="es-CO"/>
        </w:rPr>
        <w:t xml:space="preserve">Derecho a la comunicación previa y detallada de la acusación </w:t>
      </w:r>
    </w:p>
    <w:p w14:paraId="6190E9BD" w14:textId="77777777" w:rsidR="00F71D2C" w:rsidRPr="005D2619" w:rsidRDefault="00F71D2C" w:rsidP="00E07E25">
      <w:pPr>
        <w:spacing w:after="0" w:line="240" w:lineRule="auto"/>
        <w:rPr>
          <w:rFonts w:ascii="Cambria" w:hAnsi="Cambria"/>
          <w:b/>
          <w:sz w:val="20"/>
          <w:szCs w:val="20"/>
          <w:lang w:val="es-CO"/>
        </w:rPr>
      </w:pPr>
    </w:p>
    <w:p w14:paraId="0F63E31C" w14:textId="77777777" w:rsidR="002E6759" w:rsidRPr="005D2619" w:rsidRDefault="002E6759" w:rsidP="00A227F7">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b/>
          <w:sz w:val="20"/>
          <w:szCs w:val="20"/>
        </w:rPr>
      </w:pPr>
      <w:r w:rsidRPr="005D2619">
        <w:rPr>
          <w:rFonts w:ascii="Cambria" w:hAnsi="Cambria"/>
          <w:sz w:val="20"/>
          <w:szCs w:val="20"/>
        </w:rPr>
        <w:t xml:space="preserve">En términos generales, la Corte ha señalado el derecho a la defensa debe necesariamente poder ejercerse desde </w:t>
      </w:r>
      <w:r w:rsidRPr="005D2619">
        <w:rPr>
          <w:rFonts w:ascii="Cambria" w:hAnsi="Cambria"/>
          <w:sz w:val="20"/>
          <w:szCs w:val="20"/>
          <w:lang w:val="es-ES"/>
        </w:rPr>
        <w:t>que</w:t>
      </w:r>
      <w:r w:rsidRPr="005D2619">
        <w:rPr>
          <w:rFonts w:ascii="Cambria" w:hAnsi="Cambria"/>
          <w:sz w:val="20"/>
          <w:szCs w:val="20"/>
        </w:rPr>
        <w:t xml:space="preserve"> se señala a una persona como posible autor o partícipe de un hecho punible y sólo culmina cuando </w:t>
      </w:r>
      <w:r w:rsidRPr="00A227F7">
        <w:rPr>
          <w:rFonts w:ascii="Cambria" w:hAnsi="Cambria"/>
          <w:sz w:val="20"/>
          <w:szCs w:val="20"/>
          <w:lang w:val="es-ES"/>
        </w:rPr>
        <w:t>finaliza</w:t>
      </w:r>
      <w:r w:rsidRPr="005D2619">
        <w:rPr>
          <w:rFonts w:ascii="Cambria" w:hAnsi="Cambria"/>
          <w:sz w:val="20"/>
          <w:szCs w:val="20"/>
        </w:rPr>
        <w:t xml:space="preserve"> el proceso</w:t>
      </w:r>
      <w:r w:rsidRPr="005D2619">
        <w:rPr>
          <w:rStyle w:val="FootnoteReference"/>
          <w:rFonts w:ascii="Cambria" w:hAnsi="Cambria"/>
          <w:sz w:val="20"/>
          <w:szCs w:val="20"/>
        </w:rPr>
        <w:footnoteReference w:id="92"/>
      </w:r>
      <w:r w:rsidRPr="005D2619">
        <w:rPr>
          <w:rFonts w:ascii="Cambria" w:hAnsi="Cambria"/>
          <w:sz w:val="20"/>
          <w:szCs w:val="20"/>
        </w:rPr>
        <w:t>.</w:t>
      </w:r>
    </w:p>
    <w:p w14:paraId="060C6EC9" w14:textId="77777777" w:rsidR="002E6759" w:rsidRPr="005D2619" w:rsidRDefault="002E6759" w:rsidP="002E6759">
      <w:pPr>
        <w:spacing w:after="0" w:line="240" w:lineRule="auto"/>
        <w:jc w:val="both"/>
        <w:rPr>
          <w:rFonts w:ascii="Cambria" w:hAnsi="Cambria"/>
          <w:b/>
          <w:sz w:val="20"/>
          <w:szCs w:val="20"/>
          <w:lang w:val="es-ES"/>
        </w:rPr>
      </w:pPr>
    </w:p>
    <w:p w14:paraId="2602BEAE" w14:textId="77777777" w:rsidR="007E1399" w:rsidRPr="005D2619" w:rsidRDefault="007E1399" w:rsidP="00A227F7">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rPr>
      </w:pPr>
      <w:r w:rsidRPr="005D2619">
        <w:rPr>
          <w:rFonts w:ascii="Cambria" w:hAnsi="Cambria"/>
          <w:sz w:val="20"/>
          <w:szCs w:val="20"/>
          <w:lang w:val="es-ES"/>
        </w:rPr>
        <w:t>Específicamente</w:t>
      </w:r>
      <w:r w:rsidRPr="005D2619">
        <w:rPr>
          <w:rFonts w:ascii="Cambria" w:hAnsi="Cambria"/>
          <w:sz w:val="20"/>
          <w:szCs w:val="20"/>
        </w:rPr>
        <w:t xml:space="preserve"> respecto de la garantía consagrada en el artículo 8.2 b) de la Convención Americana, la Corte ha establecido que para satisfacerla: </w:t>
      </w:r>
    </w:p>
    <w:p w14:paraId="5259F2C0" w14:textId="77777777" w:rsidR="007E1399" w:rsidRPr="005D2619" w:rsidRDefault="007E1399" w:rsidP="007E1399">
      <w:pPr>
        <w:spacing w:after="0" w:line="240" w:lineRule="auto"/>
        <w:jc w:val="both"/>
        <w:rPr>
          <w:rFonts w:ascii="Cambria" w:hAnsi="Cambria"/>
          <w:b/>
          <w:sz w:val="20"/>
          <w:szCs w:val="20"/>
          <w:lang w:val="es-ES"/>
        </w:rPr>
      </w:pPr>
    </w:p>
    <w:p w14:paraId="5FC28BE9" w14:textId="77777777" w:rsidR="007E1399" w:rsidRPr="005D2619" w:rsidRDefault="007E1399" w:rsidP="007E1399">
      <w:pPr>
        <w:spacing w:after="0" w:line="240" w:lineRule="auto"/>
        <w:ind w:left="720" w:right="720"/>
        <w:jc w:val="both"/>
        <w:rPr>
          <w:rFonts w:ascii="Cambria" w:hAnsi="Cambria"/>
          <w:sz w:val="20"/>
          <w:szCs w:val="20"/>
          <w:lang w:val="es-ES"/>
        </w:rPr>
      </w:pPr>
      <w:r w:rsidRPr="005D2619">
        <w:rPr>
          <w:rFonts w:ascii="Cambria" w:hAnsi="Cambria"/>
          <w:sz w:val="20"/>
          <w:szCs w:val="20"/>
          <w:lang w:val="es-ES"/>
        </w:rPr>
        <w:t>(…) el Estado debe informar al interesado no solamente de la causa de la acusación, esto es, las acciones u omisiones que se le imputan, sino también las razones que llevan al Estado a formular la imputación, los fundamentos probatorios de ésta y la caracterización legal que se da a esos hechos. Toda esta información debe ser expresa, clara, integral y suficientemente detallada para permitir al acusado que ejerza plenamente su derecho a la defensa y muestre al juez su versión de los hechos (…) la puntual observancia del artículo 8.2.b es esencial para el ejercicio efectivo del derecho a la defensa</w:t>
      </w:r>
      <w:r w:rsidRPr="005D2619">
        <w:rPr>
          <w:rStyle w:val="FootnoteReference"/>
          <w:rFonts w:ascii="Cambria" w:hAnsi="Cambria"/>
          <w:sz w:val="20"/>
          <w:szCs w:val="20"/>
        </w:rPr>
        <w:footnoteReference w:id="93"/>
      </w:r>
      <w:r w:rsidRPr="005D2619">
        <w:rPr>
          <w:rFonts w:ascii="Cambria" w:hAnsi="Cambria"/>
          <w:sz w:val="20"/>
          <w:szCs w:val="20"/>
          <w:lang w:val="es-ES"/>
        </w:rPr>
        <w:t>.</w:t>
      </w:r>
    </w:p>
    <w:p w14:paraId="457E5385" w14:textId="77777777" w:rsidR="004B07BA" w:rsidRPr="005D2619" w:rsidRDefault="004B07BA" w:rsidP="00E07E25">
      <w:pPr>
        <w:spacing w:after="0" w:line="240" w:lineRule="auto"/>
        <w:jc w:val="both"/>
        <w:rPr>
          <w:rFonts w:ascii="Cambria" w:hAnsi="Cambria"/>
          <w:b/>
          <w:sz w:val="20"/>
          <w:szCs w:val="20"/>
          <w:lang w:val="es-CO"/>
        </w:rPr>
      </w:pPr>
    </w:p>
    <w:p w14:paraId="1A56E20C" w14:textId="77777777" w:rsidR="004B07BA" w:rsidRPr="005D2619" w:rsidRDefault="00052213" w:rsidP="00A227F7">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rPr>
      </w:pPr>
      <w:r w:rsidRPr="005D2619">
        <w:rPr>
          <w:rFonts w:ascii="Cambria" w:hAnsi="Cambria"/>
          <w:sz w:val="20"/>
          <w:szCs w:val="20"/>
        </w:rPr>
        <w:t xml:space="preserve">Sobre el </w:t>
      </w:r>
      <w:r w:rsidRPr="005D2619">
        <w:rPr>
          <w:rFonts w:ascii="Cambria" w:hAnsi="Cambria"/>
          <w:sz w:val="20"/>
          <w:szCs w:val="20"/>
          <w:lang w:val="es-ES"/>
        </w:rPr>
        <w:t>estricto</w:t>
      </w:r>
      <w:r w:rsidRPr="005D2619">
        <w:rPr>
          <w:rFonts w:ascii="Cambria" w:hAnsi="Cambria"/>
          <w:sz w:val="20"/>
          <w:szCs w:val="20"/>
        </w:rPr>
        <w:t xml:space="preserve"> cumplimiento de esta garantí</w:t>
      </w:r>
      <w:r w:rsidR="004B07BA" w:rsidRPr="005D2619">
        <w:rPr>
          <w:rFonts w:ascii="Cambria" w:hAnsi="Cambria"/>
          <w:sz w:val="20"/>
          <w:szCs w:val="20"/>
        </w:rPr>
        <w:t>a de</w:t>
      </w:r>
      <w:r w:rsidRPr="005D2619">
        <w:rPr>
          <w:rFonts w:ascii="Cambria" w:hAnsi="Cambria"/>
          <w:sz w:val="20"/>
          <w:szCs w:val="20"/>
        </w:rPr>
        <w:t>sde el mismo momento en que una persona se considera sospechosa de haber cometido un delito</w:t>
      </w:r>
      <w:r w:rsidR="004B07BA" w:rsidRPr="005D2619">
        <w:rPr>
          <w:rFonts w:ascii="Cambria" w:hAnsi="Cambria"/>
          <w:sz w:val="20"/>
          <w:szCs w:val="20"/>
        </w:rPr>
        <w:t>, la Corte Interamericana ha señalado que:</w:t>
      </w:r>
    </w:p>
    <w:p w14:paraId="122A99D7" w14:textId="77777777" w:rsidR="004B07BA" w:rsidRPr="005D2619" w:rsidRDefault="004B07BA" w:rsidP="00E07E25">
      <w:pPr>
        <w:spacing w:after="0" w:line="240" w:lineRule="auto"/>
        <w:jc w:val="both"/>
        <w:rPr>
          <w:rFonts w:ascii="Cambria" w:eastAsia="MS Mincho" w:hAnsi="Cambria"/>
          <w:sz w:val="20"/>
          <w:szCs w:val="20"/>
          <w:lang w:val="es-ES"/>
        </w:rPr>
      </w:pPr>
    </w:p>
    <w:p w14:paraId="075C786B" w14:textId="7DC3AED6" w:rsidR="00052213" w:rsidRPr="005D2619" w:rsidRDefault="00052213" w:rsidP="00E07E25">
      <w:pPr>
        <w:spacing w:after="0" w:line="240" w:lineRule="auto"/>
        <w:ind w:left="720" w:right="720"/>
        <w:jc w:val="both"/>
        <w:rPr>
          <w:rFonts w:ascii="Cambria" w:eastAsia="MS Mincho" w:hAnsi="Cambria"/>
          <w:sz w:val="20"/>
          <w:szCs w:val="20"/>
          <w:lang w:val="es-ES"/>
        </w:rPr>
      </w:pPr>
      <w:r w:rsidRPr="005D2619">
        <w:rPr>
          <w:rFonts w:ascii="Cambria" w:eastAsia="MS Mincho" w:hAnsi="Cambria"/>
          <w:sz w:val="20"/>
          <w:szCs w:val="20"/>
          <w:lang w:val="es-ES"/>
        </w:rPr>
        <w:t xml:space="preserve">Sostener lo opuesto implicaría supeditar las garantías convencionales que protegen el derecho a la defensa, entre ellas el artículo 8.2.b, a que el investigado encuentre en determinada fase procesal, dejando abierta la posibilidad de que con anterioridad se afecte un ámbito de sus derechos a través de actos de autoridad que desconoce o a los que no puede controlar u oponerse con eficacia, lo cual es evidentemente contrario a la </w:t>
      </w:r>
      <w:r w:rsidR="000C2D0E" w:rsidRPr="005D2619">
        <w:rPr>
          <w:rFonts w:ascii="Cambria" w:eastAsia="MS Mincho" w:hAnsi="Cambria"/>
          <w:sz w:val="20"/>
          <w:szCs w:val="20"/>
          <w:lang w:val="es-ES"/>
        </w:rPr>
        <w:t>Convención</w:t>
      </w:r>
      <w:r w:rsidRPr="005D2619">
        <w:rPr>
          <w:rFonts w:ascii="Cambria" w:eastAsia="MS Mincho" w:hAnsi="Cambria"/>
          <w:sz w:val="20"/>
          <w:szCs w:val="20"/>
          <w:lang w:val="es-ES"/>
        </w:rPr>
        <w:t xml:space="preserve">. En efecto, impedir que la persona ejerza su derecho de defensa desde que se inicia la investigación en su contra y la autoridad dispone o ejecuta actos que implican </w:t>
      </w:r>
      <w:r w:rsidR="000C2D0E" w:rsidRPr="005D2619">
        <w:rPr>
          <w:rFonts w:ascii="Cambria" w:eastAsia="MS Mincho" w:hAnsi="Cambria"/>
          <w:sz w:val="20"/>
          <w:szCs w:val="20"/>
          <w:lang w:val="es-ES"/>
        </w:rPr>
        <w:t>afectación</w:t>
      </w:r>
      <w:r w:rsidRPr="005D2619">
        <w:rPr>
          <w:rFonts w:ascii="Cambria" w:eastAsia="MS Mincho" w:hAnsi="Cambria"/>
          <w:sz w:val="20"/>
          <w:szCs w:val="20"/>
          <w:lang w:val="es-ES"/>
        </w:rPr>
        <w:t xml:space="preserve"> de derechos es potenciar los poderes investigativos del Estado en desmedro de derechos fundamentales de la persona investigada</w:t>
      </w:r>
      <w:r w:rsidR="004B07BA" w:rsidRPr="005D2619">
        <w:rPr>
          <w:rStyle w:val="FootnoteReference"/>
          <w:rFonts w:ascii="Cambria" w:eastAsia="MS Mincho" w:hAnsi="Cambria"/>
          <w:sz w:val="20"/>
          <w:szCs w:val="20"/>
        </w:rPr>
        <w:footnoteReference w:id="94"/>
      </w:r>
      <w:r w:rsidRPr="005D2619">
        <w:rPr>
          <w:rFonts w:ascii="Cambria" w:eastAsia="MS Mincho" w:hAnsi="Cambria"/>
          <w:sz w:val="20"/>
          <w:szCs w:val="20"/>
          <w:lang w:val="es-ES"/>
        </w:rPr>
        <w:t xml:space="preserve">. </w:t>
      </w:r>
    </w:p>
    <w:p w14:paraId="018453E7" w14:textId="77777777" w:rsidR="008C780F" w:rsidRPr="005D2619" w:rsidRDefault="008C780F" w:rsidP="008C780F">
      <w:pPr>
        <w:spacing w:after="0" w:line="240" w:lineRule="auto"/>
        <w:ind w:left="720" w:right="720"/>
        <w:jc w:val="both"/>
        <w:rPr>
          <w:rFonts w:ascii="Cambria" w:eastAsia="MS Mincho" w:hAnsi="Cambria"/>
          <w:sz w:val="24"/>
          <w:szCs w:val="24"/>
          <w:lang w:val="es-ES"/>
        </w:rPr>
      </w:pPr>
    </w:p>
    <w:p w14:paraId="4C936CC8" w14:textId="4F598DBC" w:rsidR="00215222" w:rsidRPr="005D2619" w:rsidRDefault="008C780F" w:rsidP="00A227F7">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b/>
          <w:sz w:val="20"/>
          <w:szCs w:val="20"/>
          <w:lang w:val="es-CO"/>
        </w:rPr>
      </w:pPr>
      <w:r w:rsidRPr="005D2619">
        <w:rPr>
          <w:rFonts w:ascii="Cambria" w:hAnsi="Cambria"/>
          <w:sz w:val="20"/>
          <w:szCs w:val="20"/>
          <w:lang w:val="es-CO"/>
        </w:rPr>
        <w:t xml:space="preserve">En el presente caso, </w:t>
      </w:r>
      <w:r w:rsidR="00215222" w:rsidRPr="005D2619">
        <w:rPr>
          <w:rFonts w:ascii="Cambria" w:hAnsi="Cambria"/>
          <w:sz w:val="20"/>
          <w:szCs w:val="20"/>
          <w:lang w:val="es-CO"/>
        </w:rPr>
        <w:t xml:space="preserve">no está en controversia que </w:t>
      </w:r>
      <w:r w:rsidR="000A0C89" w:rsidRPr="005D2619">
        <w:rPr>
          <w:rFonts w:ascii="Cambria" w:hAnsi="Cambria"/>
          <w:sz w:val="20"/>
          <w:szCs w:val="20"/>
          <w:lang w:val="es-CO"/>
        </w:rPr>
        <w:t>el señor Sastoque Alfonso tuvo conocimiento por primera vez de que era sospechoso del asesinato del señor Pizarro, en el contexto de su detención el 8 de marzo de 1995. Sin embargo, de la secuencia descrita en las determinaciones de hecho, resulta evidente que las autoridades investigativas ya lo tenían como sospechoso en los días anteriores y que se recibieron declaraciones de testigos</w:t>
      </w:r>
      <w:r w:rsidR="00737AC2" w:rsidRPr="005D2619">
        <w:rPr>
          <w:rFonts w:ascii="Cambria" w:hAnsi="Cambria"/>
          <w:sz w:val="20"/>
          <w:szCs w:val="20"/>
          <w:lang w:val="es-CO"/>
        </w:rPr>
        <w:t xml:space="preserve"> que se refirieron al señor Sastoque Afonso, así como </w:t>
      </w:r>
      <w:r w:rsidR="000A0C89" w:rsidRPr="005D2619">
        <w:rPr>
          <w:rFonts w:ascii="Cambria" w:hAnsi="Cambria"/>
          <w:sz w:val="20"/>
          <w:szCs w:val="20"/>
          <w:lang w:val="es-CO"/>
        </w:rPr>
        <w:t>otras diligencias como reconocimientos fotográficos</w:t>
      </w:r>
      <w:r w:rsidR="00737AC2" w:rsidRPr="005D2619">
        <w:rPr>
          <w:rFonts w:ascii="Cambria" w:hAnsi="Cambria"/>
          <w:sz w:val="20"/>
          <w:szCs w:val="20"/>
          <w:lang w:val="es-CO"/>
        </w:rPr>
        <w:t xml:space="preserve"> en los que supuestamente fue identificado. </w:t>
      </w:r>
      <w:r w:rsidR="00215222" w:rsidRPr="005D2619">
        <w:rPr>
          <w:rFonts w:ascii="Cambria" w:hAnsi="Cambria"/>
          <w:sz w:val="20"/>
          <w:szCs w:val="20"/>
          <w:lang w:val="es-CO"/>
        </w:rPr>
        <w:t xml:space="preserve">Estas diligencias vinculadas con su supuesta participación en el delito </w:t>
      </w:r>
      <w:r w:rsidR="000C2D0E" w:rsidRPr="005D2619">
        <w:rPr>
          <w:rFonts w:ascii="Cambria" w:hAnsi="Cambria"/>
          <w:sz w:val="20"/>
          <w:szCs w:val="20"/>
          <w:lang w:val="es-CO"/>
        </w:rPr>
        <w:t>investigado</w:t>
      </w:r>
      <w:r w:rsidR="00215222" w:rsidRPr="005D2619">
        <w:rPr>
          <w:rFonts w:ascii="Cambria" w:hAnsi="Cambria"/>
          <w:sz w:val="20"/>
          <w:szCs w:val="20"/>
          <w:lang w:val="es-CO"/>
        </w:rPr>
        <w:t xml:space="preserve"> fueron realizadas sin que el señor Sastoque tuviera conocimiento de que era sospechoso ni, consecuentemente, tuviera la oportunidad de defenderse en estas actuaciones investigativas iniciales.</w:t>
      </w:r>
    </w:p>
    <w:p w14:paraId="4EC10069" w14:textId="77777777" w:rsidR="00215222" w:rsidRPr="005D2619" w:rsidRDefault="00215222" w:rsidP="00E07E25">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b/>
          <w:sz w:val="20"/>
          <w:szCs w:val="20"/>
          <w:lang w:val="es-CO"/>
        </w:rPr>
      </w:pPr>
    </w:p>
    <w:p w14:paraId="5D399396" w14:textId="77777777" w:rsidR="00215222" w:rsidRPr="005D2619" w:rsidRDefault="00215222" w:rsidP="00A227F7">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CO"/>
        </w:rPr>
      </w:pPr>
      <w:r w:rsidRPr="005D2619">
        <w:rPr>
          <w:rFonts w:ascii="Cambria" w:hAnsi="Cambria"/>
          <w:sz w:val="20"/>
          <w:szCs w:val="20"/>
          <w:lang w:val="es-CO"/>
        </w:rPr>
        <w:t xml:space="preserve">En virtud de lo anterior, la Comisión concluye que el Estado colombiano es responsable por la violación del derecho establecido en el artículo 8.2 b) de la Convención Americana, en relación con las obligaciones establecidas en el artículo 1.1 del mismo instrumento, en perjuicio de Gustavo Sastoque Alfonso. </w:t>
      </w:r>
    </w:p>
    <w:p w14:paraId="04DFBA5C" w14:textId="77777777" w:rsidR="00BC4B46" w:rsidRPr="005D2619" w:rsidRDefault="00BC4B46" w:rsidP="00E07E25">
      <w:pPr>
        <w:spacing w:after="0" w:line="240" w:lineRule="auto"/>
        <w:rPr>
          <w:rFonts w:ascii="Cambria" w:hAnsi="Cambria"/>
          <w:b/>
          <w:sz w:val="20"/>
          <w:szCs w:val="20"/>
          <w:lang w:val="es-CO"/>
        </w:rPr>
      </w:pPr>
    </w:p>
    <w:p w14:paraId="15FD1F3C" w14:textId="77777777" w:rsidR="005E2124" w:rsidRPr="005D2619" w:rsidRDefault="005E2124" w:rsidP="007C4794">
      <w:pPr>
        <w:numPr>
          <w:ilvl w:val="0"/>
          <w:numId w:val="59"/>
        </w:numPr>
        <w:tabs>
          <w:tab w:val="clear" w:pos="2880"/>
          <w:tab w:val="num" w:pos="1440"/>
        </w:tabs>
        <w:spacing w:after="0" w:line="240" w:lineRule="auto"/>
        <w:ind w:hanging="2160"/>
        <w:rPr>
          <w:rFonts w:ascii="Cambria" w:hAnsi="Cambria"/>
          <w:b/>
          <w:sz w:val="20"/>
          <w:szCs w:val="20"/>
          <w:lang w:val="es-CO"/>
        </w:rPr>
      </w:pPr>
      <w:r w:rsidRPr="005D2619">
        <w:rPr>
          <w:rFonts w:ascii="Cambria" w:hAnsi="Cambria"/>
          <w:b/>
          <w:sz w:val="20"/>
          <w:szCs w:val="20"/>
          <w:lang w:val="es-CO"/>
        </w:rPr>
        <w:t>Derecho a</w:t>
      </w:r>
      <w:r w:rsidR="006F32C9" w:rsidRPr="005D2619">
        <w:rPr>
          <w:rFonts w:ascii="Cambria" w:hAnsi="Cambria"/>
          <w:b/>
          <w:sz w:val="20"/>
          <w:szCs w:val="20"/>
          <w:lang w:val="es-CO"/>
        </w:rPr>
        <w:t xml:space="preserve"> la defensa e</w:t>
      </w:r>
      <w:r w:rsidRPr="005D2619">
        <w:rPr>
          <w:rFonts w:ascii="Cambria" w:hAnsi="Cambria"/>
          <w:b/>
          <w:sz w:val="20"/>
          <w:szCs w:val="20"/>
          <w:lang w:val="es-CO"/>
        </w:rPr>
        <w:t xml:space="preserve"> interrogar testigos</w:t>
      </w:r>
      <w:r w:rsidR="00823781" w:rsidRPr="005D2619">
        <w:rPr>
          <w:rFonts w:ascii="Cambria" w:hAnsi="Cambria"/>
          <w:b/>
          <w:sz w:val="20"/>
          <w:szCs w:val="20"/>
          <w:lang w:val="es-CO"/>
        </w:rPr>
        <w:t xml:space="preserve"> </w:t>
      </w:r>
    </w:p>
    <w:p w14:paraId="2AA40309" w14:textId="77777777" w:rsidR="001D6CFB" w:rsidRPr="005D2619" w:rsidRDefault="001D6CFB" w:rsidP="00A46D91">
      <w:pPr>
        <w:spacing w:after="0" w:line="240" w:lineRule="auto"/>
        <w:rPr>
          <w:rFonts w:ascii="Cambria" w:hAnsi="Cambria"/>
          <w:sz w:val="20"/>
          <w:szCs w:val="20"/>
          <w:lang w:val="es-CO"/>
        </w:rPr>
      </w:pPr>
    </w:p>
    <w:p w14:paraId="7115399F" w14:textId="77777777" w:rsidR="006F32C9" w:rsidRPr="005D2619" w:rsidRDefault="006F32C9" w:rsidP="00A227F7">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ES"/>
        </w:rPr>
      </w:pPr>
      <w:r w:rsidRPr="005D2619">
        <w:rPr>
          <w:rFonts w:ascii="Cambria" w:hAnsi="Cambria"/>
          <w:sz w:val="20"/>
          <w:szCs w:val="20"/>
          <w:lang w:val="es-ES"/>
        </w:rPr>
        <w:t xml:space="preserve">La </w:t>
      </w:r>
      <w:r w:rsidRPr="00A227F7">
        <w:rPr>
          <w:rFonts w:ascii="Cambria" w:hAnsi="Cambria"/>
          <w:sz w:val="20"/>
          <w:szCs w:val="20"/>
          <w:lang w:val="es-CO"/>
        </w:rPr>
        <w:t>Comisión</w:t>
      </w:r>
      <w:r w:rsidRPr="005D2619">
        <w:rPr>
          <w:rFonts w:ascii="Cambria" w:hAnsi="Cambria"/>
          <w:sz w:val="20"/>
          <w:szCs w:val="20"/>
          <w:lang w:val="es-ES"/>
        </w:rPr>
        <w:t xml:space="preserve"> ha indicado que el derecho a las garantías judiciales incluye el derecho a contar con el tiempo y los medios adecuados para la preparación de la defensa, el cual se encuentra establecido en términos generales en el artículo 8.2 c) de la Convención</w:t>
      </w:r>
      <w:r w:rsidRPr="005D2619">
        <w:rPr>
          <w:rStyle w:val="FootnoteReference"/>
          <w:rFonts w:ascii="Cambria" w:hAnsi="Cambria" w:cs="TimesNewRoman"/>
          <w:sz w:val="20"/>
          <w:szCs w:val="20"/>
          <w:lang w:val="es-ES" w:eastAsia="es-ES_tradnl"/>
        </w:rPr>
        <w:footnoteReference w:id="95"/>
      </w:r>
      <w:r w:rsidRPr="005D2619">
        <w:rPr>
          <w:rFonts w:ascii="Cambria" w:hAnsi="Cambria"/>
          <w:sz w:val="20"/>
          <w:szCs w:val="20"/>
          <w:lang w:val="es-ES"/>
        </w:rPr>
        <w:t xml:space="preserve">. </w:t>
      </w:r>
    </w:p>
    <w:p w14:paraId="5650824B" w14:textId="77777777" w:rsidR="006F32C9" w:rsidRPr="005D2619" w:rsidRDefault="006F32C9" w:rsidP="006F32C9">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sz w:val="20"/>
          <w:szCs w:val="20"/>
          <w:lang w:val="es-ES"/>
        </w:rPr>
      </w:pPr>
    </w:p>
    <w:p w14:paraId="69A3690F" w14:textId="77777777" w:rsidR="002613E9" w:rsidRPr="005D2619" w:rsidRDefault="006F32C9" w:rsidP="00A227F7">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color w:val="auto"/>
          <w:sz w:val="20"/>
          <w:szCs w:val="20"/>
          <w:lang w:val="es-ES"/>
        </w:rPr>
      </w:pPr>
      <w:r w:rsidRPr="00A227F7">
        <w:rPr>
          <w:rFonts w:ascii="Cambria" w:hAnsi="Cambria"/>
          <w:sz w:val="20"/>
          <w:szCs w:val="20"/>
          <w:lang w:val="es-CO"/>
        </w:rPr>
        <w:t>Asimismo</w:t>
      </w:r>
      <w:r w:rsidRPr="005D2619">
        <w:rPr>
          <w:rFonts w:ascii="Cambria" w:hAnsi="Cambria"/>
          <w:sz w:val="20"/>
          <w:szCs w:val="20"/>
          <w:lang w:val="es-ES"/>
        </w:rPr>
        <w:t>, u</w:t>
      </w:r>
      <w:r w:rsidR="001D6CFB" w:rsidRPr="005D2619">
        <w:rPr>
          <w:rFonts w:ascii="Cambria" w:hAnsi="Cambria"/>
          <w:sz w:val="20"/>
          <w:szCs w:val="20"/>
          <w:lang w:val="es-ES"/>
        </w:rPr>
        <w:t xml:space="preserve">na de las manifestaciones concretas de este derecho se encuentra regulada en el artículo 8.2 f) de la Convención, relacionado con el derecho </w:t>
      </w:r>
      <w:r w:rsidR="001D6CFB" w:rsidRPr="005D2619">
        <w:rPr>
          <w:rFonts w:ascii="Cambria" w:hAnsi="Cambria" w:cs="TimesNewRoman"/>
          <w:sz w:val="20"/>
          <w:szCs w:val="20"/>
          <w:lang w:val="es-ES" w:eastAsia="es-ES_tradnl"/>
        </w:rPr>
        <w:t xml:space="preserve">de la defensa de interrogar a los testigos presentes en el tribunal y de obtener la comparecencia, como testigos o peritos, de otras personas que puedan arrojar luz sobre los hechos. </w:t>
      </w:r>
      <w:r w:rsidR="002613E9" w:rsidRPr="005D2619">
        <w:rPr>
          <w:rFonts w:ascii="Cambria" w:hAnsi="Cambria" w:cs="TimesNewRoman"/>
          <w:sz w:val="20"/>
          <w:szCs w:val="20"/>
          <w:lang w:val="es-ES" w:eastAsia="es-ES_tradnl"/>
        </w:rPr>
        <w:t xml:space="preserve">La CIDH ha resaltado que </w:t>
      </w:r>
      <w:r w:rsidR="002613E9" w:rsidRPr="005D2619">
        <w:rPr>
          <w:rFonts w:ascii="Cambria" w:hAnsi="Cambria"/>
          <w:sz w:val="20"/>
          <w:szCs w:val="20"/>
        </w:rPr>
        <w:t xml:space="preserve">la garantía contemplada en dicho artículo constituye una </w:t>
      </w:r>
      <w:r w:rsidR="002613E9" w:rsidRPr="005D2619">
        <w:rPr>
          <w:rFonts w:ascii="Cambria" w:hAnsi="Cambria"/>
          <w:color w:val="auto"/>
          <w:sz w:val="20"/>
          <w:szCs w:val="20"/>
        </w:rPr>
        <w:t>de las garantías mínimas a las que tiene derecho toda persona, en condiciones de igualdad, durante cualquier juicio penal que se siga en su contra, por estar directamente relacionado con la oportunidad adecuada y efectiva de defenderse de los cargos que se le imputan, lo cual es esencial para asegurar que el juicio sea justo</w:t>
      </w:r>
      <w:r w:rsidR="002613E9" w:rsidRPr="005D2619">
        <w:rPr>
          <w:rStyle w:val="FootnoteReference"/>
          <w:rFonts w:ascii="Cambria" w:hAnsi="Cambria"/>
          <w:color w:val="auto"/>
          <w:sz w:val="20"/>
          <w:szCs w:val="20"/>
        </w:rPr>
        <w:footnoteReference w:id="96"/>
      </w:r>
      <w:r w:rsidR="002613E9" w:rsidRPr="005D2619">
        <w:rPr>
          <w:rFonts w:ascii="Cambria" w:hAnsi="Cambria"/>
          <w:color w:val="auto"/>
          <w:sz w:val="20"/>
          <w:szCs w:val="20"/>
        </w:rPr>
        <w:t>.</w:t>
      </w:r>
    </w:p>
    <w:p w14:paraId="3D026148" w14:textId="77777777" w:rsidR="00184F58" w:rsidRPr="005D2619" w:rsidRDefault="00184F58" w:rsidP="00E07E25">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color w:val="auto"/>
          <w:sz w:val="20"/>
          <w:szCs w:val="20"/>
          <w:lang w:val="es-ES"/>
        </w:rPr>
      </w:pPr>
    </w:p>
    <w:p w14:paraId="1F5AD229" w14:textId="77777777" w:rsidR="00184F58" w:rsidRPr="005D2619" w:rsidRDefault="00184F58" w:rsidP="00A227F7">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color w:val="auto"/>
          <w:sz w:val="20"/>
          <w:szCs w:val="20"/>
          <w:lang w:val="es-ES"/>
        </w:rPr>
      </w:pPr>
      <w:r w:rsidRPr="00A227F7">
        <w:rPr>
          <w:rFonts w:ascii="Cambria" w:hAnsi="Cambria"/>
          <w:sz w:val="20"/>
          <w:szCs w:val="20"/>
          <w:lang w:val="es-CO"/>
        </w:rPr>
        <w:t>Específicamente</w:t>
      </w:r>
      <w:r w:rsidRPr="005D2619">
        <w:rPr>
          <w:rFonts w:ascii="Cambria" w:hAnsi="Cambria"/>
          <w:color w:val="auto"/>
          <w:sz w:val="20"/>
          <w:szCs w:val="20"/>
        </w:rPr>
        <w:t xml:space="preserve">, refiriéndose a la justicia regional en Colombia, la CIDH indicó lo siguiente en su Tercer Informe sobre la Situación de Derechos Humanos en Colombia: </w:t>
      </w:r>
    </w:p>
    <w:p w14:paraId="7A3D41E9" w14:textId="77777777" w:rsidR="00184F58" w:rsidRPr="005D2619" w:rsidRDefault="00184F58" w:rsidP="00E07E25">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eastAsia="MS Mincho" w:hAnsi="Cambria" w:cs="Helvetica"/>
          <w:color w:val="auto"/>
          <w:sz w:val="20"/>
          <w:szCs w:val="20"/>
        </w:rPr>
      </w:pPr>
    </w:p>
    <w:p w14:paraId="1B1691BD" w14:textId="77777777" w:rsidR="00184F58" w:rsidRPr="005D2619" w:rsidRDefault="00184F58" w:rsidP="00E07E25">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right="720" w:firstLine="0"/>
        <w:jc w:val="both"/>
        <w:rPr>
          <w:rFonts w:ascii="Cambria" w:hAnsi="Cambria"/>
          <w:color w:val="auto"/>
          <w:sz w:val="20"/>
          <w:szCs w:val="20"/>
          <w:lang w:val="es-ES"/>
        </w:rPr>
      </w:pPr>
      <w:r w:rsidRPr="005D2619">
        <w:rPr>
          <w:rFonts w:ascii="Cambria" w:eastAsia="MS Mincho" w:hAnsi="Cambria" w:cs="Helvetica"/>
          <w:color w:val="auto"/>
          <w:sz w:val="20"/>
          <w:szCs w:val="20"/>
        </w:rPr>
        <w:t>El acusado tampoco puede realizar interrogatorio efectivo alguno de los testigos de cargo. El derecho de contrainterrogar a los testigos es sumamente importante pues ofrece al acusado la oportunidad de cuestionar la credibilidad de los testigos y su conocimiento de los hechos. El acusado no puede examinar debidamente a los testigos si no posee ninguna información en relación con sus antecedentes o motivaciones y no sabe cómo los testigos obtuvieron información sobre los hechos en cuestión. Por lo tanto la "justicia sin rostro" también da lugar a la violación del artículo 8(2)(f) de la Convención Americana, que garantiza el derecho del acusado a examinar a los testigos</w:t>
      </w:r>
      <w:r w:rsidR="00C5215A" w:rsidRPr="005D2619">
        <w:rPr>
          <w:rStyle w:val="FootnoteReference"/>
          <w:rFonts w:ascii="Cambria" w:eastAsia="MS Mincho" w:hAnsi="Cambria" w:cs="Helvetica"/>
          <w:color w:val="auto"/>
          <w:sz w:val="20"/>
          <w:szCs w:val="20"/>
        </w:rPr>
        <w:footnoteReference w:id="97"/>
      </w:r>
      <w:r w:rsidRPr="005D2619">
        <w:rPr>
          <w:rFonts w:ascii="Cambria" w:eastAsia="MS Mincho" w:hAnsi="Cambria" w:cs="Helvetica"/>
          <w:color w:val="auto"/>
          <w:sz w:val="20"/>
          <w:szCs w:val="20"/>
        </w:rPr>
        <w:t>.</w:t>
      </w:r>
    </w:p>
    <w:p w14:paraId="4BE1D082" w14:textId="77777777" w:rsidR="002613E9" w:rsidRPr="005D2619" w:rsidRDefault="002613E9" w:rsidP="002613E9">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color w:val="auto"/>
          <w:sz w:val="20"/>
          <w:szCs w:val="20"/>
          <w:lang w:val="es-ES"/>
        </w:rPr>
      </w:pPr>
    </w:p>
    <w:p w14:paraId="3108E4B1" w14:textId="77777777" w:rsidR="007C3534" w:rsidRPr="005D2619" w:rsidRDefault="007C3534" w:rsidP="00A227F7">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rPr>
      </w:pPr>
      <w:r w:rsidRPr="005D2619">
        <w:rPr>
          <w:rFonts w:ascii="Cambria" w:hAnsi="Cambria"/>
          <w:sz w:val="20"/>
          <w:szCs w:val="20"/>
        </w:rPr>
        <w:t>La CIDH ha indicado que el recurso a sistemas judiciales secretos, incluido el recurso a los testigos de identidad reservada constituye, en principio, una violación de la garantía del debido proceso a interrogar a los testigos</w:t>
      </w:r>
      <w:r w:rsidRPr="005D2619">
        <w:rPr>
          <w:rStyle w:val="FootnoteReference"/>
          <w:rFonts w:ascii="Cambria" w:eastAsia="Batang" w:hAnsi="Cambria"/>
          <w:sz w:val="20"/>
          <w:szCs w:val="20"/>
        </w:rPr>
        <w:footnoteReference w:id="98"/>
      </w:r>
      <w:r w:rsidRPr="005D2619">
        <w:rPr>
          <w:rFonts w:ascii="Cambria" w:hAnsi="Cambria"/>
          <w:sz w:val="20"/>
          <w:szCs w:val="20"/>
        </w:rPr>
        <w:t xml:space="preserve">. </w:t>
      </w:r>
      <w:r w:rsidRPr="005D2619">
        <w:rPr>
          <w:rFonts w:ascii="Cambria" w:hAnsi="Cambria" w:cs="TimesNewRoman"/>
          <w:color w:val="auto"/>
          <w:sz w:val="20"/>
          <w:szCs w:val="20"/>
          <w:lang w:val="es-ES" w:eastAsia="es-ES_tradnl"/>
        </w:rPr>
        <w:t>Por su parte, la Corte Interamericana ha señalado que entre las garantías reconocidas a quienes hayan sido acusados está la de examinar los testigos en su contra y a su favor, bajo las mismas condiciones, con el objeto de ejercer su defensa</w:t>
      </w:r>
      <w:r w:rsidRPr="005D2619">
        <w:rPr>
          <w:rStyle w:val="FootnoteReference"/>
          <w:rFonts w:ascii="Cambria" w:hAnsi="Cambria" w:cs="TimesNewRoman"/>
          <w:color w:val="auto"/>
          <w:sz w:val="20"/>
          <w:szCs w:val="20"/>
          <w:lang w:val="es-ES" w:eastAsia="es-ES_tradnl"/>
        </w:rPr>
        <w:footnoteReference w:id="99"/>
      </w:r>
      <w:r w:rsidRPr="005D2619">
        <w:rPr>
          <w:rFonts w:ascii="Cambria" w:hAnsi="Cambria" w:cs="TimesNewRoman"/>
          <w:color w:val="auto"/>
          <w:sz w:val="20"/>
          <w:szCs w:val="20"/>
          <w:lang w:val="es-ES" w:eastAsia="es-ES_tradnl"/>
        </w:rPr>
        <w:t>.</w:t>
      </w:r>
      <w:r w:rsidRPr="005D2619">
        <w:rPr>
          <w:rFonts w:ascii="Cambria" w:hAnsi="Cambria"/>
          <w:color w:val="auto"/>
          <w:sz w:val="20"/>
          <w:szCs w:val="20"/>
          <w:lang w:val="es-ES"/>
        </w:rPr>
        <w:t xml:space="preserve"> Es por ello que en cada caso debe analizarse si </w:t>
      </w:r>
      <w:r w:rsidRPr="005D2619">
        <w:rPr>
          <w:rFonts w:ascii="Cambria" w:hAnsi="Cambria"/>
          <w:color w:val="auto"/>
          <w:sz w:val="20"/>
          <w:szCs w:val="20"/>
        </w:rPr>
        <w:t>las medidas de reserva de identidad de testigos se adoptaron sujetas a control judicial, fundándose en los principios de necesidad y proporcionalidad, tomando en cuenta que se trata de una medida excepcional y verificando la existencia de una situación de riesgo para el testigo</w:t>
      </w:r>
      <w:r w:rsidRPr="005D2619">
        <w:rPr>
          <w:rStyle w:val="FootnoteReference"/>
          <w:rFonts w:ascii="Cambria" w:hAnsi="Cambria" w:cs="TimesNewRoman"/>
          <w:color w:val="auto"/>
          <w:sz w:val="20"/>
          <w:szCs w:val="20"/>
          <w:lang w:val="es-ES" w:eastAsia="es-ES_tradnl"/>
        </w:rPr>
        <w:footnoteReference w:id="100"/>
      </w:r>
      <w:r w:rsidRPr="005D2619">
        <w:rPr>
          <w:rFonts w:ascii="Cambria" w:hAnsi="Cambria"/>
          <w:color w:val="auto"/>
          <w:sz w:val="20"/>
          <w:szCs w:val="20"/>
        </w:rPr>
        <w:t>.</w:t>
      </w:r>
      <w:r w:rsidR="00116C77" w:rsidRPr="005D2619">
        <w:rPr>
          <w:rFonts w:ascii="Cambria" w:hAnsi="Cambria"/>
          <w:sz w:val="20"/>
          <w:szCs w:val="20"/>
          <w:lang w:val="es-ES"/>
        </w:rPr>
        <w:t xml:space="preserve"> La CIDH</w:t>
      </w:r>
      <w:r w:rsidR="002C21BF" w:rsidRPr="005D2619">
        <w:rPr>
          <w:rFonts w:ascii="Cambria" w:hAnsi="Cambria"/>
          <w:sz w:val="20"/>
          <w:szCs w:val="20"/>
          <w:lang w:val="es-ES"/>
        </w:rPr>
        <w:t xml:space="preserve"> </w:t>
      </w:r>
      <w:r w:rsidR="00A40115" w:rsidRPr="005D2619">
        <w:rPr>
          <w:rFonts w:ascii="Cambria" w:hAnsi="Cambria"/>
          <w:sz w:val="20"/>
          <w:szCs w:val="20"/>
          <w:lang w:val="es-ES"/>
        </w:rPr>
        <w:t>ha</w:t>
      </w:r>
      <w:r w:rsidR="008D3D5C" w:rsidRPr="005D2619">
        <w:rPr>
          <w:rFonts w:ascii="Cambria" w:hAnsi="Cambria"/>
          <w:sz w:val="20"/>
          <w:szCs w:val="20"/>
          <w:lang w:val="es-ES"/>
        </w:rPr>
        <w:t xml:space="preserve"> señalado que</w:t>
      </w:r>
      <w:r w:rsidR="00A40115" w:rsidRPr="005D2619">
        <w:rPr>
          <w:rFonts w:ascii="Cambria" w:hAnsi="Cambria"/>
          <w:sz w:val="20"/>
          <w:szCs w:val="20"/>
          <w:lang w:val="es-ES"/>
        </w:rPr>
        <w:t xml:space="preserve"> </w:t>
      </w:r>
      <w:r w:rsidR="00116C77" w:rsidRPr="005D2619">
        <w:rPr>
          <w:rFonts w:ascii="Cambria" w:hAnsi="Cambria"/>
          <w:sz w:val="20"/>
          <w:szCs w:val="20"/>
          <w:lang w:val="es-ES"/>
        </w:rPr>
        <w:t>en ciertas circunstancias la identidad de los testigos puede ser protegida, siempre que ello no implique una afectación a las garantías judiciales del procesado</w:t>
      </w:r>
      <w:r w:rsidR="00CE40F8" w:rsidRPr="005D2619">
        <w:rPr>
          <w:rStyle w:val="FootnoteReference"/>
          <w:rFonts w:ascii="Cambria" w:hAnsi="Cambria"/>
          <w:sz w:val="20"/>
          <w:szCs w:val="20"/>
          <w:lang w:val="es-ES"/>
        </w:rPr>
        <w:footnoteReference w:id="101"/>
      </w:r>
      <w:r w:rsidR="00116C77" w:rsidRPr="005D2619">
        <w:rPr>
          <w:rFonts w:ascii="Cambria" w:hAnsi="Cambria"/>
          <w:sz w:val="20"/>
          <w:szCs w:val="20"/>
          <w:lang w:val="es-ES"/>
        </w:rPr>
        <w:t>.</w:t>
      </w:r>
      <w:r w:rsidR="008D3D5C" w:rsidRPr="005D2619">
        <w:rPr>
          <w:rFonts w:ascii="Cambria" w:hAnsi="Cambria"/>
          <w:sz w:val="20"/>
          <w:szCs w:val="20"/>
          <w:lang w:val="es-ES"/>
        </w:rPr>
        <w:t xml:space="preserve"> </w:t>
      </w:r>
    </w:p>
    <w:p w14:paraId="3D3A2F7F" w14:textId="77777777" w:rsidR="000935F9" w:rsidRPr="005D2619" w:rsidRDefault="000935F9" w:rsidP="000935F9">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color w:val="auto"/>
          <w:sz w:val="20"/>
          <w:szCs w:val="20"/>
          <w:lang w:val="es-ES"/>
        </w:rPr>
      </w:pPr>
    </w:p>
    <w:p w14:paraId="7C3CE2C4" w14:textId="77777777" w:rsidR="00823781" w:rsidRPr="005D2619" w:rsidRDefault="00A54528" w:rsidP="00A227F7">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color w:val="auto"/>
          <w:sz w:val="20"/>
          <w:szCs w:val="20"/>
          <w:lang w:val="es-ES"/>
        </w:rPr>
      </w:pPr>
      <w:r w:rsidRPr="00A227F7">
        <w:rPr>
          <w:rFonts w:ascii="Cambria" w:hAnsi="Cambria"/>
          <w:sz w:val="20"/>
          <w:szCs w:val="20"/>
        </w:rPr>
        <w:t>En</w:t>
      </w:r>
      <w:r w:rsidRPr="005D2619">
        <w:rPr>
          <w:rFonts w:ascii="Cambria" w:hAnsi="Cambria"/>
          <w:color w:val="auto"/>
          <w:sz w:val="20"/>
          <w:szCs w:val="20"/>
          <w:lang w:val="es-ES"/>
        </w:rPr>
        <w:t xml:space="preserve"> esa línea, r</w:t>
      </w:r>
      <w:r w:rsidR="008D3D5C" w:rsidRPr="005D2619">
        <w:rPr>
          <w:rFonts w:ascii="Cambria" w:hAnsi="Cambria"/>
          <w:color w:val="auto"/>
          <w:sz w:val="20"/>
          <w:szCs w:val="20"/>
          <w:lang w:val="es-ES"/>
        </w:rPr>
        <w:t xml:space="preserve">especto de las salvaguardas requeridas en dichos casos excepcionales, </w:t>
      </w:r>
      <w:r w:rsidR="00823781" w:rsidRPr="005D2619">
        <w:rPr>
          <w:rFonts w:ascii="Cambria" w:hAnsi="Cambria"/>
          <w:color w:val="auto"/>
          <w:sz w:val="20"/>
          <w:szCs w:val="20"/>
          <w:lang w:val="es-ES"/>
        </w:rPr>
        <w:t>la Corte</w:t>
      </w:r>
      <w:r w:rsidR="00405908" w:rsidRPr="005D2619">
        <w:rPr>
          <w:rFonts w:ascii="Cambria" w:hAnsi="Cambria"/>
          <w:color w:val="auto"/>
          <w:sz w:val="20"/>
          <w:szCs w:val="20"/>
          <w:lang w:val="es-ES"/>
        </w:rPr>
        <w:t>, tomando en cuenta jurisprudencia de la Corte Europea de Derechos Humanos,</w:t>
      </w:r>
      <w:r w:rsidR="00823781" w:rsidRPr="005D2619">
        <w:rPr>
          <w:rFonts w:ascii="Cambria" w:hAnsi="Cambria"/>
          <w:color w:val="auto"/>
          <w:sz w:val="20"/>
          <w:szCs w:val="20"/>
          <w:lang w:val="es-ES"/>
        </w:rPr>
        <w:t xml:space="preserve"> ha sostenido que </w:t>
      </w:r>
      <w:r w:rsidR="00405908" w:rsidRPr="005D2619">
        <w:rPr>
          <w:rFonts w:ascii="Cambria" w:hAnsi="Cambria"/>
          <w:color w:val="auto"/>
          <w:sz w:val="20"/>
          <w:szCs w:val="20"/>
          <w:lang w:val="es-ES"/>
        </w:rPr>
        <w:t>tal reserva</w:t>
      </w:r>
      <w:r w:rsidR="00823781" w:rsidRPr="005D2619">
        <w:rPr>
          <w:rFonts w:ascii="Cambria" w:hAnsi="Cambria"/>
          <w:color w:val="auto"/>
          <w:sz w:val="20"/>
          <w:szCs w:val="20"/>
          <w:lang w:val="es-ES"/>
        </w:rPr>
        <w:t xml:space="preserve"> debe ser </w:t>
      </w:r>
      <w:r w:rsidR="006B1DBD" w:rsidRPr="005D2619">
        <w:rPr>
          <w:rFonts w:ascii="Cambria" w:hAnsi="Cambria"/>
          <w:color w:val="auto"/>
          <w:sz w:val="20"/>
          <w:szCs w:val="20"/>
          <w:lang w:val="es-ES"/>
        </w:rPr>
        <w:t>suficientemente contrarrestada por medidas de contrapeso, tales como</w:t>
      </w:r>
      <w:r w:rsidR="00823781" w:rsidRPr="005D2619">
        <w:rPr>
          <w:rFonts w:ascii="Cambria" w:hAnsi="Cambria"/>
          <w:color w:val="auto"/>
          <w:sz w:val="20"/>
          <w:szCs w:val="20"/>
          <w:lang w:val="es-ES"/>
        </w:rPr>
        <w:t>:</w:t>
      </w:r>
    </w:p>
    <w:p w14:paraId="46D46BEB" w14:textId="77777777" w:rsidR="00823781" w:rsidRPr="005D2619" w:rsidRDefault="00823781" w:rsidP="00823781">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color w:val="auto"/>
          <w:sz w:val="20"/>
          <w:szCs w:val="20"/>
          <w:lang w:val="es-ES"/>
        </w:rPr>
      </w:pPr>
    </w:p>
    <w:p w14:paraId="5E3CF3CE" w14:textId="77777777" w:rsidR="00823781" w:rsidRPr="005D2619" w:rsidRDefault="006B1DBD" w:rsidP="00823781">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right="720" w:firstLine="0"/>
        <w:jc w:val="both"/>
        <w:rPr>
          <w:rFonts w:ascii="Cambria" w:hAnsi="Cambria"/>
          <w:sz w:val="20"/>
          <w:szCs w:val="20"/>
          <w:lang w:val="es-ES"/>
        </w:rPr>
      </w:pPr>
      <w:r w:rsidRPr="005D2619">
        <w:rPr>
          <w:rFonts w:ascii="Cambria" w:hAnsi="Cambria"/>
          <w:color w:val="auto"/>
          <w:sz w:val="20"/>
          <w:szCs w:val="20"/>
          <w:lang w:val="es-ES"/>
        </w:rPr>
        <w:lastRenderedPageBreak/>
        <w:t>a) la autoridad judicial debe conocer la identidad del testigo y tener la posibilidad de observar su comportamiento durante el interrogatorio con el objeto de que pueda formar su propia impresión sobre la confiabilidad de</w:t>
      </w:r>
      <w:r w:rsidR="00823781" w:rsidRPr="005D2619">
        <w:rPr>
          <w:rFonts w:ascii="Cambria" w:hAnsi="Cambria"/>
          <w:color w:val="auto"/>
          <w:sz w:val="20"/>
          <w:szCs w:val="20"/>
          <w:lang w:val="es-ES"/>
        </w:rPr>
        <w:t>l testigo y de su declaración</w:t>
      </w:r>
      <w:r w:rsidRPr="005D2619">
        <w:rPr>
          <w:rFonts w:ascii="Cambria" w:hAnsi="Cambria"/>
          <w:color w:val="auto"/>
          <w:sz w:val="20"/>
          <w:szCs w:val="20"/>
          <w:lang w:val="es-ES"/>
        </w:rPr>
        <w:t>, y b) debe concederse a la defensa una amplia oportunidad de interrogar directamente al testigo en alguna de las etapas del proceso, sobre cuestiones que</w:t>
      </w:r>
      <w:r w:rsidRPr="005D2619">
        <w:rPr>
          <w:rFonts w:ascii="Cambria" w:hAnsi="Cambria"/>
          <w:sz w:val="20"/>
          <w:szCs w:val="20"/>
          <w:lang w:val="es-ES"/>
        </w:rPr>
        <w:t xml:space="preserve"> no estén relacionadas con su identidad o paradero actual; lo anterior con el objeto de que la defensa pueda apreciar el comportamiento del testigo bajo interrogatorio, de modo que pueda desacreditarlo o, por lo menos, plantear dudas sobre la confiabilidad de su declaración. </w:t>
      </w:r>
    </w:p>
    <w:p w14:paraId="63621314" w14:textId="77777777" w:rsidR="00E91791" w:rsidRPr="005D2619" w:rsidRDefault="00C5215A" w:rsidP="00823781">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right="720" w:firstLine="0"/>
        <w:jc w:val="both"/>
        <w:rPr>
          <w:rFonts w:ascii="Cambria" w:hAnsi="Cambria"/>
          <w:sz w:val="20"/>
          <w:szCs w:val="20"/>
          <w:lang w:val="es-ES"/>
        </w:rPr>
      </w:pPr>
      <w:r w:rsidRPr="005D2619">
        <w:rPr>
          <w:rFonts w:ascii="Cambria" w:hAnsi="Cambria"/>
          <w:sz w:val="20"/>
          <w:szCs w:val="20"/>
          <w:lang w:val="es-ES"/>
        </w:rPr>
        <w:t>(…)</w:t>
      </w:r>
    </w:p>
    <w:p w14:paraId="4482E006" w14:textId="77777777" w:rsidR="006B1DBD" w:rsidRPr="005D2619" w:rsidRDefault="006B1DBD" w:rsidP="00823781">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right="720" w:firstLine="0"/>
        <w:jc w:val="both"/>
        <w:rPr>
          <w:rFonts w:ascii="Cambria" w:hAnsi="Cambria"/>
          <w:sz w:val="20"/>
          <w:szCs w:val="20"/>
          <w:lang w:val="es-ES"/>
        </w:rPr>
      </w:pPr>
      <w:r w:rsidRPr="005D2619">
        <w:rPr>
          <w:rFonts w:ascii="Cambria" w:hAnsi="Cambria"/>
          <w:sz w:val="20"/>
          <w:szCs w:val="20"/>
          <w:lang w:val="es-ES"/>
        </w:rPr>
        <w:t>Incluso cuando se hayan adoptado medidas de contrapeso que parecen suficientes, la condena no puede estar fundada únicamente o en grado decisivo en declaraciones realizadas por tes</w:t>
      </w:r>
      <w:r w:rsidR="00823781" w:rsidRPr="005D2619">
        <w:rPr>
          <w:rFonts w:ascii="Cambria" w:hAnsi="Cambria"/>
          <w:sz w:val="20"/>
          <w:szCs w:val="20"/>
          <w:lang w:val="es-ES"/>
        </w:rPr>
        <w:t>tigos de identidad reservada</w:t>
      </w:r>
      <w:r w:rsidRPr="005D2619">
        <w:rPr>
          <w:rFonts w:ascii="Cambria" w:hAnsi="Cambria"/>
          <w:sz w:val="20"/>
          <w:szCs w:val="20"/>
          <w:lang w:val="es-ES"/>
        </w:rPr>
        <w:t>. De lo contrario, se podría llegar a condenar al imputado utilizando desproporcionadamente un medio probatorio que fue obtenido en detrimento de su derecho de defensa. Por tratarse de prueba obtenida en condiciones en las que los derechos del inculpado han sido limitados, las declaraciones de testigos con reserva de identidad deben tr</w:t>
      </w:r>
      <w:r w:rsidR="00823781" w:rsidRPr="005D2619">
        <w:rPr>
          <w:rFonts w:ascii="Cambria" w:hAnsi="Cambria"/>
          <w:sz w:val="20"/>
          <w:szCs w:val="20"/>
          <w:lang w:val="es-ES"/>
        </w:rPr>
        <w:t>atarse con extrema precaución</w:t>
      </w:r>
      <w:r w:rsidRPr="005D2619">
        <w:rPr>
          <w:rFonts w:ascii="Cambria" w:hAnsi="Cambria"/>
          <w:sz w:val="20"/>
          <w:szCs w:val="20"/>
          <w:lang w:val="es-ES"/>
        </w:rPr>
        <w:t>, ser valoradas en conjunto con el acervo probatorio, las observaciones u objeciones de a defensa y l</w:t>
      </w:r>
      <w:r w:rsidR="00823781" w:rsidRPr="005D2619">
        <w:rPr>
          <w:rFonts w:ascii="Cambria" w:hAnsi="Cambria"/>
          <w:sz w:val="20"/>
          <w:szCs w:val="20"/>
          <w:lang w:val="es-ES"/>
        </w:rPr>
        <w:t>as reglas de la sana crítica</w:t>
      </w:r>
      <w:r w:rsidR="00823781" w:rsidRPr="005D2619">
        <w:rPr>
          <w:rStyle w:val="FootnoteReference"/>
          <w:rFonts w:ascii="Cambria" w:hAnsi="Cambria" w:cs="TimesNewRoman"/>
          <w:sz w:val="20"/>
          <w:szCs w:val="20"/>
          <w:lang w:val="es-ES" w:eastAsia="es-ES_tradnl"/>
        </w:rPr>
        <w:footnoteReference w:id="102"/>
      </w:r>
      <w:r w:rsidR="00823781" w:rsidRPr="005D2619">
        <w:rPr>
          <w:rFonts w:ascii="Cambria" w:hAnsi="Cambria"/>
          <w:sz w:val="20"/>
          <w:szCs w:val="20"/>
          <w:lang w:val="es-ES"/>
        </w:rPr>
        <w:t>.</w:t>
      </w:r>
      <w:r w:rsidRPr="005D2619">
        <w:rPr>
          <w:rFonts w:ascii="Cambria" w:hAnsi="Cambria"/>
          <w:sz w:val="20"/>
          <w:szCs w:val="20"/>
          <w:lang w:val="es-ES"/>
        </w:rPr>
        <w:t xml:space="preserve"> </w:t>
      </w:r>
    </w:p>
    <w:p w14:paraId="6BD92663" w14:textId="77777777" w:rsidR="000935F9" w:rsidRPr="005D2619" w:rsidRDefault="000935F9" w:rsidP="002613E9">
      <w:pPr>
        <w:spacing w:after="0" w:line="240" w:lineRule="auto"/>
        <w:rPr>
          <w:rFonts w:ascii="Cambria" w:hAnsi="Cambria"/>
          <w:sz w:val="20"/>
          <w:szCs w:val="20"/>
          <w:lang w:val="es-ES"/>
        </w:rPr>
      </w:pPr>
    </w:p>
    <w:p w14:paraId="04A28680" w14:textId="77777777" w:rsidR="00A358E0" w:rsidRPr="005D2619" w:rsidRDefault="002613E9" w:rsidP="00A227F7">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rPr>
      </w:pPr>
      <w:r w:rsidRPr="005D2619">
        <w:rPr>
          <w:rFonts w:ascii="Cambria" w:hAnsi="Cambria"/>
          <w:sz w:val="20"/>
          <w:szCs w:val="20"/>
        </w:rPr>
        <w:t xml:space="preserve">En el presente caso, </w:t>
      </w:r>
      <w:r w:rsidR="006B1DBD" w:rsidRPr="005D2619">
        <w:rPr>
          <w:rFonts w:ascii="Cambria" w:hAnsi="Cambria"/>
          <w:sz w:val="20"/>
          <w:szCs w:val="20"/>
        </w:rPr>
        <w:t xml:space="preserve">la CIDH observa que </w:t>
      </w:r>
      <w:r w:rsidR="00E743C0" w:rsidRPr="005D2619">
        <w:rPr>
          <w:rFonts w:ascii="Cambria" w:hAnsi="Cambria"/>
          <w:sz w:val="20"/>
          <w:szCs w:val="20"/>
        </w:rPr>
        <w:t>durante el proceso seguido al señor Sastoque se tomaron las declaraciones de hasta cuatro testigos an</w:t>
      </w:r>
      <w:r w:rsidR="00823781" w:rsidRPr="005D2619">
        <w:rPr>
          <w:rFonts w:ascii="Cambria" w:hAnsi="Cambria"/>
          <w:sz w:val="20"/>
          <w:szCs w:val="20"/>
        </w:rPr>
        <w:t>ónimos</w:t>
      </w:r>
      <w:r w:rsidR="00106D7A" w:rsidRPr="005D2619">
        <w:rPr>
          <w:rFonts w:ascii="Cambria" w:hAnsi="Cambria"/>
          <w:sz w:val="20"/>
          <w:szCs w:val="20"/>
        </w:rPr>
        <w:t xml:space="preserve">. De estas cuatro personas, dos lo identificaron como </w:t>
      </w:r>
      <w:r w:rsidR="00823781" w:rsidRPr="005D2619">
        <w:rPr>
          <w:rFonts w:ascii="Cambria" w:hAnsi="Cambria"/>
          <w:sz w:val="20"/>
          <w:szCs w:val="20"/>
        </w:rPr>
        <w:t>la persona que disparó en contra de Hernando Pizarro</w:t>
      </w:r>
      <w:r w:rsidR="00106D7A" w:rsidRPr="005D2619">
        <w:rPr>
          <w:rFonts w:ascii="Cambria" w:hAnsi="Cambria"/>
          <w:sz w:val="20"/>
          <w:szCs w:val="20"/>
        </w:rPr>
        <w:t xml:space="preserve"> y una no lo reconoció inicialmente pero después lo identificó “por referencias”. </w:t>
      </w:r>
      <w:r w:rsidR="00823781" w:rsidRPr="005D2619">
        <w:rPr>
          <w:rFonts w:ascii="Cambria" w:hAnsi="Cambria"/>
          <w:sz w:val="20"/>
          <w:szCs w:val="20"/>
        </w:rPr>
        <w:t xml:space="preserve"> </w:t>
      </w:r>
    </w:p>
    <w:p w14:paraId="6A0E8A94" w14:textId="77777777" w:rsidR="00A358E0" w:rsidRPr="005D2619" w:rsidRDefault="00A358E0" w:rsidP="00E07E25">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sz w:val="20"/>
          <w:szCs w:val="20"/>
        </w:rPr>
      </w:pPr>
    </w:p>
    <w:p w14:paraId="4AE744CE" w14:textId="77777777" w:rsidR="00256878" w:rsidRPr="005D2619" w:rsidRDefault="00E02291" w:rsidP="00A227F7">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rPr>
      </w:pPr>
      <w:r w:rsidRPr="005D2619">
        <w:rPr>
          <w:rFonts w:ascii="Cambria" w:hAnsi="Cambria"/>
          <w:sz w:val="20"/>
          <w:szCs w:val="20"/>
        </w:rPr>
        <w:t>En el presente caso</w:t>
      </w:r>
      <w:r w:rsidR="00184F58" w:rsidRPr="005D2619">
        <w:rPr>
          <w:rFonts w:ascii="Cambria" w:hAnsi="Cambria"/>
          <w:sz w:val="20"/>
          <w:szCs w:val="20"/>
        </w:rPr>
        <w:t>, en primer lugar,</w:t>
      </w:r>
      <w:r w:rsidRPr="005D2619">
        <w:rPr>
          <w:rFonts w:ascii="Cambria" w:hAnsi="Cambria"/>
          <w:sz w:val="20"/>
          <w:szCs w:val="20"/>
        </w:rPr>
        <w:t xml:space="preserve"> el uso de testigos con identidad reservada estaba establecido en la legislación que regulaba la justicia regional, sin mayores salvaguardas para asegurar que su uso fuera compatible con los está</w:t>
      </w:r>
      <w:r w:rsidR="00E36078" w:rsidRPr="005D2619">
        <w:rPr>
          <w:rFonts w:ascii="Cambria" w:hAnsi="Cambria"/>
          <w:sz w:val="20"/>
          <w:szCs w:val="20"/>
        </w:rPr>
        <w:t xml:space="preserve">ndares internacionales descritos. En efecto, en el presente caso ni el Estado ha justificado ante la CIDH ni las </w:t>
      </w:r>
      <w:r w:rsidR="00E81672" w:rsidRPr="005D2619">
        <w:rPr>
          <w:rFonts w:ascii="Cambria" w:hAnsi="Cambria"/>
          <w:sz w:val="20"/>
          <w:szCs w:val="20"/>
        </w:rPr>
        <w:t xml:space="preserve">autoridades judiciales </w:t>
      </w:r>
      <w:r w:rsidR="00E36078" w:rsidRPr="005D2619">
        <w:rPr>
          <w:rFonts w:ascii="Cambria" w:hAnsi="Cambria"/>
          <w:sz w:val="20"/>
          <w:szCs w:val="20"/>
        </w:rPr>
        <w:t xml:space="preserve">explicaron de manera individualizada </w:t>
      </w:r>
      <w:r w:rsidR="00E81672" w:rsidRPr="005D2619">
        <w:rPr>
          <w:rFonts w:ascii="Cambria" w:hAnsi="Cambria"/>
          <w:sz w:val="20"/>
          <w:szCs w:val="20"/>
        </w:rPr>
        <w:t xml:space="preserve">las razones </w:t>
      </w:r>
      <w:r w:rsidR="00E36078" w:rsidRPr="005D2619">
        <w:rPr>
          <w:rFonts w:ascii="Cambria" w:hAnsi="Cambria"/>
          <w:sz w:val="20"/>
          <w:szCs w:val="20"/>
        </w:rPr>
        <w:t xml:space="preserve">imperiosas </w:t>
      </w:r>
      <w:r w:rsidR="00E81672" w:rsidRPr="005D2619">
        <w:rPr>
          <w:rFonts w:ascii="Cambria" w:hAnsi="Cambria"/>
          <w:sz w:val="20"/>
          <w:szCs w:val="20"/>
        </w:rPr>
        <w:t>por las cuales se decidió la reserva de identidad de dichas personas</w:t>
      </w:r>
      <w:r w:rsidR="00E36078" w:rsidRPr="005D2619">
        <w:rPr>
          <w:rFonts w:ascii="Cambria" w:hAnsi="Cambria"/>
          <w:sz w:val="20"/>
          <w:szCs w:val="20"/>
        </w:rPr>
        <w:t xml:space="preserve"> ni porqué tal medida era la menos lesiva al derecho a la defensa del señor Sastoque. </w:t>
      </w:r>
    </w:p>
    <w:p w14:paraId="25476209" w14:textId="77777777" w:rsidR="00256878" w:rsidRPr="005D2619" w:rsidRDefault="00256878" w:rsidP="00E07E25">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rPr>
      </w:pPr>
    </w:p>
    <w:p w14:paraId="3E88CCE2" w14:textId="77777777" w:rsidR="00184F58" w:rsidRPr="005D2619" w:rsidRDefault="00184F58" w:rsidP="00A227F7">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rPr>
      </w:pPr>
      <w:r w:rsidRPr="005D2619">
        <w:rPr>
          <w:rFonts w:ascii="Cambria" w:hAnsi="Cambria"/>
          <w:sz w:val="20"/>
          <w:szCs w:val="20"/>
        </w:rPr>
        <w:t xml:space="preserve">En segundo lugar, de las decisiones que dispusieron la reserva no se desprende que </w:t>
      </w:r>
      <w:r w:rsidR="00E36078" w:rsidRPr="005D2619">
        <w:rPr>
          <w:rFonts w:ascii="Cambria" w:hAnsi="Cambria"/>
          <w:sz w:val="20"/>
          <w:szCs w:val="20"/>
        </w:rPr>
        <w:t xml:space="preserve">se </w:t>
      </w:r>
      <w:r w:rsidR="00E81672" w:rsidRPr="005D2619">
        <w:rPr>
          <w:rFonts w:ascii="Cambria" w:hAnsi="Cambria"/>
          <w:sz w:val="20"/>
          <w:szCs w:val="20"/>
        </w:rPr>
        <w:t>adopt</w:t>
      </w:r>
      <w:r w:rsidR="00E36078" w:rsidRPr="005D2619">
        <w:rPr>
          <w:rFonts w:ascii="Cambria" w:hAnsi="Cambria"/>
          <w:sz w:val="20"/>
          <w:szCs w:val="20"/>
        </w:rPr>
        <w:t>aron</w:t>
      </w:r>
      <w:r w:rsidR="00E81672" w:rsidRPr="005D2619">
        <w:rPr>
          <w:rFonts w:ascii="Cambria" w:hAnsi="Cambria"/>
          <w:sz w:val="20"/>
          <w:szCs w:val="20"/>
        </w:rPr>
        <w:t xml:space="preserve"> las medidas de contrapeso respectivas. </w:t>
      </w:r>
      <w:r w:rsidR="00DF6CDC" w:rsidRPr="005D2619">
        <w:rPr>
          <w:rFonts w:ascii="Cambria" w:hAnsi="Cambria"/>
          <w:sz w:val="20"/>
          <w:szCs w:val="20"/>
        </w:rPr>
        <w:t xml:space="preserve">La Comisión considera que el </w:t>
      </w:r>
      <w:r w:rsidR="00E36078" w:rsidRPr="005D2619">
        <w:rPr>
          <w:rFonts w:ascii="Cambria" w:hAnsi="Cambria"/>
          <w:sz w:val="20"/>
          <w:szCs w:val="20"/>
        </w:rPr>
        <w:t>interrogatorio por escrito a uno de los testigos reservados</w:t>
      </w:r>
      <w:r w:rsidR="00DF6CDC" w:rsidRPr="005D2619">
        <w:rPr>
          <w:rFonts w:ascii="Cambria" w:hAnsi="Cambria"/>
          <w:sz w:val="20"/>
          <w:szCs w:val="20"/>
        </w:rPr>
        <w:t xml:space="preserve"> no logra compensar la afectación al derecho de defensa</w:t>
      </w:r>
      <w:r w:rsidR="00256878" w:rsidRPr="005D2619">
        <w:rPr>
          <w:rFonts w:ascii="Cambria" w:hAnsi="Cambria"/>
          <w:sz w:val="20"/>
          <w:szCs w:val="20"/>
        </w:rPr>
        <w:t xml:space="preserve">, particularmente tomando en cuenta que la identidad de las autoridades fiscales y judiciales también era reservada, en los términos ya analizados. </w:t>
      </w:r>
    </w:p>
    <w:p w14:paraId="2128DD3C" w14:textId="77777777" w:rsidR="00184F58" w:rsidRPr="005D2619" w:rsidRDefault="00184F58" w:rsidP="00E07E25">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rPr>
      </w:pPr>
    </w:p>
    <w:p w14:paraId="37BC0630" w14:textId="77777777" w:rsidR="005B476F" w:rsidRPr="005D2619" w:rsidRDefault="00184F58" w:rsidP="00A227F7">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rPr>
      </w:pPr>
      <w:r w:rsidRPr="005D2619">
        <w:rPr>
          <w:rFonts w:ascii="Cambria" w:hAnsi="Cambria"/>
          <w:sz w:val="20"/>
          <w:szCs w:val="20"/>
        </w:rPr>
        <w:t xml:space="preserve">En tercer lugar, </w:t>
      </w:r>
      <w:r w:rsidR="00E81672" w:rsidRPr="005D2619">
        <w:rPr>
          <w:rFonts w:ascii="Cambria" w:hAnsi="Cambria"/>
          <w:sz w:val="20"/>
          <w:szCs w:val="20"/>
        </w:rPr>
        <w:t>y como se desarrollará en la siguiente sección, la sentencia condenatoria en perjuicio del señor Sastoque se basó de forma casi exclusiva en las declaraciones de los testigos reservados.</w:t>
      </w:r>
      <w:r w:rsidR="00D03549" w:rsidRPr="005D2619">
        <w:rPr>
          <w:rFonts w:ascii="Cambria" w:hAnsi="Cambria"/>
          <w:sz w:val="20"/>
          <w:szCs w:val="20"/>
        </w:rPr>
        <w:t xml:space="preserve"> Si bien se levantó la reserva de la Testigo No. 1, ello ocurrió sólo respecto de una persona y el Estado no ha demostrado de qué manera se compensó, con posterioridad, la afectación al derecho de defensa como consecuencia de la reserva de identidad. En efecto, la defensa del señor Sastoque sostuvo que no existió oportunidad real de contradecir los dichos de esta persona y el Estado no ha demostrado lo contrario. </w:t>
      </w:r>
    </w:p>
    <w:p w14:paraId="43462C8A" w14:textId="77777777" w:rsidR="005B476F" w:rsidRPr="005D2619" w:rsidRDefault="005B476F" w:rsidP="005B476F">
      <w:pPr>
        <w:spacing w:after="0" w:line="240" w:lineRule="auto"/>
        <w:rPr>
          <w:rFonts w:ascii="Cambria" w:hAnsi="Cambria"/>
          <w:sz w:val="20"/>
          <w:szCs w:val="20"/>
          <w:lang w:val="es-ES"/>
        </w:rPr>
      </w:pPr>
    </w:p>
    <w:p w14:paraId="76278072" w14:textId="77777777" w:rsidR="00E81672" w:rsidRPr="005D2619" w:rsidRDefault="00E81672" w:rsidP="00A227F7">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rPr>
      </w:pPr>
      <w:r w:rsidRPr="005D2619">
        <w:rPr>
          <w:rFonts w:ascii="Cambria" w:hAnsi="Cambria"/>
          <w:sz w:val="20"/>
          <w:szCs w:val="20"/>
        </w:rPr>
        <w:t>Por lo expuesto, l</w:t>
      </w:r>
      <w:r w:rsidR="00823781" w:rsidRPr="005D2619">
        <w:rPr>
          <w:rFonts w:ascii="Cambria" w:hAnsi="Cambria"/>
          <w:sz w:val="20"/>
          <w:szCs w:val="20"/>
        </w:rPr>
        <w:t>a Comisi</w:t>
      </w:r>
      <w:r w:rsidR="005B476F" w:rsidRPr="005D2619">
        <w:rPr>
          <w:rFonts w:ascii="Cambria" w:hAnsi="Cambria"/>
          <w:sz w:val="20"/>
          <w:szCs w:val="20"/>
        </w:rPr>
        <w:t>ón</w:t>
      </w:r>
      <w:r w:rsidRPr="005D2619">
        <w:rPr>
          <w:rFonts w:ascii="Cambria" w:hAnsi="Cambria"/>
          <w:sz w:val="20"/>
          <w:szCs w:val="20"/>
        </w:rPr>
        <w:t xml:space="preserve"> considera que la situación de este caso se enmarca dentro de lo señalado en la sección anterior sobre la aplicación de testigos sin reserva en el marco de la justicia regional</w:t>
      </w:r>
      <w:r w:rsidR="00184F58" w:rsidRPr="005D2619">
        <w:rPr>
          <w:rFonts w:ascii="Cambria" w:hAnsi="Cambria"/>
          <w:sz w:val="20"/>
          <w:szCs w:val="20"/>
        </w:rPr>
        <w:t xml:space="preserve"> en Colombia,</w:t>
      </w:r>
      <w:r w:rsidRPr="005D2619">
        <w:rPr>
          <w:rFonts w:ascii="Cambria" w:hAnsi="Cambria"/>
          <w:sz w:val="20"/>
          <w:szCs w:val="20"/>
        </w:rPr>
        <w:t xml:space="preserve"> lo cual resulta v</w:t>
      </w:r>
      <w:r w:rsidR="00D03549" w:rsidRPr="005D2619">
        <w:rPr>
          <w:rFonts w:ascii="Cambria" w:hAnsi="Cambria"/>
          <w:sz w:val="20"/>
          <w:szCs w:val="20"/>
        </w:rPr>
        <w:t xml:space="preserve">ulneratorio </w:t>
      </w:r>
      <w:r w:rsidRPr="005D2619">
        <w:rPr>
          <w:rFonts w:ascii="Cambria" w:hAnsi="Cambria"/>
          <w:sz w:val="20"/>
          <w:szCs w:val="20"/>
        </w:rPr>
        <w:t xml:space="preserve">del derecho de defensa establecido en la Convención Americana. En consecuencia, la CIDH concluye que el Estado es responsable por la violación del derecho establecido en </w:t>
      </w:r>
      <w:r w:rsidR="006F32C9" w:rsidRPr="005D2619">
        <w:rPr>
          <w:rFonts w:ascii="Cambria" w:hAnsi="Cambria"/>
          <w:sz w:val="20"/>
          <w:szCs w:val="20"/>
        </w:rPr>
        <w:t>los</w:t>
      </w:r>
      <w:r w:rsidRPr="005D2619">
        <w:rPr>
          <w:rFonts w:ascii="Cambria" w:hAnsi="Cambria"/>
          <w:sz w:val="20"/>
          <w:szCs w:val="20"/>
        </w:rPr>
        <w:t xml:space="preserve"> artículo</w:t>
      </w:r>
      <w:r w:rsidR="006F32C9" w:rsidRPr="005D2619">
        <w:rPr>
          <w:rFonts w:ascii="Cambria" w:hAnsi="Cambria"/>
          <w:sz w:val="20"/>
          <w:szCs w:val="20"/>
        </w:rPr>
        <w:t>s 8.2. c) y</w:t>
      </w:r>
      <w:r w:rsidRPr="005D2619">
        <w:rPr>
          <w:rFonts w:ascii="Cambria" w:hAnsi="Cambria"/>
          <w:sz w:val="20"/>
          <w:szCs w:val="20"/>
        </w:rPr>
        <w:t xml:space="preserve"> </w:t>
      </w:r>
      <w:r w:rsidRPr="005D2619">
        <w:rPr>
          <w:rFonts w:ascii="Cambria" w:hAnsi="Cambria"/>
          <w:sz w:val="20"/>
          <w:szCs w:val="20"/>
          <w:lang w:val="es-ES"/>
        </w:rPr>
        <w:t xml:space="preserve">8.2 f) de la Convención Americana, en relación con </w:t>
      </w:r>
      <w:r w:rsidR="00124E84" w:rsidRPr="005D2619">
        <w:rPr>
          <w:rFonts w:ascii="Cambria" w:hAnsi="Cambria"/>
          <w:sz w:val="20"/>
          <w:szCs w:val="20"/>
          <w:lang w:val="es-ES"/>
        </w:rPr>
        <w:t>los</w:t>
      </w:r>
      <w:r w:rsidRPr="005D2619">
        <w:rPr>
          <w:rFonts w:ascii="Cambria" w:hAnsi="Cambria"/>
          <w:sz w:val="20"/>
          <w:szCs w:val="20"/>
          <w:lang w:val="es-ES"/>
        </w:rPr>
        <w:t xml:space="preserve"> artículo</w:t>
      </w:r>
      <w:r w:rsidR="00124E84" w:rsidRPr="005D2619">
        <w:rPr>
          <w:rFonts w:ascii="Cambria" w:hAnsi="Cambria"/>
          <w:sz w:val="20"/>
          <w:szCs w:val="20"/>
          <w:lang w:val="es-ES"/>
        </w:rPr>
        <w:t>s</w:t>
      </w:r>
      <w:r w:rsidRPr="005D2619">
        <w:rPr>
          <w:rFonts w:ascii="Cambria" w:hAnsi="Cambria"/>
          <w:sz w:val="20"/>
          <w:szCs w:val="20"/>
          <w:lang w:val="es-ES"/>
        </w:rPr>
        <w:t xml:space="preserve"> 1.1</w:t>
      </w:r>
      <w:r w:rsidR="00124E84" w:rsidRPr="005D2619">
        <w:rPr>
          <w:rFonts w:ascii="Cambria" w:hAnsi="Cambria"/>
          <w:sz w:val="20"/>
          <w:szCs w:val="20"/>
          <w:lang w:val="es-ES"/>
        </w:rPr>
        <w:t xml:space="preserve"> y 2</w:t>
      </w:r>
      <w:r w:rsidRPr="005D2619">
        <w:rPr>
          <w:rFonts w:ascii="Cambria" w:hAnsi="Cambria"/>
          <w:sz w:val="20"/>
          <w:szCs w:val="20"/>
          <w:lang w:val="es-ES"/>
        </w:rPr>
        <w:t xml:space="preserve"> del mismo instrumento, en perjuicio de Gustavo Sastoque Alfonso.</w:t>
      </w:r>
    </w:p>
    <w:p w14:paraId="64779F35" w14:textId="77777777" w:rsidR="001D6CFB" w:rsidRPr="005D1A5B" w:rsidRDefault="001D6CFB" w:rsidP="005D1A5B">
      <w:pPr>
        <w:spacing w:after="0" w:line="240" w:lineRule="auto"/>
        <w:ind w:left="2880"/>
        <w:rPr>
          <w:rFonts w:ascii="Cambria" w:hAnsi="Cambria"/>
          <w:b/>
          <w:sz w:val="20"/>
          <w:szCs w:val="20"/>
          <w:lang w:val="es-ES_tradnl"/>
        </w:rPr>
      </w:pPr>
    </w:p>
    <w:p w14:paraId="5C238F97" w14:textId="77777777" w:rsidR="001D6CFB" w:rsidRPr="005D1A5B" w:rsidRDefault="001D6CFB" w:rsidP="005D1A5B">
      <w:pPr>
        <w:numPr>
          <w:ilvl w:val="0"/>
          <w:numId w:val="59"/>
        </w:numPr>
        <w:tabs>
          <w:tab w:val="clear" w:pos="2880"/>
          <w:tab w:val="num" w:pos="1440"/>
        </w:tabs>
        <w:spacing w:after="0" w:line="240" w:lineRule="auto"/>
        <w:ind w:hanging="2160"/>
        <w:rPr>
          <w:rFonts w:ascii="Cambria" w:hAnsi="Cambria"/>
          <w:b/>
          <w:sz w:val="20"/>
          <w:szCs w:val="20"/>
          <w:lang w:val="es-CO"/>
        </w:rPr>
      </w:pPr>
      <w:r w:rsidRPr="005D1A5B">
        <w:rPr>
          <w:rFonts w:ascii="Cambria" w:hAnsi="Cambria"/>
          <w:b/>
          <w:sz w:val="20"/>
          <w:szCs w:val="20"/>
          <w:lang w:val="es-CO"/>
        </w:rPr>
        <w:t>Principio de presunción de inocencia</w:t>
      </w:r>
      <w:r w:rsidR="00571CAB" w:rsidRPr="005D1A5B">
        <w:rPr>
          <w:rFonts w:ascii="Cambria" w:hAnsi="Cambria"/>
          <w:b/>
          <w:sz w:val="20"/>
          <w:szCs w:val="20"/>
          <w:lang w:val="es-CO"/>
        </w:rPr>
        <w:t xml:space="preserve">, garantía de motivación </w:t>
      </w:r>
      <w:r w:rsidR="0068620E" w:rsidRPr="005D1A5B">
        <w:rPr>
          <w:rFonts w:ascii="Cambria" w:hAnsi="Cambria"/>
          <w:b/>
          <w:sz w:val="20"/>
          <w:szCs w:val="20"/>
          <w:lang w:val="es-CO"/>
        </w:rPr>
        <w:t>y protección judicial</w:t>
      </w:r>
    </w:p>
    <w:p w14:paraId="5B487DCD" w14:textId="77777777" w:rsidR="008D547D" w:rsidRPr="005D2619" w:rsidRDefault="008D547D" w:rsidP="006F72FC">
      <w:pPr>
        <w:spacing w:after="0" w:line="240" w:lineRule="auto"/>
        <w:rPr>
          <w:rFonts w:ascii="Cambria" w:hAnsi="Cambria"/>
          <w:sz w:val="20"/>
          <w:szCs w:val="20"/>
          <w:lang w:val="es-ES_tradnl"/>
        </w:rPr>
      </w:pPr>
    </w:p>
    <w:p w14:paraId="070F1B89" w14:textId="77777777" w:rsidR="001D6CFB" w:rsidRPr="005D2619" w:rsidRDefault="00454223" w:rsidP="00A227F7">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b/>
          <w:sz w:val="20"/>
          <w:szCs w:val="20"/>
          <w:lang w:val="es-ES"/>
        </w:rPr>
      </w:pPr>
      <w:r w:rsidRPr="005D2619">
        <w:rPr>
          <w:rFonts w:ascii="Cambria" w:hAnsi="Cambria" w:cs="Arial"/>
          <w:sz w:val="20"/>
          <w:szCs w:val="20"/>
          <w:lang w:val="es-ES"/>
        </w:rPr>
        <w:lastRenderedPageBreak/>
        <w:t>O</w:t>
      </w:r>
      <w:r w:rsidR="001D6CFB" w:rsidRPr="005D2619">
        <w:rPr>
          <w:rFonts w:ascii="Cambria" w:hAnsi="Cambria" w:cs="Arial"/>
          <w:sz w:val="20"/>
          <w:szCs w:val="20"/>
          <w:lang w:val="es-ES"/>
        </w:rPr>
        <w:t xml:space="preserve">tro elemento fundamental del debido proceso lo constituye el principio de presunción de inocencia, el cual se encuentra íntimamente relacionado con el derecho a contar con decisiones debidamente motivadas. </w:t>
      </w:r>
    </w:p>
    <w:p w14:paraId="69A0061F" w14:textId="77777777" w:rsidR="001D6CFB" w:rsidRPr="005D2619" w:rsidRDefault="001D6CFB" w:rsidP="001D6CFB">
      <w:pPr>
        <w:spacing w:after="0" w:line="240" w:lineRule="auto"/>
        <w:rPr>
          <w:rFonts w:ascii="Cambria" w:hAnsi="Cambria"/>
          <w:b/>
          <w:sz w:val="20"/>
          <w:szCs w:val="20"/>
          <w:lang w:val="es-ES"/>
        </w:rPr>
      </w:pPr>
    </w:p>
    <w:p w14:paraId="3B17CBAC" w14:textId="77777777" w:rsidR="001D6CFB" w:rsidRPr="005D2619" w:rsidRDefault="001D6CFB" w:rsidP="00A227F7">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cs="TimesNewRoman"/>
          <w:sz w:val="20"/>
          <w:szCs w:val="20"/>
          <w:lang w:val="es-ES" w:eastAsia="es-ES_tradnl"/>
        </w:rPr>
      </w:pPr>
      <w:r w:rsidRPr="005D2619">
        <w:rPr>
          <w:rFonts w:ascii="Cambria" w:hAnsi="Cambria"/>
          <w:sz w:val="20"/>
          <w:szCs w:val="20"/>
          <w:lang w:val="es-ES"/>
        </w:rPr>
        <w:t xml:space="preserve">La </w:t>
      </w:r>
      <w:r w:rsidRPr="00A227F7">
        <w:rPr>
          <w:rFonts w:ascii="Cambria" w:hAnsi="Cambria" w:cs="Arial"/>
          <w:sz w:val="20"/>
          <w:szCs w:val="20"/>
          <w:lang w:val="es-ES"/>
        </w:rPr>
        <w:t>presunción</w:t>
      </w:r>
      <w:r w:rsidRPr="005D2619">
        <w:rPr>
          <w:rFonts w:ascii="Cambria" w:hAnsi="Cambria"/>
          <w:sz w:val="20"/>
          <w:szCs w:val="20"/>
        </w:rPr>
        <w:t xml:space="preserve"> de inocencia implica que el imputado goza de un estado jurídico de inocencia o no culpabilidad mientras se resuelve acerca de su responsabilidad penal, de modo tal que debe recibir del Estado un trato acorde con su condición de persona no condenada</w:t>
      </w:r>
      <w:r w:rsidRPr="005D2619">
        <w:rPr>
          <w:rStyle w:val="FootnoteReference"/>
          <w:rFonts w:ascii="Cambria" w:hAnsi="Cambria"/>
          <w:sz w:val="20"/>
          <w:szCs w:val="20"/>
        </w:rPr>
        <w:footnoteReference w:id="103"/>
      </w:r>
      <w:r w:rsidRPr="005D2619">
        <w:rPr>
          <w:rFonts w:ascii="Cambria" w:hAnsi="Cambria"/>
          <w:sz w:val="20"/>
          <w:szCs w:val="20"/>
        </w:rPr>
        <w:t>. La Corte ha sostenido que ello implica que la persona acusada</w:t>
      </w:r>
      <w:r w:rsidRPr="005D2619">
        <w:rPr>
          <w:rFonts w:ascii="Cambria" w:hAnsi="Cambria" w:cs="TimesNewRoman"/>
          <w:sz w:val="20"/>
          <w:szCs w:val="20"/>
          <w:lang w:val="es-ES" w:eastAsia="es-ES_tradnl"/>
        </w:rPr>
        <w:t xml:space="preserve"> no </w:t>
      </w:r>
      <w:r w:rsidRPr="005D2619">
        <w:rPr>
          <w:rFonts w:ascii="Cambria" w:hAnsi="Cambria"/>
          <w:sz w:val="20"/>
          <w:szCs w:val="20"/>
          <w:lang w:val="es-ES"/>
        </w:rPr>
        <w:t xml:space="preserve">debe demostrar que no ha cometido el delito que se le atribuye, ya que el </w:t>
      </w:r>
      <w:r w:rsidRPr="005D2619">
        <w:rPr>
          <w:rFonts w:ascii="Cambria" w:hAnsi="Cambria"/>
          <w:i/>
          <w:sz w:val="20"/>
          <w:szCs w:val="20"/>
          <w:lang w:val="es-ES"/>
        </w:rPr>
        <w:t>onus probandi</w:t>
      </w:r>
      <w:r w:rsidRPr="005D2619">
        <w:rPr>
          <w:rFonts w:ascii="Cambria" w:hAnsi="Cambria"/>
          <w:sz w:val="20"/>
          <w:szCs w:val="20"/>
          <w:lang w:val="es-ES"/>
        </w:rPr>
        <w:t xml:space="preserve"> corresponde a quien acusa</w:t>
      </w:r>
      <w:r w:rsidRPr="005D2619">
        <w:rPr>
          <w:rStyle w:val="FootnoteReference"/>
          <w:rFonts w:ascii="Cambria" w:hAnsi="Cambria"/>
          <w:sz w:val="20"/>
          <w:szCs w:val="20"/>
          <w:lang w:val="es-ES"/>
        </w:rPr>
        <w:footnoteReference w:id="104"/>
      </w:r>
      <w:r w:rsidRPr="005D2619">
        <w:rPr>
          <w:rFonts w:ascii="Cambria" w:hAnsi="Cambria"/>
          <w:sz w:val="20"/>
          <w:szCs w:val="20"/>
          <w:lang w:val="es-ES"/>
        </w:rPr>
        <w:t>. De esta forma, la CIDH ha resaltado que la demostración fehaciente de la culpabilidad constituye un requisito indispensable para la sanción penal, de modo que la carga de la prueba recae en la parte acusadora y no en la persona acusada</w:t>
      </w:r>
      <w:r w:rsidRPr="005D2619">
        <w:rPr>
          <w:rStyle w:val="FootnoteReference"/>
          <w:rFonts w:ascii="Cambria" w:hAnsi="Cambria"/>
          <w:sz w:val="20"/>
          <w:szCs w:val="20"/>
          <w:lang w:val="es-ES"/>
        </w:rPr>
        <w:footnoteReference w:id="105"/>
      </w:r>
      <w:r w:rsidRPr="005D2619">
        <w:rPr>
          <w:rFonts w:ascii="Cambria" w:hAnsi="Cambria"/>
          <w:sz w:val="20"/>
          <w:szCs w:val="20"/>
          <w:lang w:val="es-ES"/>
        </w:rPr>
        <w:t xml:space="preserve">. </w:t>
      </w:r>
    </w:p>
    <w:p w14:paraId="1AED5B5B" w14:textId="77777777" w:rsidR="001D6CFB" w:rsidRPr="005D2619" w:rsidRDefault="001D6CFB" w:rsidP="001D6CFB">
      <w:pPr>
        <w:suppressAutoHyphens/>
        <w:spacing w:after="0" w:line="240" w:lineRule="auto"/>
        <w:jc w:val="both"/>
        <w:rPr>
          <w:rFonts w:ascii="Cambria" w:hAnsi="Cambria" w:cs="TimesNewRoman"/>
          <w:sz w:val="20"/>
          <w:szCs w:val="20"/>
          <w:lang w:val="es-ES" w:eastAsia="es-ES_tradnl"/>
        </w:rPr>
      </w:pPr>
    </w:p>
    <w:p w14:paraId="1ED66BAE" w14:textId="77777777" w:rsidR="001D6CFB" w:rsidRPr="005D2619" w:rsidRDefault="001D6CFB" w:rsidP="00A227F7">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cs="TimesNewRoman"/>
          <w:sz w:val="20"/>
          <w:szCs w:val="20"/>
          <w:lang w:val="es-ES" w:eastAsia="es-ES_tradnl"/>
        </w:rPr>
      </w:pPr>
      <w:r w:rsidRPr="005D2619">
        <w:rPr>
          <w:rFonts w:ascii="Cambria" w:hAnsi="Cambria"/>
          <w:sz w:val="20"/>
          <w:szCs w:val="20"/>
          <w:lang w:val="es-ES"/>
        </w:rPr>
        <w:t>Conforme a lo expuesto, el derecho internacional de los derechos humanos establece que ninguna persona puede ser condenada mientras no exista prueba plena de su responsabilidad penal. En palabras de la Corte, “si obra contra ella prueba incompleta o insuficiente, no es procedente condenarla, sino absolverla”</w:t>
      </w:r>
      <w:r w:rsidRPr="005D2619">
        <w:rPr>
          <w:rStyle w:val="FootnoteReference"/>
          <w:rFonts w:ascii="Cambria" w:hAnsi="Cambria"/>
          <w:sz w:val="20"/>
          <w:szCs w:val="20"/>
          <w:lang w:val="es-ES"/>
        </w:rPr>
        <w:footnoteReference w:id="106"/>
      </w:r>
      <w:r w:rsidRPr="005D2619">
        <w:rPr>
          <w:rFonts w:ascii="Cambria" w:hAnsi="Cambria"/>
          <w:sz w:val="20"/>
          <w:szCs w:val="20"/>
          <w:lang w:val="es-ES"/>
        </w:rPr>
        <w:t>. En el mismo sentido, la Comisión ha considerado que la falta de prueba plena de la responsabilidad penal en una sentencia condenatoria constituye una violación al principio de presunción de inocencia</w:t>
      </w:r>
      <w:r w:rsidRPr="005D2619">
        <w:rPr>
          <w:rStyle w:val="FootnoteReference"/>
          <w:rFonts w:ascii="Cambria" w:hAnsi="Cambria"/>
          <w:sz w:val="20"/>
          <w:szCs w:val="20"/>
          <w:lang w:val="es-ES"/>
        </w:rPr>
        <w:footnoteReference w:id="107"/>
      </w:r>
      <w:r w:rsidRPr="005D2619">
        <w:rPr>
          <w:rFonts w:ascii="Cambria" w:hAnsi="Cambria"/>
          <w:sz w:val="20"/>
          <w:szCs w:val="20"/>
          <w:lang w:val="es-ES"/>
        </w:rPr>
        <w:t xml:space="preserve">. </w:t>
      </w:r>
    </w:p>
    <w:p w14:paraId="22EDBFD7" w14:textId="77777777" w:rsidR="001D6CFB" w:rsidRPr="005D2619" w:rsidRDefault="001D6CFB" w:rsidP="001D6CFB">
      <w:pPr>
        <w:spacing w:after="0" w:line="240" w:lineRule="auto"/>
        <w:rPr>
          <w:rFonts w:ascii="Cambria" w:hAnsi="Cambria"/>
          <w:b/>
          <w:sz w:val="20"/>
          <w:szCs w:val="20"/>
          <w:lang w:val="es-ES"/>
        </w:rPr>
      </w:pPr>
    </w:p>
    <w:p w14:paraId="15E5557A" w14:textId="77777777" w:rsidR="001D6CFB" w:rsidRPr="005D2619" w:rsidRDefault="001D6CFB" w:rsidP="00A227F7">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cs="MSTT3132dbeaafO05102100"/>
          <w:sz w:val="20"/>
          <w:szCs w:val="20"/>
          <w:lang w:val="es-CR"/>
        </w:rPr>
      </w:pPr>
      <w:r w:rsidRPr="005D2619">
        <w:rPr>
          <w:rFonts w:ascii="Cambria" w:hAnsi="Cambria"/>
          <w:sz w:val="20"/>
          <w:szCs w:val="20"/>
          <w:lang w:val="es-CR"/>
        </w:rPr>
        <w:t xml:space="preserve">En su sentencia reciente en el </w:t>
      </w:r>
      <w:r w:rsidR="004B38C8" w:rsidRPr="005D2619">
        <w:rPr>
          <w:rFonts w:ascii="Cambria" w:hAnsi="Cambria"/>
          <w:i/>
          <w:sz w:val="20"/>
          <w:szCs w:val="20"/>
          <w:lang w:val="es-CR"/>
        </w:rPr>
        <w:t>Caso</w:t>
      </w:r>
      <w:r w:rsidRPr="005D2619">
        <w:rPr>
          <w:rFonts w:ascii="Cambria" w:hAnsi="Cambria"/>
          <w:i/>
          <w:sz w:val="20"/>
          <w:szCs w:val="20"/>
          <w:lang w:val="es-CR"/>
        </w:rPr>
        <w:t xml:space="preserve"> Zegarra Marín vs. Perú, </w:t>
      </w:r>
      <w:r w:rsidRPr="005D2619">
        <w:rPr>
          <w:rFonts w:ascii="Cambria" w:hAnsi="Cambria"/>
          <w:sz w:val="20"/>
          <w:szCs w:val="20"/>
          <w:lang w:val="es-CR"/>
        </w:rPr>
        <w:t>la</w:t>
      </w:r>
      <w:r w:rsidRPr="005D2619">
        <w:rPr>
          <w:rFonts w:ascii="Cambria" w:hAnsi="Cambria" w:cs="MSTT3132dbeaafO05102100"/>
          <w:sz w:val="20"/>
          <w:szCs w:val="20"/>
          <w:lang w:val="es-CR"/>
        </w:rPr>
        <w:t xml:space="preserve"> Corte se refirió a la garantía de motivación en relación </w:t>
      </w:r>
      <w:r w:rsidRPr="00A227F7">
        <w:rPr>
          <w:rFonts w:ascii="Cambria" w:hAnsi="Cambria"/>
          <w:sz w:val="20"/>
          <w:szCs w:val="20"/>
          <w:lang w:val="es-ES"/>
        </w:rPr>
        <w:t>con</w:t>
      </w:r>
      <w:r w:rsidRPr="005D2619">
        <w:rPr>
          <w:rFonts w:ascii="Cambria" w:hAnsi="Cambria" w:cs="MSTT3132dbeaafO05102100"/>
          <w:sz w:val="20"/>
          <w:szCs w:val="20"/>
          <w:lang w:val="es-CR"/>
        </w:rPr>
        <w:t xml:space="preserve"> el principio de presunción de inocencia, en los siguientes términos: </w:t>
      </w:r>
    </w:p>
    <w:p w14:paraId="1A0CEFE8" w14:textId="77777777" w:rsidR="001D6CFB" w:rsidRPr="005D2619" w:rsidRDefault="001D6CFB" w:rsidP="001D6CFB">
      <w:pPr>
        <w:shd w:val="clear" w:color="auto" w:fill="FFFFFF"/>
        <w:tabs>
          <w:tab w:val="num" w:pos="720"/>
          <w:tab w:val="left" w:pos="1440"/>
          <w:tab w:val="num" w:pos="2040"/>
        </w:tabs>
        <w:spacing w:after="0" w:line="240" w:lineRule="auto"/>
        <w:jc w:val="both"/>
        <w:rPr>
          <w:rFonts w:ascii="Cambria" w:hAnsi="Cambria" w:cs="MSTT3132dbeaafO05102100"/>
          <w:sz w:val="20"/>
          <w:szCs w:val="20"/>
          <w:lang w:val="es-CR"/>
        </w:rPr>
      </w:pPr>
    </w:p>
    <w:p w14:paraId="7D5C4ECD" w14:textId="77777777" w:rsidR="001D6CFB" w:rsidRPr="005D2619" w:rsidRDefault="001D6CFB" w:rsidP="001D6CFB">
      <w:pPr>
        <w:shd w:val="clear" w:color="auto" w:fill="FFFFFF"/>
        <w:tabs>
          <w:tab w:val="num" w:pos="720"/>
          <w:tab w:val="left" w:pos="1440"/>
          <w:tab w:val="num" w:pos="2040"/>
        </w:tabs>
        <w:spacing w:after="0" w:line="240" w:lineRule="auto"/>
        <w:ind w:left="720" w:right="720"/>
        <w:jc w:val="both"/>
        <w:rPr>
          <w:rFonts w:ascii="Cambria" w:hAnsi="Cambria" w:cs="MSTT3132dbeaafO05102100"/>
          <w:sz w:val="20"/>
          <w:szCs w:val="20"/>
          <w:lang w:val="es-CR"/>
        </w:rPr>
      </w:pPr>
      <w:r w:rsidRPr="005D2619">
        <w:rPr>
          <w:rFonts w:ascii="Cambria" w:hAnsi="Cambria" w:cs="MSTT3132dbeaafO05102100"/>
          <w:sz w:val="20"/>
          <w:szCs w:val="20"/>
          <w:lang w:val="es-CR"/>
        </w:rPr>
        <w:t xml:space="preserve">(…) la relevancia de la motivación, a fin de garantizar el principio de presunción de inocencia, principalmente en una sentencia condenatoria, la cual </w:t>
      </w:r>
      <w:r w:rsidRPr="005D2619">
        <w:rPr>
          <w:rFonts w:ascii="Cambria" w:hAnsi="Cambria"/>
          <w:sz w:val="20"/>
          <w:szCs w:val="20"/>
          <w:lang w:val="es-CR"/>
        </w:rPr>
        <w:t xml:space="preserve">debe expresar la suficiencia de prueba de cargo para confirmar la hipótesis acusatoria; </w:t>
      </w:r>
      <w:r w:rsidRPr="005D2619">
        <w:rPr>
          <w:rFonts w:ascii="Cambria" w:hAnsi="Cambria" w:cs="MSTT3132dbeaafO05102100"/>
          <w:sz w:val="20"/>
          <w:szCs w:val="20"/>
          <w:lang w:val="es-CR"/>
        </w:rPr>
        <w:t>la observancia de las reglas de la sana crítica en la apreciación de la prueba</w:t>
      </w:r>
      <w:r w:rsidRPr="005D2619">
        <w:rPr>
          <w:rFonts w:ascii="Cambria" w:hAnsi="Cambria"/>
          <w:sz w:val="20"/>
          <w:szCs w:val="20"/>
          <w:lang w:val="es-CR"/>
        </w:rPr>
        <w:t xml:space="preserve">, incluidas aquellas que pudieran generar duda de la responsabilidad penal; y el juicio final que deriva de esta valoración. En su caso, debe reflejar las razones por las que fue posible obtener convicción sobre la imputación y la responsabilidad penal, así como la apreciación de las pruebas para desvirtuar cualquier hipótesis de inocencia, y solo así poder confirmar o refutar la hipótesis acusatoria. Lo anterior, permitiría desvirtuar la presunción de inocencia y determinar la responsabilidad penal más allá de toda duda razonable. Ante la duda, la presunción de inocencia y el principio </w:t>
      </w:r>
      <w:r w:rsidRPr="005D2619">
        <w:rPr>
          <w:rFonts w:ascii="Cambria" w:hAnsi="Cambria"/>
          <w:i/>
          <w:sz w:val="20"/>
          <w:szCs w:val="20"/>
          <w:lang w:val="es-CR"/>
        </w:rPr>
        <w:t>in dubio pro reo</w:t>
      </w:r>
      <w:r w:rsidRPr="005D2619">
        <w:rPr>
          <w:rFonts w:ascii="Cambria" w:hAnsi="Cambria"/>
          <w:sz w:val="20"/>
          <w:szCs w:val="20"/>
          <w:lang w:val="es-CR"/>
        </w:rPr>
        <w:t>,</w:t>
      </w:r>
      <w:r w:rsidRPr="005D2619">
        <w:rPr>
          <w:rFonts w:ascii="Cambria" w:hAnsi="Cambria"/>
          <w:i/>
          <w:sz w:val="20"/>
          <w:szCs w:val="20"/>
          <w:lang w:val="es-CR"/>
        </w:rPr>
        <w:t xml:space="preserve"> </w:t>
      </w:r>
      <w:r w:rsidRPr="005D2619">
        <w:rPr>
          <w:rFonts w:ascii="Cambria" w:hAnsi="Cambria"/>
          <w:sz w:val="20"/>
          <w:szCs w:val="20"/>
          <w:lang w:val="es-CR"/>
        </w:rPr>
        <w:t>operan como criterio decisorio al momento de emitir el fallo</w:t>
      </w:r>
      <w:r w:rsidRPr="005D2619">
        <w:rPr>
          <w:rStyle w:val="FootnoteReference"/>
          <w:rFonts w:ascii="Cambria" w:hAnsi="Cambria"/>
          <w:sz w:val="20"/>
          <w:szCs w:val="20"/>
          <w:lang w:val="es-CR"/>
        </w:rPr>
        <w:footnoteReference w:id="108"/>
      </w:r>
      <w:r w:rsidRPr="005D2619">
        <w:rPr>
          <w:rFonts w:ascii="Cambria" w:hAnsi="Cambria"/>
          <w:sz w:val="20"/>
          <w:szCs w:val="20"/>
          <w:lang w:val="es-CR"/>
        </w:rPr>
        <w:t>.</w:t>
      </w:r>
    </w:p>
    <w:p w14:paraId="5947FF2A" w14:textId="77777777" w:rsidR="001D6CFB" w:rsidRPr="005D2619" w:rsidRDefault="001D6CFB" w:rsidP="006F72FC">
      <w:pPr>
        <w:spacing w:after="0" w:line="240" w:lineRule="auto"/>
        <w:rPr>
          <w:rFonts w:ascii="Cambria" w:hAnsi="Cambria"/>
          <w:sz w:val="20"/>
          <w:szCs w:val="20"/>
          <w:lang w:val="es-CR"/>
        </w:rPr>
      </w:pPr>
    </w:p>
    <w:p w14:paraId="3A14CF4A" w14:textId="77777777" w:rsidR="006F0CBF" w:rsidRPr="005D2619" w:rsidRDefault="000C7D8D" w:rsidP="00A227F7">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cs="TimesNewRoman"/>
          <w:sz w:val="20"/>
          <w:szCs w:val="20"/>
          <w:lang w:val="es-ES" w:eastAsia="es-ES_tradnl"/>
        </w:rPr>
      </w:pPr>
      <w:r w:rsidRPr="005D2619">
        <w:rPr>
          <w:rFonts w:ascii="Cambria" w:hAnsi="Cambria" w:cs="TimesNewRoman"/>
          <w:sz w:val="20"/>
          <w:szCs w:val="20"/>
          <w:lang w:val="es-ES" w:eastAsia="es-ES_tradnl"/>
        </w:rPr>
        <w:t xml:space="preserve">En el presente caso, la CIDH </w:t>
      </w:r>
      <w:r w:rsidR="006F0CBF" w:rsidRPr="005D2619">
        <w:rPr>
          <w:rFonts w:ascii="Cambria" w:hAnsi="Cambria" w:cs="TimesNewRoman"/>
          <w:sz w:val="20"/>
          <w:szCs w:val="20"/>
          <w:lang w:val="es-ES" w:eastAsia="es-ES_tradnl"/>
        </w:rPr>
        <w:t xml:space="preserve">destaca en primer lugar </w:t>
      </w:r>
      <w:r w:rsidRPr="005D2619">
        <w:rPr>
          <w:rFonts w:ascii="Cambria" w:hAnsi="Cambria" w:cs="TimesNewRoman"/>
          <w:sz w:val="20"/>
          <w:szCs w:val="20"/>
          <w:lang w:val="es-ES" w:eastAsia="es-ES_tradnl"/>
        </w:rPr>
        <w:t>que la sentencia de primera instancia se basó de manera</w:t>
      </w:r>
      <w:r w:rsidR="006F0CBF" w:rsidRPr="005D2619">
        <w:rPr>
          <w:rFonts w:ascii="Cambria" w:hAnsi="Cambria" w:cs="TimesNewRoman"/>
          <w:sz w:val="20"/>
          <w:szCs w:val="20"/>
          <w:lang w:val="es-ES" w:eastAsia="es-ES_tradnl"/>
        </w:rPr>
        <w:t xml:space="preserve"> prácticamente</w:t>
      </w:r>
      <w:r w:rsidRPr="005D2619">
        <w:rPr>
          <w:rFonts w:ascii="Cambria" w:hAnsi="Cambria" w:cs="TimesNewRoman"/>
          <w:sz w:val="20"/>
          <w:szCs w:val="20"/>
          <w:lang w:val="es-ES" w:eastAsia="es-ES_tradnl"/>
        </w:rPr>
        <w:t xml:space="preserve"> exclusiva en las declaraciones de los testigos con identidad reservada, en particular de la testigo No. 1. Al respecto, la Comisión resalta que el juzgado</w:t>
      </w:r>
      <w:r w:rsidR="00DF1B45" w:rsidRPr="005D2619">
        <w:rPr>
          <w:rFonts w:ascii="Cambria" w:hAnsi="Cambria" w:cs="TimesNewRoman"/>
          <w:sz w:val="20"/>
          <w:szCs w:val="20"/>
          <w:lang w:val="es-ES" w:eastAsia="es-ES_tradnl"/>
        </w:rPr>
        <w:t xml:space="preserve"> de primera instancia</w:t>
      </w:r>
      <w:r w:rsidRPr="005D2619">
        <w:rPr>
          <w:rFonts w:ascii="Cambria" w:hAnsi="Cambria" w:cs="TimesNewRoman"/>
          <w:sz w:val="20"/>
          <w:szCs w:val="20"/>
          <w:lang w:val="es-ES" w:eastAsia="es-ES_tradnl"/>
        </w:rPr>
        <w:t xml:space="preserve"> consideró que dicha declaración tenía </w:t>
      </w:r>
      <w:r w:rsidR="006F0CBF" w:rsidRPr="005D2619">
        <w:rPr>
          <w:rFonts w:ascii="Cambria" w:hAnsi="Cambria" w:cs="TimesNewRoman"/>
          <w:sz w:val="20"/>
          <w:szCs w:val="20"/>
          <w:lang w:val="es-ES" w:eastAsia="es-ES_tradnl"/>
        </w:rPr>
        <w:t>credibilidad con motivaciones como</w:t>
      </w:r>
      <w:r w:rsidRPr="005D2619">
        <w:rPr>
          <w:rFonts w:ascii="Cambria" w:hAnsi="Cambria" w:cs="TimesNewRoman"/>
          <w:sz w:val="20"/>
          <w:szCs w:val="20"/>
          <w:lang w:val="es-ES" w:eastAsia="es-ES_tradnl"/>
        </w:rPr>
        <w:t xml:space="preserve"> que “no aparece la menor evidencia que se trate de un señalamiento mentiroso”. Asimismo, el juzgado tomó en cuenta “su nivel cultural, su capacidad de observación [y] su grado de percepción”. </w:t>
      </w:r>
      <w:r w:rsidR="008E01C1" w:rsidRPr="005D2619">
        <w:rPr>
          <w:rFonts w:ascii="Cambria" w:hAnsi="Cambria" w:cs="TimesNewRoman"/>
          <w:sz w:val="20"/>
          <w:szCs w:val="20"/>
          <w:lang w:val="es-ES" w:eastAsia="es-ES_tradnl"/>
        </w:rPr>
        <w:t xml:space="preserve">De las determinaciones de hecho se desprende que esta persona, así como el testigo No. 2, fueron quienes identificaron al señor Sastoque como la persona que había disparado. </w:t>
      </w:r>
      <w:r w:rsidR="00505607" w:rsidRPr="005D2619">
        <w:rPr>
          <w:rFonts w:ascii="Cambria" w:hAnsi="Cambria" w:cs="TimesNewRoman"/>
          <w:sz w:val="20"/>
          <w:szCs w:val="20"/>
          <w:lang w:val="es-ES" w:eastAsia="es-ES_tradnl"/>
        </w:rPr>
        <w:t>El testigo No. 3 no identificó al señor Sastoque inicialmente en las diligencias practicadas. Fue varios meses después que se refirió al señor Sastoque pero indicando que se sabía “por referencias” que fue el autor del delito. Por otra parte, el testigo No. 4, no identificó</w:t>
      </w:r>
      <w:r w:rsidR="00E87FB6" w:rsidRPr="005D2619">
        <w:rPr>
          <w:rFonts w:ascii="Cambria" w:hAnsi="Cambria" w:cs="TimesNewRoman"/>
          <w:sz w:val="20"/>
          <w:szCs w:val="20"/>
          <w:lang w:val="es-ES" w:eastAsia="es-ES_tradnl"/>
        </w:rPr>
        <w:t xml:space="preserve"> al señor Sastoque como autor del delito. </w:t>
      </w:r>
      <w:r w:rsidR="00270EFD" w:rsidRPr="005D2619">
        <w:rPr>
          <w:rFonts w:ascii="Cambria" w:hAnsi="Cambria" w:cs="TimesNewRoman"/>
          <w:sz w:val="20"/>
          <w:szCs w:val="20"/>
          <w:lang w:val="es-ES" w:eastAsia="es-ES_tradnl"/>
        </w:rPr>
        <w:t>A pesar de lo anterior, en la condena se indica que los testigos No. 2, 3 y 4 corroboraron lo dicho por la testigo No. 1, sin tomar en consideración las diferencias en las declaraciones, al menos, de los testigos No. 3 y 4.</w:t>
      </w:r>
    </w:p>
    <w:p w14:paraId="4B612C57" w14:textId="77777777" w:rsidR="00CA5E81" w:rsidRPr="005D2619" w:rsidRDefault="00CA5E81" w:rsidP="00CA5E81">
      <w:pPr>
        <w:pStyle w:val="BodyTextIndent"/>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cs="TimesNewRoman"/>
          <w:sz w:val="20"/>
          <w:szCs w:val="20"/>
          <w:lang w:val="es-ES" w:eastAsia="es-ES_tradnl"/>
        </w:rPr>
      </w:pPr>
    </w:p>
    <w:p w14:paraId="69EED301" w14:textId="77777777" w:rsidR="00CA5E81" w:rsidRPr="005D2619" w:rsidRDefault="00CA5E81" w:rsidP="00A227F7">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cs="TimesNewRoman"/>
          <w:sz w:val="20"/>
          <w:szCs w:val="20"/>
          <w:lang w:val="es-ES" w:eastAsia="es-ES_tradnl"/>
        </w:rPr>
      </w:pPr>
      <w:r w:rsidRPr="005D2619">
        <w:rPr>
          <w:rFonts w:ascii="Cambria" w:hAnsi="Cambria" w:cs="TimesNewRoman"/>
          <w:sz w:val="20"/>
          <w:szCs w:val="20"/>
          <w:lang w:val="es-ES" w:eastAsia="es-ES_tradnl"/>
        </w:rPr>
        <w:t xml:space="preserve">De lo anterior se desprende que la declaración de la testigo No. 1 constituyó la prueba fundamental en cuanto a la identificación de Gustavo Sastoque Alfonso como autor del delito. Al respecto, la Comisión reitera que no le corresponde valorar las pruebas para la responsabilidad penal del señor Sastoque. Sin embargo, sí le corresponde evaluar, a la luz del principio de presunción de inocencia, del derecho de defensa y de la garantía de motivavión, si la prueba practicada con serias limitaciones a dicho derecho, tuvo un valor fundamental en la condena. </w:t>
      </w:r>
    </w:p>
    <w:p w14:paraId="0A21BF8F" w14:textId="77777777" w:rsidR="00CA5E81" w:rsidRPr="005D2619" w:rsidRDefault="00CA5E81" w:rsidP="00CA5E81">
      <w:pPr>
        <w:pStyle w:val="BodyTextIndent"/>
        <w:ind w:left="720"/>
        <w:jc w:val="both"/>
        <w:rPr>
          <w:rFonts w:ascii="Cambria" w:hAnsi="Cambria" w:cs="TimesNewRoman"/>
          <w:sz w:val="20"/>
          <w:szCs w:val="20"/>
          <w:lang w:val="es-ES" w:eastAsia="es-ES_tradnl"/>
        </w:rPr>
      </w:pPr>
    </w:p>
    <w:p w14:paraId="4BBE7D88" w14:textId="77777777" w:rsidR="00CA5E81" w:rsidRPr="005D2619" w:rsidRDefault="00CA5E81" w:rsidP="00A227F7">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cs="TimesNewRoman"/>
          <w:sz w:val="20"/>
          <w:szCs w:val="20"/>
          <w:lang w:val="es-ES" w:eastAsia="es-ES_tradnl"/>
        </w:rPr>
      </w:pPr>
      <w:r w:rsidRPr="005D2619">
        <w:rPr>
          <w:rFonts w:ascii="Cambria" w:hAnsi="Cambria" w:cs="TimesNewRoman"/>
          <w:sz w:val="20"/>
          <w:szCs w:val="20"/>
          <w:lang w:val="es-ES" w:eastAsia="es-ES_tradnl"/>
        </w:rPr>
        <w:t>L</w:t>
      </w:r>
      <w:r w:rsidRPr="005D2619">
        <w:rPr>
          <w:rFonts w:ascii="Cambria" w:hAnsi="Cambria" w:cs="ACaslonPro-Regular"/>
          <w:sz w:val="20"/>
          <w:szCs w:val="20"/>
          <w:lang w:val="es-ES"/>
        </w:rPr>
        <w:t xml:space="preserve">a Corte Interamericana y la Corte Europea han señalado que la condena no puede estar fundada “únicamente o </w:t>
      </w:r>
      <w:r w:rsidRPr="00A227F7">
        <w:rPr>
          <w:rFonts w:ascii="Cambria" w:hAnsi="Cambria" w:cs="TimesNewRoman"/>
          <w:sz w:val="20"/>
          <w:szCs w:val="20"/>
          <w:lang w:val="es-ES" w:eastAsia="es-ES_tradnl"/>
        </w:rPr>
        <w:t>en</w:t>
      </w:r>
      <w:r w:rsidRPr="005D2619">
        <w:rPr>
          <w:rFonts w:ascii="Cambria" w:hAnsi="Cambria" w:cs="ACaslonPro-Regular"/>
          <w:sz w:val="20"/>
          <w:szCs w:val="20"/>
          <w:lang w:val="es-ES"/>
        </w:rPr>
        <w:t xml:space="preserve"> grado decisivo” en declaraciones de testigos en las que los derechos del inculpado han sido limitados</w:t>
      </w:r>
      <w:r w:rsidRPr="005D2619">
        <w:rPr>
          <w:rStyle w:val="FootnoteReference"/>
          <w:rFonts w:ascii="Cambria" w:hAnsi="Cambria" w:cs="ACaslonPro-Regular"/>
          <w:sz w:val="20"/>
          <w:szCs w:val="20"/>
          <w:lang w:val="es-ES"/>
        </w:rPr>
        <w:footnoteReference w:id="109"/>
      </w:r>
      <w:r w:rsidRPr="005D2619">
        <w:rPr>
          <w:rFonts w:ascii="Cambria" w:hAnsi="Cambria" w:cs="ACaslonPro-Regular"/>
          <w:sz w:val="20"/>
          <w:szCs w:val="20"/>
          <w:lang w:val="es-ES"/>
        </w:rPr>
        <w:t xml:space="preserve">. En el caso </w:t>
      </w:r>
      <w:r w:rsidRPr="005D2619">
        <w:rPr>
          <w:rFonts w:ascii="Cambria" w:hAnsi="Cambria" w:cs="ACaslonPro-Regular"/>
          <w:i/>
          <w:sz w:val="20"/>
          <w:szCs w:val="20"/>
          <w:lang w:val="es-ES"/>
        </w:rPr>
        <w:t xml:space="preserve">Luca v. Italia, </w:t>
      </w:r>
      <w:r w:rsidRPr="005D2619">
        <w:rPr>
          <w:rFonts w:ascii="Cambria" w:hAnsi="Cambria" w:cs="ACaslonPro-Regular"/>
          <w:sz w:val="20"/>
          <w:szCs w:val="20"/>
          <w:lang w:val="es-ES"/>
        </w:rPr>
        <w:t>la Corte Europea se pronunció sobre la condena de una persona en base a la declaración de un testigo, la cual se dio durante la investigación, sin la presencia de la defensa del imputado. En dicho supuesto, el referido Tribunal consideró que el Estado vulneró el derecho de defensa y el derecho a la presunción de inocencia en tanto dicha prueba no pudo ser refutada por la defensa y fue un elemento probatorio sustancial para la condena de la víctima</w:t>
      </w:r>
      <w:r w:rsidRPr="005D2619">
        <w:rPr>
          <w:rStyle w:val="FootnoteReference"/>
          <w:rFonts w:ascii="Cambria" w:hAnsi="Cambria" w:cs="ACaslonPro-Regular"/>
          <w:sz w:val="20"/>
          <w:szCs w:val="20"/>
          <w:lang w:val="es-ES"/>
        </w:rPr>
        <w:footnoteReference w:id="110"/>
      </w:r>
      <w:r w:rsidRPr="005D2619">
        <w:rPr>
          <w:rFonts w:ascii="Cambria" w:hAnsi="Cambria" w:cs="ACaslonPro-Regular"/>
          <w:sz w:val="20"/>
          <w:szCs w:val="20"/>
          <w:lang w:val="es-ES"/>
        </w:rPr>
        <w:t>. Por su parte, la CIDH ha declarado la violación del derecho de defensa por la admisión de una declaración escrita considerada como una de las pruebas fundamentales para una sentencia condenatoria, y la imposibilidad de cuestionar dicha prueba durante todo el proceso</w:t>
      </w:r>
      <w:r w:rsidRPr="005D2619">
        <w:rPr>
          <w:rStyle w:val="FootnoteReference"/>
          <w:rFonts w:ascii="Cambria" w:hAnsi="Cambria" w:cs="ACaslonPro-Regular"/>
          <w:sz w:val="20"/>
          <w:szCs w:val="20"/>
          <w:lang w:val="es-ES"/>
        </w:rPr>
        <w:footnoteReference w:id="111"/>
      </w:r>
      <w:r w:rsidRPr="005D2619">
        <w:rPr>
          <w:rFonts w:ascii="Cambria" w:hAnsi="Cambria" w:cs="ACaslonPro-Regular"/>
          <w:sz w:val="20"/>
          <w:szCs w:val="20"/>
          <w:lang w:val="es-ES"/>
        </w:rPr>
        <w:t>.</w:t>
      </w:r>
    </w:p>
    <w:p w14:paraId="65E2A72A" w14:textId="77777777" w:rsidR="00CA5E81" w:rsidRPr="005D2619" w:rsidRDefault="00CA5E81" w:rsidP="00CA5E81">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cs="TimesNewRoman"/>
          <w:sz w:val="20"/>
          <w:szCs w:val="20"/>
          <w:lang w:val="es-ES" w:eastAsia="es-ES_tradnl"/>
        </w:rPr>
      </w:pPr>
    </w:p>
    <w:p w14:paraId="4333F184" w14:textId="77777777" w:rsidR="00CA5E81" w:rsidRPr="005D2619" w:rsidRDefault="00CA5E81" w:rsidP="00A227F7">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cs="TimesNewRoman"/>
          <w:sz w:val="20"/>
          <w:szCs w:val="20"/>
          <w:lang w:val="es-ES" w:eastAsia="es-ES_tradnl"/>
        </w:rPr>
      </w:pPr>
      <w:r w:rsidRPr="005D2619">
        <w:rPr>
          <w:rFonts w:ascii="Cambria" w:hAnsi="Cambria" w:cs="TimesNewRoman"/>
          <w:sz w:val="20"/>
          <w:szCs w:val="20"/>
          <w:lang w:val="es-ES" w:eastAsia="es-ES_tradnl"/>
        </w:rPr>
        <w:t xml:space="preserve">Es por ello que otorgarle un fuerte valor probatorio a una prueba practicada </w:t>
      </w:r>
      <w:r w:rsidR="0058369F" w:rsidRPr="005D2619">
        <w:rPr>
          <w:rFonts w:ascii="Cambria" w:hAnsi="Cambria" w:cs="TimesNewRoman"/>
          <w:sz w:val="20"/>
          <w:szCs w:val="20"/>
          <w:lang w:val="es-ES" w:eastAsia="es-ES_tradnl"/>
        </w:rPr>
        <w:t>con limitaciones</w:t>
      </w:r>
      <w:r w:rsidRPr="005D2619">
        <w:rPr>
          <w:rFonts w:ascii="Cambria" w:hAnsi="Cambria" w:cs="TimesNewRoman"/>
          <w:sz w:val="20"/>
          <w:szCs w:val="20"/>
          <w:lang w:val="es-ES" w:eastAsia="es-ES_tradnl"/>
        </w:rPr>
        <w:t xml:space="preserve"> al derecho de defensa</w:t>
      </w:r>
      <w:r w:rsidR="0058369F" w:rsidRPr="005D2619">
        <w:rPr>
          <w:rFonts w:ascii="Cambria" w:hAnsi="Cambria" w:cs="TimesNewRoman"/>
          <w:sz w:val="20"/>
          <w:szCs w:val="20"/>
          <w:lang w:val="es-ES" w:eastAsia="es-ES_tradnl"/>
        </w:rPr>
        <w:t xml:space="preserve"> – como ocurre en los casos de testigos con identidad reservada –</w:t>
      </w:r>
      <w:r w:rsidRPr="005D2619">
        <w:rPr>
          <w:rFonts w:ascii="Cambria" w:hAnsi="Cambria" w:cs="TimesNewRoman"/>
          <w:sz w:val="20"/>
          <w:szCs w:val="20"/>
          <w:lang w:val="es-ES" w:eastAsia="es-ES_tradnl"/>
        </w:rPr>
        <w:t xml:space="preserve"> y condenar fundamentalmente con base en dicha prueba, cuando no existen otros elementos de corroboración sobre aspectos esenciales para determinar la responsabilidad penal de una persona, resulta violatorio del principio de presunción de inocencia.</w:t>
      </w:r>
      <w:r w:rsidR="004E3200" w:rsidRPr="005D2619">
        <w:rPr>
          <w:rFonts w:ascii="Cambria" w:hAnsi="Cambria" w:cs="TimesNewRoman"/>
          <w:sz w:val="20"/>
          <w:szCs w:val="20"/>
          <w:lang w:val="es-ES" w:eastAsia="es-ES_tradnl"/>
        </w:rPr>
        <w:t xml:space="preserve"> Esta violación resulta más grave cuando, como se pasa a exponer, existían diversos elementos que resultaban favorables al señor Sastoque y respecto de los cuales no se efectuó una motivación que, conforme lo indicado por la Corte Interamericana en el caso </w:t>
      </w:r>
      <w:r w:rsidR="004E3200" w:rsidRPr="005D2619">
        <w:rPr>
          <w:rFonts w:ascii="Cambria" w:hAnsi="Cambria" w:cs="TimesNewRoman"/>
          <w:i/>
          <w:sz w:val="20"/>
          <w:szCs w:val="20"/>
          <w:lang w:val="es-ES" w:eastAsia="es-ES_tradnl"/>
        </w:rPr>
        <w:t xml:space="preserve">Zegarra Marín vs. Perú </w:t>
      </w:r>
      <w:r w:rsidR="004E3200" w:rsidRPr="005D2619">
        <w:rPr>
          <w:rFonts w:ascii="Cambria" w:hAnsi="Cambria" w:cs="TimesNewRoman"/>
          <w:sz w:val="20"/>
          <w:szCs w:val="20"/>
          <w:lang w:val="es-ES" w:eastAsia="es-ES_tradnl"/>
        </w:rPr>
        <w:t>ya citado – permitiera entender las razones por las cuales los mismos no ponían duda sobre su responsabilidad penal.</w:t>
      </w:r>
    </w:p>
    <w:p w14:paraId="3AC52713" w14:textId="77777777" w:rsidR="006F0CBF" w:rsidRPr="005D2619" w:rsidRDefault="006F0CBF" w:rsidP="00E07E25">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cs="TimesNewRoman"/>
          <w:sz w:val="20"/>
          <w:szCs w:val="20"/>
          <w:lang w:val="es-ES" w:eastAsia="es-ES_tradnl"/>
        </w:rPr>
      </w:pPr>
    </w:p>
    <w:p w14:paraId="3878E0BD" w14:textId="77777777" w:rsidR="006F32C9" w:rsidRPr="005D2619" w:rsidRDefault="004A06EF" w:rsidP="00A227F7">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cs="TimesNewRoman"/>
          <w:sz w:val="20"/>
          <w:szCs w:val="20"/>
          <w:lang w:val="es-ES" w:eastAsia="es-ES_tradnl"/>
        </w:rPr>
      </w:pPr>
      <w:r w:rsidRPr="005D2619">
        <w:rPr>
          <w:rFonts w:ascii="Cambria" w:hAnsi="Cambria" w:cs="TimesNewRoman"/>
          <w:sz w:val="20"/>
          <w:szCs w:val="20"/>
          <w:lang w:val="es-ES" w:eastAsia="es-ES_tradnl"/>
        </w:rPr>
        <w:t>Así, y e</w:t>
      </w:r>
      <w:r w:rsidR="00270EFD" w:rsidRPr="005D2619">
        <w:rPr>
          <w:rFonts w:ascii="Cambria" w:hAnsi="Cambria" w:cs="TimesNewRoman"/>
          <w:sz w:val="20"/>
          <w:szCs w:val="20"/>
          <w:lang w:val="es-ES" w:eastAsia="es-ES_tradnl"/>
        </w:rPr>
        <w:t>n segundo lugar, la Comisión resalta que r</w:t>
      </w:r>
      <w:r w:rsidR="000C7D8D" w:rsidRPr="005D2619">
        <w:rPr>
          <w:rFonts w:ascii="Cambria" w:hAnsi="Cambria" w:cs="TimesNewRoman"/>
          <w:sz w:val="20"/>
          <w:szCs w:val="20"/>
          <w:lang w:val="es-ES" w:eastAsia="es-ES_tradnl"/>
        </w:rPr>
        <w:t>e</w:t>
      </w:r>
      <w:r w:rsidR="00CB59D1" w:rsidRPr="005D2619">
        <w:rPr>
          <w:rFonts w:ascii="Cambria" w:hAnsi="Cambria" w:cs="TimesNewRoman"/>
          <w:sz w:val="20"/>
          <w:szCs w:val="20"/>
          <w:lang w:val="es-ES" w:eastAsia="es-ES_tradnl"/>
        </w:rPr>
        <w:t xml:space="preserve">specto de los testimonios que indican que el señor Sastoque se encontraba en una tienda comprando zapatos durante el momento en que ocurrió el homicidio, el juzgado </w:t>
      </w:r>
      <w:r w:rsidR="002343BD" w:rsidRPr="005D2619">
        <w:rPr>
          <w:rFonts w:ascii="Cambria" w:hAnsi="Cambria" w:cs="TimesNewRoman"/>
          <w:sz w:val="20"/>
          <w:szCs w:val="20"/>
          <w:lang w:val="es-ES" w:eastAsia="es-ES_tradnl"/>
        </w:rPr>
        <w:t xml:space="preserve">no analizó lo declarado por el dueño de la tienda ni el reconocimiento directo y concreto de la persona que lo atendió. Por el contrario, </w:t>
      </w:r>
      <w:r w:rsidR="00CB59D1" w:rsidRPr="005D2619">
        <w:rPr>
          <w:rFonts w:ascii="Cambria" w:hAnsi="Cambria" w:cs="TimesNewRoman"/>
          <w:sz w:val="20"/>
          <w:szCs w:val="20"/>
          <w:lang w:val="es-ES" w:eastAsia="es-ES_tradnl"/>
        </w:rPr>
        <w:t>indicó que</w:t>
      </w:r>
      <w:r w:rsidR="002343BD" w:rsidRPr="005D2619">
        <w:rPr>
          <w:rFonts w:ascii="Cambria" w:hAnsi="Cambria" w:cs="TimesNewRoman"/>
          <w:sz w:val="20"/>
          <w:szCs w:val="20"/>
          <w:lang w:val="es-ES" w:eastAsia="es-ES_tradnl"/>
        </w:rPr>
        <w:t xml:space="preserve"> todo lo relativo a este punto </w:t>
      </w:r>
      <w:r w:rsidR="00CB59D1" w:rsidRPr="005D2619">
        <w:rPr>
          <w:rFonts w:ascii="Cambria" w:hAnsi="Cambria" w:cs="TimesNewRoman"/>
          <w:sz w:val="20"/>
          <w:szCs w:val="20"/>
          <w:lang w:val="es-ES" w:eastAsia="es-ES_tradnl"/>
        </w:rPr>
        <w:t>“provienen de personas revestidas de interés en favorecerlo, por su propio vínculo de consanguinidad con unos y de amistad de otros”</w:t>
      </w:r>
      <w:r w:rsidR="00882407" w:rsidRPr="005D2619">
        <w:rPr>
          <w:rFonts w:ascii="Cambria" w:hAnsi="Cambria" w:cs="TimesNewRoman"/>
          <w:sz w:val="20"/>
          <w:szCs w:val="20"/>
          <w:lang w:val="es-ES" w:eastAsia="es-ES_tradnl"/>
        </w:rPr>
        <w:t xml:space="preserve"> y, con base en este argumento, restó credibilidad a este elemento posiblemente exculpatorio que, conforme a la jurisprudencia citada, imponía al juzgador una carga adicional de motivación sobre la convicción de la responsabilidad penal del señor Sastoque. Cabe mencionar además que no es cierto que todas las declaraciones </w:t>
      </w:r>
      <w:r w:rsidR="001A6C79" w:rsidRPr="005D2619">
        <w:rPr>
          <w:rFonts w:ascii="Cambria" w:hAnsi="Cambria" w:cs="TimesNewRoman"/>
          <w:sz w:val="20"/>
          <w:szCs w:val="20"/>
          <w:lang w:val="es-ES" w:eastAsia="es-ES_tradnl"/>
        </w:rPr>
        <w:t xml:space="preserve">sobre la presencia del señor Sastoque en la tienda de zapatos eran de personas con interés en exculparlo. </w:t>
      </w:r>
      <w:r w:rsidR="002343BD" w:rsidRPr="005D2619">
        <w:rPr>
          <w:rFonts w:ascii="Cambria" w:hAnsi="Cambria" w:cs="TimesNewRoman"/>
          <w:sz w:val="20"/>
          <w:szCs w:val="20"/>
          <w:lang w:val="es-ES" w:eastAsia="es-ES_tradnl"/>
        </w:rPr>
        <w:t xml:space="preserve">Tanto el dueño de la tienda como la vendedora, no se verían afectados por esta apreciación, a pesar de lo cual, la autoridad no analizó esta situación. </w:t>
      </w:r>
    </w:p>
    <w:p w14:paraId="10528E87" w14:textId="77777777" w:rsidR="00DC3C84" w:rsidRPr="005D2619" w:rsidRDefault="00DC3C84" w:rsidP="00DC3C84">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cs="TimesNewRoman"/>
          <w:sz w:val="20"/>
          <w:szCs w:val="20"/>
          <w:lang w:val="es-ES" w:eastAsia="es-ES_tradnl"/>
        </w:rPr>
      </w:pPr>
    </w:p>
    <w:p w14:paraId="4A3278AE" w14:textId="77777777" w:rsidR="00286F51" w:rsidRPr="005D2619" w:rsidRDefault="00FF1469" w:rsidP="00A227F7">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cs="TimesNewRoman"/>
          <w:sz w:val="20"/>
          <w:szCs w:val="20"/>
          <w:lang w:val="es-ES" w:eastAsia="es-ES_tradnl"/>
        </w:rPr>
      </w:pPr>
      <w:r w:rsidRPr="005D2619">
        <w:rPr>
          <w:rFonts w:ascii="Cambria" w:hAnsi="Cambria" w:cs="TimesNewRoman"/>
          <w:sz w:val="20"/>
          <w:szCs w:val="20"/>
          <w:lang w:val="es-ES" w:eastAsia="es-ES_tradnl"/>
        </w:rPr>
        <w:t>En tercer lugar, l</w:t>
      </w:r>
      <w:r w:rsidR="00DC3C84" w:rsidRPr="005D2619">
        <w:rPr>
          <w:rFonts w:ascii="Cambria" w:hAnsi="Cambria" w:cs="TimesNewRoman"/>
          <w:sz w:val="20"/>
          <w:szCs w:val="20"/>
          <w:lang w:val="es-ES" w:eastAsia="es-ES_tradnl"/>
        </w:rPr>
        <w:t xml:space="preserve">a Comisión considera que en la sentencia el juzgado no </w:t>
      </w:r>
      <w:r w:rsidR="00606058" w:rsidRPr="005D2619">
        <w:rPr>
          <w:rFonts w:ascii="Cambria" w:hAnsi="Cambria" w:cs="TimesNewRoman"/>
          <w:sz w:val="20"/>
          <w:szCs w:val="20"/>
          <w:lang w:val="es-ES" w:eastAsia="es-ES_tradnl"/>
        </w:rPr>
        <w:t xml:space="preserve">valoró otros medios de prueba presentados por la defensa del señor Sastoque tales como i) la documentación que acreditaba que éste cumplía funciones administrativas y que no tenía acceso a armas; y ii) la existencia de una boleta de pago que certificaba la compra de zapatos durante la ocurrencia del delito. </w:t>
      </w:r>
      <w:r w:rsidRPr="005D2619">
        <w:rPr>
          <w:rFonts w:ascii="Cambria" w:hAnsi="Cambria" w:cs="TimesNewRoman"/>
          <w:sz w:val="20"/>
          <w:szCs w:val="20"/>
          <w:lang w:val="es-ES" w:eastAsia="es-ES_tradnl"/>
        </w:rPr>
        <w:t xml:space="preserve">Tampoco se efectuó una valoración sobre las declaraciones de al menos dos personas que ponían en duda la versión de la testigo No. 1 en cuanto a la presencia del señor Sastoque en la diligencia de levantamiento de cadáver que, según dicha testigo, fue lo que le permitió identificarlo como quien disparó. </w:t>
      </w:r>
    </w:p>
    <w:p w14:paraId="0D4C886D" w14:textId="77777777" w:rsidR="00286F51" w:rsidRPr="005D2619" w:rsidRDefault="00286F51" w:rsidP="00E07E25">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cs="TimesNewRoman"/>
          <w:sz w:val="20"/>
          <w:szCs w:val="20"/>
          <w:lang w:val="es-ES" w:eastAsia="es-ES_tradnl"/>
        </w:rPr>
      </w:pPr>
    </w:p>
    <w:p w14:paraId="4C1A6F93" w14:textId="474E2CF4" w:rsidR="006F32C9" w:rsidRPr="005D2619" w:rsidRDefault="00286F51" w:rsidP="00A227F7">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cs="TimesNewRoman"/>
          <w:sz w:val="20"/>
          <w:szCs w:val="20"/>
          <w:lang w:val="es-ES" w:eastAsia="es-ES_tradnl"/>
        </w:rPr>
      </w:pPr>
      <w:r w:rsidRPr="005D2619">
        <w:rPr>
          <w:rFonts w:ascii="Cambria" w:hAnsi="Cambria" w:cs="TimesNewRoman"/>
          <w:sz w:val="20"/>
          <w:szCs w:val="20"/>
          <w:lang w:val="es-ES" w:eastAsia="es-ES_tradnl"/>
        </w:rPr>
        <w:t xml:space="preserve">De los dos puntos anteriores, la Comisión destaca que no sólo no se tomaron en cuenta a la luz del principio de presunción de inocencia, los elementos posiblemente exculpatorios que surgieron durante el </w:t>
      </w:r>
      <w:r w:rsidRPr="005D2619">
        <w:rPr>
          <w:rFonts w:ascii="Cambria" w:hAnsi="Cambria" w:cs="TimesNewRoman"/>
          <w:sz w:val="20"/>
          <w:szCs w:val="20"/>
          <w:lang w:val="es-ES" w:eastAsia="es-ES_tradnl"/>
        </w:rPr>
        <w:lastRenderedPageBreak/>
        <w:t xml:space="preserve">proceso penal, sino que también se advierte una omisión en recabar </w:t>
      </w:r>
      <w:r w:rsidR="004902A2" w:rsidRPr="005D2619">
        <w:rPr>
          <w:rFonts w:ascii="Cambria" w:hAnsi="Cambria" w:cs="TimesNewRoman"/>
          <w:sz w:val="20"/>
          <w:szCs w:val="20"/>
          <w:lang w:val="es-ES" w:eastAsia="es-ES_tradnl"/>
        </w:rPr>
        <w:t xml:space="preserve">elementos adicionales de corroboración de lo indicado por dos de los testigos con identidad reservada. </w:t>
      </w:r>
      <w:r w:rsidR="00784D43" w:rsidRPr="005D2619">
        <w:rPr>
          <w:rFonts w:ascii="Cambria" w:hAnsi="Cambria" w:cs="TimesNewRoman"/>
          <w:sz w:val="20"/>
          <w:szCs w:val="20"/>
          <w:lang w:val="es-ES" w:eastAsia="es-ES_tradnl"/>
        </w:rPr>
        <w:t xml:space="preserve">Por ejemplo, </w:t>
      </w:r>
      <w:r w:rsidR="004902A2" w:rsidRPr="005D2619">
        <w:rPr>
          <w:rFonts w:ascii="Cambria" w:hAnsi="Cambria" w:cs="TimesNewRoman"/>
          <w:sz w:val="20"/>
          <w:szCs w:val="20"/>
          <w:lang w:val="es-ES" w:eastAsia="es-ES_tradnl"/>
        </w:rPr>
        <w:t xml:space="preserve">no se aprecia que se hubieran realizado pruebas técnicas para determinar si efectivamente el señor Sastoque disparó el arma de fuego. </w:t>
      </w:r>
      <w:r w:rsidR="00784D43" w:rsidRPr="005D2619">
        <w:rPr>
          <w:rFonts w:ascii="Cambria" w:hAnsi="Cambria" w:cs="TimesNewRoman"/>
          <w:sz w:val="20"/>
          <w:szCs w:val="20"/>
          <w:lang w:val="es-ES" w:eastAsia="es-ES_tradnl"/>
        </w:rPr>
        <w:t>Por el contrario</w:t>
      </w:r>
      <w:r w:rsidR="00CE74A6">
        <w:rPr>
          <w:rFonts w:ascii="Cambria" w:hAnsi="Cambria" w:cs="TimesNewRoman"/>
          <w:sz w:val="20"/>
          <w:szCs w:val="20"/>
          <w:lang w:val="es-ES" w:eastAsia="es-ES_tradnl"/>
        </w:rPr>
        <w:t>,</w:t>
      </w:r>
      <w:r w:rsidR="00784D43" w:rsidRPr="005D2619">
        <w:rPr>
          <w:rFonts w:ascii="Cambria" w:hAnsi="Cambria" w:cs="TimesNewRoman"/>
          <w:sz w:val="20"/>
          <w:szCs w:val="20"/>
          <w:lang w:val="es-ES" w:eastAsia="es-ES_tradnl"/>
        </w:rPr>
        <w:t xml:space="preserve"> y tal como fue analizado anteriormente, </w:t>
      </w:r>
      <w:r w:rsidR="0066453E" w:rsidRPr="005D2619">
        <w:rPr>
          <w:rFonts w:ascii="Cambria" w:hAnsi="Cambria" w:cs="TimesNewRoman"/>
          <w:sz w:val="20"/>
          <w:szCs w:val="20"/>
          <w:lang w:val="es-ES" w:eastAsia="es-ES_tradnl"/>
        </w:rPr>
        <w:t>las diligencias realizadas en la etapa inicial se hicieron sin presencia ni participación alguna del señor Sastoque y su defensa.</w:t>
      </w:r>
    </w:p>
    <w:p w14:paraId="2D373A2A" w14:textId="77777777" w:rsidR="000C7D8D" w:rsidRPr="005D2619" w:rsidRDefault="000C7D8D" w:rsidP="004A06EF">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cs="TimesNewRoman"/>
          <w:sz w:val="20"/>
          <w:szCs w:val="20"/>
          <w:lang w:val="es-ES" w:eastAsia="es-ES_tradnl"/>
        </w:rPr>
      </w:pPr>
    </w:p>
    <w:p w14:paraId="3ABF15FB" w14:textId="77777777" w:rsidR="007767BA" w:rsidRPr="005D2619" w:rsidRDefault="00E07FAD" w:rsidP="00A227F7">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cs="TimesNewRoman"/>
          <w:sz w:val="20"/>
          <w:szCs w:val="20"/>
          <w:lang w:val="es-ES" w:eastAsia="es-ES_tradnl"/>
        </w:rPr>
      </w:pPr>
      <w:r w:rsidRPr="005D2619">
        <w:rPr>
          <w:rFonts w:ascii="Cambria" w:hAnsi="Cambria" w:cs="TimesNewRoman"/>
          <w:sz w:val="20"/>
          <w:szCs w:val="20"/>
          <w:lang w:val="es-ES" w:eastAsia="es-ES_tradnl"/>
        </w:rPr>
        <w:t>Adicionalmente, frente a la sentencia condenatoria l</w:t>
      </w:r>
      <w:r w:rsidR="000C7D8D" w:rsidRPr="005D2619">
        <w:rPr>
          <w:rFonts w:ascii="Cambria" w:hAnsi="Cambria" w:cs="TimesNewRoman"/>
          <w:sz w:val="20"/>
          <w:szCs w:val="20"/>
          <w:lang w:val="es-ES" w:eastAsia="es-ES_tradnl"/>
        </w:rPr>
        <w:t>a defensa del señor Sastoque presentó un recurso de apelaci</w:t>
      </w:r>
      <w:r w:rsidR="0093471F" w:rsidRPr="005D2619">
        <w:rPr>
          <w:rFonts w:ascii="Cambria" w:hAnsi="Cambria" w:cs="TimesNewRoman"/>
          <w:sz w:val="20"/>
          <w:szCs w:val="20"/>
          <w:lang w:val="es-ES" w:eastAsia="es-ES_tradnl"/>
        </w:rPr>
        <w:t xml:space="preserve">ón y la Sala de Decisión del Tribunal Nacional confirmó </w:t>
      </w:r>
      <w:r w:rsidRPr="005D2619">
        <w:rPr>
          <w:rFonts w:ascii="Cambria" w:hAnsi="Cambria" w:cs="TimesNewRoman"/>
          <w:sz w:val="20"/>
          <w:szCs w:val="20"/>
          <w:lang w:val="es-ES" w:eastAsia="es-ES_tradnl"/>
        </w:rPr>
        <w:t>la decisión</w:t>
      </w:r>
      <w:r w:rsidR="0093471F" w:rsidRPr="005D2619">
        <w:rPr>
          <w:rFonts w:ascii="Cambria" w:hAnsi="Cambria" w:cs="TimesNewRoman"/>
          <w:sz w:val="20"/>
          <w:szCs w:val="20"/>
          <w:lang w:val="es-ES" w:eastAsia="es-ES_tradnl"/>
        </w:rPr>
        <w:t xml:space="preserve"> de primera instancia </w:t>
      </w:r>
      <w:r w:rsidRPr="005D2619">
        <w:rPr>
          <w:rFonts w:ascii="Cambria" w:hAnsi="Cambria" w:cs="TimesNewRoman"/>
          <w:sz w:val="20"/>
          <w:szCs w:val="20"/>
          <w:lang w:val="es-ES" w:eastAsia="es-ES_tradnl"/>
        </w:rPr>
        <w:t>reduciendo</w:t>
      </w:r>
      <w:r w:rsidR="0093471F" w:rsidRPr="005D2619">
        <w:rPr>
          <w:rFonts w:ascii="Cambria" w:hAnsi="Cambria" w:cs="TimesNewRoman"/>
          <w:sz w:val="20"/>
          <w:szCs w:val="20"/>
          <w:lang w:val="es-ES" w:eastAsia="es-ES_tradnl"/>
        </w:rPr>
        <w:t xml:space="preserve"> la pena de 41 años de prisión a 40 años y seis meses. Dicho tribunal ratificó la importancia de la declaratoria de la testigo No. 1 al indicar que es “una persona normal sin alteraciones visuales ni auditivas [y] no padece enfermedades físicas o psíquicas que le impidieran u obstaculizaran apreciar los acontecimientos”. </w:t>
      </w:r>
      <w:r w:rsidR="007767BA" w:rsidRPr="005D2619">
        <w:rPr>
          <w:rFonts w:ascii="Cambria" w:hAnsi="Cambria" w:cs="TimesNewRoman"/>
          <w:sz w:val="20"/>
          <w:szCs w:val="20"/>
          <w:lang w:val="es-ES" w:eastAsia="es-ES_tradnl"/>
        </w:rPr>
        <w:t>Por su parte, la Sala de Casación Penal de la Corte Suprema de Justicia decidió no casar la sentencia impugnada al considerar que el señor Sastoque no “suministr[ó] la verdad (…) con la eficacia de las pruebas omitidas o supuestas y la ineficacia de las que determinaron la orientación de la sentencia impugnada”.</w:t>
      </w:r>
    </w:p>
    <w:p w14:paraId="4FBB04EA" w14:textId="77777777" w:rsidR="000C7D8D" w:rsidRPr="005D2619" w:rsidRDefault="000C7D8D" w:rsidP="000C7D8D">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cs="TimesNewRoman"/>
          <w:sz w:val="20"/>
          <w:szCs w:val="20"/>
          <w:lang w:val="es-ES" w:eastAsia="es-ES_tradnl"/>
        </w:rPr>
      </w:pPr>
    </w:p>
    <w:p w14:paraId="54B870D4" w14:textId="77777777" w:rsidR="00A57894" w:rsidRPr="005D2619" w:rsidRDefault="0068620E" w:rsidP="00A227F7">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cs="TimesNewRoman"/>
          <w:sz w:val="20"/>
          <w:szCs w:val="20"/>
          <w:lang w:val="es-ES" w:eastAsia="es-ES_tradnl"/>
        </w:rPr>
      </w:pPr>
      <w:r w:rsidRPr="005D2619">
        <w:rPr>
          <w:rFonts w:ascii="Cambria" w:hAnsi="Cambria" w:cs="TimesNewRoman"/>
          <w:sz w:val="20"/>
          <w:szCs w:val="20"/>
          <w:lang w:val="es-ES" w:eastAsia="es-ES_tradnl"/>
        </w:rPr>
        <w:t>La Comisión estima que la</w:t>
      </w:r>
      <w:r w:rsidR="00810E23" w:rsidRPr="005D2619">
        <w:rPr>
          <w:rFonts w:ascii="Cambria" w:hAnsi="Cambria" w:cs="TimesNewRoman"/>
          <w:sz w:val="20"/>
          <w:szCs w:val="20"/>
          <w:lang w:val="es-ES" w:eastAsia="es-ES_tradnl"/>
        </w:rPr>
        <w:t>s</w:t>
      </w:r>
      <w:r w:rsidRPr="005D2619">
        <w:rPr>
          <w:rFonts w:ascii="Cambria" w:hAnsi="Cambria" w:cs="TimesNewRoman"/>
          <w:sz w:val="20"/>
          <w:szCs w:val="20"/>
          <w:lang w:val="es-ES" w:eastAsia="es-ES_tradnl"/>
        </w:rPr>
        <w:t xml:space="preserve"> decisi</w:t>
      </w:r>
      <w:r w:rsidR="00810E23" w:rsidRPr="005D2619">
        <w:rPr>
          <w:rFonts w:ascii="Cambria" w:hAnsi="Cambria" w:cs="TimesNewRoman"/>
          <w:sz w:val="20"/>
          <w:szCs w:val="20"/>
          <w:lang w:val="es-ES" w:eastAsia="es-ES_tradnl"/>
        </w:rPr>
        <w:t>o</w:t>
      </w:r>
      <w:r w:rsidRPr="005D2619">
        <w:rPr>
          <w:rFonts w:ascii="Cambria" w:hAnsi="Cambria" w:cs="TimesNewRoman"/>
          <w:sz w:val="20"/>
          <w:szCs w:val="20"/>
          <w:lang w:val="es-ES" w:eastAsia="es-ES_tradnl"/>
        </w:rPr>
        <w:t>n</w:t>
      </w:r>
      <w:r w:rsidR="00810E23" w:rsidRPr="005D2619">
        <w:rPr>
          <w:rFonts w:ascii="Cambria" w:hAnsi="Cambria" w:cs="TimesNewRoman"/>
          <w:sz w:val="20"/>
          <w:szCs w:val="20"/>
          <w:lang w:val="es-ES" w:eastAsia="es-ES_tradnl"/>
        </w:rPr>
        <w:t>es</w:t>
      </w:r>
      <w:r w:rsidRPr="005D2619">
        <w:rPr>
          <w:rFonts w:ascii="Cambria" w:hAnsi="Cambria" w:cs="TimesNewRoman"/>
          <w:sz w:val="20"/>
          <w:szCs w:val="20"/>
          <w:lang w:val="es-ES" w:eastAsia="es-ES_tradnl"/>
        </w:rPr>
        <w:t xml:space="preserve"> de</w:t>
      </w:r>
      <w:r w:rsidR="00810E23" w:rsidRPr="005D2619">
        <w:rPr>
          <w:rFonts w:ascii="Cambria" w:hAnsi="Cambria" w:cs="TimesNewRoman"/>
          <w:sz w:val="20"/>
          <w:szCs w:val="20"/>
          <w:lang w:val="es-ES" w:eastAsia="es-ES_tradnl"/>
        </w:rPr>
        <w:t xml:space="preserve"> ambos</w:t>
      </w:r>
      <w:r w:rsidR="00E07FAD" w:rsidRPr="005D2619">
        <w:rPr>
          <w:rFonts w:ascii="Cambria" w:hAnsi="Cambria" w:cs="TimesNewRoman"/>
          <w:sz w:val="20"/>
          <w:szCs w:val="20"/>
          <w:lang w:val="es-ES" w:eastAsia="es-ES_tradnl"/>
        </w:rPr>
        <w:t xml:space="preserve"> tribunal</w:t>
      </w:r>
      <w:r w:rsidR="00810E23" w:rsidRPr="005D2619">
        <w:rPr>
          <w:rFonts w:ascii="Cambria" w:hAnsi="Cambria" w:cs="TimesNewRoman"/>
          <w:sz w:val="20"/>
          <w:szCs w:val="20"/>
          <w:lang w:val="es-ES" w:eastAsia="es-ES_tradnl"/>
        </w:rPr>
        <w:t>es</w:t>
      </w:r>
      <w:r w:rsidR="00E07FAD" w:rsidRPr="005D2619">
        <w:rPr>
          <w:rFonts w:ascii="Cambria" w:hAnsi="Cambria" w:cs="TimesNewRoman"/>
          <w:sz w:val="20"/>
          <w:szCs w:val="20"/>
          <w:lang w:val="es-ES" w:eastAsia="es-ES_tradnl"/>
        </w:rPr>
        <w:t xml:space="preserve"> </w:t>
      </w:r>
      <w:r w:rsidRPr="005D2619">
        <w:rPr>
          <w:rFonts w:ascii="Cambria" w:hAnsi="Cambria" w:cs="TimesNewRoman"/>
          <w:sz w:val="20"/>
          <w:szCs w:val="20"/>
          <w:lang w:val="es-ES" w:eastAsia="es-ES_tradnl"/>
        </w:rPr>
        <w:t>consolida</w:t>
      </w:r>
      <w:r w:rsidR="00A57894" w:rsidRPr="005D2619">
        <w:rPr>
          <w:rFonts w:ascii="Cambria" w:hAnsi="Cambria" w:cs="TimesNewRoman"/>
          <w:sz w:val="20"/>
          <w:szCs w:val="20"/>
          <w:lang w:val="es-ES" w:eastAsia="es-ES_tradnl"/>
        </w:rPr>
        <w:t>ron</w:t>
      </w:r>
      <w:r w:rsidRPr="005D2619">
        <w:rPr>
          <w:rFonts w:ascii="Cambria" w:hAnsi="Cambria" w:cs="TimesNewRoman"/>
          <w:sz w:val="20"/>
          <w:szCs w:val="20"/>
          <w:lang w:val="es-ES" w:eastAsia="es-ES_tradnl"/>
        </w:rPr>
        <w:t xml:space="preserve"> las violaciones al derecho de defensa</w:t>
      </w:r>
      <w:r w:rsidR="00A57894" w:rsidRPr="005D2619">
        <w:rPr>
          <w:rFonts w:ascii="Cambria" w:hAnsi="Cambria" w:cs="TimesNewRoman"/>
          <w:sz w:val="20"/>
          <w:szCs w:val="20"/>
          <w:lang w:val="es-ES" w:eastAsia="es-ES_tradnl"/>
        </w:rPr>
        <w:t>, incluyendo lo relativo al uso de testigos con identidad reservada,</w:t>
      </w:r>
      <w:r w:rsidRPr="005D2619">
        <w:rPr>
          <w:rFonts w:ascii="Cambria" w:hAnsi="Cambria" w:cs="TimesNewRoman"/>
          <w:sz w:val="20"/>
          <w:szCs w:val="20"/>
          <w:lang w:val="es-ES" w:eastAsia="es-ES_tradnl"/>
        </w:rPr>
        <w:t xml:space="preserve"> y al principio de presunción de inocencia, en los términos analizados. </w:t>
      </w:r>
      <w:r w:rsidR="00A57894" w:rsidRPr="005D2619">
        <w:rPr>
          <w:rFonts w:ascii="Cambria" w:hAnsi="Cambria" w:cs="TimesNewRoman"/>
          <w:sz w:val="20"/>
          <w:szCs w:val="20"/>
          <w:lang w:val="es-ES" w:eastAsia="es-ES_tradnl"/>
        </w:rPr>
        <w:t xml:space="preserve">Por ello, la Comisión considera que los recursos de apelación y el de casación no constituyeron recursos efectivos para remediar las violaciones al debido proceso en perjuicio de Gustavo Sastoque Alfonso, lo que constituyó una violación </w:t>
      </w:r>
      <w:r w:rsidR="000970CF" w:rsidRPr="005D2619">
        <w:rPr>
          <w:rFonts w:ascii="Cambria" w:hAnsi="Cambria" w:cs="TimesNewRoman"/>
          <w:sz w:val="20"/>
          <w:szCs w:val="20"/>
          <w:lang w:val="es-ES" w:eastAsia="es-ES_tradnl"/>
        </w:rPr>
        <w:t xml:space="preserve">adicional </w:t>
      </w:r>
      <w:r w:rsidR="00A57894" w:rsidRPr="005D2619">
        <w:rPr>
          <w:rFonts w:ascii="Cambria" w:hAnsi="Cambria" w:cs="TimesNewRoman"/>
          <w:sz w:val="20"/>
          <w:szCs w:val="20"/>
          <w:lang w:val="es-ES" w:eastAsia="es-ES_tradnl"/>
        </w:rPr>
        <w:t xml:space="preserve">al derecho a la protección judicial. </w:t>
      </w:r>
    </w:p>
    <w:p w14:paraId="42CD5D77" w14:textId="77777777" w:rsidR="00BF3B49" w:rsidRPr="005D2619" w:rsidRDefault="00BF3B49" w:rsidP="00E07E25">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cs="TimesNewRoman"/>
          <w:sz w:val="20"/>
          <w:szCs w:val="20"/>
          <w:lang w:val="es-ES" w:eastAsia="es-ES_tradnl"/>
        </w:rPr>
      </w:pPr>
    </w:p>
    <w:p w14:paraId="5B878003" w14:textId="77777777" w:rsidR="00BF3B49" w:rsidRPr="005D2619" w:rsidRDefault="00BF3B49" w:rsidP="00A227F7">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ES"/>
        </w:rPr>
      </w:pPr>
      <w:r w:rsidRPr="005D2619">
        <w:rPr>
          <w:rFonts w:ascii="Cambria" w:hAnsi="Cambria"/>
          <w:sz w:val="20"/>
          <w:szCs w:val="20"/>
          <w:lang w:val="es-ES"/>
        </w:rPr>
        <w:t xml:space="preserve">Finalmente, en el presente caso, la defensa del señor Sastoque presentó una acción de tutela luego del rechazo de la casación. La Sala de Casación Civil de la Corte Suprema indicó que la decisión sobre el recurso de casación no puede controvertirse por vía de tutela puesto que es una “jurisdicción distinta” por lo que generaría “inseguridad jurídica”.  </w:t>
      </w:r>
    </w:p>
    <w:p w14:paraId="7846CE80" w14:textId="77777777" w:rsidR="00BF3B49" w:rsidRPr="005D2619" w:rsidRDefault="00BF3B49" w:rsidP="00BF3B49">
      <w:pPr>
        <w:spacing w:after="0" w:line="240" w:lineRule="auto"/>
        <w:rPr>
          <w:rFonts w:ascii="Cambria" w:hAnsi="Cambria"/>
          <w:sz w:val="20"/>
          <w:szCs w:val="20"/>
          <w:lang w:val="es-ES"/>
        </w:rPr>
      </w:pPr>
    </w:p>
    <w:p w14:paraId="4F6CF56B" w14:textId="77777777" w:rsidR="00BF3B49" w:rsidRPr="005D2619" w:rsidRDefault="00BF3B49" w:rsidP="00A227F7">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ES"/>
        </w:rPr>
      </w:pPr>
      <w:r w:rsidRPr="005D2619">
        <w:rPr>
          <w:rFonts w:ascii="Cambria" w:hAnsi="Cambria"/>
          <w:sz w:val="20"/>
          <w:szCs w:val="20"/>
          <w:lang w:val="es-ES"/>
        </w:rPr>
        <w:t xml:space="preserve">En su decisión, la Sala de Casación Civil no entró a analizar las violaciones de derechos constitucionales y convencionales alegadas por la defensa del señor Sastoque. Por lo señalado, la CIDH considera que la acción de tutela tampoco resultó un recurso judicial efectivo a efectos de remediar las vulneraciones al debido proceso señaladas a lo largo del presente informe. </w:t>
      </w:r>
    </w:p>
    <w:p w14:paraId="220FD986" w14:textId="77777777" w:rsidR="0068620E" w:rsidRPr="005D2619" w:rsidRDefault="0068620E" w:rsidP="0068620E">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cs="TimesNewRoman"/>
          <w:sz w:val="20"/>
          <w:szCs w:val="20"/>
          <w:lang w:val="es-ES" w:eastAsia="es-ES_tradnl"/>
        </w:rPr>
      </w:pPr>
    </w:p>
    <w:p w14:paraId="5518A060" w14:textId="77777777" w:rsidR="0068620E" w:rsidRPr="005D2619" w:rsidRDefault="0068620E" w:rsidP="00A227F7">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cs="TimesNewRoman"/>
          <w:sz w:val="20"/>
          <w:szCs w:val="20"/>
          <w:lang w:val="es-ES" w:eastAsia="es-ES_tradnl"/>
        </w:rPr>
      </w:pPr>
      <w:r w:rsidRPr="005D2619">
        <w:rPr>
          <w:rFonts w:ascii="Cambria" w:hAnsi="Cambria" w:cs="ACaslonPro-Regular"/>
          <w:sz w:val="20"/>
          <w:szCs w:val="20"/>
          <w:lang w:val="es-ES"/>
        </w:rPr>
        <w:t xml:space="preserve">En vista de todo lo expuesto, la Comisión concluye que el Estado de </w:t>
      </w:r>
      <w:r w:rsidR="000970CF" w:rsidRPr="005D2619">
        <w:rPr>
          <w:rFonts w:ascii="Cambria" w:hAnsi="Cambria" w:cs="ACaslonPro-Regular"/>
          <w:sz w:val="20"/>
          <w:szCs w:val="20"/>
          <w:lang w:val="es-ES"/>
        </w:rPr>
        <w:t>Colombia</w:t>
      </w:r>
      <w:r w:rsidRPr="005D2619">
        <w:rPr>
          <w:rFonts w:ascii="Cambria" w:hAnsi="Cambria" w:cs="ACaslonPro-Regular"/>
          <w:sz w:val="20"/>
          <w:szCs w:val="20"/>
          <w:lang w:val="es-ES"/>
        </w:rPr>
        <w:t xml:space="preserve"> es responsable por la violación del </w:t>
      </w:r>
      <w:r w:rsidRPr="00A227F7">
        <w:rPr>
          <w:rFonts w:ascii="Cambria" w:hAnsi="Cambria"/>
          <w:sz w:val="20"/>
          <w:szCs w:val="20"/>
          <w:lang w:val="es-ES"/>
        </w:rPr>
        <w:t>principio</w:t>
      </w:r>
      <w:r w:rsidRPr="005D2619">
        <w:rPr>
          <w:rFonts w:ascii="Cambria" w:hAnsi="Cambria" w:cs="ACaslonPro-Regular"/>
          <w:sz w:val="20"/>
          <w:szCs w:val="20"/>
          <w:lang w:val="es-ES"/>
        </w:rPr>
        <w:t xml:space="preserve"> de presunción de inocencia, el derecho a contar con decisiones debidamente motivadas</w:t>
      </w:r>
      <w:r w:rsidR="000970CF" w:rsidRPr="005D2619">
        <w:rPr>
          <w:rFonts w:ascii="Cambria" w:hAnsi="Cambria" w:cs="ACaslonPro-Regular"/>
          <w:sz w:val="20"/>
          <w:szCs w:val="20"/>
          <w:lang w:val="es-ES"/>
        </w:rPr>
        <w:t xml:space="preserve"> </w:t>
      </w:r>
      <w:r w:rsidRPr="005D2619">
        <w:rPr>
          <w:rFonts w:ascii="Cambria" w:hAnsi="Cambria" w:cs="ACaslonPro-Regular"/>
          <w:sz w:val="20"/>
          <w:szCs w:val="20"/>
          <w:lang w:val="es-ES"/>
        </w:rPr>
        <w:t xml:space="preserve">y el derecho a la protección judicial, establecidos en los artículos 8.1, 8.2 y 25.1 de la Convención Americana, en relación con el artículo 1.1 del mismo instrumento, en perjuicio de Gustavo Sastoque Alonso. </w:t>
      </w:r>
    </w:p>
    <w:p w14:paraId="2CCD73A5" w14:textId="77777777" w:rsidR="00E81672" w:rsidRPr="005D2619" w:rsidRDefault="00E81672" w:rsidP="006F72FC">
      <w:pPr>
        <w:spacing w:after="0" w:line="240" w:lineRule="auto"/>
        <w:rPr>
          <w:rFonts w:ascii="Cambria" w:hAnsi="Cambria"/>
          <w:sz w:val="20"/>
          <w:szCs w:val="20"/>
          <w:lang w:val="es-ES"/>
        </w:rPr>
      </w:pPr>
    </w:p>
    <w:p w14:paraId="60DA4294" w14:textId="77777777" w:rsidR="00E25790" w:rsidRPr="005D1A5B" w:rsidRDefault="00E25790" w:rsidP="005D1A5B">
      <w:pPr>
        <w:numPr>
          <w:ilvl w:val="0"/>
          <w:numId w:val="59"/>
        </w:numPr>
        <w:tabs>
          <w:tab w:val="clear" w:pos="2880"/>
          <w:tab w:val="num" w:pos="1440"/>
        </w:tabs>
        <w:spacing w:after="0" w:line="240" w:lineRule="auto"/>
        <w:ind w:hanging="2160"/>
        <w:rPr>
          <w:rFonts w:ascii="Cambria" w:hAnsi="Cambria"/>
          <w:b/>
          <w:sz w:val="20"/>
          <w:szCs w:val="20"/>
          <w:lang w:val="es-CO"/>
        </w:rPr>
      </w:pPr>
      <w:r w:rsidRPr="005D1A5B">
        <w:rPr>
          <w:rFonts w:ascii="Cambria" w:hAnsi="Cambria"/>
          <w:b/>
          <w:sz w:val="20"/>
          <w:szCs w:val="20"/>
          <w:lang w:val="es-CO"/>
        </w:rPr>
        <w:t>Plazo razonable</w:t>
      </w:r>
    </w:p>
    <w:p w14:paraId="3039061A" w14:textId="77777777" w:rsidR="00E25790" w:rsidRPr="005D2619" w:rsidRDefault="00E25790" w:rsidP="006F72FC">
      <w:pPr>
        <w:spacing w:after="0" w:line="240" w:lineRule="auto"/>
        <w:rPr>
          <w:rFonts w:ascii="Cambria" w:hAnsi="Cambria"/>
          <w:sz w:val="20"/>
          <w:szCs w:val="20"/>
          <w:lang w:val="es-CR"/>
        </w:rPr>
      </w:pPr>
    </w:p>
    <w:p w14:paraId="16ABE139" w14:textId="77777777" w:rsidR="0072000A" w:rsidRPr="005D2619" w:rsidRDefault="0072000A" w:rsidP="00A227F7">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ES"/>
        </w:rPr>
      </w:pPr>
      <w:r w:rsidRPr="005D2619">
        <w:rPr>
          <w:rFonts w:ascii="Cambria" w:hAnsi="Cambria"/>
          <w:sz w:val="20"/>
          <w:szCs w:val="20"/>
          <w:lang w:val="es-ES"/>
        </w:rPr>
        <w:t xml:space="preserve">El artículo 8.1 de la Convención Americana establece como uno de los elementos del debido proceso que </w:t>
      </w:r>
      <w:r w:rsidRPr="005D2619">
        <w:rPr>
          <w:rFonts w:ascii="Cambria" w:hAnsi="Cambria"/>
          <w:sz w:val="20"/>
          <w:szCs w:val="20"/>
          <w:lang w:val="es-SV"/>
        </w:rPr>
        <w:t>los</w:t>
      </w:r>
      <w:r w:rsidRPr="005D2619">
        <w:rPr>
          <w:rFonts w:ascii="Cambria" w:hAnsi="Cambria"/>
          <w:sz w:val="20"/>
          <w:szCs w:val="20"/>
          <w:lang w:val="es-ES"/>
        </w:rPr>
        <w:t xml:space="preserve"> tribunales decidan los casos sometidos a su conocimiento en un plazo razonable. En este sentido, una demora prolongada puede </w:t>
      </w:r>
      <w:r w:rsidRPr="005D2619">
        <w:rPr>
          <w:rFonts w:ascii="Cambria" w:hAnsi="Cambria"/>
          <w:w w:val="95"/>
          <w:sz w:val="20"/>
          <w:szCs w:val="20"/>
          <w:lang w:val="es-CR"/>
        </w:rPr>
        <w:t>llegar</w:t>
      </w:r>
      <w:r w:rsidRPr="005D2619">
        <w:rPr>
          <w:rFonts w:ascii="Cambria" w:hAnsi="Cambria"/>
          <w:sz w:val="20"/>
          <w:szCs w:val="20"/>
          <w:lang w:val="es-ES"/>
        </w:rPr>
        <w:t xml:space="preserve"> a constituir, por sí misma, una violación de las garantías judiciales</w:t>
      </w:r>
      <w:r w:rsidRPr="005D2619">
        <w:rPr>
          <w:rStyle w:val="FootnoteReference"/>
          <w:rFonts w:ascii="Cambria" w:hAnsi="Cambria"/>
          <w:sz w:val="20"/>
          <w:szCs w:val="20"/>
        </w:rPr>
        <w:footnoteReference w:id="112"/>
      </w:r>
      <w:r w:rsidRPr="005D2619">
        <w:rPr>
          <w:rFonts w:ascii="Cambria" w:hAnsi="Cambria"/>
          <w:sz w:val="20"/>
          <w:szCs w:val="20"/>
          <w:lang w:val="es-ES"/>
        </w:rPr>
        <w:t>. Corresponde al Estado exponer y probar la razón por la cual se ha requerido más tiempo del razonable para dictar sentencia definitiva en un caso particular</w:t>
      </w:r>
      <w:r w:rsidRPr="005D2619">
        <w:rPr>
          <w:rStyle w:val="FootnoteReference"/>
          <w:rFonts w:ascii="Cambria" w:hAnsi="Cambria"/>
          <w:sz w:val="20"/>
          <w:szCs w:val="20"/>
        </w:rPr>
        <w:footnoteReference w:id="113"/>
      </w:r>
      <w:r w:rsidRPr="005D2619">
        <w:rPr>
          <w:rFonts w:ascii="Cambria" w:hAnsi="Cambria"/>
          <w:sz w:val="20"/>
          <w:szCs w:val="20"/>
          <w:lang w:val="es-ES"/>
        </w:rPr>
        <w:t>. En ese sentido, la razonabilidad del plazo se debe apreciar en relación con la duración total del procedimiento penal</w:t>
      </w:r>
      <w:r w:rsidRPr="005D2619">
        <w:rPr>
          <w:rStyle w:val="FootnoteReference"/>
          <w:rFonts w:ascii="Cambria" w:hAnsi="Cambria"/>
          <w:sz w:val="20"/>
          <w:szCs w:val="20"/>
        </w:rPr>
        <w:footnoteReference w:id="114"/>
      </w:r>
      <w:r w:rsidRPr="005D2619">
        <w:rPr>
          <w:rFonts w:ascii="Cambria" w:hAnsi="Cambria"/>
          <w:sz w:val="20"/>
          <w:szCs w:val="20"/>
          <w:lang w:val="es-ES"/>
        </w:rPr>
        <w:t xml:space="preserve"> y a la luz de los </w:t>
      </w:r>
      <w:r w:rsidRPr="005D2619">
        <w:rPr>
          <w:rFonts w:ascii="Cambria" w:hAnsi="Cambria"/>
          <w:sz w:val="20"/>
          <w:szCs w:val="20"/>
        </w:rPr>
        <w:t>los cuatro elementos que ha tomado la Corte en su jurisprudencia, a saber</w:t>
      </w:r>
      <w:r w:rsidRPr="005D2619">
        <w:rPr>
          <w:rFonts w:ascii="Cambria" w:hAnsi="Cambria"/>
          <w:sz w:val="20"/>
          <w:szCs w:val="20"/>
          <w:lang w:val="es-ES"/>
        </w:rPr>
        <w:t>: i) la complejidad del asunto; ii) la actividad procesal del interesado; y iii) la conducta de las autoridades judiciales;</w:t>
      </w:r>
      <w:r w:rsidRPr="005D2619">
        <w:rPr>
          <w:rFonts w:ascii="Cambria" w:hAnsi="Cambria"/>
          <w:sz w:val="20"/>
          <w:szCs w:val="20"/>
        </w:rPr>
        <w:t xml:space="preserve"> y iv) afectación generada en la situación jurídica de la persona </w:t>
      </w:r>
      <w:r w:rsidRPr="005D2619">
        <w:rPr>
          <w:rFonts w:ascii="Cambria" w:hAnsi="Cambria"/>
          <w:sz w:val="20"/>
          <w:szCs w:val="20"/>
          <w:lang w:val="es-ES"/>
        </w:rPr>
        <w:t>involucrada</w:t>
      </w:r>
      <w:r w:rsidRPr="005D2619">
        <w:rPr>
          <w:rFonts w:ascii="Cambria" w:hAnsi="Cambria"/>
          <w:sz w:val="20"/>
          <w:szCs w:val="20"/>
        </w:rPr>
        <w:t xml:space="preserve"> en el proceso</w:t>
      </w:r>
      <w:r w:rsidRPr="005D2619">
        <w:rPr>
          <w:rStyle w:val="FootnoteReference"/>
          <w:rFonts w:ascii="Cambria" w:hAnsi="Cambria"/>
          <w:sz w:val="20"/>
          <w:szCs w:val="20"/>
        </w:rPr>
        <w:t xml:space="preserve"> </w:t>
      </w:r>
      <w:r w:rsidRPr="005D2619">
        <w:rPr>
          <w:rStyle w:val="FootnoteReference"/>
          <w:rFonts w:ascii="Cambria" w:hAnsi="Cambria"/>
          <w:sz w:val="20"/>
          <w:szCs w:val="20"/>
        </w:rPr>
        <w:footnoteReference w:id="115"/>
      </w:r>
      <w:r w:rsidRPr="005D2619">
        <w:rPr>
          <w:rFonts w:ascii="Cambria" w:hAnsi="Cambria"/>
          <w:sz w:val="20"/>
          <w:szCs w:val="20"/>
          <w:lang w:val="es-ES"/>
        </w:rPr>
        <w:t>.</w:t>
      </w:r>
    </w:p>
    <w:p w14:paraId="5AEC1003" w14:textId="77777777" w:rsidR="0072000A" w:rsidRPr="005D2619" w:rsidRDefault="0072000A" w:rsidP="0072000A">
      <w:pPr>
        <w:pStyle w:val="BodyTextIndent"/>
        <w:ind w:left="0" w:firstLine="567"/>
        <w:rPr>
          <w:lang w:val="es-ES"/>
        </w:rPr>
      </w:pPr>
    </w:p>
    <w:p w14:paraId="2D2F27CC" w14:textId="77777777" w:rsidR="0072000A" w:rsidRPr="005D2619" w:rsidRDefault="0072000A" w:rsidP="00AC10FC">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rPr>
      </w:pPr>
      <w:r w:rsidRPr="005D2619">
        <w:rPr>
          <w:rFonts w:ascii="Cambria" w:hAnsi="Cambria" w:cs="Univers"/>
          <w:sz w:val="20"/>
          <w:szCs w:val="20"/>
          <w:lang w:val="es-ES" w:eastAsia="es-ES_tradnl"/>
        </w:rPr>
        <w:t xml:space="preserve">En relación con la complejidad, </w:t>
      </w:r>
      <w:r w:rsidRPr="005D2619">
        <w:rPr>
          <w:rFonts w:ascii="Cambria" w:hAnsi="Cambria"/>
          <w:sz w:val="20"/>
          <w:szCs w:val="20"/>
        </w:rPr>
        <w:t xml:space="preserve">la CIDH considera que a fin de que un argumento de </w:t>
      </w:r>
      <w:r w:rsidRPr="005D2619">
        <w:rPr>
          <w:rFonts w:ascii="Cambria" w:hAnsi="Cambria"/>
          <w:sz w:val="20"/>
          <w:szCs w:val="20"/>
          <w:lang w:val="es-ES"/>
        </w:rPr>
        <w:t>complejidad</w:t>
      </w:r>
      <w:r w:rsidRPr="005D2619">
        <w:rPr>
          <w:rFonts w:ascii="Cambria" w:hAnsi="Cambria"/>
          <w:sz w:val="20"/>
          <w:szCs w:val="20"/>
        </w:rPr>
        <w:t xml:space="preserve"> sea </w:t>
      </w:r>
      <w:r w:rsidRPr="00AC10FC">
        <w:rPr>
          <w:rFonts w:ascii="Cambria" w:hAnsi="Cambria"/>
          <w:sz w:val="20"/>
          <w:szCs w:val="20"/>
          <w:lang w:val="es-ES"/>
        </w:rPr>
        <w:t>procedente</w:t>
      </w:r>
      <w:r w:rsidRPr="005D2619">
        <w:rPr>
          <w:rFonts w:ascii="Cambria" w:hAnsi="Cambria"/>
          <w:sz w:val="20"/>
          <w:szCs w:val="20"/>
        </w:rPr>
        <w:t xml:space="preserve">, es necesario que el Estado presente información específica que vincule directamente los elementos de complejidad invocados con las demoras en el proceso. Ello no ha sucedido en el presente caso. </w:t>
      </w:r>
    </w:p>
    <w:p w14:paraId="05167562" w14:textId="77777777" w:rsidR="0072000A" w:rsidRPr="005D2619" w:rsidRDefault="0072000A" w:rsidP="0072000A">
      <w:pPr>
        <w:pStyle w:val="BodyTextIndent"/>
        <w:ind w:left="0" w:firstLine="567"/>
        <w:rPr>
          <w:rFonts w:ascii="Cambria" w:hAnsi="Cambria"/>
          <w:sz w:val="20"/>
          <w:szCs w:val="20"/>
        </w:rPr>
      </w:pPr>
      <w:r w:rsidRPr="005D2619">
        <w:rPr>
          <w:rFonts w:ascii="Cambria" w:hAnsi="Cambria"/>
          <w:sz w:val="20"/>
          <w:szCs w:val="20"/>
        </w:rPr>
        <w:t xml:space="preserve"> </w:t>
      </w:r>
    </w:p>
    <w:p w14:paraId="49A1F3E3" w14:textId="77777777" w:rsidR="0072000A" w:rsidRPr="005D2619" w:rsidRDefault="0072000A" w:rsidP="00AC10FC">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rPr>
      </w:pPr>
      <w:r w:rsidRPr="005D2619">
        <w:rPr>
          <w:rFonts w:ascii="Cambria" w:hAnsi="Cambria"/>
          <w:sz w:val="20"/>
          <w:szCs w:val="20"/>
          <w:lang w:val="es-ES"/>
        </w:rPr>
        <w:t xml:space="preserve">En cuanto a la participación de los interesados, </w:t>
      </w:r>
      <w:r w:rsidR="00AD5834" w:rsidRPr="005D2619">
        <w:rPr>
          <w:rFonts w:ascii="Cambria" w:hAnsi="Cambria"/>
          <w:sz w:val="20"/>
          <w:szCs w:val="20"/>
          <w:lang w:val="es-ES"/>
        </w:rPr>
        <w:t>la Comisión observa que l</w:t>
      </w:r>
      <w:r w:rsidR="00AD5834" w:rsidRPr="005D2619">
        <w:rPr>
          <w:rFonts w:ascii="Cambria" w:hAnsi="Cambria"/>
          <w:sz w:val="20"/>
          <w:szCs w:val="20"/>
        </w:rPr>
        <w:t xml:space="preserve">as actuaciones del señor Sastoque se enmarcan dentro del ejercicio de su derecho de defensa conforme a los mecanismos establecidos en la </w:t>
      </w:r>
      <w:r w:rsidR="00AD5834" w:rsidRPr="00AC10FC">
        <w:rPr>
          <w:rFonts w:ascii="Cambria" w:hAnsi="Cambria"/>
          <w:sz w:val="20"/>
          <w:szCs w:val="20"/>
          <w:lang w:val="es-ES"/>
        </w:rPr>
        <w:t>ley</w:t>
      </w:r>
      <w:r w:rsidR="00AD5834" w:rsidRPr="005D2619">
        <w:rPr>
          <w:rFonts w:ascii="Cambria" w:hAnsi="Cambria"/>
          <w:sz w:val="20"/>
          <w:szCs w:val="20"/>
        </w:rPr>
        <w:t xml:space="preserve"> en su favor. No existe ningún elemento en el expediente que indique que </w:t>
      </w:r>
      <w:r w:rsidR="0043279B" w:rsidRPr="005D2619">
        <w:rPr>
          <w:rFonts w:ascii="Cambria" w:hAnsi="Cambria"/>
          <w:sz w:val="20"/>
          <w:szCs w:val="20"/>
          <w:lang w:val="es-ES"/>
        </w:rPr>
        <w:t xml:space="preserve">la defensa del señor Sastoque </w:t>
      </w:r>
      <w:r w:rsidRPr="005D2619">
        <w:rPr>
          <w:rFonts w:ascii="Cambria" w:hAnsi="Cambria"/>
          <w:sz w:val="20"/>
          <w:szCs w:val="20"/>
        </w:rPr>
        <w:t>obstaculiz</w:t>
      </w:r>
      <w:r w:rsidR="0032297E" w:rsidRPr="005D2619">
        <w:rPr>
          <w:rFonts w:ascii="Cambria" w:hAnsi="Cambria"/>
          <w:sz w:val="20"/>
          <w:szCs w:val="20"/>
        </w:rPr>
        <w:t>ó</w:t>
      </w:r>
      <w:r w:rsidRPr="005D2619">
        <w:rPr>
          <w:rFonts w:ascii="Cambria" w:hAnsi="Cambria"/>
          <w:sz w:val="20"/>
          <w:szCs w:val="20"/>
        </w:rPr>
        <w:t xml:space="preserve"> el proceso o tuvo responsabilidad alguna en la demora</w:t>
      </w:r>
      <w:r w:rsidR="00AD5834" w:rsidRPr="005D2619">
        <w:rPr>
          <w:rFonts w:ascii="Cambria" w:hAnsi="Cambria"/>
          <w:sz w:val="20"/>
          <w:szCs w:val="20"/>
        </w:rPr>
        <w:t xml:space="preserve"> por abuso del derecho.</w:t>
      </w:r>
      <w:r w:rsidR="006C14B9" w:rsidRPr="005D2619">
        <w:rPr>
          <w:rFonts w:ascii="Cambria" w:hAnsi="Cambria"/>
          <w:sz w:val="20"/>
          <w:szCs w:val="20"/>
        </w:rPr>
        <w:t xml:space="preserve"> Sólo en tales circunstancias sería posible tomar en consideración la conducta procesal de una persona sometida a proceso penal, cuyo impulso y razonabilidad en su duración, corresponde fundamentalmente al Estado.</w:t>
      </w:r>
      <w:r w:rsidR="00877BE5" w:rsidRPr="005D2619">
        <w:rPr>
          <w:rFonts w:ascii="Cambria" w:hAnsi="Cambria"/>
          <w:sz w:val="20"/>
          <w:szCs w:val="20"/>
        </w:rPr>
        <w:t xml:space="preserve"> </w:t>
      </w:r>
      <w:r w:rsidRPr="005D2619">
        <w:rPr>
          <w:rFonts w:ascii="Cambria" w:hAnsi="Cambria"/>
          <w:sz w:val="20"/>
          <w:szCs w:val="20"/>
        </w:rPr>
        <w:t xml:space="preserve">En relación con la </w:t>
      </w:r>
      <w:r w:rsidRPr="005D2619">
        <w:rPr>
          <w:rFonts w:ascii="Cambria" w:hAnsi="Cambria"/>
          <w:sz w:val="20"/>
          <w:szCs w:val="20"/>
          <w:lang w:val="es-ES"/>
        </w:rPr>
        <w:t xml:space="preserve">conducta de las autoridades judiciales, la Comisión </w:t>
      </w:r>
      <w:r w:rsidR="009238BA" w:rsidRPr="005D2619">
        <w:rPr>
          <w:rFonts w:ascii="Cambria" w:hAnsi="Cambria"/>
          <w:sz w:val="20"/>
          <w:szCs w:val="20"/>
          <w:lang w:val="es-ES"/>
        </w:rPr>
        <w:t>resalta las</w:t>
      </w:r>
      <w:r w:rsidRPr="005D2619">
        <w:rPr>
          <w:rFonts w:ascii="Cambria" w:hAnsi="Cambria"/>
          <w:sz w:val="20"/>
          <w:szCs w:val="20"/>
          <w:lang w:val="es-ES"/>
        </w:rPr>
        <w:t xml:space="preserve"> demoras en la decisión de los recursos, las cuales no han sido justificadas por el Estado. </w:t>
      </w:r>
      <w:r w:rsidR="00622036" w:rsidRPr="005D2619">
        <w:rPr>
          <w:rFonts w:ascii="Cambria" w:hAnsi="Cambria"/>
          <w:sz w:val="20"/>
          <w:szCs w:val="20"/>
          <w:lang w:val="es-ES"/>
        </w:rPr>
        <w:t>En particular la CIDH remarca que entre la sentencia de segunda instancia y la resoluci</w:t>
      </w:r>
      <w:r w:rsidR="009A1F77" w:rsidRPr="005D2619">
        <w:rPr>
          <w:rFonts w:ascii="Cambria" w:hAnsi="Cambria"/>
          <w:sz w:val="20"/>
          <w:szCs w:val="20"/>
          <w:lang w:val="es-ES"/>
        </w:rPr>
        <w:t>ón del recurso de</w:t>
      </w:r>
      <w:r w:rsidR="00622036" w:rsidRPr="005D2619">
        <w:rPr>
          <w:rFonts w:ascii="Cambria" w:hAnsi="Cambria"/>
          <w:sz w:val="20"/>
          <w:szCs w:val="20"/>
          <w:lang w:val="es-ES"/>
        </w:rPr>
        <w:t xml:space="preserve"> casación</w:t>
      </w:r>
      <w:r w:rsidR="009A1F77" w:rsidRPr="005D2619">
        <w:rPr>
          <w:rFonts w:ascii="Cambria" w:hAnsi="Cambria"/>
          <w:sz w:val="20"/>
          <w:szCs w:val="20"/>
          <w:lang w:val="es-ES"/>
        </w:rPr>
        <w:t xml:space="preserve"> transcurrieron cinco años</w:t>
      </w:r>
      <w:r w:rsidR="00925E1D" w:rsidRPr="005D2619">
        <w:rPr>
          <w:rFonts w:ascii="Cambria" w:hAnsi="Cambria"/>
          <w:sz w:val="20"/>
          <w:szCs w:val="20"/>
          <w:lang w:val="es-ES"/>
        </w:rPr>
        <w:t xml:space="preserve"> sin que se haya justificado dicho plazo.</w:t>
      </w:r>
    </w:p>
    <w:p w14:paraId="651629A6" w14:textId="77777777" w:rsidR="0072000A" w:rsidRPr="005D2619" w:rsidRDefault="0072000A" w:rsidP="0072000A">
      <w:pPr>
        <w:pStyle w:val="BodyTextIndent"/>
        <w:ind w:left="0" w:firstLine="0"/>
        <w:rPr>
          <w:rFonts w:ascii="Cambria" w:hAnsi="Cambria"/>
          <w:sz w:val="20"/>
          <w:szCs w:val="20"/>
          <w:lang w:val="es-ES"/>
        </w:rPr>
      </w:pPr>
    </w:p>
    <w:p w14:paraId="1E48AB82" w14:textId="77777777" w:rsidR="0072000A" w:rsidRPr="005D2619" w:rsidRDefault="000E2D05" w:rsidP="00AC10FC">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rPr>
      </w:pPr>
      <w:r w:rsidRPr="005D2619">
        <w:rPr>
          <w:rFonts w:ascii="Cambria" w:hAnsi="Cambria"/>
          <w:sz w:val="20"/>
          <w:szCs w:val="20"/>
          <w:lang w:val="es-ES"/>
        </w:rPr>
        <w:t xml:space="preserve">Con relación al cuarto elemento, la Comisión destaca que el hecho de que el señor Sastoque Alfonso estuviera privado de libertad sin una condena en firme, imponía un deber de diligencia en el Estado en la resolución de los recursos. En ese sentido, esta demora de cinco años tuvo un impacto considerable en el derecho a la libertad personal del señor Sastoque quien continuaba en detención preventiva. </w:t>
      </w:r>
    </w:p>
    <w:p w14:paraId="64E86AC6" w14:textId="77777777" w:rsidR="0072000A" w:rsidRPr="005D2619" w:rsidRDefault="0072000A" w:rsidP="0072000A">
      <w:pPr>
        <w:pStyle w:val="BodyTextIndent"/>
        <w:ind w:left="0" w:firstLine="0"/>
        <w:rPr>
          <w:rFonts w:ascii="Cambria" w:hAnsi="Cambria" w:cs="Garamond"/>
          <w:spacing w:val="-2"/>
          <w:sz w:val="20"/>
          <w:szCs w:val="20"/>
          <w:lang w:val="es-ES"/>
        </w:rPr>
      </w:pPr>
    </w:p>
    <w:p w14:paraId="435511E2" w14:textId="77777777" w:rsidR="0072000A" w:rsidRPr="005D2619" w:rsidRDefault="0072000A" w:rsidP="00AC10FC">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ES"/>
        </w:rPr>
      </w:pPr>
      <w:r w:rsidRPr="005D2619">
        <w:rPr>
          <w:rFonts w:ascii="Cambria" w:hAnsi="Cambria"/>
          <w:sz w:val="20"/>
          <w:szCs w:val="20"/>
        </w:rPr>
        <w:t xml:space="preserve">Por lo señalado, la Comisión considera que </w:t>
      </w:r>
      <w:r w:rsidR="009238BA" w:rsidRPr="005D2619">
        <w:rPr>
          <w:rFonts w:ascii="Cambria" w:hAnsi="Cambria"/>
          <w:sz w:val="20"/>
          <w:szCs w:val="20"/>
        </w:rPr>
        <w:t>los más de ocho años</w:t>
      </w:r>
      <w:r w:rsidRPr="005D2619">
        <w:rPr>
          <w:rFonts w:ascii="Cambria" w:hAnsi="Cambria"/>
          <w:sz w:val="20"/>
          <w:szCs w:val="20"/>
        </w:rPr>
        <w:t xml:space="preserve"> que transcurri</w:t>
      </w:r>
      <w:r w:rsidR="000E2D05" w:rsidRPr="005D2619">
        <w:rPr>
          <w:rFonts w:ascii="Cambria" w:hAnsi="Cambria"/>
          <w:sz w:val="20"/>
          <w:szCs w:val="20"/>
        </w:rPr>
        <w:t>eron</w:t>
      </w:r>
      <w:r w:rsidRPr="005D2619">
        <w:rPr>
          <w:rFonts w:ascii="Cambria" w:hAnsi="Cambria"/>
          <w:sz w:val="20"/>
          <w:szCs w:val="20"/>
        </w:rPr>
        <w:t xml:space="preserve"> desde el inicio de la investigación hasta </w:t>
      </w:r>
      <w:r w:rsidR="000E2D05" w:rsidRPr="005D2619">
        <w:rPr>
          <w:rFonts w:ascii="Cambria" w:hAnsi="Cambria"/>
          <w:sz w:val="20"/>
          <w:szCs w:val="20"/>
        </w:rPr>
        <w:t xml:space="preserve">que la condena quedó en firme mediante la resolución del recurso de casación, </w:t>
      </w:r>
      <w:r w:rsidRPr="005D2619">
        <w:rPr>
          <w:rFonts w:ascii="Cambria" w:hAnsi="Cambria"/>
          <w:sz w:val="20"/>
          <w:szCs w:val="20"/>
        </w:rPr>
        <w:t>constituyeron un plazo excesivo que no ha sido justificado por el Estado. En consecuencia, la Comisión considera que el Estado violó la garantía de plazo razonable</w:t>
      </w:r>
      <w:r w:rsidR="009238BA" w:rsidRPr="005D2619">
        <w:rPr>
          <w:rFonts w:ascii="Cambria" w:hAnsi="Cambria"/>
          <w:sz w:val="20"/>
          <w:szCs w:val="20"/>
        </w:rPr>
        <w:t xml:space="preserve"> establecida en el artículo 8.1 de la Convención Americana, en relación con el artículo 1.1 del mismo instrumento, en perjuicio de Gustavo Sastoque Alfonso</w:t>
      </w:r>
      <w:r w:rsidRPr="005D2619">
        <w:rPr>
          <w:rFonts w:ascii="Cambria" w:hAnsi="Cambria"/>
          <w:sz w:val="20"/>
          <w:szCs w:val="20"/>
        </w:rPr>
        <w:t xml:space="preserve">. </w:t>
      </w:r>
    </w:p>
    <w:p w14:paraId="319BF0C8" w14:textId="77777777" w:rsidR="000E01C5" w:rsidRPr="005D2619" w:rsidRDefault="000E01C5" w:rsidP="006F72FC">
      <w:pPr>
        <w:spacing w:after="0" w:line="240" w:lineRule="auto"/>
        <w:rPr>
          <w:rFonts w:ascii="Cambria" w:hAnsi="Cambria"/>
          <w:sz w:val="20"/>
          <w:szCs w:val="20"/>
          <w:lang w:val="es-CR"/>
        </w:rPr>
      </w:pPr>
    </w:p>
    <w:p w14:paraId="4670EECA" w14:textId="77777777" w:rsidR="00BF3B49" w:rsidRPr="005D2619" w:rsidRDefault="00BF3B49" w:rsidP="00427392">
      <w:pPr>
        <w:numPr>
          <w:ilvl w:val="0"/>
          <w:numId w:val="59"/>
        </w:numPr>
        <w:tabs>
          <w:tab w:val="clear" w:pos="2880"/>
          <w:tab w:val="num" w:pos="1440"/>
        </w:tabs>
        <w:spacing w:after="0" w:line="240" w:lineRule="auto"/>
        <w:ind w:left="1440" w:hanging="720"/>
        <w:jc w:val="both"/>
        <w:rPr>
          <w:rFonts w:ascii="Cambria" w:hAnsi="Cambria"/>
          <w:b/>
          <w:sz w:val="20"/>
          <w:szCs w:val="20"/>
          <w:lang w:val="es-CR"/>
        </w:rPr>
      </w:pPr>
      <w:r w:rsidRPr="005D2619">
        <w:rPr>
          <w:rFonts w:ascii="Cambria" w:hAnsi="Cambria"/>
          <w:b/>
          <w:sz w:val="20"/>
          <w:szCs w:val="20"/>
          <w:lang w:val="es-CR"/>
        </w:rPr>
        <w:t>Derecho a las garantías judiciales y protecció</w:t>
      </w:r>
      <w:r w:rsidR="00462F0B" w:rsidRPr="005D2619">
        <w:rPr>
          <w:rFonts w:ascii="Cambria" w:hAnsi="Cambria"/>
          <w:b/>
          <w:sz w:val="20"/>
          <w:szCs w:val="20"/>
          <w:lang w:val="es-CR"/>
        </w:rPr>
        <w:t xml:space="preserve">n judicial en cuanto a las denuncias por falso testimonio y fraude procesal </w:t>
      </w:r>
    </w:p>
    <w:p w14:paraId="758595D1" w14:textId="77777777" w:rsidR="000F6189" w:rsidRPr="005D2619" w:rsidRDefault="000F6189" w:rsidP="000F6189">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ES"/>
        </w:rPr>
      </w:pPr>
    </w:p>
    <w:p w14:paraId="20D17C59" w14:textId="588DD6A2" w:rsidR="00A67E07" w:rsidRPr="005D2619" w:rsidRDefault="00A67E07" w:rsidP="00AC10FC">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ES"/>
        </w:rPr>
      </w:pPr>
      <w:r w:rsidRPr="005D2619">
        <w:rPr>
          <w:rFonts w:ascii="Cambria" w:hAnsi="Cambria"/>
          <w:sz w:val="20"/>
          <w:szCs w:val="20"/>
          <w:lang w:val="es-ES"/>
        </w:rPr>
        <w:t>L</w:t>
      </w:r>
      <w:r w:rsidR="008F1FA4" w:rsidRPr="005D2619">
        <w:rPr>
          <w:rFonts w:ascii="Cambria" w:hAnsi="Cambria"/>
          <w:sz w:val="20"/>
          <w:szCs w:val="20"/>
          <w:lang w:val="es-ES"/>
        </w:rPr>
        <w:t xml:space="preserve">a Comisión observa que </w:t>
      </w:r>
      <w:r w:rsidR="008D69E6" w:rsidRPr="005D2619">
        <w:rPr>
          <w:rFonts w:ascii="Cambria" w:hAnsi="Cambria"/>
          <w:sz w:val="20"/>
          <w:szCs w:val="20"/>
          <w:lang w:val="es-ES"/>
        </w:rPr>
        <w:t xml:space="preserve">en junio de 1999 el señor Sastoque presentó una denuncia por falso testimonio y fraude procesal en contra de los testigos </w:t>
      </w:r>
      <w:r w:rsidRPr="005D2619">
        <w:rPr>
          <w:rFonts w:ascii="Cambria" w:hAnsi="Cambria"/>
          <w:sz w:val="20"/>
          <w:szCs w:val="20"/>
          <w:lang w:val="es-ES"/>
        </w:rPr>
        <w:t xml:space="preserve">con identidad reservada </w:t>
      </w:r>
      <w:r w:rsidR="008D69E6" w:rsidRPr="005D2619">
        <w:rPr>
          <w:rFonts w:ascii="Cambria" w:hAnsi="Cambria"/>
          <w:sz w:val="20"/>
          <w:szCs w:val="20"/>
          <w:lang w:val="es-ES"/>
        </w:rPr>
        <w:t>No. 1 y No. 2. La CIDH resalta que la investigación precluyó diez años después. Al respecto, la Comisión observa, conforme a la información recibida por las partes, que las autoridades colombian</w:t>
      </w:r>
      <w:r w:rsidRPr="005D2619">
        <w:rPr>
          <w:rFonts w:ascii="Cambria" w:hAnsi="Cambria"/>
          <w:sz w:val="20"/>
          <w:szCs w:val="20"/>
          <w:lang w:val="es-ES"/>
        </w:rPr>
        <w:t>a</w:t>
      </w:r>
      <w:r w:rsidR="008D69E6" w:rsidRPr="005D2619">
        <w:rPr>
          <w:rFonts w:ascii="Cambria" w:hAnsi="Cambria"/>
          <w:sz w:val="20"/>
          <w:szCs w:val="20"/>
          <w:lang w:val="es-ES"/>
        </w:rPr>
        <w:t>s no realizaron mayores diligencias a efectos de determinar las eventuales responsabilidades</w:t>
      </w:r>
      <w:r w:rsidRPr="005D2619">
        <w:rPr>
          <w:rFonts w:ascii="Cambria" w:hAnsi="Cambria"/>
          <w:sz w:val="20"/>
          <w:szCs w:val="20"/>
          <w:lang w:val="es-ES"/>
        </w:rPr>
        <w:t xml:space="preserve">, no obstante los múltiples indicios que surgieron y que se encuentran descritos en las determinaciones de hechos, sobre que el proceso contra el señor Sastoque Alfonso pudo ser un montaje </w:t>
      </w:r>
      <w:r w:rsidR="00F96DCA" w:rsidRPr="005D2619">
        <w:rPr>
          <w:rFonts w:ascii="Cambria" w:hAnsi="Cambria"/>
          <w:sz w:val="20"/>
          <w:szCs w:val="20"/>
          <w:lang w:val="es-ES"/>
        </w:rPr>
        <w:t>por parte de múltiples agentes estatales</w:t>
      </w:r>
      <w:r w:rsidR="000D2B72" w:rsidRPr="005D2619">
        <w:rPr>
          <w:rFonts w:ascii="Cambria" w:hAnsi="Cambria"/>
          <w:sz w:val="20"/>
          <w:szCs w:val="20"/>
          <w:lang w:val="es-ES"/>
        </w:rPr>
        <w:t xml:space="preserve"> </w:t>
      </w:r>
      <w:r w:rsidRPr="005D2619">
        <w:rPr>
          <w:rFonts w:ascii="Cambria" w:hAnsi="Cambria"/>
          <w:sz w:val="20"/>
          <w:szCs w:val="20"/>
          <w:lang w:val="es-ES"/>
        </w:rPr>
        <w:t>y</w:t>
      </w:r>
      <w:r w:rsidR="000D2B72" w:rsidRPr="005D2619">
        <w:rPr>
          <w:rFonts w:ascii="Cambria" w:hAnsi="Cambria"/>
          <w:sz w:val="20"/>
          <w:szCs w:val="20"/>
          <w:lang w:val="es-ES"/>
        </w:rPr>
        <w:t>,</w:t>
      </w:r>
      <w:r w:rsidRPr="005D2619">
        <w:rPr>
          <w:rFonts w:ascii="Cambria" w:hAnsi="Cambria"/>
          <w:sz w:val="20"/>
          <w:szCs w:val="20"/>
          <w:lang w:val="es-ES"/>
        </w:rPr>
        <w:t xml:space="preserve"> por lo tanto, un uso arbitrario del derecho penal con la finalidad de encubrir un hecho. Estos indicios se encuentran fuertemente respaldados por las múltiples violaciones al debido proceso ya citadas en el presente informe de fondo, particularmente las </w:t>
      </w:r>
      <w:r w:rsidR="00E60843" w:rsidRPr="005D2619">
        <w:rPr>
          <w:rFonts w:ascii="Cambria" w:hAnsi="Cambria"/>
          <w:sz w:val="20"/>
          <w:szCs w:val="20"/>
          <w:lang w:val="es-ES"/>
        </w:rPr>
        <w:t xml:space="preserve">relacionadas con el principio de presunción de inocencia. </w:t>
      </w:r>
    </w:p>
    <w:p w14:paraId="1F9C1AE8" w14:textId="77777777" w:rsidR="00A67E07" w:rsidRPr="005D2619" w:rsidRDefault="00A67E07" w:rsidP="00E07E25">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sz w:val="20"/>
          <w:szCs w:val="20"/>
          <w:lang w:val="es-ES"/>
        </w:rPr>
      </w:pPr>
    </w:p>
    <w:p w14:paraId="42C0EF14" w14:textId="77777777" w:rsidR="00A67E07" w:rsidRPr="005D2619" w:rsidRDefault="00A67E07" w:rsidP="00AC10FC">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ES"/>
        </w:rPr>
      </w:pPr>
      <w:r w:rsidRPr="005D2619">
        <w:rPr>
          <w:rFonts w:ascii="Cambria" w:hAnsi="Cambria"/>
          <w:sz w:val="20"/>
          <w:szCs w:val="20"/>
          <w:lang w:val="es-ES"/>
        </w:rPr>
        <w:t xml:space="preserve">Fue </w:t>
      </w:r>
      <w:r w:rsidR="008D69E6" w:rsidRPr="005D2619">
        <w:rPr>
          <w:rFonts w:ascii="Cambria" w:hAnsi="Cambria"/>
          <w:sz w:val="20"/>
          <w:szCs w:val="20"/>
          <w:lang w:val="es-ES"/>
        </w:rPr>
        <w:t>recién en el año 2011 que se decidió reabrir la investigación</w:t>
      </w:r>
      <w:r w:rsidR="002250C7" w:rsidRPr="005D2619">
        <w:rPr>
          <w:rFonts w:ascii="Cambria" w:hAnsi="Cambria"/>
          <w:sz w:val="20"/>
          <w:szCs w:val="20"/>
          <w:lang w:val="es-ES"/>
        </w:rPr>
        <w:t xml:space="preserve">. La CIDH observa que el plazo transcurrido constituye una vulneración </w:t>
      </w:r>
      <w:r w:rsidR="00E60843" w:rsidRPr="005D2619">
        <w:rPr>
          <w:rFonts w:ascii="Cambria" w:hAnsi="Cambria"/>
          <w:sz w:val="20"/>
          <w:szCs w:val="20"/>
          <w:lang w:val="es-ES"/>
        </w:rPr>
        <w:t xml:space="preserve">adicional a las garantías judiciales y protección judicial de la víctima, </w:t>
      </w:r>
      <w:r w:rsidR="002250C7" w:rsidRPr="005D2619">
        <w:rPr>
          <w:rFonts w:ascii="Cambria" w:hAnsi="Cambria"/>
          <w:sz w:val="20"/>
          <w:szCs w:val="20"/>
          <w:lang w:val="es-ES"/>
        </w:rPr>
        <w:t>porque dicho proceso no ha constituido un recurso adecuado y efectivo para esclarecer lo sucedido con los presuntos falsos</w:t>
      </w:r>
      <w:r w:rsidR="00E60843" w:rsidRPr="005D2619">
        <w:rPr>
          <w:rFonts w:ascii="Cambria" w:hAnsi="Cambria"/>
          <w:sz w:val="20"/>
          <w:szCs w:val="20"/>
          <w:lang w:val="es-ES"/>
        </w:rPr>
        <w:t xml:space="preserve"> testimonios,</w:t>
      </w:r>
      <w:r w:rsidR="002250C7" w:rsidRPr="005D2619">
        <w:rPr>
          <w:rFonts w:ascii="Cambria" w:hAnsi="Cambria"/>
          <w:sz w:val="20"/>
          <w:szCs w:val="20"/>
          <w:lang w:val="es-ES"/>
        </w:rPr>
        <w:t xml:space="preserve"> para determinar las respectivas responsabilidades</w:t>
      </w:r>
      <w:r w:rsidR="00E60843" w:rsidRPr="005D2619">
        <w:rPr>
          <w:rFonts w:ascii="Cambria" w:hAnsi="Cambria"/>
          <w:sz w:val="20"/>
          <w:szCs w:val="20"/>
          <w:lang w:val="es-ES"/>
        </w:rPr>
        <w:t xml:space="preserve"> penales, así como las implicaciones a que haya lugar en cuanto a los antecedentes penales del señor Sastoque y la reparación frente a supuestos de error judicial. </w:t>
      </w:r>
    </w:p>
    <w:p w14:paraId="7EA09FF6" w14:textId="77777777" w:rsidR="00A67E07" w:rsidRPr="005D2619" w:rsidRDefault="00A67E07" w:rsidP="00E07E25">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sz w:val="20"/>
          <w:szCs w:val="20"/>
          <w:lang w:val="es-ES"/>
        </w:rPr>
      </w:pPr>
    </w:p>
    <w:p w14:paraId="7325AE6E" w14:textId="77777777" w:rsidR="00A67E07" w:rsidRPr="005D2619" w:rsidRDefault="00A67E07" w:rsidP="00AC10FC">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ES"/>
        </w:rPr>
      </w:pPr>
      <w:r w:rsidRPr="005D2619">
        <w:rPr>
          <w:rFonts w:ascii="Cambria" w:hAnsi="Cambria"/>
          <w:sz w:val="20"/>
          <w:szCs w:val="20"/>
          <w:lang w:val="es-ES"/>
        </w:rPr>
        <w:t xml:space="preserve">Por otro lado, la CIDH toma nota de que no se presentó información sobre si se iniciaron investigaciones por la muerte del abogado del señor Sastoque, Eduardo Umaña. En particular, el Estado colombiano no indicó si se realizó una investigación y si la misma indagó sobre los posibles vínculos de este hecho con el proceso penal que se seguía en contra del señor Sastoque, incluyendo a los funcionarios públicos que lo involucraron en la muerte de Hernando Pizarro. </w:t>
      </w:r>
    </w:p>
    <w:p w14:paraId="07A19ACA" w14:textId="77777777" w:rsidR="00A67E07" w:rsidRPr="005D2619" w:rsidRDefault="00A67E07" w:rsidP="00E07E25">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ES"/>
        </w:rPr>
      </w:pPr>
    </w:p>
    <w:p w14:paraId="5DBBEF5A" w14:textId="7E09C51C" w:rsidR="002250C7" w:rsidRPr="005D2619" w:rsidRDefault="002250C7" w:rsidP="00AC10FC">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ES"/>
        </w:rPr>
      </w:pPr>
      <w:r w:rsidRPr="005D2619">
        <w:rPr>
          <w:rFonts w:ascii="Cambria" w:hAnsi="Cambria"/>
          <w:sz w:val="20"/>
          <w:szCs w:val="20"/>
          <w:lang w:val="es-ES"/>
        </w:rPr>
        <w:lastRenderedPageBreak/>
        <w:t xml:space="preserve">En consecuencia, la Comisión declara que el Estado colombiano vulneró </w:t>
      </w:r>
      <w:r w:rsidR="00462F0B" w:rsidRPr="005D2619">
        <w:rPr>
          <w:rFonts w:ascii="Cambria" w:hAnsi="Cambria"/>
          <w:sz w:val="20"/>
          <w:szCs w:val="20"/>
          <w:lang w:val="es-ES"/>
        </w:rPr>
        <w:t>los derechos a las garantías judiciales y</w:t>
      </w:r>
      <w:r w:rsidRPr="005D2619">
        <w:rPr>
          <w:rFonts w:ascii="Cambria" w:hAnsi="Cambria"/>
          <w:sz w:val="20"/>
          <w:szCs w:val="20"/>
          <w:lang w:val="es-ES"/>
        </w:rPr>
        <w:t xml:space="preserve"> protección judicial establecido</w:t>
      </w:r>
      <w:r w:rsidR="00462F0B" w:rsidRPr="005D2619">
        <w:rPr>
          <w:rFonts w:ascii="Cambria" w:hAnsi="Cambria"/>
          <w:sz w:val="20"/>
          <w:szCs w:val="20"/>
          <w:lang w:val="es-ES"/>
        </w:rPr>
        <w:t>s</w:t>
      </w:r>
      <w:r w:rsidRPr="005D2619">
        <w:rPr>
          <w:rFonts w:ascii="Cambria" w:hAnsi="Cambria"/>
          <w:sz w:val="20"/>
          <w:szCs w:val="20"/>
          <w:lang w:val="es-ES"/>
        </w:rPr>
        <w:t xml:space="preserve"> en </w:t>
      </w:r>
      <w:r w:rsidR="00462F0B" w:rsidRPr="005D2619">
        <w:rPr>
          <w:rFonts w:ascii="Cambria" w:hAnsi="Cambria"/>
          <w:sz w:val="20"/>
          <w:szCs w:val="20"/>
          <w:lang w:val="es-ES"/>
        </w:rPr>
        <w:t>los</w:t>
      </w:r>
      <w:r w:rsidRPr="005D2619">
        <w:rPr>
          <w:rFonts w:ascii="Cambria" w:hAnsi="Cambria"/>
          <w:sz w:val="20"/>
          <w:szCs w:val="20"/>
          <w:lang w:val="es-ES"/>
        </w:rPr>
        <w:t xml:space="preserve"> artículo</w:t>
      </w:r>
      <w:r w:rsidR="00462F0B" w:rsidRPr="005D2619">
        <w:rPr>
          <w:rFonts w:ascii="Cambria" w:hAnsi="Cambria"/>
          <w:sz w:val="20"/>
          <w:szCs w:val="20"/>
          <w:lang w:val="es-ES"/>
        </w:rPr>
        <w:t>s 8.1 y</w:t>
      </w:r>
      <w:r w:rsidRPr="005D2619">
        <w:rPr>
          <w:rFonts w:ascii="Cambria" w:hAnsi="Cambria"/>
          <w:sz w:val="20"/>
          <w:szCs w:val="20"/>
          <w:lang w:val="es-ES"/>
        </w:rPr>
        <w:t xml:space="preserve"> 25.1 de la Convención Americana, en relación con el artículo 1.1 del mismo instrumento, en perjuicio de Gustavo Sastoque Alfonso.</w:t>
      </w:r>
    </w:p>
    <w:p w14:paraId="0DDA43D6" w14:textId="77777777" w:rsidR="00A67E07" w:rsidRPr="005D2619" w:rsidRDefault="00A67E07" w:rsidP="00E07E25">
      <w:pPr>
        <w:spacing w:after="0" w:line="240" w:lineRule="auto"/>
        <w:jc w:val="both"/>
        <w:rPr>
          <w:rFonts w:ascii="Cambria" w:hAnsi="Cambria"/>
          <w:b/>
          <w:sz w:val="20"/>
          <w:szCs w:val="20"/>
          <w:lang w:val="es-CR"/>
        </w:rPr>
      </w:pPr>
    </w:p>
    <w:p w14:paraId="0969310D" w14:textId="77777777" w:rsidR="00A67E07" w:rsidRPr="00C4427B" w:rsidRDefault="00C577C6" w:rsidP="007C4794">
      <w:pPr>
        <w:pStyle w:val="Heading2"/>
        <w:numPr>
          <w:ilvl w:val="0"/>
          <w:numId w:val="55"/>
        </w:numPr>
        <w:rPr>
          <w:lang w:val="es-ES_tradnl"/>
        </w:rPr>
      </w:pPr>
      <w:bookmarkStart w:id="27" w:name="_Toc203986809"/>
      <w:r w:rsidRPr="00C4427B">
        <w:rPr>
          <w:lang w:val="es-CR"/>
        </w:rPr>
        <w:t>Derecho a la libertad personal</w:t>
      </w:r>
      <w:r w:rsidR="00A67E07" w:rsidRPr="00C4427B">
        <w:rPr>
          <w:lang w:val="es-CR"/>
        </w:rPr>
        <w:t xml:space="preserve"> </w:t>
      </w:r>
      <w:r w:rsidR="008E64EB" w:rsidRPr="00C4427B">
        <w:rPr>
          <w:lang w:val="es-CR"/>
        </w:rPr>
        <w:t>tras la condena en firme</w:t>
      </w:r>
      <w:bookmarkEnd w:id="27"/>
    </w:p>
    <w:p w14:paraId="238B7E11" w14:textId="77777777" w:rsidR="008E64EB" w:rsidRPr="005D2619" w:rsidRDefault="008E64EB" w:rsidP="00072EF4">
      <w:pPr>
        <w:spacing w:after="0" w:line="240" w:lineRule="auto"/>
        <w:rPr>
          <w:lang w:val="es-ES"/>
        </w:rPr>
      </w:pPr>
    </w:p>
    <w:p w14:paraId="39700A73" w14:textId="77777777" w:rsidR="00072EF4" w:rsidRPr="005D2619" w:rsidRDefault="00072EF4" w:rsidP="00AC10FC">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bCs/>
          <w:sz w:val="20"/>
          <w:szCs w:val="20"/>
          <w:lang w:val="es-ES"/>
        </w:rPr>
      </w:pPr>
      <w:r w:rsidRPr="005D2619">
        <w:rPr>
          <w:rFonts w:ascii="Cambria" w:hAnsi="Cambria"/>
          <w:bCs/>
          <w:sz w:val="20"/>
          <w:szCs w:val="20"/>
          <w:lang w:val="es-ES"/>
        </w:rPr>
        <w:t xml:space="preserve">En el presente informe, la Comisión ya estableció que tanto la detención inicial como la detención preventiva del señor Sastoque Alfonso fue violaría de la Convención Americana. En este punto, la CIDH se pronuncia sobre la privación de libertad como consecuencia de la condena impuesta a la víctima. </w:t>
      </w:r>
    </w:p>
    <w:p w14:paraId="1A4DA111" w14:textId="77777777" w:rsidR="00072EF4" w:rsidRPr="005D2619" w:rsidRDefault="00072EF4" w:rsidP="00072EF4">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bCs/>
          <w:sz w:val="20"/>
          <w:szCs w:val="20"/>
          <w:lang w:val="es-ES"/>
        </w:rPr>
      </w:pPr>
    </w:p>
    <w:p w14:paraId="2F28C100" w14:textId="77777777" w:rsidR="00072EF4" w:rsidRPr="005D2619" w:rsidRDefault="00072EF4" w:rsidP="00AC10FC">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bCs/>
          <w:sz w:val="20"/>
          <w:szCs w:val="20"/>
          <w:lang w:val="es-ES"/>
        </w:rPr>
      </w:pPr>
      <w:r w:rsidRPr="005D2619">
        <w:rPr>
          <w:rFonts w:ascii="Cambria" w:hAnsi="Cambria"/>
          <w:bCs/>
          <w:sz w:val="20"/>
          <w:szCs w:val="20"/>
          <w:lang w:val="es-ES"/>
        </w:rPr>
        <w:t xml:space="preserve">La </w:t>
      </w:r>
      <w:r w:rsidRPr="005D2619">
        <w:rPr>
          <w:rFonts w:ascii="Cambria" w:hAnsi="Cambria"/>
          <w:sz w:val="20"/>
          <w:szCs w:val="20"/>
          <w:lang w:val="es-ES"/>
        </w:rPr>
        <w:t>Comisión</w:t>
      </w:r>
      <w:r w:rsidRPr="005D2619">
        <w:rPr>
          <w:rFonts w:ascii="Cambria" w:hAnsi="Cambria"/>
          <w:bCs/>
          <w:sz w:val="20"/>
          <w:szCs w:val="20"/>
          <w:lang w:val="es-ES"/>
        </w:rPr>
        <w:t xml:space="preserve"> ha sostenido que, en ciertas circunstancias, las violaciones a derechos humanos al momento de adoptar decisiones relacionadas con la libertad de una persona, pueden tornar arbitraria la detención que pudiere resultar de dichas decisiones</w:t>
      </w:r>
      <w:r w:rsidRPr="005D2619">
        <w:rPr>
          <w:rStyle w:val="FootnoteReference"/>
          <w:rFonts w:ascii="Cambria" w:hAnsi="Cambria"/>
          <w:bCs/>
          <w:sz w:val="20"/>
          <w:szCs w:val="20"/>
          <w:lang w:val="es-ES"/>
        </w:rPr>
        <w:footnoteReference w:id="116"/>
      </w:r>
      <w:r w:rsidRPr="005D2619">
        <w:rPr>
          <w:rFonts w:ascii="Cambria" w:hAnsi="Cambria"/>
          <w:bCs/>
          <w:sz w:val="20"/>
          <w:szCs w:val="20"/>
          <w:lang w:val="es-ES"/>
        </w:rPr>
        <w:t>. En similar sentido, la Corte ha considerado que la violación a las garantías judiciales puede generar el efecto de viciar el proceso, así como las consecuencias derivadas del mismo, incluyendo la detención de una persona</w:t>
      </w:r>
      <w:r w:rsidRPr="005D2619">
        <w:rPr>
          <w:rStyle w:val="FootnoteReference"/>
          <w:rFonts w:ascii="Cambria" w:hAnsi="Cambria"/>
          <w:bCs/>
          <w:sz w:val="20"/>
          <w:szCs w:val="20"/>
          <w:lang w:val="es-ES"/>
        </w:rPr>
        <w:footnoteReference w:id="117"/>
      </w:r>
      <w:r w:rsidRPr="005D2619">
        <w:rPr>
          <w:rFonts w:ascii="Cambria" w:hAnsi="Cambria"/>
          <w:bCs/>
          <w:sz w:val="20"/>
          <w:szCs w:val="20"/>
          <w:lang w:val="es-ES"/>
        </w:rPr>
        <w:t xml:space="preserve">. Así por ejemplo, uno de los criterios tomados en cuenta por el Grupo de Trabajo de Naciones Unidas sobre la Detención Arbitraria para determinar cuándo una privación de libertad puede considerarse arbitraria, se encuentra definido en los siguientes términos: </w:t>
      </w:r>
    </w:p>
    <w:p w14:paraId="4980DCD7" w14:textId="77777777" w:rsidR="00072EF4" w:rsidRPr="005D2619" w:rsidRDefault="00072EF4" w:rsidP="00072EF4">
      <w:pPr>
        <w:suppressAutoHyphens/>
        <w:spacing w:after="0" w:line="240" w:lineRule="auto"/>
        <w:jc w:val="both"/>
        <w:rPr>
          <w:rFonts w:ascii="Cambria" w:hAnsi="Cambria"/>
          <w:bCs/>
          <w:sz w:val="20"/>
          <w:szCs w:val="20"/>
          <w:lang w:val="es-ES"/>
        </w:rPr>
      </w:pPr>
    </w:p>
    <w:p w14:paraId="6FA4F4A7" w14:textId="77777777" w:rsidR="00072EF4" w:rsidRPr="005D2619" w:rsidRDefault="00072EF4" w:rsidP="00072EF4">
      <w:pPr>
        <w:suppressAutoHyphens/>
        <w:spacing w:after="0" w:line="240" w:lineRule="auto"/>
        <w:ind w:left="708" w:right="720"/>
        <w:jc w:val="both"/>
        <w:rPr>
          <w:rFonts w:ascii="Cambria" w:hAnsi="Cambria"/>
          <w:bCs/>
          <w:sz w:val="20"/>
          <w:szCs w:val="20"/>
          <w:lang w:val="es-ES"/>
        </w:rPr>
      </w:pPr>
      <w:r w:rsidRPr="005D2619">
        <w:rPr>
          <w:rFonts w:ascii="Cambria" w:hAnsi="Cambria"/>
          <w:bCs/>
          <w:sz w:val="20"/>
          <w:szCs w:val="20"/>
          <w:lang w:val="es-ES"/>
        </w:rPr>
        <w:t>[C]uando la inobservancia, total o parcial, de las normas internacionales relativas al derecho a un juicio imparcial, establecidas en […] los instrumentos internacionales pertinentes aceptados por los Estados afectados, es de una gravedad tal que confiere a la privación de libertad carácter arbitrario</w:t>
      </w:r>
      <w:r w:rsidRPr="005D2619">
        <w:rPr>
          <w:rStyle w:val="FootnoteReference"/>
          <w:rFonts w:ascii="Cambria" w:hAnsi="Cambria"/>
          <w:bCs/>
          <w:sz w:val="20"/>
          <w:szCs w:val="20"/>
          <w:lang w:val="es-ES"/>
        </w:rPr>
        <w:footnoteReference w:id="118"/>
      </w:r>
      <w:r w:rsidRPr="005D2619">
        <w:rPr>
          <w:rFonts w:ascii="Cambria" w:hAnsi="Cambria"/>
          <w:bCs/>
          <w:sz w:val="20"/>
          <w:szCs w:val="20"/>
          <w:lang w:val="es-ES"/>
        </w:rPr>
        <w:t xml:space="preserve">.  </w:t>
      </w:r>
    </w:p>
    <w:p w14:paraId="264A8EA0" w14:textId="77777777" w:rsidR="00072EF4" w:rsidRPr="005D2619" w:rsidRDefault="00072EF4" w:rsidP="00072EF4">
      <w:pPr>
        <w:suppressAutoHyphens/>
        <w:spacing w:after="0" w:line="240" w:lineRule="auto"/>
        <w:jc w:val="both"/>
        <w:rPr>
          <w:rFonts w:ascii="Cambria" w:hAnsi="Cambria"/>
          <w:bCs/>
          <w:sz w:val="20"/>
          <w:szCs w:val="20"/>
          <w:lang w:val="es-ES"/>
        </w:rPr>
      </w:pPr>
    </w:p>
    <w:p w14:paraId="154E4F98" w14:textId="59D640E7" w:rsidR="00072EF4" w:rsidRPr="005D2619" w:rsidRDefault="00072EF4" w:rsidP="00AC10FC">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bCs/>
          <w:sz w:val="20"/>
          <w:szCs w:val="20"/>
          <w:lang w:val="es-ES"/>
        </w:rPr>
      </w:pPr>
      <w:r w:rsidRPr="005D2619">
        <w:rPr>
          <w:rFonts w:ascii="Cambria" w:hAnsi="Cambria"/>
          <w:bCs/>
          <w:sz w:val="20"/>
          <w:szCs w:val="20"/>
          <w:lang w:val="es-ES"/>
        </w:rPr>
        <w:t>De esta forma, la Comisión constata que</w:t>
      </w:r>
      <w:r w:rsidR="00CE74A6">
        <w:rPr>
          <w:rFonts w:ascii="Cambria" w:hAnsi="Cambria"/>
          <w:bCs/>
          <w:sz w:val="20"/>
          <w:szCs w:val="20"/>
          <w:lang w:val="es-ES"/>
        </w:rPr>
        <w:t>,</w:t>
      </w:r>
      <w:r w:rsidRPr="005D2619">
        <w:rPr>
          <w:rFonts w:ascii="Cambria" w:hAnsi="Cambria"/>
          <w:bCs/>
          <w:sz w:val="20"/>
          <w:szCs w:val="20"/>
          <w:lang w:val="es-ES"/>
        </w:rPr>
        <w:t xml:space="preserve"> si bien la privación de libertad que se analiza en este punto se basó en una sentencia condenatoria emitida por una autoridad judicial, ésta devino arbitraria</w:t>
      </w:r>
      <w:r w:rsidRPr="005D2619">
        <w:rPr>
          <w:rStyle w:val="FootnoteReference"/>
          <w:rFonts w:ascii="Cambria" w:hAnsi="Cambria"/>
          <w:bCs/>
          <w:sz w:val="20"/>
          <w:szCs w:val="20"/>
          <w:lang w:val="es-ES"/>
        </w:rPr>
        <w:footnoteReference w:id="119"/>
      </w:r>
      <w:r w:rsidRPr="005D2619">
        <w:rPr>
          <w:rFonts w:ascii="Cambria" w:hAnsi="Cambria"/>
          <w:bCs/>
          <w:sz w:val="20"/>
          <w:szCs w:val="20"/>
          <w:lang w:val="es-ES"/>
        </w:rPr>
        <w:t xml:space="preserve">. </w:t>
      </w:r>
      <w:r w:rsidRPr="005D2619">
        <w:rPr>
          <w:rFonts w:ascii="Cambria" w:hAnsi="Cambria" w:cs="Arial"/>
          <w:sz w:val="20"/>
          <w:szCs w:val="20"/>
          <w:lang w:val="es-ES"/>
        </w:rPr>
        <w:t>La Comisión ha señalado que las personas sólo pueden ser objeto de una restricción a su libertad mediante sentencia basada en un proceso penal durante el cual hayan tenido la oportunidad de defenderse</w:t>
      </w:r>
      <w:r w:rsidRPr="005D2619">
        <w:rPr>
          <w:rStyle w:val="FootnoteReference"/>
          <w:rFonts w:ascii="Cambria" w:hAnsi="Cambria" w:cs="Arial"/>
          <w:sz w:val="20"/>
          <w:szCs w:val="20"/>
          <w:lang w:val="es-ES"/>
        </w:rPr>
        <w:footnoteReference w:id="120"/>
      </w:r>
      <w:r w:rsidRPr="005D2619">
        <w:rPr>
          <w:rFonts w:ascii="Cambria" w:hAnsi="Cambria" w:cs="Arial"/>
          <w:sz w:val="20"/>
          <w:szCs w:val="20"/>
          <w:lang w:val="es-ES"/>
        </w:rPr>
        <w:t xml:space="preserve">, situación que no se presentó en el presente caso en el cual, además confluyeron múltiples violaciones al debido proceso, incluyendo el principio de presunción de inocencia, como se analizó a lo largo del presente informe de fondo.  </w:t>
      </w:r>
      <w:r w:rsidRPr="005D2619">
        <w:rPr>
          <w:rFonts w:ascii="Cambria" w:hAnsi="Cambria"/>
          <w:bCs/>
          <w:sz w:val="20"/>
          <w:szCs w:val="20"/>
          <w:lang w:val="es-ES"/>
        </w:rPr>
        <w:t>En ese sentido, la Comisión concluye que la privación de libertad del señor Sastoque Alfonso tras la condena en firme en su contra, también fue arbitraria, por lo que el Estado continuó violando en su perjuicio los artículos 7.1 y 7.3 de la Convención Americana, en relación con el artículo 1.1 de la misma.</w:t>
      </w:r>
    </w:p>
    <w:p w14:paraId="785027EC" w14:textId="77777777" w:rsidR="00072EF4" w:rsidRPr="005D2619" w:rsidRDefault="00072EF4" w:rsidP="00072EF4">
      <w:pPr>
        <w:spacing w:after="0" w:line="240" w:lineRule="auto"/>
        <w:rPr>
          <w:lang w:val="es-ES"/>
        </w:rPr>
      </w:pPr>
    </w:p>
    <w:p w14:paraId="3618814C" w14:textId="77777777" w:rsidR="00431D74" w:rsidRPr="00C4427B" w:rsidRDefault="00431D74" w:rsidP="007C4794">
      <w:pPr>
        <w:pStyle w:val="Heading2"/>
        <w:numPr>
          <w:ilvl w:val="0"/>
          <w:numId w:val="55"/>
        </w:numPr>
        <w:rPr>
          <w:lang w:val="es-ES_tradnl"/>
        </w:rPr>
      </w:pPr>
      <w:bookmarkStart w:id="28" w:name="_Toc203986810"/>
      <w:r w:rsidRPr="00C4427B">
        <w:rPr>
          <w:lang w:val="es-CR"/>
        </w:rPr>
        <w:t>Derec</w:t>
      </w:r>
      <w:r w:rsidR="008E64EB" w:rsidRPr="00C4427B">
        <w:rPr>
          <w:lang w:val="es-CR"/>
        </w:rPr>
        <w:t>h</w:t>
      </w:r>
      <w:r w:rsidR="00F36730">
        <w:rPr>
          <w:lang w:val="es-CR"/>
        </w:rPr>
        <w:t xml:space="preserve">o </w:t>
      </w:r>
      <w:r w:rsidRPr="00C4427B">
        <w:rPr>
          <w:lang w:val="es-CR"/>
        </w:rPr>
        <w:t>a la integridad</w:t>
      </w:r>
      <w:r w:rsidR="00E7306A" w:rsidRPr="00C4427B">
        <w:rPr>
          <w:lang w:val="es-CR"/>
        </w:rPr>
        <w:t xml:space="preserve"> personal</w:t>
      </w:r>
      <w:r w:rsidRPr="00C4427B">
        <w:rPr>
          <w:rStyle w:val="FootnoteReference"/>
          <w:lang w:val="es-CR"/>
        </w:rPr>
        <w:footnoteReference w:id="121"/>
      </w:r>
      <w:bookmarkEnd w:id="28"/>
    </w:p>
    <w:p w14:paraId="6524FE20" w14:textId="77777777" w:rsidR="001A2094" w:rsidRPr="005D2619" w:rsidRDefault="001A2094" w:rsidP="00E07E25">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bCs/>
          <w:sz w:val="20"/>
          <w:szCs w:val="20"/>
          <w:lang w:val="es-ES"/>
        </w:rPr>
      </w:pPr>
    </w:p>
    <w:p w14:paraId="5735F055" w14:textId="77777777" w:rsidR="00C4427B" w:rsidRDefault="00E7306A" w:rsidP="00AC10FC">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bCs/>
          <w:sz w:val="20"/>
          <w:szCs w:val="20"/>
          <w:lang w:val="es-ES"/>
        </w:rPr>
      </w:pPr>
      <w:r w:rsidRPr="005D2619">
        <w:rPr>
          <w:rFonts w:ascii="Cambria" w:hAnsi="Cambria"/>
          <w:bCs/>
          <w:sz w:val="20"/>
          <w:szCs w:val="20"/>
          <w:lang w:val="es-ES"/>
        </w:rPr>
        <w:t>L</w:t>
      </w:r>
      <w:r w:rsidR="001A2094" w:rsidRPr="005D2619">
        <w:rPr>
          <w:rFonts w:ascii="Cambria" w:hAnsi="Cambria"/>
          <w:bCs/>
          <w:sz w:val="20"/>
          <w:szCs w:val="20"/>
          <w:lang w:val="es-ES"/>
        </w:rPr>
        <w:t>a Comisión considera que en las circunstancias del presente caso también se configuró una violación al derecho a la integridad personal del señor Sastoque Alfonso. La víctima  pe</w:t>
      </w:r>
      <w:r w:rsidR="00C4427B">
        <w:rPr>
          <w:rFonts w:ascii="Cambria" w:hAnsi="Cambria"/>
          <w:bCs/>
          <w:sz w:val="20"/>
          <w:szCs w:val="20"/>
          <w:lang w:val="es-ES"/>
        </w:rPr>
        <w:t xml:space="preserve">rmaneció más de 10 años privado </w:t>
      </w:r>
      <w:r w:rsidR="001A2094" w:rsidRPr="005D2619">
        <w:rPr>
          <w:rFonts w:ascii="Cambria" w:hAnsi="Cambria"/>
          <w:bCs/>
          <w:sz w:val="20"/>
          <w:szCs w:val="20"/>
          <w:lang w:val="es-ES"/>
        </w:rPr>
        <w:t>de libertad como consecuencia de un proceso penal abiertamente violatorio de las garantías más fundamentales. Así,</w:t>
      </w:r>
      <w:r w:rsidR="00C45830" w:rsidRPr="005D2619">
        <w:rPr>
          <w:rFonts w:ascii="Cambria" w:hAnsi="Cambria"/>
          <w:bCs/>
          <w:sz w:val="20"/>
          <w:szCs w:val="20"/>
          <w:lang w:val="es-ES"/>
        </w:rPr>
        <w:t xml:space="preserve"> estuvo sometido a una privación de libertad ilegal y arbitraria, tanto antes como después de la condena en firme. Además, </w:t>
      </w:r>
      <w:r w:rsidR="001A2094" w:rsidRPr="005D2619">
        <w:rPr>
          <w:rFonts w:ascii="Cambria" w:hAnsi="Cambria"/>
          <w:bCs/>
          <w:sz w:val="20"/>
          <w:szCs w:val="20"/>
          <w:lang w:val="es-ES"/>
        </w:rPr>
        <w:t xml:space="preserve">desde el inicio de las investigaciones, el señor Sastoque estuvo en total indefensión por la ausencia total de información sobre el hecho de ser sospechoso en una investigación penal. </w:t>
      </w:r>
    </w:p>
    <w:p w14:paraId="4B51DD7F" w14:textId="77777777" w:rsidR="00C4427B" w:rsidRDefault="00C4427B" w:rsidP="00C4427B">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bCs/>
          <w:sz w:val="20"/>
          <w:szCs w:val="20"/>
          <w:lang w:val="es-ES"/>
        </w:rPr>
      </w:pPr>
    </w:p>
    <w:p w14:paraId="1EAB2B34" w14:textId="1D1F6E46" w:rsidR="001A2094" w:rsidRPr="00C4427B" w:rsidRDefault="00C4427B" w:rsidP="00AC10FC">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bCs/>
          <w:sz w:val="20"/>
          <w:szCs w:val="20"/>
          <w:lang w:val="es-ES"/>
        </w:rPr>
      </w:pPr>
      <w:r>
        <w:rPr>
          <w:rFonts w:ascii="Cambria" w:hAnsi="Cambria"/>
          <w:bCs/>
          <w:sz w:val="20"/>
          <w:szCs w:val="20"/>
          <w:lang w:val="es-ES"/>
        </w:rPr>
        <w:t>Asimismo</w:t>
      </w:r>
      <w:r w:rsidR="001A2094" w:rsidRPr="005D2619">
        <w:rPr>
          <w:rFonts w:ascii="Cambria" w:hAnsi="Cambria"/>
          <w:bCs/>
          <w:sz w:val="20"/>
          <w:szCs w:val="20"/>
          <w:lang w:val="es-ES"/>
        </w:rPr>
        <w:t>, fue investigado y juzgado por autoridades con identidad reservada que, a su vez, basaron sus decisiones en testigos con identidad reservada. En los fallos judiciales de condena se violó la presunción de inocencia en los términos ya analizados, y los recursos interpuestos resultaron inefectivos.</w:t>
      </w:r>
      <w:r>
        <w:rPr>
          <w:rFonts w:ascii="Cambria" w:hAnsi="Cambria"/>
          <w:bCs/>
          <w:sz w:val="20"/>
          <w:szCs w:val="20"/>
          <w:lang w:val="es-ES"/>
        </w:rPr>
        <w:t xml:space="preserve"> A </w:t>
      </w:r>
      <w:r>
        <w:rPr>
          <w:rFonts w:ascii="Cambria" w:hAnsi="Cambria"/>
          <w:bCs/>
          <w:sz w:val="20"/>
          <w:szCs w:val="20"/>
          <w:lang w:val="es-ES"/>
        </w:rPr>
        <w:lastRenderedPageBreak/>
        <w:t>ello se suma la denuncia presentada por el señor Sastoque por los delitos de falso testimonio y fraude procesal, sin recibir una respuesta o resultado sustantivo.</w:t>
      </w:r>
      <w:r w:rsidR="001A2094" w:rsidRPr="005D2619">
        <w:rPr>
          <w:rFonts w:ascii="Cambria" w:hAnsi="Cambria"/>
          <w:bCs/>
          <w:sz w:val="20"/>
          <w:szCs w:val="20"/>
          <w:lang w:val="es-ES"/>
        </w:rPr>
        <w:t xml:space="preserve"> </w:t>
      </w:r>
      <w:r w:rsidRPr="00C4427B">
        <w:rPr>
          <w:rFonts w:ascii="Cambria" w:hAnsi="Cambria"/>
          <w:bCs/>
          <w:sz w:val="20"/>
          <w:szCs w:val="20"/>
          <w:lang w:val="es-ES"/>
        </w:rPr>
        <w:t>Finalmente, a</w:t>
      </w:r>
      <w:r w:rsidR="001A2094" w:rsidRPr="00C4427B">
        <w:rPr>
          <w:rFonts w:ascii="Cambria" w:hAnsi="Cambria"/>
          <w:bCs/>
          <w:sz w:val="20"/>
          <w:szCs w:val="20"/>
          <w:lang w:val="es-ES"/>
        </w:rPr>
        <w:t>nte los indicios de la existencia de un montaje judicial en su contra, el Estado tampoco ha logrado responder mediante una investigación seria y diligente, no obstante</w:t>
      </w:r>
      <w:r w:rsidR="00CE74A6">
        <w:rPr>
          <w:rFonts w:ascii="Cambria" w:hAnsi="Cambria"/>
          <w:bCs/>
          <w:sz w:val="20"/>
          <w:szCs w:val="20"/>
          <w:lang w:val="es-ES"/>
        </w:rPr>
        <w:t>,</w:t>
      </w:r>
      <w:r w:rsidR="001A2094" w:rsidRPr="00C4427B">
        <w:rPr>
          <w:rFonts w:ascii="Cambria" w:hAnsi="Cambria"/>
          <w:bCs/>
          <w:sz w:val="20"/>
          <w:szCs w:val="20"/>
          <w:lang w:val="es-ES"/>
        </w:rPr>
        <w:t xml:space="preserve"> la misma resultaba fundamental para establecer la existencia de un error judicial en su contra. </w:t>
      </w:r>
    </w:p>
    <w:p w14:paraId="27A52A1B" w14:textId="77777777" w:rsidR="001A2094" w:rsidRPr="005D2619" w:rsidRDefault="001A2094" w:rsidP="00E07E25">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bCs/>
          <w:sz w:val="20"/>
          <w:szCs w:val="20"/>
          <w:lang w:val="es-ES"/>
        </w:rPr>
      </w:pPr>
    </w:p>
    <w:p w14:paraId="064D1AD7" w14:textId="77777777" w:rsidR="001A2094" w:rsidRPr="005D2619" w:rsidRDefault="001A2094" w:rsidP="00AC10FC">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bCs/>
          <w:sz w:val="20"/>
          <w:szCs w:val="20"/>
          <w:lang w:val="es-ES"/>
        </w:rPr>
      </w:pPr>
      <w:r w:rsidRPr="005D2619">
        <w:rPr>
          <w:rFonts w:ascii="Cambria" w:hAnsi="Cambria"/>
          <w:bCs/>
          <w:sz w:val="20"/>
          <w:szCs w:val="20"/>
          <w:lang w:val="es-ES"/>
        </w:rPr>
        <w:t xml:space="preserve">Con base en todos estos elementos tomados en su conjunto, la Comisión considera que existen suficientes elementos para establecer la violación al derecho a la integridad personal establecido en el artículo 5.1 de la Convención Americana, en perjuicio del señor Gustavo Sastoque Alfonso. </w:t>
      </w:r>
    </w:p>
    <w:p w14:paraId="528A6E7D" w14:textId="77777777" w:rsidR="00CD623B" w:rsidRPr="00642CC4" w:rsidRDefault="00CD623B" w:rsidP="000F0512">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bCs/>
          <w:sz w:val="20"/>
          <w:szCs w:val="20"/>
          <w:lang w:val="es-ES"/>
        </w:rPr>
      </w:pPr>
    </w:p>
    <w:p w14:paraId="23BD960A" w14:textId="0AB4F57C" w:rsidR="00CD623B" w:rsidRPr="00851193" w:rsidRDefault="00CD623B" w:rsidP="00CD623B">
      <w:pPr>
        <w:pStyle w:val="Heading1"/>
        <w:ind w:left="1418" w:hanging="709"/>
      </w:pPr>
      <w:bookmarkStart w:id="29" w:name="_Toc163571976"/>
      <w:bookmarkStart w:id="30" w:name="_Toc203986811"/>
      <w:r w:rsidRPr="00851193">
        <w:t>INFORME</w:t>
      </w:r>
      <w:bookmarkEnd w:id="29"/>
      <w:r w:rsidRPr="00851193">
        <w:t xml:space="preserve"> </w:t>
      </w:r>
      <w:r w:rsidR="000F0512" w:rsidRPr="00851193">
        <w:t xml:space="preserve">No. </w:t>
      </w:r>
      <w:r w:rsidR="00AD1DE2" w:rsidRPr="00851193">
        <w:t>61</w:t>
      </w:r>
      <w:r w:rsidR="00AD1DE2" w:rsidRPr="00851193">
        <w:rPr>
          <w:lang w:val="es-US"/>
        </w:rPr>
        <w:t>/18</w:t>
      </w:r>
      <w:r w:rsidR="00DF0D1A" w:rsidRPr="00851193">
        <w:rPr>
          <w:lang w:val="es-US"/>
        </w:rPr>
        <w:t xml:space="preserve"> E INFORMACIÓN SOBRE CUMPLIMIENTO</w:t>
      </w:r>
      <w:bookmarkEnd w:id="30"/>
    </w:p>
    <w:p w14:paraId="3B31D54D" w14:textId="77777777" w:rsidR="00CD623B" w:rsidRPr="00851193" w:rsidRDefault="00CD623B" w:rsidP="000F0512">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lang w:val="es-PE"/>
        </w:rPr>
      </w:pPr>
    </w:p>
    <w:p w14:paraId="01D0B262" w14:textId="51BDD757" w:rsidR="00CD623B" w:rsidRPr="00851193" w:rsidRDefault="00CD623B" w:rsidP="00CD623B">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bCs/>
          <w:sz w:val="20"/>
          <w:szCs w:val="20"/>
          <w:lang w:val="es-ES"/>
        </w:rPr>
      </w:pPr>
      <w:r w:rsidRPr="00851193">
        <w:rPr>
          <w:rFonts w:ascii="Cambria" w:hAnsi="Cambria"/>
          <w:bCs/>
          <w:sz w:val="20"/>
          <w:szCs w:val="20"/>
          <w:lang w:val="es-ES"/>
        </w:rPr>
        <w:t xml:space="preserve">La Comisión adoptó el </w:t>
      </w:r>
      <w:r w:rsidR="000F0512" w:rsidRPr="00851193">
        <w:rPr>
          <w:rFonts w:ascii="Cambria" w:hAnsi="Cambria"/>
          <w:bCs/>
          <w:sz w:val="20"/>
          <w:szCs w:val="20"/>
          <w:lang w:val="es-ES"/>
        </w:rPr>
        <w:t>I</w:t>
      </w:r>
      <w:r w:rsidRPr="00851193">
        <w:rPr>
          <w:rFonts w:ascii="Cambria" w:hAnsi="Cambria"/>
          <w:bCs/>
          <w:sz w:val="20"/>
          <w:szCs w:val="20"/>
          <w:lang w:val="es-ES"/>
        </w:rPr>
        <w:t xml:space="preserve">nforme de </w:t>
      </w:r>
      <w:r w:rsidR="000F0512" w:rsidRPr="00851193">
        <w:rPr>
          <w:rFonts w:ascii="Cambria" w:hAnsi="Cambria"/>
          <w:bCs/>
          <w:sz w:val="20"/>
          <w:szCs w:val="20"/>
          <w:lang w:val="es-ES"/>
        </w:rPr>
        <w:t>F</w:t>
      </w:r>
      <w:r w:rsidRPr="00851193">
        <w:rPr>
          <w:rFonts w:ascii="Cambria" w:hAnsi="Cambria"/>
          <w:bCs/>
          <w:sz w:val="20"/>
          <w:szCs w:val="20"/>
          <w:lang w:val="es-ES"/>
        </w:rPr>
        <w:t>ondo No 61/18</w:t>
      </w:r>
      <w:r w:rsidR="003C3EA8" w:rsidRPr="00851193">
        <w:rPr>
          <w:rFonts w:ascii="Cambria" w:hAnsi="Cambria"/>
          <w:bCs/>
          <w:sz w:val="20"/>
          <w:szCs w:val="20"/>
          <w:lang w:val="es-ES"/>
        </w:rPr>
        <w:t>,</w:t>
      </w:r>
      <w:r w:rsidRPr="00851193">
        <w:rPr>
          <w:rFonts w:ascii="Cambria" w:hAnsi="Cambria"/>
          <w:bCs/>
          <w:sz w:val="20"/>
          <w:szCs w:val="20"/>
          <w:lang w:val="es-ES"/>
        </w:rPr>
        <w:t xml:space="preserve"> el 8 de mayo de 2018</w:t>
      </w:r>
      <w:r w:rsidR="003C3EA8" w:rsidRPr="00851193">
        <w:rPr>
          <w:rFonts w:ascii="Cambria" w:hAnsi="Cambria"/>
          <w:bCs/>
          <w:sz w:val="20"/>
          <w:szCs w:val="20"/>
          <w:lang w:val="es-ES"/>
        </w:rPr>
        <w:t>,</w:t>
      </w:r>
      <w:r w:rsidRPr="00851193">
        <w:rPr>
          <w:rFonts w:ascii="Cambria" w:hAnsi="Cambria"/>
          <w:bCs/>
          <w:sz w:val="20"/>
          <w:szCs w:val="20"/>
          <w:lang w:val="es-ES"/>
        </w:rPr>
        <w:t xml:space="preserve"> que comprende los párrafos 1 a 137 </w:t>
      </w:r>
      <w:r w:rsidRPr="00851193">
        <w:rPr>
          <w:rFonts w:ascii="Cambria" w:hAnsi="Cambria"/>
          <w:bCs/>
          <w:i/>
          <w:iCs/>
          <w:sz w:val="20"/>
          <w:szCs w:val="20"/>
          <w:lang w:val="es-ES"/>
        </w:rPr>
        <w:t>supra</w:t>
      </w:r>
      <w:r w:rsidRPr="00851193">
        <w:rPr>
          <w:rFonts w:ascii="Cambria" w:hAnsi="Cambria"/>
          <w:bCs/>
          <w:sz w:val="20"/>
          <w:szCs w:val="20"/>
          <w:lang w:val="es-ES"/>
        </w:rPr>
        <w:t xml:space="preserve"> y lo transmitió al Estado el </w:t>
      </w:r>
      <w:r w:rsidR="00AC3762" w:rsidRPr="00851193">
        <w:rPr>
          <w:rFonts w:ascii="Cambria" w:hAnsi="Cambria"/>
          <w:bCs/>
          <w:sz w:val="20"/>
          <w:szCs w:val="20"/>
          <w:lang w:val="es-ES"/>
        </w:rPr>
        <w:t>19 de julio</w:t>
      </w:r>
      <w:r w:rsidRPr="00851193">
        <w:rPr>
          <w:rFonts w:ascii="Cambria" w:hAnsi="Cambria"/>
          <w:bCs/>
          <w:sz w:val="20"/>
          <w:szCs w:val="20"/>
          <w:lang w:val="es-ES"/>
        </w:rPr>
        <w:t xml:space="preserve"> del mismo año. En dicho informe la Comisión recomendó</w:t>
      </w:r>
      <w:r w:rsidR="003C3EA8" w:rsidRPr="00851193">
        <w:rPr>
          <w:rFonts w:ascii="Cambria" w:hAnsi="Cambria"/>
          <w:bCs/>
          <w:sz w:val="20"/>
          <w:szCs w:val="20"/>
          <w:lang w:val="es-ES"/>
        </w:rPr>
        <w:t xml:space="preserve"> al Estado colombiano</w:t>
      </w:r>
      <w:r w:rsidRPr="00851193">
        <w:rPr>
          <w:rFonts w:ascii="Cambria" w:hAnsi="Cambria"/>
          <w:bCs/>
          <w:sz w:val="20"/>
          <w:szCs w:val="20"/>
          <w:lang w:val="es-ES"/>
        </w:rPr>
        <w:t>:</w:t>
      </w:r>
    </w:p>
    <w:p w14:paraId="3E58110D" w14:textId="77777777" w:rsidR="00CD623B" w:rsidRPr="00851193" w:rsidRDefault="00CD623B" w:rsidP="00CD623B">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sz w:val="20"/>
          <w:szCs w:val="20"/>
          <w:lang w:val="es-ES"/>
        </w:rPr>
      </w:pPr>
    </w:p>
    <w:p w14:paraId="5392E316" w14:textId="77777777" w:rsidR="00CD623B" w:rsidRPr="00851193" w:rsidRDefault="00CD623B" w:rsidP="00CD623B">
      <w:pPr>
        <w:pStyle w:val="ListParagraph"/>
        <w:numPr>
          <w:ilvl w:val="3"/>
          <w:numId w:val="53"/>
        </w:numPr>
        <w:tabs>
          <w:tab w:val="clear" w:pos="2880"/>
          <w:tab w:val="num" w:pos="1418"/>
        </w:tabs>
        <w:spacing w:after="0" w:line="240" w:lineRule="auto"/>
        <w:ind w:left="1418"/>
        <w:jc w:val="both"/>
        <w:rPr>
          <w:rFonts w:ascii="Cambria" w:eastAsia="Times New Roman" w:hAnsi="Cambria" w:cs="Tahoma"/>
          <w:sz w:val="20"/>
          <w:szCs w:val="20"/>
          <w:lang w:val="es-ES"/>
        </w:rPr>
      </w:pPr>
      <w:r w:rsidRPr="00851193">
        <w:rPr>
          <w:rFonts w:ascii="Cambria" w:eastAsia="Times New Roman" w:hAnsi="Cambria" w:cs="Tahoma"/>
          <w:sz w:val="20"/>
          <w:szCs w:val="20"/>
          <w:lang w:val="es-ES"/>
        </w:rPr>
        <w:t>Adoptar las medidas necesarias para dejar sin efectos la condena en contra de Gustavo Sastoque Alfonso.</w:t>
      </w:r>
    </w:p>
    <w:p w14:paraId="451E98C9" w14:textId="77777777" w:rsidR="00CD623B" w:rsidRPr="00851193" w:rsidRDefault="00CD623B" w:rsidP="00CD623B">
      <w:pPr>
        <w:pStyle w:val="ListParagraph"/>
        <w:spacing w:after="0" w:line="240" w:lineRule="auto"/>
        <w:ind w:left="1418"/>
        <w:jc w:val="both"/>
        <w:rPr>
          <w:rFonts w:ascii="Cambria" w:eastAsia="Times New Roman" w:hAnsi="Cambria" w:cs="Tahoma"/>
          <w:sz w:val="20"/>
          <w:szCs w:val="20"/>
          <w:lang w:val="es-ES"/>
        </w:rPr>
      </w:pPr>
    </w:p>
    <w:p w14:paraId="41D83009" w14:textId="77777777" w:rsidR="00CD623B" w:rsidRPr="00851193" w:rsidRDefault="00CD623B" w:rsidP="00CD623B">
      <w:pPr>
        <w:pStyle w:val="ListParagraph"/>
        <w:numPr>
          <w:ilvl w:val="3"/>
          <w:numId w:val="53"/>
        </w:numPr>
        <w:tabs>
          <w:tab w:val="clear" w:pos="2880"/>
          <w:tab w:val="num" w:pos="1418"/>
        </w:tabs>
        <w:spacing w:after="0" w:line="240" w:lineRule="auto"/>
        <w:ind w:left="1418"/>
        <w:jc w:val="both"/>
        <w:rPr>
          <w:rFonts w:ascii="Cambria" w:eastAsia="Times New Roman" w:hAnsi="Cambria" w:cs="Tahoma"/>
          <w:sz w:val="20"/>
          <w:szCs w:val="20"/>
          <w:lang w:val="es-ES"/>
        </w:rPr>
      </w:pPr>
      <w:r w:rsidRPr="00851193">
        <w:rPr>
          <w:rFonts w:ascii="Cambria" w:eastAsia="Times New Roman" w:hAnsi="Cambria" w:cs="Tahoma"/>
          <w:sz w:val="20"/>
          <w:szCs w:val="20"/>
          <w:lang w:val="es-ES"/>
        </w:rPr>
        <w:t>Reparar integralmente las violaciones de derechos humanos declaradas en el presente informe tanto en el aspecto material como inmaterial. Para ello, el Estado deberá adoptar medidas de compensación económica y satisfacción en favor de la víctima, las cuales deberán ser consistentes con las violaciones declaradas en el presente informe de fondo. Además, en caso de que la víctima así lo desee y de manera concertada, el Estado deberá disponer medidas de atención en salud física o mental.</w:t>
      </w:r>
    </w:p>
    <w:p w14:paraId="1DB79B05" w14:textId="77777777" w:rsidR="00CD623B" w:rsidRPr="00851193" w:rsidRDefault="00CD623B" w:rsidP="001A6307">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cs="Tahoma"/>
          <w:sz w:val="20"/>
          <w:szCs w:val="20"/>
          <w:lang w:val="es-ES"/>
        </w:rPr>
      </w:pPr>
    </w:p>
    <w:p w14:paraId="27C2C8D0" w14:textId="77777777" w:rsidR="00CD623B" w:rsidRPr="00851193" w:rsidRDefault="00CD623B" w:rsidP="00CD623B">
      <w:pPr>
        <w:pStyle w:val="ListParagraph"/>
        <w:numPr>
          <w:ilvl w:val="3"/>
          <w:numId w:val="53"/>
        </w:numPr>
        <w:tabs>
          <w:tab w:val="clear" w:pos="2880"/>
          <w:tab w:val="num" w:pos="1418"/>
        </w:tabs>
        <w:spacing w:after="0" w:line="240" w:lineRule="auto"/>
        <w:ind w:left="1418"/>
        <w:jc w:val="both"/>
        <w:rPr>
          <w:rFonts w:ascii="Cambria" w:eastAsia="Times New Roman" w:hAnsi="Cambria" w:cs="Tahoma"/>
          <w:sz w:val="20"/>
          <w:szCs w:val="20"/>
          <w:lang w:val="es-ES"/>
        </w:rPr>
      </w:pPr>
      <w:r w:rsidRPr="00851193">
        <w:rPr>
          <w:rFonts w:ascii="Cambria" w:eastAsia="Times New Roman" w:hAnsi="Cambria" w:cs="Tahoma"/>
          <w:sz w:val="20"/>
          <w:szCs w:val="20"/>
          <w:lang w:val="es-ES"/>
        </w:rPr>
        <w:t xml:space="preserve">Continuar con las investigaciones y procesos internos por las denuncias por falso testimonio y fraude procesal, los cuales deberán ser realizados con la debida diligencia, de manera seria, efectiva y en un plazo razonable. El Estado colombiano deberá, además, abrir de oficio las investigaciones penales, administrativas o de otra índole, vinculadas a las violaciones de derechos humanos declaradas en el presente informe de fondo. </w:t>
      </w:r>
    </w:p>
    <w:p w14:paraId="769E9DAA" w14:textId="77777777" w:rsidR="00CD623B" w:rsidRPr="00851193" w:rsidRDefault="00CD623B" w:rsidP="001A6307">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cs="Tahoma"/>
          <w:sz w:val="20"/>
          <w:szCs w:val="20"/>
          <w:lang w:val="es-ES"/>
        </w:rPr>
      </w:pPr>
    </w:p>
    <w:p w14:paraId="3E137540" w14:textId="77777777" w:rsidR="00CD623B" w:rsidRPr="00851193" w:rsidRDefault="00CD623B" w:rsidP="00CD623B">
      <w:pPr>
        <w:pStyle w:val="ListParagraph"/>
        <w:numPr>
          <w:ilvl w:val="3"/>
          <w:numId w:val="53"/>
        </w:numPr>
        <w:tabs>
          <w:tab w:val="clear" w:pos="2880"/>
          <w:tab w:val="num" w:pos="1418"/>
        </w:tabs>
        <w:spacing w:after="0" w:line="240" w:lineRule="auto"/>
        <w:ind w:left="1418"/>
        <w:jc w:val="both"/>
        <w:rPr>
          <w:rFonts w:ascii="Cambria" w:eastAsia="Times New Roman" w:hAnsi="Cambria" w:cs="Tahoma"/>
          <w:sz w:val="20"/>
          <w:szCs w:val="20"/>
          <w:lang w:val="es-ES"/>
        </w:rPr>
      </w:pPr>
      <w:r w:rsidRPr="00851193">
        <w:rPr>
          <w:rFonts w:ascii="Cambria" w:eastAsia="Times New Roman" w:hAnsi="Cambria" w:cs="Tahoma"/>
          <w:sz w:val="20"/>
          <w:szCs w:val="20"/>
          <w:lang w:val="es-ES"/>
        </w:rPr>
        <w:t xml:space="preserve">Disponer las medidas necesarias para evitar la repetición de las violaciones declaradas en el presente informe de fondo incluyendo: i) las medidas para asegurar que el uso de la detención preventiva se ajuste a los estándares descritos en el presente informe; ii) la debida capacitación a las autoridades fiscales y judiciales sobre los estándares interamericanos de debido proceso, particularmente los relativos al uso de testigos con identidad reservada y presunción de inocencia; iii) el fortalecimiento de los mecanismos de rendición de cuentas frente a funcionarios que con sus acciones u omisiones cometen violaciones al debido proceso; y iv) la reducción de los plazos de decisiones de los recursos contra condenas penales, incluyendo apelación y casación; y v) las medidas necesarias para que a lo largo del proceso penal, existan mecanismos idóneos y efectivos para obtener una protección judicial frente a posibles violaciones al debido proceso que pudieron cometerse durante el proceso, incluyendo las que pudieran surgir en los propios fallos judiciales. </w:t>
      </w:r>
    </w:p>
    <w:p w14:paraId="0B85E0B6" w14:textId="77777777" w:rsidR="00CD623B" w:rsidRPr="00851193" w:rsidRDefault="00CD623B" w:rsidP="00CD623B">
      <w:pPr>
        <w:spacing w:after="0" w:line="240" w:lineRule="auto"/>
        <w:jc w:val="both"/>
        <w:rPr>
          <w:rFonts w:ascii="Cambria" w:eastAsia="Times New Roman" w:hAnsi="Cambria" w:cs="Tahoma"/>
          <w:sz w:val="20"/>
          <w:szCs w:val="20"/>
          <w:lang w:val="es-ES"/>
        </w:rPr>
      </w:pPr>
    </w:p>
    <w:p w14:paraId="2A0A4C08" w14:textId="52A45803" w:rsidR="00CD623B" w:rsidRPr="00851193" w:rsidRDefault="00250BAD" w:rsidP="00CD623B">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rPr>
      </w:pPr>
      <w:r w:rsidRPr="00851193">
        <w:rPr>
          <w:rFonts w:ascii="Cambria" w:hAnsi="Cambria"/>
          <w:bCs/>
          <w:sz w:val="20"/>
          <w:szCs w:val="20"/>
          <w:lang w:val="es-ES"/>
        </w:rPr>
        <w:t xml:space="preserve">En el trámite seguido con posterioridad a la notificación del Informe de Fondo, </w:t>
      </w:r>
      <w:r w:rsidR="000746C4" w:rsidRPr="00851193">
        <w:rPr>
          <w:rFonts w:ascii="Cambria" w:hAnsi="Cambria"/>
          <w:bCs/>
          <w:sz w:val="20"/>
          <w:szCs w:val="20"/>
          <w:lang w:val="es-ES"/>
        </w:rPr>
        <w:t xml:space="preserve">la CIDH </w:t>
      </w:r>
      <w:r w:rsidR="00CD623B" w:rsidRPr="00851193">
        <w:rPr>
          <w:rFonts w:ascii="Cambria" w:hAnsi="Cambria"/>
          <w:bCs/>
          <w:sz w:val="20"/>
          <w:szCs w:val="20"/>
          <w:lang w:val="es-ES"/>
        </w:rPr>
        <w:t>recibió informes del Estado sobre el cumplimiento de las recomendaciones establecidas y observaciones de la parte peticionaria. Durante</w:t>
      </w:r>
      <w:r w:rsidR="00CD623B" w:rsidRPr="00851193">
        <w:rPr>
          <w:rFonts w:ascii="Cambria" w:hAnsi="Cambria"/>
          <w:sz w:val="20"/>
          <w:szCs w:val="20"/>
        </w:rPr>
        <w:t xml:space="preserve"> este período la Comisión otorgó 14 prórrogas al Estado para la suspensión del plazo previsto en el artículo 51 de la Convención Americana. Asimismo, el Estado, reiteró su voluntad de cumplir con las recomendaciones y renunció expresamente a interponer excepciones preliminares respecto del cumplimiento del plazo previsto por el mencionado artículo, de conformidad con lo dispuesto en el artículo 46 del Reglamento de la Comisión.</w:t>
      </w:r>
    </w:p>
    <w:p w14:paraId="4B4C8991" w14:textId="77777777" w:rsidR="0067663E" w:rsidRPr="00851193" w:rsidRDefault="0067663E" w:rsidP="0067663E">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AR"/>
        </w:rPr>
      </w:pPr>
    </w:p>
    <w:p w14:paraId="26A7BDB1" w14:textId="413A48C7" w:rsidR="00784D0C" w:rsidRPr="00851193" w:rsidRDefault="000636E7" w:rsidP="0067663E">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rPr>
      </w:pPr>
      <w:r w:rsidRPr="00851193">
        <w:rPr>
          <w:rFonts w:ascii="Cambria" w:hAnsi="Cambria"/>
          <w:sz w:val="20"/>
          <w:szCs w:val="20"/>
          <w:lang w:val="es-AR"/>
        </w:rPr>
        <w:t xml:space="preserve">Entre los avances en el cumplimiento de las recomendaciones, </w:t>
      </w:r>
      <w:r w:rsidR="004E652A" w:rsidRPr="00851193">
        <w:rPr>
          <w:rFonts w:ascii="Cambria" w:hAnsi="Cambria"/>
          <w:sz w:val="20"/>
          <w:szCs w:val="20"/>
          <w:lang w:val="es-AR"/>
        </w:rPr>
        <w:t xml:space="preserve">el Estado informó </w:t>
      </w:r>
      <w:r w:rsidRPr="00851193">
        <w:rPr>
          <w:rFonts w:ascii="Cambria" w:hAnsi="Cambria"/>
          <w:sz w:val="20"/>
          <w:szCs w:val="20"/>
          <w:lang w:val="es-AR"/>
        </w:rPr>
        <w:t>que l</w:t>
      </w:r>
      <w:r w:rsidR="000D1E54" w:rsidRPr="00851193">
        <w:rPr>
          <w:rFonts w:ascii="Cambria" w:hAnsi="Cambria"/>
          <w:sz w:val="20"/>
          <w:szCs w:val="20"/>
          <w:lang w:val="es-AR"/>
        </w:rPr>
        <w:t xml:space="preserve">a Agencia </w:t>
      </w:r>
      <w:r w:rsidR="00834051" w:rsidRPr="00851193">
        <w:rPr>
          <w:rFonts w:ascii="Cambria" w:hAnsi="Cambria"/>
          <w:sz w:val="20"/>
          <w:szCs w:val="20"/>
          <w:lang w:val="es-AR"/>
        </w:rPr>
        <w:t xml:space="preserve">Nacional de Defensa Jurídica del Estado </w:t>
      </w:r>
      <w:r w:rsidR="000D1E54" w:rsidRPr="00851193">
        <w:rPr>
          <w:rFonts w:ascii="Cambria" w:hAnsi="Cambria"/>
          <w:sz w:val="20"/>
          <w:szCs w:val="20"/>
          <w:lang w:val="es-AR"/>
        </w:rPr>
        <w:t xml:space="preserve">(ANDJE) realizó el pago de lo ordenado mediante resolución </w:t>
      </w:r>
      <w:r w:rsidR="00834051" w:rsidRPr="00851193">
        <w:rPr>
          <w:rFonts w:ascii="Cambria" w:hAnsi="Cambria"/>
          <w:sz w:val="20"/>
          <w:szCs w:val="20"/>
          <w:lang w:val="es-AR"/>
        </w:rPr>
        <w:t xml:space="preserve">No. </w:t>
      </w:r>
      <w:r w:rsidR="009F20EF" w:rsidRPr="00851193">
        <w:rPr>
          <w:rFonts w:ascii="Cambria" w:hAnsi="Cambria"/>
          <w:sz w:val="20"/>
          <w:szCs w:val="20"/>
          <w:lang w:val="es-AR"/>
        </w:rPr>
        <w:t>369 de 10 de octubre de 2020</w:t>
      </w:r>
      <w:r w:rsidR="00834051" w:rsidRPr="00851193">
        <w:rPr>
          <w:rFonts w:ascii="Cambria" w:hAnsi="Cambria"/>
          <w:sz w:val="20"/>
          <w:szCs w:val="20"/>
          <w:lang w:val="es-AR"/>
        </w:rPr>
        <w:t>,</w:t>
      </w:r>
      <w:r w:rsidR="009F20EF" w:rsidRPr="00851193">
        <w:rPr>
          <w:rFonts w:ascii="Cambria" w:hAnsi="Cambria"/>
          <w:sz w:val="20"/>
          <w:szCs w:val="20"/>
          <w:lang w:val="es-AR"/>
        </w:rPr>
        <w:t xml:space="preserve"> </w:t>
      </w:r>
      <w:r w:rsidR="00E32BE9" w:rsidRPr="00851193">
        <w:rPr>
          <w:rFonts w:ascii="Cambria" w:hAnsi="Cambria"/>
          <w:sz w:val="20"/>
          <w:szCs w:val="20"/>
          <w:lang w:val="es-AR"/>
        </w:rPr>
        <w:t xml:space="preserve">por medio de la cual se da cumplimiento y se ordena el pago de una </w:t>
      </w:r>
      <w:r w:rsidR="00834051" w:rsidRPr="00851193">
        <w:rPr>
          <w:rFonts w:ascii="Cambria" w:hAnsi="Cambria"/>
          <w:sz w:val="20"/>
          <w:szCs w:val="20"/>
          <w:lang w:val="es-AR"/>
        </w:rPr>
        <w:lastRenderedPageBreak/>
        <w:t>conciliación</w:t>
      </w:r>
      <w:r w:rsidR="00E32BE9" w:rsidRPr="00851193">
        <w:rPr>
          <w:rFonts w:ascii="Cambria" w:hAnsi="Cambria"/>
          <w:sz w:val="20"/>
          <w:szCs w:val="20"/>
          <w:lang w:val="es-AR"/>
        </w:rPr>
        <w:t xml:space="preserve"> </w:t>
      </w:r>
      <w:r w:rsidR="00834051" w:rsidRPr="00851193">
        <w:rPr>
          <w:rFonts w:ascii="Cambria" w:hAnsi="Cambria"/>
          <w:sz w:val="20"/>
          <w:szCs w:val="20"/>
          <w:lang w:val="es-AR"/>
        </w:rPr>
        <w:t xml:space="preserve">aprobada </w:t>
      </w:r>
      <w:r w:rsidR="00E32BE9" w:rsidRPr="00851193">
        <w:rPr>
          <w:rFonts w:ascii="Cambria" w:hAnsi="Cambria"/>
          <w:sz w:val="20"/>
          <w:szCs w:val="20"/>
          <w:lang w:val="es-AR"/>
        </w:rPr>
        <w:t>judicial</w:t>
      </w:r>
      <w:r w:rsidR="00834051" w:rsidRPr="00851193">
        <w:rPr>
          <w:rFonts w:ascii="Cambria" w:hAnsi="Cambria"/>
          <w:sz w:val="20"/>
          <w:szCs w:val="20"/>
          <w:lang w:val="es-AR"/>
        </w:rPr>
        <w:t>mente</w:t>
      </w:r>
      <w:r w:rsidR="00E32BE9" w:rsidRPr="00851193">
        <w:rPr>
          <w:rFonts w:ascii="Cambria" w:hAnsi="Cambria"/>
          <w:sz w:val="20"/>
          <w:szCs w:val="20"/>
          <w:lang w:val="es-AR"/>
        </w:rPr>
        <w:t xml:space="preserve"> </w:t>
      </w:r>
      <w:r w:rsidR="00624366" w:rsidRPr="00851193">
        <w:rPr>
          <w:rFonts w:ascii="Cambria" w:hAnsi="Cambria"/>
          <w:sz w:val="20"/>
          <w:szCs w:val="20"/>
          <w:lang w:val="es-AR"/>
        </w:rPr>
        <w:t>en cumplimiento del acuerdo concilia</w:t>
      </w:r>
      <w:r w:rsidRPr="00851193">
        <w:rPr>
          <w:rFonts w:ascii="Cambria" w:hAnsi="Cambria"/>
          <w:sz w:val="20"/>
          <w:szCs w:val="20"/>
          <w:lang w:val="es-AR"/>
        </w:rPr>
        <w:t>t</w:t>
      </w:r>
      <w:r w:rsidR="00624366" w:rsidRPr="00851193">
        <w:rPr>
          <w:rFonts w:ascii="Cambria" w:hAnsi="Cambria"/>
          <w:sz w:val="20"/>
          <w:szCs w:val="20"/>
          <w:lang w:val="es-AR"/>
        </w:rPr>
        <w:t xml:space="preserve">orio celebrado </w:t>
      </w:r>
      <w:r w:rsidR="00784D0C" w:rsidRPr="00851193">
        <w:rPr>
          <w:rFonts w:ascii="Cambria" w:hAnsi="Cambria"/>
          <w:sz w:val="20"/>
          <w:szCs w:val="20"/>
          <w:lang w:val="es-AR"/>
        </w:rPr>
        <w:t xml:space="preserve">entre las partes </w:t>
      </w:r>
      <w:r w:rsidR="00624366" w:rsidRPr="00851193">
        <w:rPr>
          <w:rFonts w:ascii="Cambria" w:hAnsi="Cambria"/>
          <w:sz w:val="20"/>
          <w:szCs w:val="20"/>
          <w:lang w:val="es-AR"/>
        </w:rPr>
        <w:t>el 19 de febrero de 2020.</w:t>
      </w:r>
    </w:p>
    <w:p w14:paraId="6070FB30" w14:textId="77777777" w:rsidR="00DF0D1A" w:rsidRPr="00851193" w:rsidRDefault="00DF0D1A" w:rsidP="00DC3A94">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rPr>
      </w:pPr>
    </w:p>
    <w:p w14:paraId="55ED6C22" w14:textId="778E46C7" w:rsidR="00CD623B" w:rsidRPr="00851193" w:rsidRDefault="00CD623B" w:rsidP="00CD623B">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rPr>
      </w:pPr>
      <w:r w:rsidRPr="00851193">
        <w:rPr>
          <w:rFonts w:ascii="Cambria" w:hAnsi="Cambria"/>
          <w:sz w:val="20"/>
          <w:szCs w:val="20"/>
        </w:rPr>
        <w:t>La Comisión toma nota de que el 24 de marzo de 2022 las partes suscribieron un “Acuerdo de Cumplimiento de Recomendaciones”</w:t>
      </w:r>
      <w:r w:rsidR="00DF0D1A" w:rsidRPr="00851193">
        <w:rPr>
          <w:rFonts w:ascii="Cambria" w:hAnsi="Cambria"/>
          <w:sz w:val="20"/>
          <w:szCs w:val="20"/>
        </w:rPr>
        <w:t xml:space="preserve">. En dicho acuerdo el Estado informa sobre los </w:t>
      </w:r>
      <w:r w:rsidR="00E1288D" w:rsidRPr="00851193">
        <w:rPr>
          <w:rFonts w:ascii="Cambria" w:hAnsi="Cambria"/>
          <w:sz w:val="20"/>
          <w:szCs w:val="20"/>
        </w:rPr>
        <w:t>avances</w:t>
      </w:r>
      <w:r w:rsidR="00DF0D1A" w:rsidRPr="00851193">
        <w:rPr>
          <w:rFonts w:ascii="Cambria" w:hAnsi="Cambria"/>
          <w:sz w:val="20"/>
          <w:szCs w:val="20"/>
        </w:rPr>
        <w:t xml:space="preserve"> </w:t>
      </w:r>
      <w:r w:rsidR="00E1288D" w:rsidRPr="00851193">
        <w:rPr>
          <w:rFonts w:ascii="Cambria" w:hAnsi="Cambria"/>
          <w:sz w:val="20"/>
          <w:szCs w:val="20"/>
        </w:rPr>
        <w:t xml:space="preserve">en el cumplimiento </w:t>
      </w:r>
      <w:r w:rsidR="00DF0D1A" w:rsidRPr="00851193">
        <w:rPr>
          <w:rFonts w:ascii="Cambria" w:hAnsi="Cambria"/>
          <w:sz w:val="20"/>
          <w:szCs w:val="20"/>
        </w:rPr>
        <w:t>y</w:t>
      </w:r>
      <w:r w:rsidR="00B74A93" w:rsidRPr="00851193">
        <w:rPr>
          <w:rFonts w:ascii="Cambria" w:hAnsi="Cambria"/>
          <w:sz w:val="20"/>
          <w:szCs w:val="20"/>
        </w:rPr>
        <w:t xml:space="preserve"> se arribó a tres </w:t>
      </w:r>
      <w:r w:rsidR="00DF0D1A" w:rsidRPr="00851193">
        <w:rPr>
          <w:rFonts w:ascii="Cambria" w:hAnsi="Cambria"/>
          <w:sz w:val="20"/>
          <w:szCs w:val="20"/>
        </w:rPr>
        <w:t>compromisos</w:t>
      </w:r>
      <w:r w:rsidR="00B74A93" w:rsidRPr="00851193">
        <w:rPr>
          <w:rFonts w:ascii="Cambria" w:hAnsi="Cambria"/>
          <w:sz w:val="20"/>
          <w:szCs w:val="20"/>
        </w:rPr>
        <w:t xml:space="preserve"> relativos a</w:t>
      </w:r>
      <w:r w:rsidR="005D56E4" w:rsidRPr="00851193">
        <w:rPr>
          <w:rFonts w:ascii="Cambria" w:hAnsi="Cambria"/>
          <w:sz w:val="20"/>
          <w:szCs w:val="20"/>
        </w:rPr>
        <w:t>:</w:t>
      </w:r>
      <w:r w:rsidR="00F7376D" w:rsidRPr="00851193">
        <w:rPr>
          <w:rFonts w:ascii="Cambria" w:hAnsi="Cambria"/>
          <w:sz w:val="20"/>
          <w:szCs w:val="20"/>
        </w:rPr>
        <w:t xml:space="preserve"> </w:t>
      </w:r>
      <w:r w:rsidR="006B1371" w:rsidRPr="00851193">
        <w:rPr>
          <w:rFonts w:ascii="Cambria" w:hAnsi="Cambria"/>
          <w:sz w:val="20"/>
          <w:szCs w:val="20"/>
        </w:rPr>
        <w:t xml:space="preserve">primero, </w:t>
      </w:r>
      <w:r w:rsidR="005D56E4" w:rsidRPr="00851193">
        <w:rPr>
          <w:rFonts w:ascii="Cambria" w:hAnsi="Cambria"/>
          <w:sz w:val="20"/>
          <w:szCs w:val="20"/>
        </w:rPr>
        <w:t xml:space="preserve">el </w:t>
      </w:r>
      <w:r w:rsidR="00F7376D" w:rsidRPr="00851193">
        <w:rPr>
          <w:rFonts w:ascii="Cambria" w:hAnsi="Cambria"/>
          <w:sz w:val="20"/>
          <w:szCs w:val="20"/>
        </w:rPr>
        <w:t>seguimiento de la acción de revisión</w:t>
      </w:r>
      <w:r w:rsidR="006B1371" w:rsidRPr="00851193">
        <w:rPr>
          <w:rFonts w:ascii="Cambria" w:hAnsi="Cambria"/>
          <w:sz w:val="20"/>
          <w:szCs w:val="20"/>
        </w:rPr>
        <w:t>;</w:t>
      </w:r>
      <w:r w:rsidR="00DB796C" w:rsidRPr="00851193">
        <w:rPr>
          <w:rFonts w:ascii="Cambria" w:hAnsi="Cambria"/>
          <w:sz w:val="20"/>
          <w:szCs w:val="20"/>
        </w:rPr>
        <w:t xml:space="preserve"> </w:t>
      </w:r>
      <w:r w:rsidR="006B1371" w:rsidRPr="00851193">
        <w:rPr>
          <w:rFonts w:ascii="Cambria" w:hAnsi="Cambria"/>
          <w:sz w:val="20"/>
          <w:szCs w:val="20"/>
        </w:rPr>
        <w:t xml:space="preserve">segundo, </w:t>
      </w:r>
      <w:r w:rsidR="00DB796C" w:rsidRPr="00851193">
        <w:rPr>
          <w:rFonts w:ascii="Cambria" w:hAnsi="Cambria"/>
          <w:sz w:val="20"/>
          <w:szCs w:val="20"/>
        </w:rPr>
        <w:t xml:space="preserve">la conciliación prejudicial y pretensiones laborales; y </w:t>
      </w:r>
      <w:r w:rsidR="006B1371" w:rsidRPr="00851193">
        <w:rPr>
          <w:rFonts w:ascii="Cambria" w:hAnsi="Cambria"/>
          <w:sz w:val="20"/>
          <w:szCs w:val="20"/>
        </w:rPr>
        <w:t>tercero</w:t>
      </w:r>
      <w:r w:rsidR="00765933" w:rsidRPr="00851193">
        <w:rPr>
          <w:rFonts w:ascii="Cambria" w:hAnsi="Cambria"/>
          <w:sz w:val="20"/>
          <w:szCs w:val="20"/>
        </w:rPr>
        <w:t xml:space="preserve">, </w:t>
      </w:r>
      <w:r w:rsidR="00DB796C" w:rsidRPr="00851193">
        <w:rPr>
          <w:rFonts w:ascii="Cambria" w:hAnsi="Cambria"/>
          <w:sz w:val="20"/>
          <w:szCs w:val="20"/>
        </w:rPr>
        <w:t>las medidas de satisfacción, como se detalla a continuación</w:t>
      </w:r>
      <w:r w:rsidR="00DF0D1A" w:rsidRPr="00851193">
        <w:rPr>
          <w:rFonts w:ascii="Cambria" w:hAnsi="Cambria"/>
          <w:sz w:val="20"/>
          <w:szCs w:val="20"/>
        </w:rPr>
        <w:t>:</w:t>
      </w:r>
      <w:r w:rsidRPr="00851193">
        <w:rPr>
          <w:rFonts w:ascii="Cambria" w:hAnsi="Cambria"/>
          <w:sz w:val="20"/>
          <w:szCs w:val="20"/>
        </w:rPr>
        <w:t xml:space="preserve"> </w:t>
      </w:r>
    </w:p>
    <w:p w14:paraId="105A2BCC" w14:textId="77777777" w:rsidR="00CD623B" w:rsidRPr="00851193" w:rsidRDefault="00CD623B" w:rsidP="00CD623B">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rPr>
      </w:pPr>
    </w:p>
    <w:p w14:paraId="6CC9B817" w14:textId="4BCA6258" w:rsidR="00DF0D1A" w:rsidRPr="00851193" w:rsidRDefault="00CD623B" w:rsidP="00DF0D1A">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rPr>
      </w:pPr>
      <w:r w:rsidRPr="00851193">
        <w:rPr>
          <w:rFonts w:ascii="Cambria" w:hAnsi="Cambria"/>
          <w:sz w:val="20"/>
          <w:szCs w:val="20"/>
        </w:rPr>
        <w:t xml:space="preserve">Respecto de la primera recomendación, el Estado indicó que el Procurador 17 Judicial II Penal de Bogotá elevó, luego del análisis correspondiente, una </w:t>
      </w:r>
      <w:r w:rsidR="003E61F8" w:rsidRPr="00851193">
        <w:rPr>
          <w:rFonts w:ascii="Cambria" w:hAnsi="Cambria"/>
          <w:sz w:val="20"/>
          <w:szCs w:val="20"/>
        </w:rPr>
        <w:t>a</w:t>
      </w:r>
      <w:r w:rsidRPr="00851193">
        <w:rPr>
          <w:rFonts w:ascii="Cambria" w:hAnsi="Cambria"/>
          <w:sz w:val="20"/>
          <w:szCs w:val="20"/>
        </w:rPr>
        <w:t>cción de revisión ante la Sala Penal de la Corte Suprema de Justicia conforme la causal cuarta del artículo 12 de la Ley 906 de 2004, contra la sentencia del 6 de marzo de 1998. Indicó que esta acción, identificada con radicado 54.517, fue admitida mediante Auto del 13 de noviembre de 2020. Asimismo, indicó que la PGN in</w:t>
      </w:r>
      <w:r w:rsidR="00EF2655" w:rsidRPr="00851193">
        <w:rPr>
          <w:rFonts w:ascii="Cambria" w:hAnsi="Cambria"/>
          <w:sz w:val="20"/>
          <w:szCs w:val="20"/>
        </w:rPr>
        <w:t>formó</w:t>
      </w:r>
      <w:r w:rsidR="002500A4" w:rsidRPr="00851193">
        <w:rPr>
          <w:rFonts w:ascii="Cambria" w:hAnsi="Cambria"/>
          <w:sz w:val="20"/>
          <w:szCs w:val="20"/>
          <w:lang w:val="es-US"/>
        </w:rPr>
        <w:t xml:space="preserve"> </w:t>
      </w:r>
      <w:r w:rsidRPr="00851193">
        <w:rPr>
          <w:rFonts w:ascii="Cambria" w:hAnsi="Cambria"/>
          <w:sz w:val="20"/>
          <w:szCs w:val="20"/>
        </w:rPr>
        <w:t>el 27 de diciembre de 2021</w:t>
      </w:r>
      <w:r w:rsidR="00EF2655" w:rsidRPr="00851193">
        <w:rPr>
          <w:rFonts w:ascii="Cambria" w:hAnsi="Cambria"/>
          <w:sz w:val="20"/>
          <w:szCs w:val="20"/>
        </w:rPr>
        <w:t>,</w:t>
      </w:r>
      <w:r w:rsidRPr="00851193">
        <w:rPr>
          <w:rFonts w:ascii="Cambria" w:hAnsi="Cambria"/>
          <w:sz w:val="20"/>
          <w:szCs w:val="20"/>
        </w:rPr>
        <w:t xml:space="preserve"> de la presentación de una solicitud de prelación al trámite y al fallo del proceso que se haría por parte del Procurador 17 Judicial II Penal de Bogotá ante la Corte Suprema de Justicia, de conformidad con el art</w:t>
      </w:r>
      <w:r w:rsidR="00EF2655" w:rsidRPr="00851193">
        <w:rPr>
          <w:rFonts w:ascii="Cambria" w:hAnsi="Cambria"/>
          <w:sz w:val="20"/>
          <w:szCs w:val="20"/>
        </w:rPr>
        <w:t>ículo</w:t>
      </w:r>
      <w:r w:rsidRPr="00851193">
        <w:rPr>
          <w:rFonts w:ascii="Cambria" w:hAnsi="Cambria"/>
          <w:sz w:val="20"/>
          <w:szCs w:val="20"/>
        </w:rPr>
        <w:t xml:space="preserve"> 63 (a) de la Ley 270 de 1996. </w:t>
      </w:r>
      <w:r w:rsidR="00CF161F" w:rsidRPr="00851193">
        <w:rPr>
          <w:rFonts w:ascii="Cambria" w:hAnsi="Cambria"/>
          <w:sz w:val="20"/>
          <w:szCs w:val="20"/>
        </w:rPr>
        <w:t>Como primer compromiso, e</w:t>
      </w:r>
      <w:r w:rsidR="00DF0D1A" w:rsidRPr="00851193">
        <w:rPr>
          <w:rFonts w:ascii="Cambria" w:hAnsi="Cambria"/>
          <w:sz w:val="20"/>
          <w:szCs w:val="20"/>
        </w:rPr>
        <w:t xml:space="preserve">l Estado se compromete a que la </w:t>
      </w:r>
      <w:r w:rsidR="002B2C33" w:rsidRPr="00851193">
        <w:rPr>
          <w:rFonts w:ascii="Cambria" w:hAnsi="Cambria"/>
          <w:sz w:val="20"/>
          <w:szCs w:val="20"/>
        </w:rPr>
        <w:t xml:space="preserve">que la </w:t>
      </w:r>
      <w:r w:rsidR="00DF0D1A" w:rsidRPr="00851193">
        <w:rPr>
          <w:rFonts w:ascii="Cambria" w:hAnsi="Cambria"/>
          <w:sz w:val="20"/>
          <w:szCs w:val="20"/>
        </w:rPr>
        <w:t>ANDJE dará seguimiento a la acción de revisión.</w:t>
      </w:r>
    </w:p>
    <w:p w14:paraId="3FFE3026" w14:textId="77777777" w:rsidR="00B50A68" w:rsidRPr="00851193" w:rsidRDefault="00B50A68" w:rsidP="00B50A68">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sz w:val="20"/>
          <w:szCs w:val="20"/>
        </w:rPr>
      </w:pPr>
    </w:p>
    <w:p w14:paraId="7290C140" w14:textId="667348EE" w:rsidR="00CD623B" w:rsidRPr="00851193" w:rsidRDefault="00CD623B" w:rsidP="00CD623B">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rPr>
      </w:pPr>
      <w:r w:rsidRPr="00851193">
        <w:rPr>
          <w:rFonts w:ascii="Cambria" w:hAnsi="Cambria"/>
          <w:sz w:val="20"/>
          <w:szCs w:val="20"/>
        </w:rPr>
        <w:t xml:space="preserve">Respecto de la segunda recomendación, </w:t>
      </w:r>
      <w:r w:rsidR="002D63D4" w:rsidRPr="00851193">
        <w:rPr>
          <w:rFonts w:ascii="Cambria" w:hAnsi="Cambria"/>
          <w:sz w:val="20"/>
          <w:szCs w:val="20"/>
        </w:rPr>
        <w:t xml:space="preserve">el Estado </w:t>
      </w:r>
      <w:r w:rsidR="00EF3543" w:rsidRPr="00851193">
        <w:rPr>
          <w:rFonts w:ascii="Cambria" w:hAnsi="Cambria"/>
          <w:sz w:val="20"/>
          <w:szCs w:val="20"/>
        </w:rPr>
        <w:t>indic</w:t>
      </w:r>
      <w:r w:rsidR="002D63D4" w:rsidRPr="00851193">
        <w:rPr>
          <w:rFonts w:ascii="Cambria" w:hAnsi="Cambria"/>
          <w:sz w:val="20"/>
          <w:szCs w:val="20"/>
        </w:rPr>
        <w:t xml:space="preserve">ó </w:t>
      </w:r>
      <w:r w:rsidR="002B2C33" w:rsidRPr="00851193">
        <w:rPr>
          <w:rFonts w:ascii="Cambria" w:hAnsi="Cambria"/>
          <w:sz w:val="20"/>
          <w:szCs w:val="20"/>
        </w:rPr>
        <w:t xml:space="preserve">que la </w:t>
      </w:r>
      <w:r w:rsidR="002D63D4" w:rsidRPr="00851193">
        <w:rPr>
          <w:rFonts w:ascii="Cambria" w:hAnsi="Cambria"/>
          <w:sz w:val="20"/>
          <w:szCs w:val="20"/>
        </w:rPr>
        <w:t>ANDJE</w:t>
      </w:r>
      <w:r w:rsidRPr="00851193">
        <w:rPr>
          <w:rFonts w:ascii="Cambria" w:hAnsi="Cambria"/>
          <w:sz w:val="20"/>
          <w:szCs w:val="20"/>
        </w:rPr>
        <w:t xml:space="preserve"> asum</w:t>
      </w:r>
      <w:r w:rsidR="00EF3543" w:rsidRPr="00851193">
        <w:rPr>
          <w:rFonts w:ascii="Cambria" w:hAnsi="Cambria"/>
          <w:sz w:val="20"/>
          <w:szCs w:val="20"/>
        </w:rPr>
        <w:t>ió</w:t>
      </w:r>
      <w:r w:rsidRPr="00851193">
        <w:rPr>
          <w:rFonts w:ascii="Cambria" w:hAnsi="Cambria"/>
          <w:sz w:val="20"/>
          <w:szCs w:val="20"/>
        </w:rPr>
        <w:t xml:space="preserve"> el pago de la reparación pecuniaria de la víctima como consecuencia de la violación al derecho a la integrida</w:t>
      </w:r>
      <w:r w:rsidR="00B11E4D" w:rsidRPr="00851193">
        <w:rPr>
          <w:rFonts w:ascii="Cambria" w:hAnsi="Cambria"/>
          <w:sz w:val="20"/>
          <w:szCs w:val="20"/>
        </w:rPr>
        <w:t xml:space="preserve">d </w:t>
      </w:r>
      <w:r w:rsidRPr="00851193">
        <w:rPr>
          <w:rFonts w:ascii="Cambria" w:hAnsi="Cambria"/>
          <w:sz w:val="20"/>
          <w:szCs w:val="20"/>
        </w:rPr>
        <w:t>personal con ocasión a la privación ilegal de su libertad conforme</w:t>
      </w:r>
      <w:r w:rsidR="006829B2" w:rsidRPr="00851193">
        <w:rPr>
          <w:rFonts w:ascii="Cambria" w:hAnsi="Cambria"/>
          <w:sz w:val="20"/>
          <w:szCs w:val="20"/>
        </w:rPr>
        <w:t xml:space="preserve"> a</w:t>
      </w:r>
      <w:r w:rsidRPr="00851193">
        <w:rPr>
          <w:rFonts w:ascii="Cambria" w:hAnsi="Cambria"/>
          <w:sz w:val="20"/>
          <w:szCs w:val="20"/>
        </w:rPr>
        <w:t xml:space="preserve"> lo establecido en el </w:t>
      </w:r>
      <w:r w:rsidR="006829B2" w:rsidRPr="00851193">
        <w:rPr>
          <w:rFonts w:ascii="Cambria" w:hAnsi="Cambria"/>
          <w:sz w:val="20"/>
          <w:szCs w:val="20"/>
        </w:rPr>
        <w:t>I</w:t>
      </w:r>
      <w:r w:rsidRPr="00851193">
        <w:rPr>
          <w:rFonts w:ascii="Cambria" w:hAnsi="Cambria"/>
          <w:sz w:val="20"/>
          <w:szCs w:val="20"/>
        </w:rPr>
        <w:t xml:space="preserve">nforme de </w:t>
      </w:r>
      <w:r w:rsidR="006829B2" w:rsidRPr="00851193">
        <w:rPr>
          <w:rFonts w:ascii="Cambria" w:hAnsi="Cambria"/>
          <w:sz w:val="20"/>
          <w:szCs w:val="20"/>
        </w:rPr>
        <w:t>F</w:t>
      </w:r>
      <w:r w:rsidRPr="00851193">
        <w:rPr>
          <w:rFonts w:ascii="Cambria" w:hAnsi="Cambria"/>
          <w:sz w:val="20"/>
          <w:szCs w:val="20"/>
        </w:rPr>
        <w:t xml:space="preserve">ondo, </w:t>
      </w:r>
      <w:r w:rsidR="00BB2AC4" w:rsidRPr="00851193">
        <w:rPr>
          <w:rFonts w:ascii="Cambria" w:hAnsi="Cambria"/>
          <w:sz w:val="20"/>
          <w:szCs w:val="20"/>
        </w:rPr>
        <w:t xml:space="preserve">y de acuerdo a </w:t>
      </w:r>
      <w:r w:rsidRPr="00851193">
        <w:rPr>
          <w:rFonts w:ascii="Cambria" w:hAnsi="Cambria"/>
          <w:sz w:val="20"/>
          <w:szCs w:val="20"/>
        </w:rPr>
        <w:t xml:space="preserve">la Ley 288 de 1996. </w:t>
      </w:r>
    </w:p>
    <w:p w14:paraId="3652A64B" w14:textId="77777777" w:rsidR="00CD623B" w:rsidRPr="00851193" w:rsidRDefault="00CD623B" w:rsidP="00D56629">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AR"/>
        </w:rPr>
      </w:pPr>
    </w:p>
    <w:p w14:paraId="1BC25068" w14:textId="1EDF90CA" w:rsidR="00CD623B" w:rsidRPr="00851193" w:rsidRDefault="00CD623B" w:rsidP="00CD623B">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rPr>
      </w:pPr>
      <w:r w:rsidRPr="00851193">
        <w:rPr>
          <w:rFonts w:ascii="Cambria" w:hAnsi="Cambria"/>
          <w:sz w:val="20"/>
          <w:szCs w:val="20"/>
        </w:rPr>
        <w:t>El Estado y l</w:t>
      </w:r>
      <w:r w:rsidR="00E00779" w:rsidRPr="00851193">
        <w:rPr>
          <w:rFonts w:ascii="Cambria" w:hAnsi="Cambria"/>
          <w:sz w:val="20"/>
          <w:szCs w:val="20"/>
        </w:rPr>
        <w:t>a parte peticionaria</w:t>
      </w:r>
      <w:r w:rsidR="00F86F2E" w:rsidRPr="00851193">
        <w:rPr>
          <w:rFonts w:ascii="Cambria" w:hAnsi="Cambria"/>
          <w:sz w:val="20"/>
          <w:szCs w:val="20"/>
        </w:rPr>
        <w:t>, como segundo compromiso,</w:t>
      </w:r>
      <w:r w:rsidRPr="00851193">
        <w:rPr>
          <w:rFonts w:ascii="Cambria" w:hAnsi="Cambria"/>
          <w:sz w:val="20"/>
          <w:szCs w:val="20"/>
        </w:rPr>
        <w:t xml:space="preserve"> declara</w:t>
      </w:r>
      <w:r w:rsidR="00B875E1" w:rsidRPr="00851193">
        <w:rPr>
          <w:rFonts w:ascii="Cambria" w:hAnsi="Cambria"/>
          <w:sz w:val="20"/>
          <w:szCs w:val="20"/>
        </w:rPr>
        <w:t>ron</w:t>
      </w:r>
      <w:r w:rsidRPr="00851193">
        <w:rPr>
          <w:rFonts w:ascii="Cambria" w:hAnsi="Cambria"/>
          <w:sz w:val="20"/>
          <w:szCs w:val="20"/>
        </w:rPr>
        <w:t xml:space="preserve"> que el pago realizado por la A</w:t>
      </w:r>
      <w:r w:rsidR="00EF3543" w:rsidRPr="00851193">
        <w:rPr>
          <w:rFonts w:ascii="Cambria" w:hAnsi="Cambria"/>
          <w:sz w:val="20"/>
          <w:szCs w:val="20"/>
        </w:rPr>
        <w:t>NDJE</w:t>
      </w:r>
      <w:r w:rsidRPr="00851193">
        <w:rPr>
          <w:rFonts w:ascii="Cambria" w:hAnsi="Cambria"/>
          <w:sz w:val="20"/>
          <w:szCs w:val="20"/>
        </w:rPr>
        <w:t xml:space="preserve"> al señor Sastoque </w:t>
      </w:r>
      <w:r w:rsidR="000F3BF4" w:rsidRPr="00851193">
        <w:rPr>
          <w:rFonts w:ascii="Cambria" w:hAnsi="Cambria"/>
          <w:sz w:val="20"/>
          <w:szCs w:val="20"/>
        </w:rPr>
        <w:t xml:space="preserve">Alfonso </w:t>
      </w:r>
      <w:r w:rsidRPr="00851193">
        <w:rPr>
          <w:rFonts w:ascii="Cambria" w:hAnsi="Cambria"/>
          <w:sz w:val="20"/>
          <w:szCs w:val="20"/>
        </w:rPr>
        <w:t xml:space="preserve">en virtud de lo ordenado mediante resolución No. 369 del 19 de octubre de 2020, correspondió a las violaciones declaradas por la CIDH en su </w:t>
      </w:r>
      <w:r w:rsidR="003E61F8" w:rsidRPr="00851193">
        <w:rPr>
          <w:rFonts w:ascii="Cambria" w:hAnsi="Cambria"/>
          <w:sz w:val="20"/>
          <w:szCs w:val="20"/>
        </w:rPr>
        <w:t>I</w:t>
      </w:r>
      <w:r w:rsidRPr="00851193">
        <w:rPr>
          <w:rFonts w:ascii="Cambria" w:hAnsi="Cambria"/>
          <w:sz w:val="20"/>
          <w:szCs w:val="20"/>
        </w:rPr>
        <w:t xml:space="preserve">nforme de </w:t>
      </w:r>
      <w:r w:rsidR="003E61F8" w:rsidRPr="00851193">
        <w:rPr>
          <w:rFonts w:ascii="Cambria" w:hAnsi="Cambria"/>
          <w:sz w:val="20"/>
          <w:szCs w:val="20"/>
        </w:rPr>
        <w:t>F</w:t>
      </w:r>
      <w:r w:rsidRPr="00851193">
        <w:rPr>
          <w:rFonts w:ascii="Cambria" w:hAnsi="Cambria"/>
          <w:sz w:val="20"/>
          <w:szCs w:val="20"/>
        </w:rPr>
        <w:t xml:space="preserve">ondo. </w:t>
      </w:r>
    </w:p>
    <w:p w14:paraId="0893725D" w14:textId="77777777" w:rsidR="00CD623B" w:rsidRPr="00851193" w:rsidRDefault="00CD623B" w:rsidP="00D56629">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AR"/>
        </w:rPr>
      </w:pPr>
    </w:p>
    <w:p w14:paraId="1B96FF54" w14:textId="21859895" w:rsidR="00CD623B" w:rsidRPr="00851193" w:rsidRDefault="00CD623B" w:rsidP="00CD623B">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rPr>
      </w:pPr>
      <w:r w:rsidRPr="00851193">
        <w:rPr>
          <w:rFonts w:ascii="Cambria" w:hAnsi="Cambria"/>
          <w:sz w:val="20"/>
          <w:szCs w:val="20"/>
        </w:rPr>
        <w:t xml:space="preserve">Asimismo, se </w:t>
      </w:r>
      <w:r w:rsidR="00F47E86" w:rsidRPr="00851193">
        <w:rPr>
          <w:rFonts w:ascii="Cambria" w:hAnsi="Cambria"/>
          <w:sz w:val="20"/>
          <w:szCs w:val="20"/>
        </w:rPr>
        <w:t>acordó</w:t>
      </w:r>
      <w:r w:rsidRPr="00851193">
        <w:rPr>
          <w:rFonts w:ascii="Cambria" w:hAnsi="Cambria"/>
          <w:sz w:val="20"/>
          <w:szCs w:val="20"/>
        </w:rPr>
        <w:t xml:space="preserve"> que en el evento en que la Corte Suprema de Justicia declare sin valor el fallo del 6 de marzo de 1998, la víctima podría iniciar </w:t>
      </w:r>
      <w:r w:rsidR="00FB4AB0" w:rsidRPr="00851193">
        <w:rPr>
          <w:rFonts w:ascii="Cambria" w:hAnsi="Cambria"/>
          <w:sz w:val="20"/>
          <w:szCs w:val="20"/>
        </w:rPr>
        <w:t xml:space="preserve">las </w:t>
      </w:r>
      <w:r w:rsidRPr="00851193">
        <w:rPr>
          <w:rFonts w:ascii="Cambria" w:hAnsi="Cambria"/>
          <w:sz w:val="20"/>
          <w:szCs w:val="20"/>
        </w:rPr>
        <w:t>acciones administrativas o judiciales que considere pertinente</w:t>
      </w:r>
      <w:r w:rsidR="00FB4AB0" w:rsidRPr="00851193">
        <w:rPr>
          <w:rFonts w:ascii="Cambria" w:hAnsi="Cambria"/>
          <w:sz w:val="20"/>
          <w:szCs w:val="20"/>
        </w:rPr>
        <w:t>s</w:t>
      </w:r>
      <w:r w:rsidR="003B6CED" w:rsidRPr="00851193">
        <w:rPr>
          <w:rFonts w:ascii="Cambria" w:hAnsi="Cambria"/>
          <w:sz w:val="20"/>
          <w:szCs w:val="20"/>
        </w:rPr>
        <w:t>,</w:t>
      </w:r>
      <w:r w:rsidRPr="00851193">
        <w:rPr>
          <w:rFonts w:ascii="Cambria" w:hAnsi="Cambria"/>
          <w:sz w:val="20"/>
          <w:szCs w:val="20"/>
        </w:rPr>
        <w:t xml:space="preserve"> conforme al ordenamiento legal interno</w:t>
      </w:r>
      <w:r w:rsidR="003B6CED" w:rsidRPr="00851193">
        <w:rPr>
          <w:rFonts w:ascii="Cambria" w:hAnsi="Cambria"/>
          <w:sz w:val="20"/>
          <w:szCs w:val="20"/>
        </w:rPr>
        <w:t>,</w:t>
      </w:r>
      <w:r w:rsidRPr="00851193">
        <w:rPr>
          <w:rFonts w:ascii="Cambria" w:hAnsi="Cambria"/>
          <w:sz w:val="20"/>
          <w:szCs w:val="20"/>
        </w:rPr>
        <w:t xml:space="preserve"> para obtener el reintegro al empleo que </w:t>
      </w:r>
      <w:r w:rsidR="003B6CED" w:rsidRPr="00851193">
        <w:rPr>
          <w:rFonts w:ascii="Cambria" w:hAnsi="Cambria"/>
          <w:sz w:val="20"/>
          <w:szCs w:val="20"/>
        </w:rPr>
        <w:t xml:space="preserve">el señor Sastoque </w:t>
      </w:r>
      <w:r w:rsidRPr="00851193">
        <w:rPr>
          <w:rFonts w:ascii="Cambria" w:hAnsi="Cambria"/>
          <w:sz w:val="20"/>
          <w:szCs w:val="20"/>
        </w:rPr>
        <w:t xml:space="preserve">ejercía al momento de ser privado de la libertad por cuenta de la actuación penal y reclamar sus derechos laborales. </w:t>
      </w:r>
      <w:r w:rsidR="00F47E86" w:rsidRPr="00851193">
        <w:rPr>
          <w:rFonts w:ascii="Cambria" w:hAnsi="Cambria"/>
          <w:sz w:val="20"/>
          <w:szCs w:val="20"/>
        </w:rPr>
        <w:t>Se acordó</w:t>
      </w:r>
      <w:r w:rsidRPr="00851193">
        <w:rPr>
          <w:rFonts w:ascii="Cambria" w:hAnsi="Cambria"/>
          <w:sz w:val="20"/>
          <w:szCs w:val="20"/>
        </w:rPr>
        <w:t xml:space="preserve"> que se remitirá a la </w:t>
      </w:r>
      <w:r w:rsidR="00D33152" w:rsidRPr="00851193">
        <w:rPr>
          <w:rFonts w:ascii="Cambria" w:hAnsi="Cambria"/>
          <w:sz w:val="20"/>
          <w:szCs w:val="20"/>
        </w:rPr>
        <w:t>Fiscalía General de la Nación (</w:t>
      </w:r>
      <w:r w:rsidRPr="00851193">
        <w:rPr>
          <w:rFonts w:ascii="Cambria" w:hAnsi="Cambria"/>
          <w:sz w:val="20"/>
          <w:szCs w:val="20"/>
        </w:rPr>
        <w:t>FGN</w:t>
      </w:r>
      <w:r w:rsidR="00D33152" w:rsidRPr="00851193">
        <w:rPr>
          <w:rFonts w:ascii="Cambria" w:hAnsi="Cambria"/>
          <w:sz w:val="20"/>
          <w:szCs w:val="20"/>
        </w:rPr>
        <w:t>)</w:t>
      </w:r>
      <w:r w:rsidRPr="00851193">
        <w:rPr>
          <w:rFonts w:ascii="Cambria" w:hAnsi="Cambria"/>
          <w:sz w:val="20"/>
          <w:szCs w:val="20"/>
        </w:rPr>
        <w:t xml:space="preserve"> copia del Acuerdo de Cumplimiento para su conocimiento y solicitará que, una vez se emita la sentencia, la fiscalía lleve a cabo una reunión con la víctima y su representante. </w:t>
      </w:r>
    </w:p>
    <w:p w14:paraId="0ACDED12" w14:textId="77777777" w:rsidR="00CD623B" w:rsidRPr="00851193" w:rsidRDefault="00CD623B" w:rsidP="00D56629">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AR"/>
        </w:rPr>
      </w:pPr>
    </w:p>
    <w:p w14:paraId="190C7DD2" w14:textId="3DDE0B11" w:rsidR="00CD623B" w:rsidRPr="00851193" w:rsidRDefault="002B2C33" w:rsidP="00CD623B">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rPr>
      </w:pPr>
      <w:r w:rsidRPr="00851193">
        <w:rPr>
          <w:rFonts w:ascii="Cambria" w:hAnsi="Cambria"/>
          <w:sz w:val="20"/>
          <w:szCs w:val="20"/>
          <w:lang w:val="es-AR"/>
        </w:rPr>
        <w:t>Como</w:t>
      </w:r>
      <w:r w:rsidR="00A4665A" w:rsidRPr="00851193">
        <w:rPr>
          <w:rFonts w:ascii="Cambria" w:hAnsi="Cambria"/>
          <w:sz w:val="20"/>
          <w:szCs w:val="20"/>
          <w:lang w:val="es-AR"/>
        </w:rPr>
        <w:t xml:space="preserve"> tercer compromiso, </w:t>
      </w:r>
      <w:r w:rsidR="005101D1" w:rsidRPr="00851193">
        <w:rPr>
          <w:rFonts w:ascii="Cambria" w:hAnsi="Cambria"/>
          <w:sz w:val="20"/>
          <w:szCs w:val="20"/>
          <w:lang w:val="es-AR"/>
        </w:rPr>
        <w:t>relativo a las</w:t>
      </w:r>
      <w:r w:rsidRPr="00851193">
        <w:rPr>
          <w:rFonts w:ascii="Cambria" w:hAnsi="Cambria"/>
          <w:sz w:val="20"/>
          <w:szCs w:val="20"/>
          <w:lang w:val="es-AR"/>
        </w:rPr>
        <w:t xml:space="preserve"> </w:t>
      </w:r>
      <w:r w:rsidR="00CD623B" w:rsidRPr="00851193">
        <w:rPr>
          <w:rFonts w:ascii="Cambria" w:hAnsi="Cambria"/>
          <w:sz w:val="20"/>
          <w:szCs w:val="20"/>
        </w:rPr>
        <w:t>medida</w:t>
      </w:r>
      <w:r w:rsidRPr="00851193">
        <w:rPr>
          <w:rFonts w:ascii="Cambria" w:hAnsi="Cambria"/>
          <w:sz w:val="20"/>
          <w:szCs w:val="20"/>
        </w:rPr>
        <w:t>s</w:t>
      </w:r>
      <w:r w:rsidR="00CD623B" w:rsidRPr="00851193">
        <w:rPr>
          <w:rFonts w:ascii="Cambria" w:hAnsi="Cambria"/>
          <w:sz w:val="20"/>
          <w:szCs w:val="20"/>
        </w:rPr>
        <w:t xml:space="preserve"> de satisfacción, el Estado </w:t>
      </w:r>
      <w:r w:rsidR="00D33152" w:rsidRPr="00851193">
        <w:rPr>
          <w:rFonts w:ascii="Cambria" w:hAnsi="Cambria"/>
          <w:sz w:val="20"/>
          <w:szCs w:val="20"/>
        </w:rPr>
        <w:t xml:space="preserve">se comprometió a </w:t>
      </w:r>
      <w:r w:rsidR="00CD623B" w:rsidRPr="00851193">
        <w:rPr>
          <w:rFonts w:ascii="Cambria" w:hAnsi="Cambria"/>
          <w:sz w:val="20"/>
          <w:szCs w:val="20"/>
        </w:rPr>
        <w:t>realizar un Acto de Reconocimiento de Responsabilidad, en el que reconocerá la responsabilidad internacional por la vulneración de los derechos establecidos en los artículos 7, 8, y 25 de la Convención Americana respecto de las obligaciones establecidas en el artículo 1.1 y 2 de dicho instrumento en prejuicio del señor Sastoque</w:t>
      </w:r>
      <w:r w:rsidR="000F3BF4" w:rsidRPr="00851193">
        <w:rPr>
          <w:rFonts w:ascii="Cambria" w:hAnsi="Cambria"/>
          <w:sz w:val="20"/>
          <w:szCs w:val="20"/>
        </w:rPr>
        <w:t xml:space="preserve"> Alfonso</w:t>
      </w:r>
      <w:r w:rsidR="00CD623B" w:rsidRPr="00851193">
        <w:rPr>
          <w:rFonts w:ascii="Cambria" w:hAnsi="Cambria"/>
          <w:sz w:val="20"/>
          <w:szCs w:val="20"/>
        </w:rPr>
        <w:t xml:space="preserve">, una vez que la Corte Suprema de Justicia resuelva la </w:t>
      </w:r>
      <w:r w:rsidR="00FD1DFE" w:rsidRPr="00851193">
        <w:rPr>
          <w:rFonts w:ascii="Cambria" w:hAnsi="Cambria"/>
          <w:sz w:val="20"/>
          <w:szCs w:val="20"/>
        </w:rPr>
        <w:t>a</w:t>
      </w:r>
      <w:r w:rsidR="00CD623B" w:rsidRPr="00851193">
        <w:rPr>
          <w:rFonts w:ascii="Cambria" w:hAnsi="Cambria"/>
          <w:sz w:val="20"/>
          <w:szCs w:val="20"/>
        </w:rPr>
        <w:t xml:space="preserve">cción de revisión. </w:t>
      </w:r>
    </w:p>
    <w:p w14:paraId="0F439033" w14:textId="77777777" w:rsidR="00CD623B" w:rsidRPr="00851193" w:rsidRDefault="00CD623B" w:rsidP="00D56629">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AR"/>
        </w:rPr>
      </w:pPr>
    </w:p>
    <w:p w14:paraId="2DFF9CC4" w14:textId="21D6C108" w:rsidR="00CD623B" w:rsidRPr="00851193" w:rsidRDefault="00CD623B" w:rsidP="00CD623B">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rPr>
      </w:pPr>
      <w:r w:rsidRPr="00851193">
        <w:rPr>
          <w:rFonts w:ascii="Cambria" w:hAnsi="Cambria"/>
          <w:sz w:val="20"/>
          <w:szCs w:val="20"/>
        </w:rPr>
        <w:t xml:space="preserve">Asimismo, el Estado </w:t>
      </w:r>
      <w:r w:rsidR="00FD1DFE" w:rsidRPr="00851193">
        <w:rPr>
          <w:rFonts w:ascii="Cambria" w:hAnsi="Cambria"/>
          <w:sz w:val="20"/>
          <w:szCs w:val="20"/>
        </w:rPr>
        <w:t xml:space="preserve">se comprometió a </w:t>
      </w:r>
      <w:r w:rsidRPr="00851193">
        <w:rPr>
          <w:rFonts w:ascii="Cambria" w:hAnsi="Cambria"/>
          <w:sz w:val="20"/>
          <w:szCs w:val="20"/>
        </w:rPr>
        <w:t>otorgar auxilio económico a Mar</w:t>
      </w:r>
      <w:r w:rsidR="00FD1DFE" w:rsidRPr="00851193">
        <w:rPr>
          <w:rFonts w:ascii="Cambria" w:hAnsi="Cambria"/>
          <w:sz w:val="20"/>
          <w:szCs w:val="20"/>
        </w:rPr>
        <w:t>í</w:t>
      </w:r>
      <w:r w:rsidRPr="00851193">
        <w:rPr>
          <w:rFonts w:ascii="Cambria" w:hAnsi="Cambria"/>
          <w:sz w:val="20"/>
          <w:szCs w:val="20"/>
        </w:rPr>
        <w:t xml:space="preserve">a Alejandra Sastoque Roberto, con el fin de financiarle un programa académico de nivel técnico profesional, tecnológico o universitario en una institución de Educación Superior en Colombia. El auxilio económico cubrirá el valor de la matrícula de los semestres por un valor semestral de hasta 11 SMMLV y un recurso de sostenimiento semestral de dos SMMLV o cuatro SMMLV si la Institución de Educación Superior se encuentra por fuera del municipio de residencia. El mismo deberá empezar a utilizarse en un término no mayor de cinco años desde la firma del Acuerdo.  </w:t>
      </w:r>
    </w:p>
    <w:p w14:paraId="2F784B0D" w14:textId="77777777" w:rsidR="005101D1" w:rsidRPr="00851193" w:rsidRDefault="005101D1" w:rsidP="005101D1">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rPr>
      </w:pPr>
    </w:p>
    <w:p w14:paraId="02203A3D" w14:textId="5569B30D" w:rsidR="005101D1" w:rsidRPr="00851193" w:rsidRDefault="005101D1" w:rsidP="005101D1">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rPr>
      </w:pPr>
      <w:r w:rsidRPr="00851193">
        <w:rPr>
          <w:rFonts w:ascii="Cambria" w:hAnsi="Cambria"/>
          <w:sz w:val="20"/>
          <w:szCs w:val="20"/>
        </w:rPr>
        <w:t>En el acuerdo de cumplimiento de las recomendaciones, ambas partes solicitaron que el mecanismo de verificación de cumplimiento del acuerdo se desarrolle a través de la CIDH en virtud de las facultades otorgadas conforme lo establecido en el artículo 51 de la Convención Americana y los artículos 47 y 48 del Reglamento de la CIDH.</w:t>
      </w:r>
    </w:p>
    <w:p w14:paraId="422DD36F" w14:textId="77777777" w:rsidR="00CD623B" w:rsidRPr="00851193" w:rsidRDefault="00CD623B" w:rsidP="00CD623B">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rPr>
      </w:pPr>
    </w:p>
    <w:p w14:paraId="7315270F" w14:textId="4107B01B" w:rsidR="00CD623B" w:rsidRPr="00851193" w:rsidRDefault="00CD623B" w:rsidP="00CD623B">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rPr>
      </w:pPr>
      <w:r w:rsidRPr="00851193">
        <w:rPr>
          <w:rFonts w:ascii="Cambria" w:hAnsi="Cambria"/>
          <w:sz w:val="20"/>
          <w:szCs w:val="20"/>
        </w:rPr>
        <w:lastRenderedPageBreak/>
        <w:t>Respecto de la tercera recomendación el Estado manifestó que la investigación adelantada por los delitos de fraude procesal y falso testimonio contra Olga Esther Guevara Fajardo, German Ramírez González y Claudia Magdalena Guevara Fajardo se encuentra inactiva por cuenta de la sentencia absolutoria emitida en septiembre de 2015</w:t>
      </w:r>
      <w:r w:rsidR="000E3ADF" w:rsidRPr="00851193">
        <w:rPr>
          <w:rFonts w:ascii="Cambria" w:hAnsi="Cambria"/>
          <w:sz w:val="20"/>
          <w:szCs w:val="20"/>
        </w:rPr>
        <w:t xml:space="preserve"> y que la acción penal se encuentra prescrita</w:t>
      </w:r>
      <w:r w:rsidRPr="00851193">
        <w:rPr>
          <w:rFonts w:ascii="Cambria" w:hAnsi="Cambria"/>
          <w:sz w:val="20"/>
          <w:szCs w:val="20"/>
        </w:rPr>
        <w:t xml:space="preserve">. Asimismo, informó que la Jurisdicción </w:t>
      </w:r>
      <w:r w:rsidR="000F3BF4" w:rsidRPr="00851193">
        <w:rPr>
          <w:rFonts w:ascii="Cambria" w:hAnsi="Cambria"/>
          <w:sz w:val="20"/>
          <w:szCs w:val="20"/>
        </w:rPr>
        <w:t>E</w:t>
      </w:r>
      <w:r w:rsidRPr="00851193">
        <w:rPr>
          <w:rFonts w:ascii="Cambria" w:hAnsi="Cambria"/>
          <w:sz w:val="20"/>
          <w:szCs w:val="20"/>
        </w:rPr>
        <w:t>special para la Paz</w:t>
      </w:r>
      <w:r w:rsidR="000F3BF4" w:rsidRPr="00851193">
        <w:rPr>
          <w:rFonts w:ascii="Cambria" w:hAnsi="Cambria"/>
          <w:sz w:val="20"/>
          <w:szCs w:val="20"/>
        </w:rPr>
        <w:t xml:space="preserve"> (JEP)</w:t>
      </w:r>
      <w:r w:rsidRPr="00851193">
        <w:rPr>
          <w:rFonts w:ascii="Cambria" w:hAnsi="Cambria"/>
          <w:sz w:val="20"/>
          <w:szCs w:val="20"/>
        </w:rPr>
        <w:t xml:space="preserve"> se encuentra realizando aportes tempranos a la verdad y que la FGN ha informado que estará a la espera de la decisión que tome la J</w:t>
      </w:r>
      <w:r w:rsidR="000F3BF4" w:rsidRPr="00851193">
        <w:rPr>
          <w:rFonts w:ascii="Cambria" w:hAnsi="Cambria"/>
          <w:sz w:val="20"/>
          <w:szCs w:val="20"/>
        </w:rPr>
        <w:t>EP</w:t>
      </w:r>
      <w:r w:rsidRPr="00851193">
        <w:rPr>
          <w:rFonts w:ascii="Cambria" w:hAnsi="Cambria"/>
          <w:sz w:val="20"/>
          <w:szCs w:val="20"/>
        </w:rPr>
        <w:t xml:space="preserve"> sobre las declaraciones</w:t>
      </w:r>
      <w:r w:rsidR="00401F25" w:rsidRPr="00851193">
        <w:rPr>
          <w:rFonts w:ascii="Cambria" w:hAnsi="Cambria"/>
          <w:sz w:val="20"/>
          <w:szCs w:val="20"/>
        </w:rPr>
        <w:t xml:space="preserve"> de las FARC-EP</w:t>
      </w:r>
      <w:r w:rsidRPr="00851193">
        <w:rPr>
          <w:rFonts w:ascii="Cambria" w:hAnsi="Cambria"/>
          <w:sz w:val="20"/>
          <w:szCs w:val="20"/>
        </w:rPr>
        <w:t xml:space="preserve"> realizadas respecto del homicidio de Hernando Pizarro León- Gómez, por el cual fue condenado el señor Sastoque Alfonso. </w:t>
      </w:r>
    </w:p>
    <w:p w14:paraId="0D884D35" w14:textId="77777777" w:rsidR="00CD623B" w:rsidRPr="00851193" w:rsidRDefault="00CD623B" w:rsidP="00CD623B">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rPr>
      </w:pPr>
    </w:p>
    <w:p w14:paraId="4106AD51" w14:textId="3222D805" w:rsidR="00CD623B" w:rsidRPr="00851193" w:rsidRDefault="00CD623B" w:rsidP="00CD623B">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rPr>
      </w:pPr>
      <w:r w:rsidRPr="00851193">
        <w:rPr>
          <w:rFonts w:ascii="Cambria" w:hAnsi="Cambria"/>
          <w:sz w:val="20"/>
          <w:szCs w:val="20"/>
        </w:rPr>
        <w:t>Con relación a la cuarta recomendación, el Estado resaltó, como avances</w:t>
      </w:r>
      <w:r w:rsidR="007C6D87" w:rsidRPr="00851193">
        <w:rPr>
          <w:rFonts w:ascii="Cambria" w:hAnsi="Cambria"/>
          <w:sz w:val="20"/>
          <w:szCs w:val="20"/>
        </w:rPr>
        <w:t xml:space="preserve"> en medidas de no repetición</w:t>
      </w:r>
      <w:r w:rsidRPr="00851193">
        <w:rPr>
          <w:rFonts w:ascii="Cambria" w:hAnsi="Cambria"/>
          <w:sz w:val="20"/>
          <w:szCs w:val="20"/>
        </w:rPr>
        <w:t>, el Acto Legislativo No. 03 de 2002</w:t>
      </w:r>
      <w:r w:rsidR="00EA342C" w:rsidRPr="00851193">
        <w:rPr>
          <w:rFonts w:ascii="Cambria" w:hAnsi="Cambria"/>
          <w:sz w:val="20"/>
          <w:szCs w:val="20"/>
        </w:rPr>
        <w:t xml:space="preserve"> que</w:t>
      </w:r>
      <w:r w:rsidRPr="00851193">
        <w:rPr>
          <w:rFonts w:ascii="Cambria" w:hAnsi="Cambria"/>
          <w:sz w:val="20"/>
          <w:szCs w:val="20"/>
        </w:rPr>
        <w:t xml:space="preserve"> modificó la Constitución Política con el fin de pasar del antiguo régimen procesal penal a uno con tendencia acusatoria, acorde con los postulados convencionales pactados por Colombia. </w:t>
      </w:r>
      <w:r w:rsidR="00963927" w:rsidRPr="00851193">
        <w:rPr>
          <w:rFonts w:ascii="Cambria" w:hAnsi="Cambria"/>
          <w:sz w:val="20"/>
          <w:szCs w:val="20"/>
        </w:rPr>
        <w:t>Consider</w:t>
      </w:r>
      <w:r w:rsidRPr="00851193">
        <w:rPr>
          <w:rFonts w:ascii="Cambria" w:hAnsi="Cambria"/>
          <w:sz w:val="20"/>
          <w:szCs w:val="20"/>
        </w:rPr>
        <w:t xml:space="preserve">ó que, de esta manera, el régimen penal que se encuentra vigente en Colombia se circunscribe a la Ley 599 de 2000, por la cual se expide el Código Penal y a la Ley 906 de 2004, la cual expide el Código de Procesamiento Penal. Indicó que este procedimiento establece un régimen de libertad que se fundamenta en el control constitucional de las medidas privativas solicitadas por parte del ente acusador, las cuales deben ser sometidas a evaluación por parte del juez de control de garantías. </w:t>
      </w:r>
      <w:r w:rsidR="00782910" w:rsidRPr="00851193">
        <w:rPr>
          <w:rFonts w:ascii="Cambria" w:hAnsi="Cambria"/>
          <w:sz w:val="20"/>
          <w:szCs w:val="20"/>
        </w:rPr>
        <w:t>I</w:t>
      </w:r>
      <w:r w:rsidRPr="00851193">
        <w:rPr>
          <w:rFonts w:ascii="Cambria" w:hAnsi="Cambria"/>
          <w:sz w:val="20"/>
          <w:szCs w:val="20"/>
        </w:rPr>
        <w:t>ndicó que</w:t>
      </w:r>
      <w:r w:rsidR="004A4E6D" w:rsidRPr="00851193">
        <w:rPr>
          <w:rFonts w:ascii="Cambria" w:hAnsi="Cambria"/>
          <w:sz w:val="20"/>
          <w:szCs w:val="20"/>
        </w:rPr>
        <w:t xml:space="preserve"> </w:t>
      </w:r>
      <w:r w:rsidRPr="00851193">
        <w:rPr>
          <w:rFonts w:ascii="Cambria" w:hAnsi="Cambria"/>
          <w:sz w:val="20"/>
          <w:szCs w:val="20"/>
        </w:rPr>
        <w:t xml:space="preserve">el juez de control de garantías en Colombia no solo se encarga de resolver sobre la libertad de los sindicados, sino sobre toda la actividad que afecte los derechos humanos y convencionales de los sujetos al interior del proceso penal. </w:t>
      </w:r>
    </w:p>
    <w:p w14:paraId="3833C5B5" w14:textId="77777777" w:rsidR="00CD623B" w:rsidRPr="00851193" w:rsidRDefault="00CD623B" w:rsidP="00D56629">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sz w:val="20"/>
          <w:szCs w:val="20"/>
        </w:rPr>
      </w:pPr>
    </w:p>
    <w:p w14:paraId="35347CF5" w14:textId="7FDD0A86" w:rsidR="00CD623B" w:rsidRPr="00851193" w:rsidRDefault="00CD623B" w:rsidP="00CD623B">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rPr>
      </w:pPr>
      <w:r w:rsidRPr="00851193">
        <w:rPr>
          <w:rFonts w:ascii="Cambria" w:hAnsi="Cambria"/>
          <w:sz w:val="20"/>
          <w:szCs w:val="20"/>
        </w:rPr>
        <w:t xml:space="preserve">Por otro lado, sobre los mecanismos de control contra funcionarios que violen el debido proceso, </w:t>
      </w:r>
      <w:r w:rsidR="0008286A" w:rsidRPr="00851193">
        <w:rPr>
          <w:rFonts w:ascii="Cambria" w:hAnsi="Cambria"/>
          <w:sz w:val="20"/>
          <w:szCs w:val="20"/>
        </w:rPr>
        <w:t>el Estado informó que</w:t>
      </w:r>
      <w:r w:rsidRPr="00851193">
        <w:rPr>
          <w:rFonts w:ascii="Cambria" w:hAnsi="Cambria"/>
          <w:sz w:val="20"/>
          <w:szCs w:val="20"/>
        </w:rPr>
        <w:t xml:space="preserve"> el ordenamiento jurídico cuenta con la Ley 734 de 2002 </w:t>
      </w:r>
      <w:r w:rsidR="00FF7273" w:rsidRPr="00851193">
        <w:rPr>
          <w:rFonts w:ascii="Cambria" w:hAnsi="Cambria"/>
          <w:sz w:val="20"/>
          <w:szCs w:val="20"/>
        </w:rPr>
        <w:t xml:space="preserve">que </w:t>
      </w:r>
      <w:r w:rsidRPr="00851193">
        <w:rPr>
          <w:rFonts w:ascii="Cambria" w:hAnsi="Cambria"/>
          <w:sz w:val="20"/>
          <w:szCs w:val="20"/>
        </w:rPr>
        <w:t xml:space="preserve">establece el Código Disciplinario Único. </w:t>
      </w:r>
      <w:r w:rsidR="00FF7273" w:rsidRPr="00851193">
        <w:rPr>
          <w:rFonts w:ascii="Cambria" w:hAnsi="Cambria"/>
          <w:sz w:val="20"/>
          <w:szCs w:val="20"/>
        </w:rPr>
        <w:t>Señaló que e</w:t>
      </w:r>
      <w:r w:rsidRPr="00851193">
        <w:rPr>
          <w:rFonts w:ascii="Cambria" w:hAnsi="Cambria"/>
          <w:sz w:val="20"/>
          <w:szCs w:val="20"/>
        </w:rPr>
        <w:t xml:space="preserve">sta Ley contempla como falta disciplinaria la realización de cualquiera de las conductas previstas en dicha normativa que conlleven: el incumplimiento de deberes, la extralimitación en el ejercicio de los derechos y funciones por aparte de servidores públicos, así como la violación de una prohibición, inhabilidad, incompatibilidad y/o conflicto de intereses. </w:t>
      </w:r>
      <w:r w:rsidR="008745BD" w:rsidRPr="00851193">
        <w:rPr>
          <w:rFonts w:ascii="Cambria" w:hAnsi="Cambria"/>
          <w:sz w:val="20"/>
          <w:szCs w:val="20"/>
        </w:rPr>
        <w:t>Inform</w:t>
      </w:r>
      <w:r w:rsidRPr="00851193">
        <w:rPr>
          <w:rFonts w:ascii="Cambria" w:hAnsi="Cambria"/>
          <w:sz w:val="20"/>
          <w:szCs w:val="20"/>
        </w:rPr>
        <w:t xml:space="preserve">ó que dicha ley establece como falta gravísima el obstaculizar las investigaciones que realicen las autoridades judiciales, privar ilegalmente de la libertad a una persona, violar la reserva de la investigación penal, entre otras, que dan lugar a la destitución o inhabilitación del ejercicio de funciones públicas si se realizan con dolo o culpa gravísima. </w:t>
      </w:r>
    </w:p>
    <w:p w14:paraId="39AA926E" w14:textId="77777777" w:rsidR="00CD623B" w:rsidRPr="00851193" w:rsidRDefault="00CD623B" w:rsidP="00D56629">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sz w:val="20"/>
          <w:szCs w:val="20"/>
        </w:rPr>
      </w:pPr>
    </w:p>
    <w:p w14:paraId="6B371D33" w14:textId="075C0470" w:rsidR="003970CF" w:rsidRPr="00851193" w:rsidRDefault="00CD623B" w:rsidP="00C9402F">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AR"/>
        </w:rPr>
      </w:pPr>
      <w:r w:rsidRPr="00851193">
        <w:rPr>
          <w:rFonts w:ascii="Cambria" w:hAnsi="Cambria"/>
          <w:sz w:val="20"/>
          <w:szCs w:val="20"/>
        </w:rPr>
        <w:t>Asimismo, resaltó la Ley 1952 de 2019, la cual habría entrado en vigor el 29 de marzo de 2022, que contempla como falta gravísima el incurrir en graves infracciones a los Derechos Humanos o Derecho Internacional Humanitario conforme los instrumentos internacionales suscritos y ratificados por Colombia. Asimismo, alegó que esa Ley contempla que a todo servidor público le está prohibido incumplir los deberes contenido</w:t>
      </w:r>
      <w:r w:rsidR="00B831F3" w:rsidRPr="00851193">
        <w:rPr>
          <w:rFonts w:ascii="Cambria" w:hAnsi="Cambria"/>
          <w:sz w:val="20"/>
          <w:szCs w:val="20"/>
        </w:rPr>
        <w:t>s</w:t>
      </w:r>
      <w:r w:rsidRPr="00851193">
        <w:rPr>
          <w:rFonts w:ascii="Cambria" w:hAnsi="Cambria"/>
          <w:sz w:val="20"/>
          <w:szCs w:val="20"/>
        </w:rPr>
        <w:t xml:space="preserve"> en los Tratados Internacionales ratificados por el Congreso. </w:t>
      </w:r>
    </w:p>
    <w:p w14:paraId="7227094F" w14:textId="77777777" w:rsidR="00DF0D1A" w:rsidRPr="00851193" w:rsidRDefault="00DF0D1A" w:rsidP="00DF0D1A">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rPr>
      </w:pPr>
    </w:p>
    <w:p w14:paraId="569492F5" w14:textId="1BDBEE2C" w:rsidR="00DF0D1A" w:rsidRPr="00851193" w:rsidRDefault="002B2C33" w:rsidP="002B2C33">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rPr>
      </w:pPr>
      <w:r w:rsidRPr="00851193">
        <w:rPr>
          <w:rFonts w:ascii="Cambria" w:hAnsi="Cambria"/>
          <w:sz w:val="20"/>
          <w:szCs w:val="20"/>
        </w:rPr>
        <w:t>T</w:t>
      </w:r>
      <w:r w:rsidR="00DF0D1A" w:rsidRPr="00851193">
        <w:rPr>
          <w:rFonts w:ascii="Cambria" w:hAnsi="Cambria"/>
          <w:sz w:val="20"/>
          <w:szCs w:val="20"/>
        </w:rPr>
        <w:t xml:space="preserve">ras evaluar </w:t>
      </w:r>
      <w:r w:rsidRPr="00851193">
        <w:rPr>
          <w:rFonts w:ascii="Cambria" w:hAnsi="Cambria"/>
          <w:sz w:val="20"/>
          <w:szCs w:val="20"/>
        </w:rPr>
        <w:t>la información</w:t>
      </w:r>
      <w:r w:rsidR="00DF0D1A" w:rsidRPr="00851193">
        <w:rPr>
          <w:rFonts w:ascii="Cambria" w:hAnsi="Cambria"/>
          <w:sz w:val="20"/>
          <w:szCs w:val="20"/>
        </w:rPr>
        <w:t xml:space="preserve"> sobre el estado de cumplimiento de las recomendaciones, la Comisión decidió el 19 de abril de 2022 no enviar el caso a la Corte Interamericana y proceder hacia la publicación del </w:t>
      </w:r>
      <w:r w:rsidRPr="00851193">
        <w:rPr>
          <w:rFonts w:ascii="Cambria" w:hAnsi="Cambria"/>
          <w:sz w:val="20"/>
          <w:szCs w:val="20"/>
        </w:rPr>
        <w:t>I</w:t>
      </w:r>
      <w:r w:rsidR="00DF0D1A" w:rsidRPr="00851193">
        <w:rPr>
          <w:rFonts w:ascii="Cambria" w:hAnsi="Cambria"/>
          <w:sz w:val="20"/>
          <w:szCs w:val="20"/>
        </w:rPr>
        <w:t xml:space="preserve">nforme de </w:t>
      </w:r>
      <w:r w:rsidRPr="00851193">
        <w:rPr>
          <w:rFonts w:ascii="Cambria" w:hAnsi="Cambria"/>
          <w:sz w:val="20"/>
          <w:szCs w:val="20"/>
        </w:rPr>
        <w:t>F</w:t>
      </w:r>
      <w:r w:rsidR="00DF0D1A" w:rsidRPr="00851193">
        <w:rPr>
          <w:rFonts w:ascii="Cambria" w:hAnsi="Cambria"/>
          <w:sz w:val="20"/>
          <w:szCs w:val="20"/>
        </w:rPr>
        <w:t xml:space="preserve">ondo según lo establecido en los artículos 51 de la Convención Americana y 47 del Reglamento de la CIDH. </w:t>
      </w:r>
    </w:p>
    <w:p w14:paraId="2CA82FFC" w14:textId="77777777" w:rsidR="00DF0D1A" w:rsidRPr="00851193" w:rsidRDefault="00DF0D1A" w:rsidP="00DF0D1A">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sz w:val="20"/>
          <w:szCs w:val="20"/>
        </w:rPr>
      </w:pPr>
    </w:p>
    <w:p w14:paraId="4B45A36C" w14:textId="309C394D" w:rsidR="00DF0D1A" w:rsidRPr="00851193" w:rsidRDefault="00DF0D1A" w:rsidP="00DF0D1A">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rPr>
      </w:pPr>
      <w:r w:rsidRPr="00851193">
        <w:rPr>
          <w:rFonts w:ascii="Cambria" w:hAnsi="Cambria"/>
          <w:sz w:val="20"/>
          <w:szCs w:val="20"/>
        </w:rPr>
        <w:t>El 20 de febrero de 2025, el Estado informó que el 22 de enero del mismo año, la Sala de Casación Penal de la Corte Suprema de Justicia</w:t>
      </w:r>
      <w:r w:rsidR="00030565" w:rsidRPr="00851193">
        <w:rPr>
          <w:rFonts w:ascii="Cambria" w:hAnsi="Cambria"/>
          <w:sz w:val="20"/>
          <w:szCs w:val="20"/>
        </w:rPr>
        <w:t xml:space="preserve"> (CSJ)</w:t>
      </w:r>
      <w:r w:rsidRPr="00851193">
        <w:rPr>
          <w:rFonts w:ascii="Cambria" w:hAnsi="Cambria"/>
          <w:sz w:val="20"/>
          <w:szCs w:val="20"/>
        </w:rPr>
        <w:t xml:space="preserve"> profirió su decisión dentro de la Acción de Revisión promovida, en la cual, declaró fundada la casual de revisión establecida en el numeral 3º del artículo 220 de la Ley 600 de 2000 invocada por el Ministerio Público, con el alcance dado por la Corte Constitucional de Colombia en Sentencia C-004/03 (numeral 4º del apartado 192 de la Ley 906 de 2004).</w:t>
      </w:r>
    </w:p>
    <w:p w14:paraId="499B4E03" w14:textId="77777777" w:rsidR="00DF0D1A" w:rsidRPr="00851193" w:rsidRDefault="00DF0D1A" w:rsidP="00DF0D1A">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sz w:val="20"/>
          <w:szCs w:val="20"/>
        </w:rPr>
      </w:pPr>
    </w:p>
    <w:p w14:paraId="660C9284" w14:textId="211E71E5" w:rsidR="00DF0D1A" w:rsidRPr="00851193" w:rsidRDefault="00DF0D1A" w:rsidP="00DF0D1A">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US"/>
        </w:rPr>
      </w:pPr>
      <w:r w:rsidRPr="00851193">
        <w:rPr>
          <w:rFonts w:ascii="Cambria" w:hAnsi="Cambria"/>
          <w:sz w:val="20"/>
          <w:szCs w:val="20"/>
          <w:lang w:val="es-US"/>
        </w:rPr>
        <w:t xml:space="preserve">El Estado indicó que, en consecuencia, el Despacho ordenó dejar sin efecto las sentencias de primera y segunda instancia proferidas por el Juzgado Regional de Bogotá el 26 de mayo de 1997 y el Tribunal Nacional el 6 de marzo de 1998, en donde se condenó al señor Sastoque Alfonso por el homicidio agravado del señor Hernando Pizarro Leongómez. Asimismo, la Sala de Casación Penal </w:t>
      </w:r>
      <w:r w:rsidR="008D3F7A" w:rsidRPr="00851193">
        <w:rPr>
          <w:rFonts w:ascii="Cambria" w:hAnsi="Cambria"/>
          <w:sz w:val="20"/>
          <w:szCs w:val="20"/>
          <w:lang w:val="es-US"/>
        </w:rPr>
        <w:t xml:space="preserve">de la CSJ </w:t>
      </w:r>
      <w:r w:rsidRPr="00851193">
        <w:rPr>
          <w:rFonts w:ascii="Cambria" w:hAnsi="Cambria"/>
          <w:sz w:val="20"/>
          <w:szCs w:val="20"/>
          <w:lang w:val="es-US"/>
        </w:rPr>
        <w:t xml:space="preserve">ordenó retrotraer lo actuado hasta la emisión de la sentencia de primera instancia, inclusive, para que se profiera sentencia con atención a las recomendaciones de la CIDH. </w:t>
      </w:r>
    </w:p>
    <w:p w14:paraId="0B5DD275" w14:textId="77777777" w:rsidR="00DF0D1A" w:rsidRPr="00851193" w:rsidRDefault="00DF0D1A" w:rsidP="00DF0D1A">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sz w:val="20"/>
          <w:szCs w:val="20"/>
          <w:lang w:val="es-US"/>
        </w:rPr>
      </w:pPr>
    </w:p>
    <w:p w14:paraId="3B0204A3" w14:textId="1CB20E32" w:rsidR="00C206BD" w:rsidRPr="00851193" w:rsidRDefault="00DF0D1A" w:rsidP="002B2C33">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US"/>
        </w:rPr>
      </w:pPr>
      <w:r w:rsidRPr="00851193">
        <w:rPr>
          <w:rFonts w:ascii="Cambria" w:hAnsi="Cambria"/>
          <w:sz w:val="20"/>
          <w:szCs w:val="20"/>
          <w:lang w:val="es-US"/>
        </w:rPr>
        <w:t xml:space="preserve">Añadió que en dicha decisión se estableció -entre otros- la remisión del expediente al Juez Penal del Circuito de Bogotá que conoce de los procesos bajo la Ley 600 de 2000 (reparto), diferente a quien </w:t>
      </w:r>
      <w:r w:rsidRPr="00851193">
        <w:rPr>
          <w:rFonts w:ascii="Cambria" w:hAnsi="Cambria"/>
          <w:sz w:val="20"/>
          <w:szCs w:val="20"/>
          <w:lang w:val="es-US"/>
        </w:rPr>
        <w:lastRenderedPageBreak/>
        <w:t>emitió la sentencia de primera instancia, en orden a que asuma el conocimiento del asunto y dicte una nueva sentencia ajustada a las pruebas que hasta ahora se han practicado, incluidas las producidas en el trámite de la acción de revisión, con atención a las recomendaciones realizadas por la CIDH. Resaltó que la presente decisión fue notificada a la parte peticionaria el 5 de febrero de 2025 y que, en el marco del Acuerdo de Cumplimiento, la ANDJE avanzará en el cumplimiento de las medidas sujetas a esta decisión, en particular, el acto de reconocimiento de responsabilidad internacional.</w:t>
      </w:r>
    </w:p>
    <w:p w14:paraId="19EC4BCF" w14:textId="77777777" w:rsidR="00DF0D1A" w:rsidRPr="00851193" w:rsidRDefault="00DF0D1A" w:rsidP="00DF0D1A">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rPr>
      </w:pPr>
    </w:p>
    <w:p w14:paraId="6A338E51" w14:textId="5127E4B0" w:rsidR="007C09D1" w:rsidRPr="00851193" w:rsidRDefault="002B2C33" w:rsidP="00C46924">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US"/>
        </w:rPr>
      </w:pPr>
      <w:r w:rsidRPr="00851193">
        <w:rPr>
          <w:rFonts w:ascii="Cambria" w:hAnsi="Cambria"/>
          <w:sz w:val="20"/>
          <w:szCs w:val="20"/>
        </w:rPr>
        <w:t xml:space="preserve">La Comisión valora las medidas adoptadas por el Estado para alcanzar un acuerdo de cumplimiento </w:t>
      </w:r>
      <w:r w:rsidR="00C2074B" w:rsidRPr="00851193">
        <w:rPr>
          <w:rFonts w:ascii="Cambria" w:hAnsi="Cambria"/>
          <w:sz w:val="20"/>
          <w:szCs w:val="20"/>
        </w:rPr>
        <w:t xml:space="preserve">alcanzado con </w:t>
      </w:r>
      <w:r w:rsidRPr="00851193">
        <w:rPr>
          <w:rFonts w:ascii="Cambria" w:hAnsi="Cambria"/>
          <w:sz w:val="20"/>
          <w:szCs w:val="20"/>
        </w:rPr>
        <w:t xml:space="preserve">la parte peticionaria y el avance en el cumplimiento de las recomendaciones. </w:t>
      </w:r>
      <w:r w:rsidR="00C2074B" w:rsidRPr="00851193">
        <w:rPr>
          <w:rFonts w:ascii="Cambria" w:hAnsi="Cambria"/>
          <w:sz w:val="20"/>
          <w:szCs w:val="20"/>
        </w:rPr>
        <w:t xml:space="preserve">En relación con la </w:t>
      </w:r>
      <w:r w:rsidR="00C2074B" w:rsidRPr="00851193">
        <w:rPr>
          <w:rFonts w:ascii="Cambria" w:hAnsi="Cambria"/>
          <w:b/>
          <w:bCs/>
          <w:sz w:val="20"/>
          <w:szCs w:val="20"/>
        </w:rPr>
        <w:t>primera recomendación</w:t>
      </w:r>
      <w:r w:rsidR="00C2074B" w:rsidRPr="00851193">
        <w:rPr>
          <w:rFonts w:ascii="Cambria" w:hAnsi="Cambria"/>
          <w:sz w:val="20"/>
          <w:szCs w:val="20"/>
        </w:rPr>
        <w:t xml:space="preserve">, la Comisión nota que la condena dictada contra el señor Sastoque Alfonso quedó sin efecto a través de la sentencia de </w:t>
      </w:r>
      <w:r w:rsidR="00030565" w:rsidRPr="00851193">
        <w:rPr>
          <w:rFonts w:ascii="Cambria" w:hAnsi="Cambria"/>
          <w:sz w:val="20"/>
          <w:szCs w:val="20"/>
        </w:rPr>
        <w:t>22 de enero de 2025 dictada por la Sala de Casación Penal de la CSJ</w:t>
      </w:r>
      <w:r w:rsidR="00BE712B" w:rsidRPr="00851193">
        <w:rPr>
          <w:rFonts w:ascii="Cambria" w:hAnsi="Cambria"/>
          <w:sz w:val="20"/>
          <w:szCs w:val="20"/>
        </w:rPr>
        <w:t xml:space="preserve"> y se </w:t>
      </w:r>
      <w:r w:rsidR="00317C6B" w:rsidRPr="00851193">
        <w:rPr>
          <w:rFonts w:ascii="Cambria" w:hAnsi="Cambria"/>
          <w:sz w:val="20"/>
          <w:szCs w:val="20"/>
          <w:lang w:val="es-US"/>
        </w:rPr>
        <w:t xml:space="preserve">ordenó retrotraer lo actuado hasta la emisión de la sentencia de primera instancia para que se profiera sentencia. </w:t>
      </w:r>
      <w:r w:rsidR="00D56D40" w:rsidRPr="00851193">
        <w:rPr>
          <w:rFonts w:ascii="Cambria" w:hAnsi="Cambria"/>
          <w:sz w:val="20"/>
          <w:szCs w:val="20"/>
          <w:lang w:val="es-US"/>
        </w:rPr>
        <w:t xml:space="preserve">Por lo tanto, </w:t>
      </w:r>
      <w:r w:rsidR="00C2074B" w:rsidRPr="00851193">
        <w:rPr>
          <w:rFonts w:ascii="Cambria" w:hAnsi="Cambria"/>
          <w:sz w:val="20"/>
          <w:szCs w:val="20"/>
        </w:rPr>
        <w:t>la Comisión considera que el Estado ha cumplido con esta recomendación</w:t>
      </w:r>
      <w:r w:rsidR="007C09D1" w:rsidRPr="00851193">
        <w:rPr>
          <w:rFonts w:ascii="Cambria" w:hAnsi="Cambria"/>
          <w:sz w:val="20"/>
          <w:szCs w:val="20"/>
        </w:rPr>
        <w:t>.</w:t>
      </w:r>
    </w:p>
    <w:p w14:paraId="1127ACBF" w14:textId="77777777" w:rsidR="007C09D1" w:rsidRPr="00851193" w:rsidRDefault="007C09D1" w:rsidP="007C09D1">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US"/>
        </w:rPr>
      </w:pPr>
    </w:p>
    <w:p w14:paraId="4CF141C9" w14:textId="07FF320B" w:rsidR="00DF0D1A" w:rsidRPr="00851193" w:rsidRDefault="00C2074B" w:rsidP="00AC3762">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US"/>
        </w:rPr>
      </w:pPr>
      <w:r w:rsidRPr="00851193">
        <w:rPr>
          <w:rFonts w:ascii="Cambria" w:hAnsi="Cambria"/>
          <w:sz w:val="20"/>
          <w:szCs w:val="20"/>
        </w:rPr>
        <w:t xml:space="preserve">En relación con la </w:t>
      </w:r>
      <w:r w:rsidRPr="00851193">
        <w:rPr>
          <w:rFonts w:ascii="Cambria" w:hAnsi="Cambria"/>
          <w:b/>
          <w:bCs/>
          <w:sz w:val="20"/>
          <w:szCs w:val="20"/>
        </w:rPr>
        <w:t>segunda recomendación</w:t>
      </w:r>
      <w:r w:rsidRPr="00851193">
        <w:rPr>
          <w:rFonts w:ascii="Cambria" w:hAnsi="Cambria"/>
          <w:sz w:val="20"/>
          <w:szCs w:val="20"/>
        </w:rPr>
        <w:t xml:space="preserve">, la Comisión nota que </w:t>
      </w:r>
      <w:r w:rsidR="00CF2708" w:rsidRPr="00851193">
        <w:rPr>
          <w:rFonts w:ascii="Cambria" w:hAnsi="Cambria"/>
          <w:sz w:val="20"/>
          <w:szCs w:val="20"/>
        </w:rPr>
        <w:t xml:space="preserve">el </w:t>
      </w:r>
      <w:r w:rsidRPr="00851193">
        <w:rPr>
          <w:rFonts w:ascii="Cambria" w:hAnsi="Cambria"/>
          <w:sz w:val="20"/>
          <w:szCs w:val="20"/>
        </w:rPr>
        <w:t>cumplimiento de la reparación pecuniaria realizado por el ANDJE. Sin embargo, aún está pendiente el cumplimiento de las medidas de satisfacción; por lo tanto, la Comisión considera que el Estado ha cumplido parcialmente con esta recomendación.</w:t>
      </w:r>
    </w:p>
    <w:p w14:paraId="1186B852" w14:textId="77777777" w:rsidR="00C2074B" w:rsidRPr="00851193" w:rsidRDefault="00C2074B" w:rsidP="00C2074B">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US"/>
        </w:rPr>
      </w:pPr>
    </w:p>
    <w:p w14:paraId="30D818E4" w14:textId="6BD906BD" w:rsidR="00A975C4" w:rsidRPr="00851193" w:rsidRDefault="00C2074B" w:rsidP="00AC3762">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US"/>
        </w:rPr>
      </w:pPr>
      <w:r w:rsidRPr="00851193">
        <w:rPr>
          <w:rFonts w:ascii="Cambria" w:hAnsi="Cambria"/>
          <w:sz w:val="20"/>
          <w:szCs w:val="20"/>
        </w:rPr>
        <w:t>En</w:t>
      </w:r>
      <w:r w:rsidRPr="00851193">
        <w:rPr>
          <w:rFonts w:ascii="Cambria" w:hAnsi="Cambria"/>
          <w:sz w:val="20"/>
          <w:szCs w:val="20"/>
          <w:lang w:val="es-US"/>
        </w:rPr>
        <w:t xml:space="preserve"> relación con la </w:t>
      </w:r>
      <w:r w:rsidRPr="00851193">
        <w:rPr>
          <w:rFonts w:ascii="Cambria" w:hAnsi="Cambria"/>
          <w:b/>
          <w:bCs/>
          <w:sz w:val="20"/>
          <w:szCs w:val="20"/>
          <w:lang w:val="es-US"/>
        </w:rPr>
        <w:t>tercera recomendación</w:t>
      </w:r>
      <w:r w:rsidRPr="00851193">
        <w:rPr>
          <w:rFonts w:ascii="Cambria" w:hAnsi="Cambria"/>
          <w:sz w:val="20"/>
          <w:szCs w:val="20"/>
          <w:lang w:val="es-US"/>
        </w:rPr>
        <w:t xml:space="preserve">, la Comisión </w:t>
      </w:r>
      <w:r w:rsidR="00F451FD" w:rsidRPr="00851193">
        <w:rPr>
          <w:rFonts w:ascii="Cambria" w:hAnsi="Cambria"/>
          <w:sz w:val="20"/>
          <w:szCs w:val="20"/>
          <w:lang w:val="es-US"/>
        </w:rPr>
        <w:t>nota</w:t>
      </w:r>
      <w:r w:rsidR="000963A2" w:rsidRPr="00851193">
        <w:rPr>
          <w:rFonts w:ascii="Cambria" w:hAnsi="Cambria"/>
          <w:sz w:val="20"/>
          <w:szCs w:val="20"/>
          <w:lang w:val="es-US"/>
        </w:rPr>
        <w:t xml:space="preserve"> </w:t>
      </w:r>
      <w:r w:rsidR="00F451FD" w:rsidRPr="00851193">
        <w:rPr>
          <w:rFonts w:ascii="Cambria" w:hAnsi="Cambria"/>
          <w:sz w:val="20"/>
          <w:szCs w:val="20"/>
          <w:lang w:val="es-US"/>
        </w:rPr>
        <w:t>la sentencia absolutoria dictada en 2015</w:t>
      </w:r>
      <w:r w:rsidR="001E4F73" w:rsidRPr="00851193">
        <w:rPr>
          <w:rFonts w:ascii="Cambria" w:hAnsi="Cambria"/>
          <w:sz w:val="20"/>
          <w:szCs w:val="20"/>
          <w:lang w:val="es-US"/>
        </w:rPr>
        <w:t>, la prescripción de la acción</w:t>
      </w:r>
      <w:r w:rsidR="00F451FD" w:rsidRPr="00851193">
        <w:rPr>
          <w:rFonts w:ascii="Cambria" w:hAnsi="Cambria"/>
          <w:sz w:val="20"/>
          <w:szCs w:val="20"/>
          <w:lang w:val="es-US"/>
        </w:rPr>
        <w:t xml:space="preserve"> y que </w:t>
      </w:r>
      <w:r w:rsidR="00F451FD" w:rsidRPr="00851193">
        <w:rPr>
          <w:rFonts w:ascii="Cambria" w:hAnsi="Cambria"/>
          <w:sz w:val="20"/>
          <w:szCs w:val="20"/>
        </w:rPr>
        <w:t xml:space="preserve">la FGN </w:t>
      </w:r>
      <w:r w:rsidR="00D725FE" w:rsidRPr="00851193">
        <w:rPr>
          <w:rFonts w:ascii="Cambria" w:hAnsi="Cambria"/>
          <w:sz w:val="20"/>
          <w:szCs w:val="20"/>
        </w:rPr>
        <w:t xml:space="preserve">está </w:t>
      </w:r>
      <w:r w:rsidR="00F451FD" w:rsidRPr="00851193">
        <w:rPr>
          <w:rFonts w:ascii="Cambria" w:hAnsi="Cambria"/>
          <w:sz w:val="20"/>
          <w:szCs w:val="20"/>
        </w:rPr>
        <w:t>a la espera de la decisión que tome la JEP sobre las declaraciones</w:t>
      </w:r>
      <w:r w:rsidR="005B0C98" w:rsidRPr="00851193">
        <w:rPr>
          <w:rFonts w:ascii="Cambria" w:hAnsi="Cambria"/>
          <w:sz w:val="20"/>
          <w:szCs w:val="20"/>
        </w:rPr>
        <w:t xml:space="preserve"> </w:t>
      </w:r>
      <w:r w:rsidR="00F451FD" w:rsidRPr="00851193">
        <w:rPr>
          <w:rFonts w:ascii="Cambria" w:hAnsi="Cambria"/>
          <w:sz w:val="20"/>
          <w:szCs w:val="20"/>
        </w:rPr>
        <w:t>realizadas respecto del homicidio de Hernando Pizarro León- Gómez, por el cual fue condenado el señor Sastoque Alfonso</w:t>
      </w:r>
      <w:r w:rsidR="00D725FE" w:rsidRPr="00851193">
        <w:rPr>
          <w:rFonts w:ascii="Cambria" w:hAnsi="Cambria"/>
          <w:sz w:val="20"/>
          <w:szCs w:val="20"/>
        </w:rPr>
        <w:t>. Por lo tanto, la Comisión considera que e</w:t>
      </w:r>
      <w:r w:rsidR="00483652" w:rsidRPr="00851193">
        <w:rPr>
          <w:rFonts w:ascii="Cambria" w:hAnsi="Cambria"/>
          <w:sz w:val="20"/>
          <w:szCs w:val="20"/>
        </w:rPr>
        <w:t>sta recomendación aún no se encuentra cumplida.</w:t>
      </w:r>
    </w:p>
    <w:p w14:paraId="2B00102C" w14:textId="77777777" w:rsidR="00A975C4" w:rsidRPr="00851193" w:rsidRDefault="00A975C4" w:rsidP="00A975C4">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US"/>
        </w:rPr>
      </w:pPr>
    </w:p>
    <w:p w14:paraId="42C6485F" w14:textId="74E1BC7E" w:rsidR="00F2598D" w:rsidRPr="00851193" w:rsidRDefault="00A975C4" w:rsidP="00AC3762">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rPr>
      </w:pPr>
      <w:r w:rsidRPr="00851193">
        <w:rPr>
          <w:rFonts w:ascii="Cambria" w:hAnsi="Cambria"/>
          <w:sz w:val="20"/>
          <w:szCs w:val="20"/>
        </w:rPr>
        <w:t xml:space="preserve">En relación </w:t>
      </w:r>
      <w:r w:rsidR="005005BF" w:rsidRPr="00851193">
        <w:rPr>
          <w:rFonts w:ascii="Cambria" w:hAnsi="Cambria"/>
          <w:sz w:val="20"/>
          <w:szCs w:val="20"/>
        </w:rPr>
        <w:t>con</w:t>
      </w:r>
      <w:r w:rsidRPr="00851193">
        <w:rPr>
          <w:rFonts w:ascii="Cambria" w:hAnsi="Cambria"/>
          <w:sz w:val="20"/>
          <w:szCs w:val="20"/>
        </w:rPr>
        <w:t xml:space="preserve"> la </w:t>
      </w:r>
      <w:r w:rsidRPr="00851193">
        <w:rPr>
          <w:rFonts w:ascii="Cambria" w:hAnsi="Cambria"/>
          <w:b/>
          <w:bCs/>
          <w:sz w:val="20"/>
          <w:szCs w:val="20"/>
        </w:rPr>
        <w:t>cuarta recomendación</w:t>
      </w:r>
      <w:r w:rsidRPr="00851193">
        <w:rPr>
          <w:rFonts w:ascii="Cambria" w:hAnsi="Cambria"/>
          <w:sz w:val="20"/>
          <w:szCs w:val="20"/>
        </w:rPr>
        <w:t xml:space="preserve">, la </w:t>
      </w:r>
      <w:r w:rsidR="00CD623B" w:rsidRPr="00851193">
        <w:rPr>
          <w:rFonts w:ascii="Cambria" w:hAnsi="Cambria"/>
          <w:sz w:val="20"/>
          <w:szCs w:val="20"/>
        </w:rPr>
        <w:t xml:space="preserve">Comisión </w:t>
      </w:r>
      <w:r w:rsidR="00826717" w:rsidRPr="00851193">
        <w:rPr>
          <w:rFonts w:ascii="Cambria" w:hAnsi="Cambria"/>
          <w:sz w:val="20"/>
          <w:szCs w:val="20"/>
        </w:rPr>
        <w:t>toma en cuenta</w:t>
      </w:r>
      <w:r w:rsidR="00CD623B" w:rsidRPr="00851193">
        <w:rPr>
          <w:rFonts w:ascii="Cambria" w:hAnsi="Cambria"/>
          <w:sz w:val="20"/>
          <w:szCs w:val="20"/>
        </w:rPr>
        <w:t xml:space="preserve"> </w:t>
      </w:r>
      <w:r w:rsidR="000963A2" w:rsidRPr="00851193">
        <w:rPr>
          <w:rFonts w:ascii="Cambria" w:hAnsi="Cambria"/>
          <w:sz w:val="20"/>
          <w:szCs w:val="20"/>
          <w:lang w:val="es-US"/>
        </w:rPr>
        <w:t>la modificación del sistema penal hacia uno de tendencia acusatoria</w:t>
      </w:r>
      <w:r w:rsidR="000A1D03" w:rsidRPr="00851193">
        <w:rPr>
          <w:rFonts w:ascii="Cambria" w:hAnsi="Cambria"/>
          <w:sz w:val="20"/>
          <w:szCs w:val="20"/>
          <w:lang w:val="es-US"/>
        </w:rPr>
        <w:t>;</w:t>
      </w:r>
      <w:r w:rsidR="000963A2" w:rsidRPr="00851193">
        <w:rPr>
          <w:rFonts w:ascii="Cambria" w:hAnsi="Cambria"/>
          <w:sz w:val="20"/>
          <w:szCs w:val="20"/>
          <w:lang w:val="es-US"/>
        </w:rPr>
        <w:t xml:space="preserve"> </w:t>
      </w:r>
      <w:r w:rsidR="00E577C5" w:rsidRPr="00851193">
        <w:rPr>
          <w:rFonts w:ascii="Cambria" w:hAnsi="Cambria"/>
          <w:sz w:val="20"/>
          <w:szCs w:val="20"/>
          <w:lang w:val="es-US"/>
        </w:rPr>
        <w:t xml:space="preserve">que el régimen de libertad </w:t>
      </w:r>
      <w:r w:rsidR="000A1D03" w:rsidRPr="00851193">
        <w:rPr>
          <w:rFonts w:ascii="Cambria" w:hAnsi="Cambria"/>
          <w:sz w:val="20"/>
          <w:szCs w:val="20"/>
          <w:lang w:val="es-US"/>
        </w:rPr>
        <w:t xml:space="preserve">y </w:t>
      </w:r>
      <w:r w:rsidR="000A1D03" w:rsidRPr="00851193">
        <w:rPr>
          <w:rFonts w:ascii="Cambria" w:hAnsi="Cambria"/>
          <w:sz w:val="20"/>
          <w:szCs w:val="20"/>
        </w:rPr>
        <w:t>toda la actividad que afecte los derechos humanos y convencionales de los sujetos al interior del proceso penal</w:t>
      </w:r>
      <w:r w:rsidR="000A1D03" w:rsidRPr="00851193">
        <w:rPr>
          <w:rFonts w:ascii="Cambria" w:hAnsi="Cambria"/>
          <w:sz w:val="20"/>
          <w:szCs w:val="20"/>
          <w:lang w:val="es-US"/>
        </w:rPr>
        <w:t xml:space="preserve"> </w:t>
      </w:r>
      <w:r w:rsidR="00E577C5" w:rsidRPr="00851193">
        <w:rPr>
          <w:rFonts w:ascii="Cambria" w:hAnsi="Cambria"/>
          <w:sz w:val="20"/>
          <w:szCs w:val="20"/>
          <w:lang w:val="es-US"/>
        </w:rPr>
        <w:t>se enc</w:t>
      </w:r>
      <w:r w:rsidR="00782951" w:rsidRPr="00851193">
        <w:rPr>
          <w:rFonts w:ascii="Cambria" w:hAnsi="Cambria"/>
          <w:sz w:val="20"/>
          <w:szCs w:val="20"/>
          <w:lang w:val="es-US"/>
        </w:rPr>
        <w:t>ue</w:t>
      </w:r>
      <w:r w:rsidR="00E577C5" w:rsidRPr="00851193">
        <w:rPr>
          <w:rFonts w:ascii="Cambria" w:hAnsi="Cambria"/>
          <w:sz w:val="20"/>
          <w:szCs w:val="20"/>
          <w:lang w:val="es-US"/>
        </w:rPr>
        <w:t>ntra</w:t>
      </w:r>
      <w:r w:rsidR="000A1D03" w:rsidRPr="00851193">
        <w:rPr>
          <w:rFonts w:ascii="Cambria" w:hAnsi="Cambria"/>
          <w:sz w:val="20"/>
          <w:szCs w:val="20"/>
          <w:lang w:val="es-US"/>
        </w:rPr>
        <w:t>n</w:t>
      </w:r>
      <w:r w:rsidR="00E577C5" w:rsidRPr="00851193">
        <w:rPr>
          <w:rFonts w:ascii="Cambria" w:hAnsi="Cambria"/>
          <w:sz w:val="20"/>
          <w:szCs w:val="20"/>
          <w:lang w:val="es-US"/>
        </w:rPr>
        <w:t xml:space="preserve"> sometido</w:t>
      </w:r>
      <w:r w:rsidR="000A1D03" w:rsidRPr="00851193">
        <w:rPr>
          <w:rFonts w:ascii="Cambria" w:hAnsi="Cambria"/>
          <w:sz w:val="20"/>
          <w:szCs w:val="20"/>
          <w:lang w:val="es-US"/>
        </w:rPr>
        <w:t>s</w:t>
      </w:r>
      <w:r w:rsidR="00E577C5" w:rsidRPr="00851193">
        <w:rPr>
          <w:rFonts w:ascii="Cambria" w:hAnsi="Cambria"/>
          <w:sz w:val="20"/>
          <w:szCs w:val="20"/>
          <w:lang w:val="es-US"/>
        </w:rPr>
        <w:t xml:space="preserve"> a la evaluación del juez de control de garantías</w:t>
      </w:r>
      <w:r w:rsidR="004B02CA" w:rsidRPr="00851193">
        <w:rPr>
          <w:rFonts w:ascii="Cambria" w:hAnsi="Cambria"/>
          <w:sz w:val="20"/>
          <w:szCs w:val="20"/>
          <w:lang w:val="es-US"/>
        </w:rPr>
        <w:t>.</w:t>
      </w:r>
      <w:r w:rsidR="00934396" w:rsidRPr="00851193">
        <w:rPr>
          <w:rFonts w:ascii="Cambria" w:hAnsi="Cambria"/>
          <w:sz w:val="20"/>
          <w:szCs w:val="20"/>
          <w:lang w:val="es-US"/>
        </w:rPr>
        <w:t xml:space="preserve"> </w:t>
      </w:r>
      <w:r w:rsidR="00A22B5B" w:rsidRPr="00851193">
        <w:rPr>
          <w:rFonts w:ascii="Cambria" w:hAnsi="Cambria"/>
          <w:sz w:val="20"/>
          <w:szCs w:val="20"/>
          <w:lang w:val="es-US"/>
        </w:rPr>
        <w:t>Por lo tanto</w:t>
      </w:r>
      <w:r w:rsidR="00826717" w:rsidRPr="00851193">
        <w:rPr>
          <w:rFonts w:ascii="Cambria" w:hAnsi="Cambria"/>
          <w:sz w:val="20"/>
          <w:szCs w:val="20"/>
          <w:lang w:val="es-US"/>
        </w:rPr>
        <w:t xml:space="preserve">, </w:t>
      </w:r>
      <w:r w:rsidR="00A22B5B" w:rsidRPr="00851193">
        <w:rPr>
          <w:rFonts w:ascii="Cambria" w:hAnsi="Cambria"/>
          <w:sz w:val="20"/>
          <w:szCs w:val="20"/>
          <w:lang w:val="es-US"/>
        </w:rPr>
        <w:t xml:space="preserve">y </w:t>
      </w:r>
      <w:r w:rsidR="00826717" w:rsidRPr="00851193">
        <w:rPr>
          <w:rFonts w:ascii="Cambria" w:hAnsi="Cambria"/>
          <w:sz w:val="20"/>
          <w:szCs w:val="20"/>
          <w:lang w:val="es-US"/>
        </w:rPr>
        <w:t>respecto de</w:t>
      </w:r>
      <w:r w:rsidR="00FF3A42" w:rsidRPr="00851193">
        <w:rPr>
          <w:rFonts w:ascii="Cambria" w:hAnsi="Cambria"/>
          <w:sz w:val="20"/>
          <w:szCs w:val="20"/>
          <w:lang w:val="es-US"/>
        </w:rPr>
        <w:t xml:space="preserve"> los</w:t>
      </w:r>
      <w:r w:rsidR="00826717" w:rsidRPr="00851193">
        <w:rPr>
          <w:rFonts w:ascii="Cambria" w:hAnsi="Cambria"/>
          <w:sz w:val="20"/>
          <w:szCs w:val="20"/>
          <w:lang w:val="es-US"/>
        </w:rPr>
        <w:t xml:space="preserve"> inciso</w:t>
      </w:r>
      <w:r w:rsidR="00FF3A42" w:rsidRPr="00851193">
        <w:rPr>
          <w:rFonts w:ascii="Cambria" w:hAnsi="Cambria"/>
          <w:sz w:val="20"/>
          <w:szCs w:val="20"/>
          <w:lang w:val="es-US"/>
        </w:rPr>
        <w:t>s</w:t>
      </w:r>
      <w:r w:rsidR="00826717" w:rsidRPr="00851193">
        <w:rPr>
          <w:rFonts w:ascii="Cambria" w:hAnsi="Cambria"/>
          <w:sz w:val="20"/>
          <w:szCs w:val="20"/>
          <w:lang w:val="es-US"/>
        </w:rPr>
        <w:t xml:space="preserve"> </w:t>
      </w:r>
      <w:r w:rsidR="006B1223" w:rsidRPr="00851193">
        <w:rPr>
          <w:rFonts w:ascii="Cambria" w:hAnsi="Cambria"/>
          <w:sz w:val="20"/>
          <w:szCs w:val="20"/>
          <w:lang w:val="es-US"/>
        </w:rPr>
        <w:t>i</w:t>
      </w:r>
      <w:r w:rsidR="00FF3A42" w:rsidRPr="00851193">
        <w:rPr>
          <w:rFonts w:ascii="Cambria" w:hAnsi="Cambria"/>
          <w:sz w:val="20"/>
          <w:szCs w:val="20"/>
          <w:lang w:val="es-US"/>
        </w:rPr>
        <w:t>) y</w:t>
      </w:r>
      <w:r w:rsidR="00A84ADC" w:rsidRPr="00851193">
        <w:rPr>
          <w:rFonts w:ascii="Cambria" w:hAnsi="Cambria"/>
          <w:sz w:val="20"/>
          <w:szCs w:val="20"/>
          <w:lang w:val="es-US"/>
        </w:rPr>
        <w:t xml:space="preserve"> v</w:t>
      </w:r>
      <w:r w:rsidR="006B1223" w:rsidRPr="00851193">
        <w:rPr>
          <w:rFonts w:ascii="Cambria" w:hAnsi="Cambria"/>
          <w:sz w:val="20"/>
          <w:szCs w:val="20"/>
          <w:lang w:val="es-US"/>
        </w:rPr>
        <w:t xml:space="preserve">) de esta recomendación </w:t>
      </w:r>
      <w:r w:rsidR="009F2367" w:rsidRPr="00851193">
        <w:rPr>
          <w:rFonts w:ascii="Cambria" w:hAnsi="Cambria"/>
          <w:sz w:val="20"/>
          <w:szCs w:val="20"/>
          <w:lang w:val="es-US"/>
        </w:rPr>
        <w:t>la CIDH</w:t>
      </w:r>
      <w:r w:rsidR="006B1223" w:rsidRPr="00851193">
        <w:rPr>
          <w:rFonts w:ascii="Cambria" w:hAnsi="Cambria"/>
          <w:sz w:val="20"/>
          <w:szCs w:val="20"/>
          <w:lang w:val="es-US"/>
        </w:rPr>
        <w:t xml:space="preserve"> considera que el Estado ha realizado avances </w:t>
      </w:r>
      <w:r w:rsidR="00721C21" w:rsidRPr="00851193">
        <w:rPr>
          <w:rFonts w:ascii="Cambria" w:hAnsi="Cambria" w:cs="Tahoma"/>
          <w:sz w:val="20"/>
          <w:szCs w:val="20"/>
          <w:lang w:val="es-ES"/>
        </w:rPr>
        <w:t>para asegurar que el uso de la detención preventiva se ajuste a los estándares descritos en el presente informe</w:t>
      </w:r>
      <w:r w:rsidR="00A84ADC" w:rsidRPr="00851193">
        <w:rPr>
          <w:rFonts w:ascii="Cambria" w:hAnsi="Cambria"/>
          <w:sz w:val="20"/>
          <w:szCs w:val="20"/>
          <w:lang w:val="es-ES"/>
        </w:rPr>
        <w:t xml:space="preserve"> y que</w:t>
      </w:r>
      <w:r w:rsidR="009A4BEE" w:rsidRPr="00851193">
        <w:rPr>
          <w:rFonts w:ascii="Cambria" w:hAnsi="Cambria"/>
          <w:sz w:val="20"/>
          <w:szCs w:val="20"/>
          <w:lang w:val="es-ES"/>
        </w:rPr>
        <w:t>,</w:t>
      </w:r>
      <w:r w:rsidR="00A84ADC" w:rsidRPr="00851193">
        <w:rPr>
          <w:rFonts w:ascii="Cambria" w:hAnsi="Cambria" w:cs="Tahoma"/>
          <w:sz w:val="20"/>
          <w:szCs w:val="20"/>
          <w:lang w:val="es-ES"/>
        </w:rPr>
        <w:t xml:space="preserve"> a lo largo del proceso penal, existan mecanismos idóneos y efectivos para obtener una protección judicial frente a posibles violaciones al debido proceso</w:t>
      </w:r>
      <w:r w:rsidR="00507416" w:rsidRPr="00851193">
        <w:rPr>
          <w:rFonts w:ascii="Cambria" w:hAnsi="Cambria" w:cs="Tahoma"/>
          <w:sz w:val="20"/>
          <w:szCs w:val="20"/>
          <w:lang w:val="es-ES"/>
        </w:rPr>
        <w:t>.</w:t>
      </w:r>
      <w:r w:rsidR="007C09D1" w:rsidRPr="00851193">
        <w:rPr>
          <w:rFonts w:ascii="Cambria" w:hAnsi="Cambria" w:cs="Tahoma"/>
          <w:sz w:val="20"/>
          <w:szCs w:val="20"/>
          <w:lang w:val="es-ES"/>
        </w:rPr>
        <w:t xml:space="preserve"> La Comisión queda atenta a que el Estado aporte información específica sobre el cumplimiento de est</w:t>
      </w:r>
      <w:r w:rsidR="00D5398E" w:rsidRPr="00851193">
        <w:rPr>
          <w:rFonts w:ascii="Cambria" w:hAnsi="Cambria" w:cs="Tahoma"/>
          <w:sz w:val="20"/>
          <w:szCs w:val="20"/>
          <w:lang w:val="es-ES"/>
        </w:rPr>
        <w:t>os incisos.</w:t>
      </w:r>
    </w:p>
    <w:p w14:paraId="4BD341DF" w14:textId="77777777" w:rsidR="00F2598D" w:rsidRPr="00851193" w:rsidRDefault="00F2598D" w:rsidP="00D41EA0">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US"/>
        </w:rPr>
      </w:pPr>
    </w:p>
    <w:p w14:paraId="782E3E46" w14:textId="6D687A15" w:rsidR="00401F25" w:rsidRPr="00851193" w:rsidRDefault="00C334CA" w:rsidP="005A7E29">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rPr>
      </w:pPr>
      <w:r w:rsidRPr="00851193">
        <w:rPr>
          <w:rFonts w:ascii="Cambria" w:hAnsi="Cambria"/>
          <w:sz w:val="20"/>
          <w:szCs w:val="20"/>
        </w:rPr>
        <w:t>En</w:t>
      </w:r>
      <w:r w:rsidRPr="00851193">
        <w:rPr>
          <w:rFonts w:ascii="Cambria" w:hAnsi="Cambria"/>
          <w:sz w:val="20"/>
          <w:szCs w:val="20"/>
          <w:lang w:val="es-US"/>
        </w:rPr>
        <w:t xml:space="preserve"> relación </w:t>
      </w:r>
      <w:r w:rsidR="0009316D" w:rsidRPr="00851193">
        <w:rPr>
          <w:rFonts w:ascii="Cambria" w:hAnsi="Cambria"/>
          <w:sz w:val="20"/>
          <w:szCs w:val="20"/>
          <w:lang w:val="es-US"/>
        </w:rPr>
        <w:t>con el</w:t>
      </w:r>
      <w:r w:rsidRPr="00851193">
        <w:rPr>
          <w:rFonts w:ascii="Cambria" w:hAnsi="Cambria"/>
          <w:sz w:val="20"/>
          <w:szCs w:val="20"/>
          <w:lang w:val="es-US"/>
        </w:rPr>
        <w:t xml:space="preserve"> inciso ii) de esta recomendación, l</w:t>
      </w:r>
      <w:r w:rsidR="00880BBD" w:rsidRPr="00851193">
        <w:rPr>
          <w:rFonts w:ascii="Cambria" w:hAnsi="Cambria"/>
          <w:sz w:val="20"/>
          <w:szCs w:val="20"/>
          <w:lang w:val="es-US"/>
        </w:rPr>
        <w:t xml:space="preserve">a Comisión observa que el Estado no ha </w:t>
      </w:r>
      <w:r w:rsidR="00130414" w:rsidRPr="00851193">
        <w:rPr>
          <w:rFonts w:ascii="Cambria" w:hAnsi="Cambria"/>
          <w:sz w:val="20"/>
          <w:szCs w:val="20"/>
          <w:lang w:val="es-US"/>
        </w:rPr>
        <w:t>pr</w:t>
      </w:r>
      <w:r w:rsidR="00880BBD" w:rsidRPr="00851193">
        <w:rPr>
          <w:rFonts w:ascii="Cambria" w:hAnsi="Cambria"/>
          <w:sz w:val="20"/>
          <w:szCs w:val="20"/>
          <w:lang w:val="es-US"/>
        </w:rPr>
        <w:t>esentado información</w:t>
      </w:r>
      <w:r w:rsidRPr="00851193">
        <w:rPr>
          <w:rFonts w:ascii="Cambria" w:hAnsi="Cambria"/>
          <w:sz w:val="20"/>
          <w:szCs w:val="20"/>
          <w:lang w:val="es-US"/>
        </w:rPr>
        <w:t xml:space="preserve"> </w:t>
      </w:r>
      <w:r w:rsidR="008A69EC" w:rsidRPr="00851193">
        <w:rPr>
          <w:rFonts w:ascii="Cambria" w:hAnsi="Cambria"/>
          <w:sz w:val="20"/>
          <w:szCs w:val="20"/>
          <w:lang w:val="es-US"/>
        </w:rPr>
        <w:t xml:space="preserve">específica </w:t>
      </w:r>
      <w:r w:rsidRPr="00851193">
        <w:rPr>
          <w:rFonts w:ascii="Cambria" w:hAnsi="Cambria"/>
          <w:sz w:val="20"/>
          <w:szCs w:val="20"/>
          <w:lang w:val="es-US"/>
        </w:rPr>
        <w:t>sobre su cumplimiento</w:t>
      </w:r>
      <w:r w:rsidR="00034A94" w:rsidRPr="00851193">
        <w:rPr>
          <w:rFonts w:ascii="Cambria" w:hAnsi="Cambria"/>
          <w:sz w:val="20"/>
          <w:szCs w:val="20"/>
          <w:lang w:val="es-US"/>
        </w:rPr>
        <w:t xml:space="preserve">. Asimismo, </w:t>
      </w:r>
      <w:r w:rsidR="002A536E" w:rsidRPr="00851193">
        <w:rPr>
          <w:rFonts w:ascii="Cambria" w:hAnsi="Cambria"/>
          <w:sz w:val="20"/>
          <w:szCs w:val="20"/>
          <w:lang w:val="es-US"/>
        </w:rPr>
        <w:t>la CIDH repara</w:t>
      </w:r>
      <w:r w:rsidR="00034A94" w:rsidRPr="00851193">
        <w:rPr>
          <w:rFonts w:ascii="Cambria" w:hAnsi="Cambria"/>
          <w:sz w:val="20"/>
          <w:szCs w:val="20"/>
          <w:lang w:val="es-US"/>
        </w:rPr>
        <w:t xml:space="preserve"> que con anterioridad al acuerdo </w:t>
      </w:r>
      <w:r w:rsidR="00C94DDD" w:rsidRPr="00851193">
        <w:rPr>
          <w:rFonts w:ascii="Cambria" w:hAnsi="Cambria"/>
          <w:sz w:val="20"/>
          <w:szCs w:val="20"/>
        </w:rPr>
        <w:t>l</w:t>
      </w:r>
      <w:r w:rsidR="00034A94" w:rsidRPr="00851193">
        <w:rPr>
          <w:rFonts w:ascii="Cambria" w:hAnsi="Cambria"/>
          <w:sz w:val="20"/>
          <w:szCs w:val="20"/>
        </w:rPr>
        <w:t xml:space="preserve">a parte peticionaria </w:t>
      </w:r>
      <w:r w:rsidR="005A7E29" w:rsidRPr="00851193">
        <w:rPr>
          <w:rFonts w:ascii="Cambria" w:hAnsi="Cambria"/>
          <w:sz w:val="20"/>
          <w:szCs w:val="20"/>
        </w:rPr>
        <w:t>consider</w:t>
      </w:r>
      <w:r w:rsidR="00034A94" w:rsidRPr="00851193">
        <w:rPr>
          <w:rFonts w:ascii="Cambria" w:hAnsi="Cambria"/>
          <w:sz w:val="20"/>
          <w:szCs w:val="20"/>
        </w:rPr>
        <w:t xml:space="preserve">ó que, pese a los desarrollos en la jurisprudencia constitucional, y a algunas reformas legales, la detención preventiva no es excepcional, se mantiene como regla y conserva el carácter de anticipo de la sanción privativa de libertad, afectando el derecho de presunción de inocencia. Asimismo, afirmó que la tendencia a extender el tiempo de la prisión preventiva se mantiene y, de hecho, mediante legislación de 2016 y 2018 se había ampliado a algunos tipos de delitos. </w:t>
      </w:r>
      <w:r w:rsidR="00C94DDD" w:rsidRPr="00851193">
        <w:rPr>
          <w:rFonts w:ascii="Cambria" w:hAnsi="Cambria"/>
          <w:sz w:val="20"/>
          <w:szCs w:val="20"/>
        </w:rPr>
        <w:t>Por l</w:t>
      </w:r>
      <w:r w:rsidR="005A7E29" w:rsidRPr="00851193">
        <w:rPr>
          <w:rFonts w:ascii="Cambria" w:hAnsi="Cambria"/>
          <w:sz w:val="20"/>
          <w:szCs w:val="20"/>
        </w:rPr>
        <w:t>o</w:t>
      </w:r>
      <w:r w:rsidR="00C94DDD" w:rsidRPr="00851193">
        <w:rPr>
          <w:rFonts w:ascii="Cambria" w:hAnsi="Cambria"/>
          <w:sz w:val="20"/>
          <w:szCs w:val="20"/>
        </w:rPr>
        <w:t xml:space="preserve"> tanto</w:t>
      </w:r>
      <w:r w:rsidR="005A7E29" w:rsidRPr="00851193">
        <w:rPr>
          <w:rFonts w:ascii="Cambria" w:hAnsi="Cambria"/>
          <w:sz w:val="20"/>
          <w:szCs w:val="20"/>
        </w:rPr>
        <w:t xml:space="preserve">, la CIDH </w:t>
      </w:r>
      <w:r w:rsidR="00DF016B" w:rsidRPr="00851193">
        <w:rPr>
          <w:rFonts w:ascii="Cambria" w:hAnsi="Cambria"/>
          <w:sz w:val="20"/>
          <w:szCs w:val="20"/>
          <w:lang w:val="es-US"/>
        </w:rPr>
        <w:t xml:space="preserve">considera que </w:t>
      </w:r>
      <w:r w:rsidR="005A7E29" w:rsidRPr="00851193">
        <w:rPr>
          <w:rFonts w:ascii="Cambria" w:hAnsi="Cambria"/>
          <w:sz w:val="20"/>
          <w:szCs w:val="20"/>
          <w:lang w:val="es-US"/>
        </w:rPr>
        <w:t xml:space="preserve">el Estado </w:t>
      </w:r>
      <w:r w:rsidR="00DF016B" w:rsidRPr="00851193">
        <w:rPr>
          <w:rFonts w:ascii="Cambria" w:hAnsi="Cambria"/>
          <w:sz w:val="20"/>
          <w:szCs w:val="20"/>
          <w:lang w:val="es-US"/>
        </w:rPr>
        <w:t>aún no le ha dado cumplimiento</w:t>
      </w:r>
      <w:r w:rsidR="005A7E29" w:rsidRPr="00851193">
        <w:rPr>
          <w:rFonts w:ascii="Cambria" w:hAnsi="Cambria"/>
          <w:sz w:val="20"/>
          <w:szCs w:val="20"/>
          <w:lang w:val="es-US"/>
        </w:rPr>
        <w:t xml:space="preserve"> a este inciso</w:t>
      </w:r>
      <w:r w:rsidR="00DF016B" w:rsidRPr="00851193">
        <w:rPr>
          <w:rFonts w:ascii="Cambria" w:hAnsi="Cambria"/>
          <w:sz w:val="20"/>
          <w:szCs w:val="20"/>
          <w:lang w:val="es-US"/>
        </w:rPr>
        <w:t>.</w:t>
      </w:r>
    </w:p>
    <w:p w14:paraId="5ED04805" w14:textId="77777777" w:rsidR="004B02CA" w:rsidRPr="00851193" w:rsidRDefault="004B02CA" w:rsidP="005264A4">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US"/>
        </w:rPr>
      </w:pPr>
    </w:p>
    <w:p w14:paraId="260E484F" w14:textId="2B46666F" w:rsidR="001863C0" w:rsidRPr="00851193" w:rsidRDefault="005264A4" w:rsidP="00AC3762">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US"/>
        </w:rPr>
      </w:pPr>
      <w:r w:rsidRPr="00851193">
        <w:rPr>
          <w:rFonts w:ascii="Cambria" w:hAnsi="Cambria"/>
          <w:sz w:val="20"/>
          <w:szCs w:val="20"/>
          <w:lang w:val="es-US"/>
        </w:rPr>
        <w:t xml:space="preserve">En relación con el inciso </w:t>
      </w:r>
      <w:r w:rsidR="009B4BA1" w:rsidRPr="00851193">
        <w:rPr>
          <w:rFonts w:ascii="Cambria" w:hAnsi="Cambria"/>
          <w:sz w:val="20"/>
          <w:szCs w:val="20"/>
          <w:lang w:val="es-US"/>
        </w:rPr>
        <w:t>iii) de esta recomendación, la Comisión observa</w:t>
      </w:r>
      <w:r w:rsidR="00934396" w:rsidRPr="00851193">
        <w:rPr>
          <w:rFonts w:ascii="Cambria" w:hAnsi="Cambria"/>
          <w:sz w:val="20"/>
          <w:szCs w:val="20"/>
          <w:lang w:val="es-US"/>
        </w:rPr>
        <w:t xml:space="preserve"> las no</w:t>
      </w:r>
      <w:r w:rsidR="0090621C" w:rsidRPr="00851193">
        <w:rPr>
          <w:rFonts w:ascii="Cambria" w:hAnsi="Cambria"/>
          <w:sz w:val="20"/>
          <w:szCs w:val="20"/>
          <w:lang w:val="es-US"/>
        </w:rPr>
        <w:t>r</w:t>
      </w:r>
      <w:r w:rsidR="00934396" w:rsidRPr="00851193">
        <w:rPr>
          <w:rFonts w:ascii="Cambria" w:hAnsi="Cambria"/>
          <w:sz w:val="20"/>
          <w:szCs w:val="20"/>
          <w:lang w:val="es-US"/>
        </w:rPr>
        <w:t>mas</w:t>
      </w:r>
      <w:r w:rsidR="00463407" w:rsidRPr="00851193">
        <w:rPr>
          <w:rFonts w:ascii="Cambria" w:hAnsi="Cambria"/>
          <w:sz w:val="20"/>
          <w:szCs w:val="20"/>
          <w:lang w:val="es-US"/>
        </w:rPr>
        <w:t xml:space="preserve"> informadas por el Estado</w:t>
      </w:r>
      <w:r w:rsidR="00934396" w:rsidRPr="00851193">
        <w:rPr>
          <w:rFonts w:ascii="Cambria" w:hAnsi="Cambria"/>
          <w:sz w:val="20"/>
          <w:szCs w:val="20"/>
          <w:lang w:val="es-US"/>
        </w:rPr>
        <w:t xml:space="preserve"> que establecen </w:t>
      </w:r>
      <w:r w:rsidR="00F24DBD" w:rsidRPr="00851193">
        <w:rPr>
          <w:rFonts w:ascii="Cambria" w:hAnsi="Cambria"/>
          <w:sz w:val="20"/>
          <w:szCs w:val="20"/>
          <w:lang w:val="es-US"/>
        </w:rPr>
        <w:t>el Código Disciplinario Único y el Código General Disc</w:t>
      </w:r>
      <w:r w:rsidR="004B61A7" w:rsidRPr="00851193">
        <w:rPr>
          <w:rFonts w:ascii="Cambria" w:hAnsi="Cambria"/>
          <w:sz w:val="20"/>
          <w:szCs w:val="20"/>
          <w:lang w:val="es-US"/>
        </w:rPr>
        <w:t>iplinario.</w:t>
      </w:r>
      <w:r w:rsidR="00F24DBD" w:rsidRPr="00851193">
        <w:rPr>
          <w:rFonts w:ascii="Cambria" w:hAnsi="Cambria"/>
          <w:sz w:val="20"/>
          <w:szCs w:val="20"/>
          <w:lang w:val="es-US"/>
        </w:rPr>
        <w:t xml:space="preserve"> </w:t>
      </w:r>
      <w:r w:rsidR="005A7E29" w:rsidRPr="00851193">
        <w:rPr>
          <w:rFonts w:ascii="Cambria" w:hAnsi="Cambria"/>
          <w:sz w:val="20"/>
          <w:szCs w:val="20"/>
          <w:lang w:val="es-US"/>
        </w:rPr>
        <w:t xml:space="preserve">En primer término, y en vista de su relación con estas normas, </w:t>
      </w:r>
      <w:r w:rsidR="004B61A7" w:rsidRPr="00851193">
        <w:rPr>
          <w:rFonts w:ascii="Cambria" w:hAnsi="Cambria"/>
          <w:sz w:val="20"/>
          <w:szCs w:val="20"/>
          <w:lang w:val="es-US"/>
        </w:rPr>
        <w:t xml:space="preserve">la CIDH recuerda que en su Sentencia del caso Petro Urrego contra Colombia la Corte Interamericana de Derechos Humanos </w:t>
      </w:r>
      <w:r w:rsidR="00BB6D99" w:rsidRPr="00851193">
        <w:rPr>
          <w:rFonts w:ascii="Cambria" w:hAnsi="Cambria"/>
          <w:sz w:val="20"/>
          <w:szCs w:val="20"/>
          <w:lang w:val="es-US"/>
        </w:rPr>
        <w:t>concluy</w:t>
      </w:r>
      <w:r w:rsidR="00650B11" w:rsidRPr="00851193">
        <w:rPr>
          <w:rFonts w:ascii="Cambria" w:hAnsi="Cambria"/>
          <w:sz w:val="20"/>
          <w:szCs w:val="20"/>
          <w:lang w:val="es-US"/>
        </w:rPr>
        <w:t>ó</w:t>
      </w:r>
      <w:r w:rsidR="00BB6D99" w:rsidRPr="00851193">
        <w:rPr>
          <w:rFonts w:ascii="Cambria" w:hAnsi="Cambria"/>
          <w:sz w:val="20"/>
          <w:szCs w:val="20"/>
          <w:lang w:val="es-US"/>
        </w:rPr>
        <w:t xml:space="preserve"> que el Estado incumplió con sus obligaciones previstas en el artículo 23 de la Convención</w:t>
      </w:r>
      <w:r w:rsidR="00650B11" w:rsidRPr="00851193">
        <w:rPr>
          <w:rFonts w:ascii="Cambria" w:hAnsi="Cambria"/>
          <w:sz w:val="20"/>
          <w:szCs w:val="20"/>
          <w:lang w:val="es-US"/>
        </w:rPr>
        <w:t xml:space="preserve"> Americana</w:t>
      </w:r>
      <w:r w:rsidR="00BB6D99" w:rsidRPr="00851193">
        <w:rPr>
          <w:rFonts w:ascii="Cambria" w:hAnsi="Cambria"/>
          <w:sz w:val="20"/>
          <w:szCs w:val="20"/>
          <w:lang w:val="es-US"/>
        </w:rPr>
        <w:t xml:space="preserve">, en relación </w:t>
      </w:r>
      <w:r w:rsidR="005D2C06" w:rsidRPr="00851193">
        <w:rPr>
          <w:rFonts w:ascii="Cambria" w:hAnsi="Cambria"/>
          <w:sz w:val="20"/>
          <w:szCs w:val="20"/>
          <w:lang w:val="es-US"/>
        </w:rPr>
        <w:t xml:space="preserve">a </w:t>
      </w:r>
      <w:r w:rsidR="00650B11" w:rsidRPr="00851193">
        <w:rPr>
          <w:rFonts w:ascii="Cambria" w:hAnsi="Cambria"/>
          <w:sz w:val="20"/>
          <w:szCs w:val="20"/>
          <w:lang w:val="es-US"/>
        </w:rPr>
        <w:t>su</w:t>
      </w:r>
      <w:r w:rsidR="00BB6D99" w:rsidRPr="00851193">
        <w:rPr>
          <w:rFonts w:ascii="Cambria" w:hAnsi="Cambria"/>
          <w:sz w:val="20"/>
          <w:szCs w:val="20"/>
          <w:lang w:val="es-US"/>
        </w:rPr>
        <w:t xml:space="preserve"> artículo 2, por la existencia y aplicación de las normas del Código Disciplinario Único que facultan a la Procuraduría a imponer sanciones </w:t>
      </w:r>
      <w:r w:rsidR="00390D7B" w:rsidRPr="00851193">
        <w:rPr>
          <w:rFonts w:ascii="Cambria" w:hAnsi="Cambria"/>
          <w:sz w:val="20"/>
          <w:szCs w:val="20"/>
          <w:lang w:val="es-US"/>
        </w:rPr>
        <w:t xml:space="preserve">de destitución e inhabilitación </w:t>
      </w:r>
      <w:r w:rsidR="00BB6D99" w:rsidRPr="00851193">
        <w:rPr>
          <w:rFonts w:ascii="Cambria" w:hAnsi="Cambria"/>
          <w:sz w:val="20"/>
          <w:szCs w:val="20"/>
          <w:lang w:val="es-US"/>
        </w:rPr>
        <w:t>a funcionarios públicos democráticamente electos,</w:t>
      </w:r>
      <w:r w:rsidR="00DB64CD" w:rsidRPr="00851193">
        <w:rPr>
          <w:rFonts w:ascii="Cambria" w:hAnsi="Cambria"/>
          <w:sz w:val="20"/>
          <w:szCs w:val="20"/>
          <w:lang w:val="es-US"/>
        </w:rPr>
        <w:t xml:space="preserve"> y le ordenó</w:t>
      </w:r>
      <w:r w:rsidR="004B02CA" w:rsidRPr="00851193">
        <w:rPr>
          <w:rFonts w:ascii="Cambria" w:hAnsi="Cambria"/>
          <w:sz w:val="20"/>
          <w:szCs w:val="20"/>
          <w:lang w:val="es-US"/>
        </w:rPr>
        <w:t xml:space="preserve"> adecuar su ordenamiento jurídico interno a los parámetros establecidos en dicha sentencia</w:t>
      </w:r>
      <w:r w:rsidR="00E71A02" w:rsidRPr="00851193">
        <w:rPr>
          <w:rStyle w:val="FootnoteReference"/>
          <w:rFonts w:ascii="Cambria" w:hAnsi="Cambria"/>
          <w:sz w:val="20"/>
          <w:szCs w:val="20"/>
          <w:lang w:val="es-US"/>
        </w:rPr>
        <w:footnoteReference w:id="122"/>
      </w:r>
      <w:r w:rsidR="004B02CA" w:rsidRPr="00851193">
        <w:rPr>
          <w:rFonts w:ascii="Cambria" w:hAnsi="Cambria"/>
          <w:sz w:val="20"/>
          <w:szCs w:val="20"/>
          <w:lang w:val="es-US"/>
        </w:rPr>
        <w:t>.</w:t>
      </w:r>
      <w:r w:rsidR="008F21F4" w:rsidRPr="00851193">
        <w:rPr>
          <w:rFonts w:ascii="Cambria" w:hAnsi="Cambria"/>
          <w:sz w:val="20"/>
          <w:szCs w:val="20"/>
          <w:lang w:val="es-US"/>
        </w:rPr>
        <w:t xml:space="preserve"> Del mismo modo, </w:t>
      </w:r>
      <w:r w:rsidR="00BC6E89" w:rsidRPr="00851193">
        <w:rPr>
          <w:rFonts w:ascii="Cambria" w:hAnsi="Cambria"/>
          <w:sz w:val="20"/>
          <w:szCs w:val="20"/>
          <w:lang w:val="es-US"/>
        </w:rPr>
        <w:t>en su resolución de cumplimiento de la Sentencia del citado caso Petro Urrego</w:t>
      </w:r>
      <w:r w:rsidR="00F12F86" w:rsidRPr="00851193">
        <w:rPr>
          <w:rFonts w:ascii="Cambria" w:hAnsi="Cambria"/>
          <w:sz w:val="20"/>
          <w:szCs w:val="20"/>
          <w:lang w:val="es-US"/>
        </w:rPr>
        <w:t xml:space="preserve"> de </w:t>
      </w:r>
      <w:r w:rsidR="00654597" w:rsidRPr="00851193">
        <w:rPr>
          <w:rFonts w:ascii="Cambria" w:hAnsi="Cambria"/>
          <w:sz w:val="20"/>
          <w:szCs w:val="20"/>
          <w:lang w:val="es-US"/>
        </w:rPr>
        <w:t xml:space="preserve">25 de noviembre de </w:t>
      </w:r>
      <w:r w:rsidR="00654597" w:rsidRPr="00851193">
        <w:rPr>
          <w:rFonts w:ascii="Cambria" w:hAnsi="Cambria"/>
          <w:sz w:val="20"/>
          <w:szCs w:val="20"/>
          <w:lang w:val="es-US"/>
        </w:rPr>
        <w:lastRenderedPageBreak/>
        <w:t>2021</w:t>
      </w:r>
      <w:r w:rsidR="00BC6E89" w:rsidRPr="00851193">
        <w:rPr>
          <w:rFonts w:ascii="Cambria" w:hAnsi="Cambria"/>
          <w:sz w:val="20"/>
          <w:szCs w:val="20"/>
          <w:lang w:val="es-US"/>
        </w:rPr>
        <w:t xml:space="preserve">, </w:t>
      </w:r>
      <w:r w:rsidR="008F21F4" w:rsidRPr="00851193">
        <w:rPr>
          <w:rFonts w:ascii="Cambria" w:hAnsi="Cambria"/>
          <w:sz w:val="20"/>
          <w:szCs w:val="20"/>
          <w:lang w:val="es-US"/>
        </w:rPr>
        <w:t xml:space="preserve">la Corte estableció que </w:t>
      </w:r>
      <w:r w:rsidR="00932139" w:rsidRPr="00851193">
        <w:rPr>
          <w:rFonts w:ascii="Cambria" w:hAnsi="Cambria"/>
          <w:sz w:val="20"/>
          <w:szCs w:val="20"/>
          <w:lang w:val="es-US"/>
        </w:rPr>
        <w:t xml:space="preserve">la </w:t>
      </w:r>
      <w:r w:rsidR="00442946" w:rsidRPr="00851193">
        <w:rPr>
          <w:rFonts w:ascii="Cambria" w:hAnsi="Cambria"/>
          <w:sz w:val="20"/>
          <w:szCs w:val="20"/>
          <w:lang w:val="es-US"/>
        </w:rPr>
        <w:t xml:space="preserve">Ley 2094 de 2021, </w:t>
      </w:r>
      <w:r w:rsidR="00670BC4" w:rsidRPr="00851193">
        <w:rPr>
          <w:rFonts w:ascii="Cambria" w:hAnsi="Cambria"/>
          <w:sz w:val="20"/>
          <w:szCs w:val="20"/>
          <w:lang w:val="es-US"/>
        </w:rPr>
        <w:t xml:space="preserve">norma que </w:t>
      </w:r>
      <w:r w:rsidR="00E960F0" w:rsidRPr="00851193">
        <w:rPr>
          <w:rFonts w:ascii="Cambria" w:hAnsi="Cambria"/>
          <w:sz w:val="20"/>
          <w:szCs w:val="20"/>
          <w:lang w:val="es-US"/>
        </w:rPr>
        <w:t>reform</w:t>
      </w:r>
      <w:r w:rsidR="00670BC4" w:rsidRPr="00851193">
        <w:rPr>
          <w:rFonts w:ascii="Cambria" w:hAnsi="Cambria"/>
          <w:sz w:val="20"/>
          <w:szCs w:val="20"/>
          <w:lang w:val="es-US"/>
        </w:rPr>
        <w:t xml:space="preserve">ó la </w:t>
      </w:r>
      <w:r w:rsidR="00932139" w:rsidRPr="00851193">
        <w:rPr>
          <w:rFonts w:ascii="Cambria" w:hAnsi="Cambria"/>
          <w:sz w:val="20"/>
          <w:szCs w:val="20"/>
        </w:rPr>
        <w:t xml:space="preserve">Ley 1952 de 2019 que expide el Código </w:t>
      </w:r>
      <w:r w:rsidR="006C04C5" w:rsidRPr="00851193">
        <w:rPr>
          <w:rFonts w:ascii="Cambria" w:hAnsi="Cambria"/>
          <w:sz w:val="20"/>
          <w:szCs w:val="20"/>
        </w:rPr>
        <w:t>G</w:t>
      </w:r>
      <w:r w:rsidR="00932139" w:rsidRPr="00851193">
        <w:rPr>
          <w:rFonts w:ascii="Cambria" w:hAnsi="Cambria"/>
          <w:sz w:val="20"/>
          <w:szCs w:val="20"/>
        </w:rPr>
        <w:t>eneral Disciplinario</w:t>
      </w:r>
      <w:r w:rsidR="00240E29" w:rsidRPr="00851193">
        <w:rPr>
          <w:rFonts w:ascii="Cambria" w:hAnsi="Cambria"/>
          <w:sz w:val="20"/>
          <w:szCs w:val="20"/>
          <w:lang w:val="es-US"/>
        </w:rPr>
        <w:t>, “</w:t>
      </w:r>
      <w:r w:rsidR="00442946" w:rsidRPr="00851193">
        <w:rPr>
          <w:rFonts w:ascii="Cambria" w:hAnsi="Cambria"/>
          <w:sz w:val="20"/>
          <w:szCs w:val="20"/>
          <w:lang w:val="es-US"/>
        </w:rPr>
        <w:t>continúa permitiendo que un órgano distinto a un juez en proceso penal imponga restricciones a derechos políticos de funcionarios democráticamente electos, de manera incompatible con la literalidad del artículo 23.2 de la Convención Americana y con el objeto y fin de dicho instrumento</w:t>
      </w:r>
      <w:r w:rsidR="00E11364" w:rsidRPr="00851193">
        <w:rPr>
          <w:rStyle w:val="FootnoteReference"/>
          <w:rFonts w:ascii="Cambria" w:hAnsi="Cambria"/>
          <w:sz w:val="20"/>
          <w:szCs w:val="20"/>
          <w:lang w:val="es-US"/>
        </w:rPr>
        <w:footnoteReference w:id="123"/>
      </w:r>
      <w:r w:rsidR="00442946" w:rsidRPr="00851193">
        <w:rPr>
          <w:rFonts w:ascii="Cambria" w:hAnsi="Cambria"/>
          <w:sz w:val="20"/>
          <w:szCs w:val="20"/>
          <w:lang w:val="es-US"/>
        </w:rPr>
        <w:t>”.</w:t>
      </w:r>
      <w:r w:rsidR="00E960F0" w:rsidRPr="00851193">
        <w:rPr>
          <w:rFonts w:ascii="Cambria" w:hAnsi="Cambria"/>
          <w:sz w:val="20"/>
          <w:szCs w:val="20"/>
          <w:lang w:val="es-US"/>
        </w:rPr>
        <w:t xml:space="preserve"> </w:t>
      </w:r>
    </w:p>
    <w:p w14:paraId="1D6E3F58" w14:textId="77777777" w:rsidR="001863C0" w:rsidRPr="00851193" w:rsidRDefault="001863C0" w:rsidP="001863C0">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sz w:val="20"/>
          <w:szCs w:val="20"/>
          <w:lang w:val="es-US"/>
        </w:rPr>
      </w:pPr>
    </w:p>
    <w:p w14:paraId="2CCFEA58" w14:textId="359B79D6" w:rsidR="00BB0B79" w:rsidRDefault="00431A27" w:rsidP="00BB0B79">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US"/>
        </w:rPr>
      </w:pPr>
      <w:r w:rsidRPr="00851193">
        <w:rPr>
          <w:rFonts w:ascii="Cambria" w:hAnsi="Cambria"/>
          <w:sz w:val="20"/>
          <w:szCs w:val="20"/>
          <w:lang w:val="es-US"/>
        </w:rPr>
        <w:t>Al respecto, l</w:t>
      </w:r>
      <w:r w:rsidR="001863C0" w:rsidRPr="00851193">
        <w:rPr>
          <w:rFonts w:ascii="Cambria" w:hAnsi="Cambria"/>
          <w:sz w:val="20"/>
          <w:szCs w:val="20"/>
          <w:lang w:val="es-US"/>
        </w:rPr>
        <w:t xml:space="preserve">a CIDH entiende que </w:t>
      </w:r>
      <w:r w:rsidR="008E4C00" w:rsidRPr="00851193">
        <w:rPr>
          <w:rFonts w:ascii="Cambria" w:hAnsi="Cambria"/>
          <w:sz w:val="20"/>
          <w:szCs w:val="20"/>
          <w:lang w:val="es-US"/>
        </w:rPr>
        <w:t xml:space="preserve">la </w:t>
      </w:r>
      <w:r w:rsidR="00E92124" w:rsidRPr="00851193">
        <w:rPr>
          <w:rFonts w:ascii="Cambria" w:hAnsi="Cambria"/>
          <w:sz w:val="20"/>
          <w:szCs w:val="20"/>
          <w:lang w:val="es-US"/>
        </w:rPr>
        <w:t>recomendación del inciso ii)</w:t>
      </w:r>
      <w:r w:rsidR="001863C0" w:rsidRPr="00851193">
        <w:rPr>
          <w:rFonts w:ascii="Cambria" w:hAnsi="Cambria"/>
          <w:sz w:val="20"/>
          <w:szCs w:val="20"/>
          <w:lang w:val="es-US"/>
        </w:rPr>
        <w:t xml:space="preserve"> es</w:t>
      </w:r>
      <w:r w:rsidR="00E92124" w:rsidRPr="00851193">
        <w:rPr>
          <w:rFonts w:ascii="Cambria" w:hAnsi="Cambria"/>
          <w:sz w:val="20"/>
          <w:szCs w:val="20"/>
          <w:lang w:val="es-US"/>
        </w:rPr>
        <w:t>tá orientad</w:t>
      </w:r>
      <w:r w:rsidR="0020394B" w:rsidRPr="00851193">
        <w:rPr>
          <w:rFonts w:ascii="Cambria" w:hAnsi="Cambria"/>
          <w:sz w:val="20"/>
          <w:szCs w:val="20"/>
          <w:lang w:val="es-US"/>
        </w:rPr>
        <w:t>a</w:t>
      </w:r>
      <w:r w:rsidR="001863C0" w:rsidRPr="00851193">
        <w:rPr>
          <w:rFonts w:ascii="Cambria" w:hAnsi="Cambria"/>
          <w:sz w:val="20"/>
          <w:szCs w:val="20"/>
          <w:lang w:val="es-US"/>
        </w:rPr>
        <w:t xml:space="preserve"> </w:t>
      </w:r>
      <w:r w:rsidR="00E92124" w:rsidRPr="00851193">
        <w:rPr>
          <w:rFonts w:ascii="Cambria" w:hAnsi="Cambria"/>
          <w:sz w:val="20"/>
          <w:szCs w:val="20"/>
          <w:lang w:val="es-US"/>
        </w:rPr>
        <w:t xml:space="preserve">a </w:t>
      </w:r>
      <w:r w:rsidR="001863C0" w:rsidRPr="00851193">
        <w:rPr>
          <w:rFonts w:ascii="Cambria" w:hAnsi="Cambria"/>
          <w:sz w:val="20"/>
          <w:szCs w:val="20"/>
          <w:lang w:val="es-US"/>
        </w:rPr>
        <w:t>asegurar que funcionarios</w:t>
      </w:r>
      <w:r w:rsidR="003C3188" w:rsidRPr="00851193">
        <w:rPr>
          <w:rFonts w:ascii="Cambria" w:hAnsi="Cambria"/>
          <w:sz w:val="20"/>
          <w:szCs w:val="20"/>
          <w:lang w:val="es-US"/>
        </w:rPr>
        <w:t>,</w:t>
      </w:r>
      <w:r w:rsidR="001863C0" w:rsidRPr="00851193">
        <w:rPr>
          <w:rFonts w:ascii="Cambria" w:hAnsi="Cambria"/>
          <w:sz w:val="20"/>
          <w:szCs w:val="20"/>
          <w:lang w:val="es-US"/>
        </w:rPr>
        <w:t xml:space="preserve"> que con sus acciones u omisiones comet</w:t>
      </w:r>
      <w:r w:rsidR="001E529A" w:rsidRPr="00851193">
        <w:rPr>
          <w:rFonts w:ascii="Cambria" w:hAnsi="Cambria"/>
          <w:sz w:val="20"/>
          <w:szCs w:val="20"/>
          <w:lang w:val="es-US"/>
        </w:rPr>
        <w:t>a</w:t>
      </w:r>
      <w:r w:rsidR="001863C0" w:rsidRPr="00851193">
        <w:rPr>
          <w:rFonts w:ascii="Cambria" w:hAnsi="Cambria"/>
          <w:sz w:val="20"/>
          <w:szCs w:val="20"/>
          <w:lang w:val="es-US"/>
        </w:rPr>
        <w:t>n violaciones al debido proceso</w:t>
      </w:r>
      <w:r w:rsidR="00BB0B79" w:rsidRPr="00851193">
        <w:rPr>
          <w:rFonts w:ascii="Cambria" w:hAnsi="Cambria"/>
          <w:sz w:val="20"/>
          <w:szCs w:val="20"/>
          <w:lang w:val="es-US"/>
        </w:rPr>
        <w:t>,</w:t>
      </w:r>
      <w:r w:rsidR="001863C0" w:rsidRPr="00851193">
        <w:rPr>
          <w:rFonts w:ascii="Cambria" w:hAnsi="Cambria"/>
          <w:sz w:val="20"/>
          <w:szCs w:val="20"/>
          <w:lang w:val="es-US"/>
        </w:rPr>
        <w:t xml:space="preserve"> </w:t>
      </w:r>
      <w:r w:rsidR="00BB0B79" w:rsidRPr="00851193">
        <w:rPr>
          <w:rFonts w:ascii="Cambria" w:hAnsi="Cambria"/>
          <w:sz w:val="20"/>
          <w:szCs w:val="20"/>
          <w:lang w:val="es-US"/>
        </w:rPr>
        <w:t>tengan</w:t>
      </w:r>
      <w:r w:rsidR="001863C0" w:rsidRPr="00851193">
        <w:rPr>
          <w:rFonts w:ascii="Cambria" w:hAnsi="Cambria"/>
          <w:sz w:val="20"/>
          <w:szCs w:val="20"/>
          <w:lang w:val="es-US"/>
        </w:rPr>
        <w:t xml:space="preserve"> un sistema de rendición de cuentas. </w:t>
      </w:r>
      <w:r w:rsidR="00996E60" w:rsidRPr="00851193">
        <w:rPr>
          <w:rFonts w:ascii="Cambria" w:hAnsi="Cambria"/>
          <w:sz w:val="20"/>
          <w:szCs w:val="20"/>
          <w:lang w:val="es-US"/>
        </w:rPr>
        <w:t>L</w:t>
      </w:r>
      <w:r w:rsidR="00EB6C77" w:rsidRPr="00851193">
        <w:rPr>
          <w:rFonts w:ascii="Cambria" w:hAnsi="Cambria"/>
          <w:sz w:val="20"/>
          <w:szCs w:val="20"/>
          <w:lang w:val="es-US"/>
        </w:rPr>
        <w:t>a Comisión nota que</w:t>
      </w:r>
      <w:r w:rsidR="00B04829" w:rsidRPr="00851193">
        <w:rPr>
          <w:rFonts w:ascii="Cambria" w:hAnsi="Cambria"/>
          <w:sz w:val="20"/>
          <w:szCs w:val="20"/>
          <w:lang w:val="es-US"/>
        </w:rPr>
        <w:t>,</w:t>
      </w:r>
      <w:r w:rsidR="00EB6C77" w:rsidRPr="00851193">
        <w:rPr>
          <w:rFonts w:ascii="Cambria" w:hAnsi="Cambria"/>
          <w:sz w:val="20"/>
          <w:szCs w:val="20"/>
          <w:lang w:val="es-US"/>
        </w:rPr>
        <w:t xml:space="preserve"> </w:t>
      </w:r>
      <w:r w:rsidR="00441E14" w:rsidRPr="00851193">
        <w:rPr>
          <w:rFonts w:ascii="Cambria" w:hAnsi="Cambria"/>
          <w:sz w:val="20"/>
          <w:szCs w:val="20"/>
          <w:lang w:val="es-US"/>
        </w:rPr>
        <w:t>que tal como informó el Estad</w:t>
      </w:r>
      <w:r w:rsidR="003853A7" w:rsidRPr="00851193">
        <w:rPr>
          <w:rFonts w:ascii="Cambria" w:hAnsi="Cambria"/>
          <w:sz w:val="20"/>
          <w:szCs w:val="20"/>
          <w:lang w:val="es-US"/>
        </w:rPr>
        <w:t xml:space="preserve">o, Colombia cuenta con </w:t>
      </w:r>
      <w:r w:rsidR="00BC6EBE" w:rsidRPr="00851193">
        <w:rPr>
          <w:rFonts w:ascii="Cambria" w:hAnsi="Cambria"/>
          <w:sz w:val="20"/>
          <w:szCs w:val="20"/>
          <w:lang w:val="es-US"/>
        </w:rPr>
        <w:t xml:space="preserve">un mecanismo de </w:t>
      </w:r>
      <w:r w:rsidR="00C422D5" w:rsidRPr="00851193">
        <w:rPr>
          <w:rFonts w:ascii="Cambria" w:hAnsi="Cambria"/>
          <w:sz w:val="20"/>
          <w:szCs w:val="20"/>
          <w:lang w:val="es-US"/>
        </w:rPr>
        <w:t xml:space="preserve">rendición de cuentas </w:t>
      </w:r>
      <w:r w:rsidR="00536502" w:rsidRPr="00851193">
        <w:rPr>
          <w:rFonts w:ascii="Cambria" w:hAnsi="Cambria"/>
          <w:sz w:val="20"/>
          <w:szCs w:val="20"/>
          <w:lang w:val="es-US"/>
        </w:rPr>
        <w:t xml:space="preserve">que permite </w:t>
      </w:r>
      <w:r w:rsidR="001F2DFC" w:rsidRPr="00851193">
        <w:rPr>
          <w:rFonts w:ascii="Cambria" w:hAnsi="Cambria"/>
          <w:sz w:val="20"/>
          <w:szCs w:val="20"/>
          <w:lang w:val="es-US"/>
        </w:rPr>
        <w:t>la</w:t>
      </w:r>
      <w:r w:rsidR="00536502" w:rsidRPr="00851193">
        <w:rPr>
          <w:rFonts w:ascii="Cambria" w:hAnsi="Cambria"/>
          <w:sz w:val="20"/>
          <w:szCs w:val="20"/>
          <w:lang w:val="es-US"/>
        </w:rPr>
        <w:t xml:space="preserve"> sanción </w:t>
      </w:r>
      <w:r w:rsidR="001F2DFC" w:rsidRPr="00851193">
        <w:rPr>
          <w:rFonts w:ascii="Cambria" w:hAnsi="Cambria"/>
          <w:sz w:val="20"/>
          <w:szCs w:val="20"/>
          <w:lang w:val="es-US"/>
        </w:rPr>
        <w:t xml:space="preserve">de funcionarios </w:t>
      </w:r>
      <w:r w:rsidR="00536502" w:rsidRPr="00851193">
        <w:rPr>
          <w:rFonts w:ascii="Cambria" w:hAnsi="Cambria"/>
          <w:sz w:val="20"/>
          <w:szCs w:val="20"/>
          <w:lang w:val="es-US"/>
        </w:rPr>
        <w:t>por violaciones al debido proceso</w:t>
      </w:r>
      <w:r w:rsidR="00446004" w:rsidRPr="00851193">
        <w:rPr>
          <w:rFonts w:ascii="Cambria" w:hAnsi="Cambria"/>
          <w:sz w:val="20"/>
          <w:szCs w:val="20"/>
          <w:lang w:val="es-US"/>
        </w:rPr>
        <w:t xml:space="preserve">, </w:t>
      </w:r>
      <w:r w:rsidR="00EE5B84" w:rsidRPr="00851193">
        <w:rPr>
          <w:rFonts w:ascii="Cambria" w:hAnsi="Cambria"/>
          <w:sz w:val="20"/>
          <w:szCs w:val="20"/>
        </w:rPr>
        <w:t xml:space="preserve">que </w:t>
      </w:r>
      <w:r w:rsidR="00996E60" w:rsidRPr="00851193">
        <w:rPr>
          <w:rFonts w:ascii="Cambria" w:hAnsi="Cambria"/>
          <w:sz w:val="20"/>
          <w:szCs w:val="20"/>
        </w:rPr>
        <w:t xml:space="preserve">puede dar </w:t>
      </w:r>
      <w:r w:rsidR="00EE5B84" w:rsidRPr="00851193">
        <w:rPr>
          <w:rFonts w:ascii="Cambria" w:hAnsi="Cambria"/>
          <w:sz w:val="20"/>
          <w:szCs w:val="20"/>
        </w:rPr>
        <w:t>lugar a la destitución o inhabilitación del ejercicio de funciones públicas si se realizan con dolo o culpa gravísima</w:t>
      </w:r>
      <w:r w:rsidR="004B0B32" w:rsidRPr="00851193">
        <w:rPr>
          <w:rFonts w:ascii="Cambria" w:hAnsi="Cambria"/>
          <w:sz w:val="20"/>
          <w:szCs w:val="20"/>
        </w:rPr>
        <w:t xml:space="preserve"> (ver </w:t>
      </w:r>
      <w:r w:rsidR="004B0B32" w:rsidRPr="00851193">
        <w:rPr>
          <w:rFonts w:ascii="Cambria" w:hAnsi="Cambria"/>
          <w:i/>
          <w:iCs/>
          <w:sz w:val="20"/>
          <w:szCs w:val="20"/>
        </w:rPr>
        <w:t>supra</w:t>
      </w:r>
      <w:r w:rsidR="004B0B32" w:rsidRPr="00851193">
        <w:rPr>
          <w:rFonts w:ascii="Cambria" w:hAnsi="Cambria"/>
          <w:sz w:val="20"/>
          <w:szCs w:val="20"/>
        </w:rPr>
        <w:t xml:space="preserve"> </w:t>
      </w:r>
      <w:r w:rsidR="00D05E7A" w:rsidRPr="00851193">
        <w:rPr>
          <w:rFonts w:ascii="Cambria" w:hAnsi="Cambria"/>
          <w:sz w:val="20"/>
          <w:szCs w:val="20"/>
        </w:rPr>
        <w:t>párr. 151)</w:t>
      </w:r>
      <w:r w:rsidR="0014262F" w:rsidRPr="00851193">
        <w:rPr>
          <w:rFonts w:ascii="Cambria" w:hAnsi="Cambria"/>
          <w:sz w:val="20"/>
          <w:szCs w:val="20"/>
          <w:lang w:val="es-US"/>
        </w:rPr>
        <w:t>. E</w:t>
      </w:r>
      <w:r w:rsidR="00FC5496" w:rsidRPr="00851193">
        <w:rPr>
          <w:rFonts w:ascii="Cambria" w:hAnsi="Cambria"/>
          <w:sz w:val="20"/>
          <w:szCs w:val="20"/>
          <w:lang w:val="es-US"/>
        </w:rPr>
        <w:t>ste</w:t>
      </w:r>
      <w:r w:rsidR="00491304" w:rsidRPr="00851193">
        <w:rPr>
          <w:rFonts w:ascii="Cambria" w:hAnsi="Cambria"/>
          <w:sz w:val="20"/>
          <w:szCs w:val="20"/>
          <w:lang w:val="es-US"/>
        </w:rPr>
        <w:t xml:space="preserve"> </w:t>
      </w:r>
      <w:r w:rsidR="0014262F" w:rsidRPr="00851193">
        <w:rPr>
          <w:rFonts w:ascii="Cambria" w:hAnsi="Cambria"/>
          <w:sz w:val="20"/>
          <w:szCs w:val="20"/>
          <w:lang w:val="es-US"/>
        </w:rPr>
        <w:t xml:space="preserve">mecanismo </w:t>
      </w:r>
      <w:r w:rsidR="006A322E" w:rsidRPr="00851193">
        <w:rPr>
          <w:rFonts w:ascii="Cambria" w:hAnsi="Cambria"/>
          <w:sz w:val="20"/>
          <w:szCs w:val="20"/>
          <w:lang w:val="es-US"/>
        </w:rPr>
        <w:t xml:space="preserve">prevé </w:t>
      </w:r>
      <w:r w:rsidR="00491304" w:rsidRPr="00851193">
        <w:rPr>
          <w:rFonts w:ascii="Cambria" w:hAnsi="Cambria"/>
          <w:sz w:val="20"/>
          <w:szCs w:val="20"/>
          <w:lang w:val="es-US"/>
        </w:rPr>
        <w:t xml:space="preserve">la </w:t>
      </w:r>
      <w:r w:rsidR="000A601A" w:rsidRPr="00851193">
        <w:rPr>
          <w:rFonts w:ascii="Cambria" w:hAnsi="Cambria"/>
          <w:sz w:val="20"/>
          <w:szCs w:val="20"/>
          <w:lang w:val="es-US"/>
        </w:rPr>
        <w:t>destitu</w:t>
      </w:r>
      <w:r w:rsidR="00491304" w:rsidRPr="00851193">
        <w:rPr>
          <w:rFonts w:ascii="Cambria" w:hAnsi="Cambria"/>
          <w:sz w:val="20"/>
          <w:szCs w:val="20"/>
          <w:lang w:val="es-US"/>
        </w:rPr>
        <w:t>ción</w:t>
      </w:r>
      <w:r w:rsidR="000A601A" w:rsidRPr="00851193">
        <w:rPr>
          <w:rFonts w:ascii="Cambria" w:hAnsi="Cambria"/>
          <w:sz w:val="20"/>
          <w:szCs w:val="20"/>
          <w:lang w:val="es-US"/>
        </w:rPr>
        <w:t xml:space="preserve"> </w:t>
      </w:r>
      <w:r w:rsidR="00722D45" w:rsidRPr="00851193">
        <w:rPr>
          <w:rFonts w:ascii="Cambria" w:hAnsi="Cambria"/>
          <w:sz w:val="20"/>
          <w:szCs w:val="20"/>
          <w:lang w:val="es-US"/>
        </w:rPr>
        <w:t>o</w:t>
      </w:r>
      <w:r w:rsidR="000A601A" w:rsidRPr="00851193">
        <w:rPr>
          <w:rFonts w:ascii="Cambria" w:hAnsi="Cambria"/>
          <w:sz w:val="20"/>
          <w:szCs w:val="20"/>
          <w:lang w:val="es-US"/>
        </w:rPr>
        <w:t xml:space="preserve"> inhabilita</w:t>
      </w:r>
      <w:r w:rsidR="00491304" w:rsidRPr="00851193">
        <w:rPr>
          <w:rFonts w:ascii="Cambria" w:hAnsi="Cambria"/>
          <w:sz w:val="20"/>
          <w:szCs w:val="20"/>
          <w:lang w:val="es-US"/>
        </w:rPr>
        <w:t>ción</w:t>
      </w:r>
      <w:r w:rsidR="000A601A" w:rsidRPr="00851193">
        <w:rPr>
          <w:rFonts w:ascii="Cambria" w:hAnsi="Cambria"/>
          <w:sz w:val="20"/>
          <w:szCs w:val="20"/>
          <w:lang w:val="es-US"/>
        </w:rPr>
        <w:t xml:space="preserve"> </w:t>
      </w:r>
      <w:r w:rsidR="00491304" w:rsidRPr="00851193">
        <w:rPr>
          <w:rFonts w:ascii="Cambria" w:hAnsi="Cambria"/>
          <w:sz w:val="20"/>
          <w:szCs w:val="20"/>
          <w:lang w:val="es-US"/>
        </w:rPr>
        <w:t>de</w:t>
      </w:r>
      <w:r w:rsidR="000A601A" w:rsidRPr="00851193">
        <w:rPr>
          <w:rFonts w:ascii="Cambria" w:hAnsi="Cambria"/>
          <w:sz w:val="20"/>
          <w:szCs w:val="20"/>
          <w:lang w:val="es-US"/>
        </w:rPr>
        <w:t xml:space="preserve"> funcionarios democráticamente</w:t>
      </w:r>
      <w:r w:rsidR="00CE6287" w:rsidRPr="00851193">
        <w:rPr>
          <w:rFonts w:ascii="Cambria" w:hAnsi="Cambria"/>
          <w:sz w:val="20"/>
          <w:szCs w:val="20"/>
          <w:lang w:val="es-US"/>
        </w:rPr>
        <w:t xml:space="preserve"> electos</w:t>
      </w:r>
      <w:r w:rsidR="00AD217E" w:rsidRPr="00851193">
        <w:rPr>
          <w:rFonts w:ascii="Cambria" w:hAnsi="Cambria"/>
          <w:sz w:val="20"/>
          <w:szCs w:val="20"/>
          <w:lang w:val="es-US"/>
        </w:rPr>
        <w:t>,</w:t>
      </w:r>
      <w:r w:rsidR="00684BA0" w:rsidRPr="00851193">
        <w:rPr>
          <w:rFonts w:ascii="Cambria" w:hAnsi="Cambria"/>
          <w:sz w:val="20"/>
          <w:szCs w:val="20"/>
          <w:lang w:val="es-US"/>
        </w:rPr>
        <w:t xml:space="preserve"> de manera incompatible con la Convención</w:t>
      </w:r>
      <w:r w:rsidR="002B6BF1" w:rsidRPr="00851193">
        <w:rPr>
          <w:rFonts w:ascii="Cambria" w:hAnsi="Cambria"/>
          <w:sz w:val="20"/>
          <w:szCs w:val="20"/>
          <w:lang w:val="es-US"/>
        </w:rPr>
        <w:t>.</w:t>
      </w:r>
      <w:r w:rsidR="00AD217E" w:rsidRPr="00851193">
        <w:rPr>
          <w:rFonts w:ascii="Cambria" w:hAnsi="Cambria"/>
          <w:sz w:val="20"/>
          <w:szCs w:val="20"/>
          <w:lang w:val="es-US"/>
        </w:rPr>
        <w:t xml:space="preserve"> </w:t>
      </w:r>
      <w:r w:rsidR="00F56991" w:rsidRPr="00851193">
        <w:rPr>
          <w:rFonts w:ascii="Cambria" w:hAnsi="Cambria"/>
          <w:sz w:val="20"/>
          <w:szCs w:val="20"/>
          <w:lang w:val="es-US"/>
        </w:rPr>
        <w:t xml:space="preserve">La </w:t>
      </w:r>
      <w:r w:rsidR="00C11B15" w:rsidRPr="00851193">
        <w:rPr>
          <w:rFonts w:ascii="Cambria" w:hAnsi="Cambria"/>
          <w:sz w:val="20"/>
          <w:szCs w:val="20"/>
          <w:lang w:val="es-US"/>
        </w:rPr>
        <w:t xml:space="preserve">Comisión observa que la </w:t>
      </w:r>
      <w:r w:rsidR="00F56991" w:rsidRPr="00851193">
        <w:rPr>
          <w:rFonts w:ascii="Cambria" w:hAnsi="Cambria"/>
          <w:sz w:val="20"/>
          <w:szCs w:val="20"/>
          <w:lang w:val="es-US"/>
        </w:rPr>
        <w:t>presente</w:t>
      </w:r>
      <w:r w:rsidR="008C0300" w:rsidRPr="00851193">
        <w:rPr>
          <w:rFonts w:ascii="Cambria" w:hAnsi="Cambria"/>
          <w:sz w:val="20"/>
          <w:szCs w:val="20"/>
          <w:lang w:val="es-US"/>
        </w:rPr>
        <w:t xml:space="preserve"> recomendación</w:t>
      </w:r>
      <w:r w:rsidR="00595BB5" w:rsidRPr="00851193">
        <w:rPr>
          <w:rFonts w:ascii="Cambria" w:hAnsi="Cambria"/>
          <w:sz w:val="20"/>
          <w:szCs w:val="20"/>
          <w:lang w:val="es-US"/>
        </w:rPr>
        <w:t xml:space="preserve"> </w:t>
      </w:r>
      <w:r w:rsidR="00BF50D0" w:rsidRPr="00851193">
        <w:rPr>
          <w:rFonts w:ascii="Cambria" w:hAnsi="Cambria"/>
          <w:sz w:val="20"/>
          <w:szCs w:val="20"/>
          <w:lang w:val="es-US"/>
        </w:rPr>
        <w:t>atiende a</w:t>
      </w:r>
      <w:r w:rsidR="005158FB" w:rsidRPr="00851193">
        <w:rPr>
          <w:rFonts w:ascii="Cambria" w:hAnsi="Cambria"/>
          <w:sz w:val="20"/>
          <w:szCs w:val="20"/>
          <w:lang w:val="es-US"/>
        </w:rPr>
        <w:t xml:space="preserve"> </w:t>
      </w:r>
      <w:r w:rsidR="00C74773" w:rsidRPr="00851193">
        <w:rPr>
          <w:rFonts w:ascii="Cambria" w:hAnsi="Cambria"/>
          <w:sz w:val="20"/>
          <w:szCs w:val="20"/>
          <w:lang w:val="es-US"/>
        </w:rPr>
        <w:t xml:space="preserve">las violaciones de debido proceso </w:t>
      </w:r>
      <w:r w:rsidR="008623FF" w:rsidRPr="00851193">
        <w:rPr>
          <w:rFonts w:ascii="Cambria" w:hAnsi="Cambria"/>
          <w:sz w:val="20"/>
          <w:szCs w:val="20"/>
          <w:lang w:val="es-US"/>
        </w:rPr>
        <w:t xml:space="preserve">declaradas en el presente </w:t>
      </w:r>
      <w:r w:rsidR="00C11B15" w:rsidRPr="00851193">
        <w:rPr>
          <w:rFonts w:ascii="Cambria" w:hAnsi="Cambria"/>
          <w:sz w:val="20"/>
          <w:szCs w:val="20"/>
          <w:lang w:val="es-US"/>
        </w:rPr>
        <w:t>informe</w:t>
      </w:r>
      <w:r w:rsidR="00522915" w:rsidRPr="00851193">
        <w:rPr>
          <w:rFonts w:ascii="Cambria" w:hAnsi="Cambria"/>
          <w:sz w:val="20"/>
          <w:szCs w:val="20"/>
          <w:lang w:val="es-US"/>
        </w:rPr>
        <w:t xml:space="preserve"> </w:t>
      </w:r>
      <w:r w:rsidR="006475F3" w:rsidRPr="00851193">
        <w:rPr>
          <w:rFonts w:ascii="Cambria" w:hAnsi="Cambria"/>
          <w:sz w:val="20"/>
          <w:szCs w:val="20"/>
          <w:lang w:val="es-US"/>
        </w:rPr>
        <w:t xml:space="preserve">y estas </w:t>
      </w:r>
      <w:r w:rsidR="00522915" w:rsidRPr="00851193">
        <w:rPr>
          <w:rFonts w:ascii="Cambria" w:hAnsi="Cambria"/>
          <w:sz w:val="20"/>
          <w:szCs w:val="20"/>
          <w:lang w:val="es-US"/>
        </w:rPr>
        <w:t>podría</w:t>
      </w:r>
      <w:r w:rsidR="007A3C24" w:rsidRPr="00851193">
        <w:rPr>
          <w:rFonts w:ascii="Cambria" w:hAnsi="Cambria"/>
          <w:sz w:val="20"/>
          <w:szCs w:val="20"/>
          <w:lang w:val="es-US"/>
        </w:rPr>
        <w:t>n</w:t>
      </w:r>
      <w:r w:rsidR="00522915" w:rsidRPr="00851193">
        <w:rPr>
          <w:rFonts w:ascii="Cambria" w:hAnsi="Cambria"/>
          <w:sz w:val="20"/>
          <w:szCs w:val="20"/>
          <w:lang w:val="es-US"/>
        </w:rPr>
        <w:t xml:space="preserve"> re</w:t>
      </w:r>
      <w:r w:rsidR="00285160" w:rsidRPr="00851193">
        <w:rPr>
          <w:rFonts w:ascii="Cambria" w:hAnsi="Cambria"/>
          <w:sz w:val="20"/>
          <w:szCs w:val="20"/>
          <w:lang w:val="es-US"/>
        </w:rPr>
        <w:t>lacionarse</w:t>
      </w:r>
      <w:r w:rsidR="00522915" w:rsidRPr="00851193">
        <w:rPr>
          <w:rFonts w:ascii="Cambria" w:hAnsi="Cambria"/>
          <w:sz w:val="20"/>
          <w:szCs w:val="20"/>
          <w:lang w:val="es-US"/>
        </w:rPr>
        <w:t xml:space="preserve"> a </w:t>
      </w:r>
      <w:r w:rsidR="00545E7B" w:rsidRPr="00851193">
        <w:rPr>
          <w:rFonts w:ascii="Cambria" w:hAnsi="Cambria"/>
          <w:sz w:val="20"/>
          <w:szCs w:val="20"/>
          <w:lang w:val="es-US"/>
        </w:rPr>
        <w:t>los</w:t>
      </w:r>
      <w:r w:rsidR="00522915" w:rsidRPr="00851193">
        <w:rPr>
          <w:rFonts w:ascii="Cambria" w:hAnsi="Cambria"/>
          <w:sz w:val="20"/>
          <w:szCs w:val="20"/>
          <w:lang w:val="es-US"/>
        </w:rPr>
        <w:t xml:space="preserve"> </w:t>
      </w:r>
      <w:r w:rsidR="00D72190" w:rsidRPr="00851193">
        <w:rPr>
          <w:rFonts w:ascii="Cambria" w:hAnsi="Cambria"/>
          <w:sz w:val="20"/>
          <w:szCs w:val="20"/>
          <w:lang w:val="es-US"/>
        </w:rPr>
        <w:t>supuestos</w:t>
      </w:r>
      <w:r w:rsidR="006475F3" w:rsidRPr="00851193">
        <w:rPr>
          <w:rFonts w:ascii="Cambria" w:hAnsi="Cambria"/>
          <w:sz w:val="20"/>
          <w:szCs w:val="20"/>
          <w:lang w:val="es-US"/>
        </w:rPr>
        <w:t xml:space="preserve"> </w:t>
      </w:r>
      <w:r w:rsidR="00AA0C56" w:rsidRPr="00851193">
        <w:rPr>
          <w:rFonts w:ascii="Cambria" w:hAnsi="Cambria"/>
          <w:sz w:val="20"/>
          <w:szCs w:val="20"/>
          <w:lang w:val="es-US"/>
        </w:rPr>
        <w:t>de destitución o inhabilitación</w:t>
      </w:r>
      <w:r w:rsidR="00545E7B" w:rsidRPr="00851193">
        <w:rPr>
          <w:rFonts w:ascii="Cambria" w:hAnsi="Cambria"/>
          <w:sz w:val="20"/>
          <w:szCs w:val="20"/>
          <w:lang w:val="es-US"/>
        </w:rPr>
        <w:t xml:space="preserve"> arriba citados. </w:t>
      </w:r>
      <w:r w:rsidR="007034CD" w:rsidRPr="00851193">
        <w:rPr>
          <w:rFonts w:ascii="Cambria" w:hAnsi="Cambria"/>
          <w:sz w:val="20"/>
          <w:szCs w:val="20"/>
          <w:lang w:val="es-US"/>
        </w:rPr>
        <w:t xml:space="preserve">En vista de que el mecanismo no se ajusta a los estándares interamericanos de rendición de cuentas, </w:t>
      </w:r>
      <w:r w:rsidR="00DF00EF" w:rsidRPr="00851193">
        <w:rPr>
          <w:rFonts w:ascii="Cambria" w:hAnsi="Cambria"/>
          <w:sz w:val="20"/>
          <w:szCs w:val="20"/>
          <w:lang w:val="es-US"/>
        </w:rPr>
        <w:t>la Comisión considera que est</w:t>
      </w:r>
      <w:r w:rsidR="00684BA0" w:rsidRPr="00851193">
        <w:rPr>
          <w:rFonts w:ascii="Cambria" w:hAnsi="Cambria"/>
          <w:sz w:val="20"/>
          <w:szCs w:val="20"/>
          <w:lang w:val="es-US"/>
        </w:rPr>
        <w:t>a</w:t>
      </w:r>
      <w:r w:rsidR="00DF00EF" w:rsidRPr="00851193">
        <w:rPr>
          <w:rFonts w:ascii="Cambria" w:hAnsi="Cambria"/>
          <w:sz w:val="20"/>
          <w:szCs w:val="20"/>
          <w:lang w:val="es-US"/>
        </w:rPr>
        <w:t xml:space="preserve"> </w:t>
      </w:r>
      <w:r w:rsidR="00684BA0" w:rsidRPr="00851193">
        <w:rPr>
          <w:rFonts w:ascii="Cambria" w:hAnsi="Cambria"/>
          <w:sz w:val="20"/>
          <w:szCs w:val="20"/>
          <w:lang w:val="es-US"/>
        </w:rPr>
        <w:t xml:space="preserve">recomendación </w:t>
      </w:r>
      <w:r w:rsidR="00DF00EF" w:rsidRPr="00851193">
        <w:rPr>
          <w:rFonts w:ascii="Cambria" w:hAnsi="Cambria"/>
          <w:sz w:val="20"/>
          <w:szCs w:val="20"/>
          <w:lang w:val="es-US"/>
        </w:rPr>
        <w:t>se encuentra parcialmente cumplid</w:t>
      </w:r>
      <w:r w:rsidR="00684BA0" w:rsidRPr="00851193">
        <w:rPr>
          <w:rFonts w:ascii="Cambria" w:hAnsi="Cambria"/>
          <w:sz w:val="20"/>
          <w:szCs w:val="20"/>
          <w:lang w:val="es-US"/>
        </w:rPr>
        <w:t>a</w:t>
      </w:r>
      <w:r w:rsidR="008D6897" w:rsidRPr="00851193">
        <w:rPr>
          <w:rFonts w:ascii="Cambria" w:hAnsi="Cambria"/>
          <w:sz w:val="20"/>
          <w:szCs w:val="20"/>
          <w:lang w:val="es-US"/>
        </w:rPr>
        <w:t xml:space="preserve"> y continuará dando seguimiento a su cumplimiento</w:t>
      </w:r>
      <w:r w:rsidR="00522915" w:rsidRPr="00851193">
        <w:rPr>
          <w:rFonts w:ascii="Cambria" w:hAnsi="Cambria"/>
          <w:sz w:val="20"/>
          <w:szCs w:val="20"/>
          <w:lang w:val="es-US"/>
        </w:rPr>
        <w:t>.</w:t>
      </w:r>
    </w:p>
    <w:p w14:paraId="3A9C2483" w14:textId="77777777" w:rsidR="009F1F8E" w:rsidRDefault="009F1F8E" w:rsidP="009F1F8E">
      <w:pPr>
        <w:pStyle w:val="BodyTextIndent"/>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0"/>
          <w:szCs w:val="20"/>
          <w:lang w:val="es-US"/>
        </w:rPr>
      </w:pPr>
    </w:p>
    <w:p w14:paraId="68A7D245" w14:textId="33D273F8" w:rsidR="009F1F8E" w:rsidRPr="003B17D2" w:rsidRDefault="009F1F8E" w:rsidP="00E96336">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Theme="majorHAnsi" w:hAnsiTheme="majorHAnsi" w:cs="Verdana"/>
          <w:sz w:val="20"/>
          <w:szCs w:val="20"/>
          <w:lang w:val="es-ES" w:bidi="en-US"/>
        </w:rPr>
      </w:pPr>
      <w:r w:rsidRPr="003B17D2">
        <w:rPr>
          <w:rFonts w:ascii="Cambria" w:hAnsi="Cambria"/>
          <w:sz w:val="20"/>
          <w:szCs w:val="20"/>
          <w:lang w:val="es-US"/>
        </w:rPr>
        <w:t>La</w:t>
      </w:r>
      <w:r w:rsidRPr="003B17D2">
        <w:rPr>
          <w:rFonts w:asciiTheme="majorHAnsi" w:hAnsiTheme="majorHAnsi" w:cs="Verdana"/>
          <w:sz w:val="20"/>
          <w:szCs w:val="20"/>
          <w:lang w:val="es-ES" w:bidi="en-US"/>
        </w:rPr>
        <w:t xml:space="preserve"> Comisión adoptó el Informe de Fondo (Final) No. </w:t>
      </w:r>
      <w:r w:rsidR="001A1CB4" w:rsidRPr="003B17D2">
        <w:rPr>
          <w:rFonts w:asciiTheme="majorHAnsi" w:hAnsiTheme="majorHAnsi" w:cs="Verdana"/>
          <w:sz w:val="20"/>
          <w:szCs w:val="20"/>
          <w:lang w:val="es-ES" w:bidi="en-US"/>
        </w:rPr>
        <w:t>46</w:t>
      </w:r>
      <w:r w:rsidRPr="003B17D2">
        <w:rPr>
          <w:rFonts w:asciiTheme="majorHAnsi" w:hAnsiTheme="majorHAnsi" w:cs="Verdana"/>
          <w:sz w:val="20"/>
          <w:szCs w:val="20"/>
          <w:lang w:val="es-ES" w:bidi="en-US"/>
        </w:rPr>
        <w:t xml:space="preserve">/25 el </w:t>
      </w:r>
      <w:r w:rsidR="001A1CB4" w:rsidRPr="003B17D2">
        <w:rPr>
          <w:rFonts w:asciiTheme="majorHAnsi" w:hAnsiTheme="majorHAnsi" w:cs="Verdana"/>
          <w:sz w:val="20"/>
          <w:szCs w:val="20"/>
          <w:lang w:val="es-ES" w:bidi="en-US"/>
        </w:rPr>
        <w:t>21 de abril</w:t>
      </w:r>
      <w:r w:rsidRPr="003B17D2">
        <w:rPr>
          <w:rFonts w:asciiTheme="majorHAnsi" w:hAnsiTheme="majorHAnsi" w:cs="Verdana"/>
          <w:sz w:val="20"/>
          <w:szCs w:val="20"/>
          <w:lang w:val="es-ES" w:bidi="en-US"/>
        </w:rPr>
        <w:t xml:space="preserve"> de 2025. En dicho informe la CIDH reiteró su</w:t>
      </w:r>
      <w:r w:rsidR="00DB2CB2" w:rsidRPr="003B17D2">
        <w:rPr>
          <w:rFonts w:asciiTheme="majorHAnsi" w:hAnsiTheme="majorHAnsi" w:cs="Verdana"/>
          <w:sz w:val="20"/>
          <w:szCs w:val="20"/>
          <w:lang w:val="es-ES" w:bidi="en-US"/>
        </w:rPr>
        <w:t>s</w:t>
      </w:r>
      <w:r w:rsidRPr="003B17D2">
        <w:rPr>
          <w:rFonts w:asciiTheme="majorHAnsi" w:hAnsiTheme="majorHAnsi" w:cs="Verdana"/>
          <w:sz w:val="20"/>
          <w:szCs w:val="20"/>
          <w:lang w:val="es-ES" w:bidi="en-US"/>
        </w:rPr>
        <w:t xml:space="preserve"> recomendaci</w:t>
      </w:r>
      <w:r w:rsidR="00DB2CB2" w:rsidRPr="003B17D2">
        <w:rPr>
          <w:rFonts w:asciiTheme="majorHAnsi" w:hAnsiTheme="majorHAnsi" w:cs="Verdana"/>
          <w:sz w:val="20"/>
          <w:szCs w:val="20"/>
          <w:lang w:val="es-ES" w:bidi="en-US"/>
        </w:rPr>
        <w:t>ones</w:t>
      </w:r>
      <w:r w:rsidRPr="003B17D2">
        <w:rPr>
          <w:rFonts w:asciiTheme="majorHAnsi" w:hAnsiTheme="majorHAnsi" w:cs="Verdana"/>
          <w:sz w:val="20"/>
          <w:szCs w:val="20"/>
          <w:lang w:val="es-ES" w:bidi="en-US"/>
        </w:rPr>
        <w:t>:</w:t>
      </w:r>
    </w:p>
    <w:p w14:paraId="33D10B65" w14:textId="77777777" w:rsidR="00DB2CB2" w:rsidRPr="003B17D2" w:rsidRDefault="00DB2CB2" w:rsidP="00DB2CB2">
      <w:pPr>
        <w:spacing w:after="0" w:line="240" w:lineRule="auto"/>
        <w:jc w:val="both"/>
        <w:rPr>
          <w:rFonts w:ascii="Cambria" w:eastAsia="Times New Roman" w:hAnsi="Cambria" w:cs="Tahoma"/>
          <w:sz w:val="20"/>
          <w:szCs w:val="20"/>
          <w:lang w:val="es-ES"/>
        </w:rPr>
      </w:pPr>
    </w:p>
    <w:p w14:paraId="75AEE918" w14:textId="77777777" w:rsidR="00DB2CB2" w:rsidRPr="003B17D2" w:rsidRDefault="00DB2CB2" w:rsidP="00DB2CB2">
      <w:pPr>
        <w:spacing w:after="0" w:line="240" w:lineRule="auto"/>
        <w:ind w:firstLine="720"/>
        <w:jc w:val="both"/>
        <w:rPr>
          <w:rFonts w:ascii="Cambria" w:hAnsi="Cambria" w:cs="Tahoma"/>
          <w:sz w:val="20"/>
          <w:szCs w:val="20"/>
          <w:lang w:val="es-ES"/>
        </w:rPr>
      </w:pPr>
      <w:r w:rsidRPr="003B17D2">
        <w:rPr>
          <w:rFonts w:ascii="Cambria" w:eastAsia="Times New Roman" w:hAnsi="Cambria" w:cs="Tahoma"/>
          <w:sz w:val="20"/>
          <w:szCs w:val="20"/>
          <w:lang w:val="es-ES"/>
        </w:rPr>
        <w:t>1.</w:t>
      </w:r>
      <w:r w:rsidRPr="003B17D2">
        <w:rPr>
          <w:rFonts w:ascii="Cambria" w:eastAsia="Times New Roman" w:hAnsi="Cambria" w:cs="Tahoma"/>
          <w:sz w:val="20"/>
          <w:szCs w:val="20"/>
          <w:lang w:val="es-ES"/>
        </w:rPr>
        <w:tab/>
      </w:r>
      <w:r w:rsidRPr="003B17D2">
        <w:rPr>
          <w:rFonts w:ascii="Cambria" w:hAnsi="Cambria" w:cs="Tahoma"/>
          <w:sz w:val="20"/>
          <w:szCs w:val="20"/>
          <w:lang w:val="es-ES"/>
        </w:rPr>
        <w:t>Reparar integralmente las violaciones de derechos humanos declaradas en el presente informe tanto en el aspecto material como inmaterial. Para ello, el Estado deberá adoptar medidas de compensación económica y satisfacción en favor de la víctima, las cuales deberán ser consistentes con las violaciones declaradas en el presente informe de fondo. Además, en caso de que la víctima así lo desee y de manera concertada, el Estado deberá disponer medidas de atención en salud física o mental.</w:t>
      </w:r>
    </w:p>
    <w:p w14:paraId="523141E4" w14:textId="77777777" w:rsidR="00DB2CB2" w:rsidRPr="003B17D2" w:rsidRDefault="00DB2CB2" w:rsidP="00DB2CB2">
      <w:pPr>
        <w:spacing w:after="0" w:line="240" w:lineRule="auto"/>
        <w:ind w:firstLine="720"/>
        <w:jc w:val="both"/>
        <w:rPr>
          <w:rFonts w:ascii="Cambria" w:hAnsi="Cambria" w:cs="Tahoma"/>
          <w:sz w:val="20"/>
          <w:szCs w:val="20"/>
          <w:lang w:val="es-ES"/>
        </w:rPr>
      </w:pPr>
    </w:p>
    <w:p w14:paraId="46B9B18D" w14:textId="77777777" w:rsidR="00DB2CB2" w:rsidRPr="003B17D2" w:rsidRDefault="00DB2CB2" w:rsidP="00DB2CB2">
      <w:pPr>
        <w:spacing w:after="0" w:line="240" w:lineRule="auto"/>
        <w:ind w:firstLine="720"/>
        <w:jc w:val="both"/>
        <w:rPr>
          <w:rFonts w:ascii="Cambria" w:hAnsi="Cambria" w:cs="Tahoma"/>
          <w:sz w:val="20"/>
          <w:szCs w:val="20"/>
          <w:lang w:val="es-ES"/>
        </w:rPr>
      </w:pPr>
      <w:r w:rsidRPr="003B17D2">
        <w:rPr>
          <w:rFonts w:ascii="Cambria" w:hAnsi="Cambria" w:cs="Tahoma"/>
          <w:sz w:val="20"/>
          <w:szCs w:val="20"/>
          <w:lang w:val="es-ES"/>
        </w:rPr>
        <w:t xml:space="preserve">2. </w:t>
      </w:r>
      <w:r w:rsidRPr="003B17D2">
        <w:rPr>
          <w:rFonts w:ascii="Cambria" w:hAnsi="Cambria" w:cs="Tahoma"/>
          <w:sz w:val="20"/>
          <w:szCs w:val="20"/>
          <w:lang w:val="es-ES"/>
        </w:rPr>
        <w:tab/>
        <w:t xml:space="preserve">Continuar con las investigaciones y procesos internos por las denuncias por falso testimonio y fraude procesal, los cuales deberán ser realizados con la debida diligencia, de manera seria, efectiva y en un plazo razonable. El Estado colombiano deberá, además, abrir de oficio las investigaciones penales, administrativas o de otra índole, vinculadas a las violaciones de derechos humanos declaradas en el presente informe de fondo. </w:t>
      </w:r>
    </w:p>
    <w:p w14:paraId="5CDD5360" w14:textId="77777777" w:rsidR="00DB2CB2" w:rsidRPr="003B17D2" w:rsidRDefault="00DB2CB2" w:rsidP="00DB2CB2">
      <w:pPr>
        <w:spacing w:after="0" w:line="240" w:lineRule="auto"/>
        <w:ind w:firstLine="720"/>
        <w:jc w:val="both"/>
        <w:rPr>
          <w:rFonts w:ascii="Cambria" w:hAnsi="Cambria" w:cs="Tahoma"/>
          <w:sz w:val="20"/>
          <w:szCs w:val="20"/>
          <w:lang w:val="es-ES"/>
        </w:rPr>
      </w:pPr>
    </w:p>
    <w:p w14:paraId="31D46BF5" w14:textId="77777777" w:rsidR="00DB2CB2" w:rsidRPr="003B17D2" w:rsidRDefault="00DB2CB2" w:rsidP="00DB2CB2">
      <w:pPr>
        <w:spacing w:after="0" w:line="240" w:lineRule="auto"/>
        <w:ind w:firstLine="720"/>
        <w:jc w:val="both"/>
        <w:rPr>
          <w:rFonts w:ascii="Cambria" w:hAnsi="Cambria" w:cs="Tahoma"/>
          <w:sz w:val="20"/>
          <w:szCs w:val="20"/>
          <w:lang w:val="es-ES"/>
        </w:rPr>
      </w:pPr>
      <w:r w:rsidRPr="003B17D2">
        <w:rPr>
          <w:rFonts w:ascii="Cambria" w:hAnsi="Cambria" w:cs="Tahoma"/>
          <w:sz w:val="20"/>
          <w:szCs w:val="20"/>
          <w:lang w:val="es-ES"/>
        </w:rPr>
        <w:t xml:space="preserve">3. </w:t>
      </w:r>
      <w:r w:rsidRPr="003B17D2">
        <w:rPr>
          <w:rFonts w:ascii="Cambria" w:hAnsi="Cambria" w:cs="Tahoma"/>
          <w:sz w:val="20"/>
          <w:szCs w:val="20"/>
          <w:lang w:val="es-ES"/>
        </w:rPr>
        <w:tab/>
        <w:t xml:space="preserve">Disponer las medidas necesarias para evitar la repetición de las violaciones declaradas en el presente informe de fondo incluyendo: i) las medidas para asegurar que el uso de la detención preventiva se ajuste a los estándares descritos en el presente informe; ii) la debida capacitación a las autoridades fiscales y judiciales sobre los estándares interamericanos de debido proceso, particularmente los relativos al uso de testigos con identidad reservada y presunción de inocencia; iii) el fortalecimiento de los mecanismos de rendición de cuentas frente a funcionarios que con sus acciones u omisiones cometen violaciones al debido proceso; y iv) la reducción de los plazos de decisiones de los recursos contra condenas penales, incluyendo apelación y casación; y v) las medidas necesarias para que a lo largo del proceso penal, existan mecanismos idóneos y efectivos para obtener una protección judicial frente a posibles violaciones al debido proceso que pudieron cometerse durante el proceso, incluyendo las que pudieran surgir en los propios fallos judiciales. </w:t>
      </w:r>
    </w:p>
    <w:p w14:paraId="77CDA40B" w14:textId="77777777" w:rsidR="009F1F8E" w:rsidRPr="003B17D2" w:rsidRDefault="009F1F8E" w:rsidP="003133EC">
      <w:pPr>
        <w:spacing w:after="0" w:line="240" w:lineRule="auto"/>
        <w:ind w:firstLine="720"/>
        <w:jc w:val="both"/>
        <w:rPr>
          <w:rFonts w:asciiTheme="majorHAnsi" w:hAnsiTheme="majorHAnsi"/>
          <w:sz w:val="20"/>
          <w:szCs w:val="20"/>
          <w:lang w:val="es-ES"/>
        </w:rPr>
      </w:pPr>
    </w:p>
    <w:p w14:paraId="271B3CF9" w14:textId="57158588" w:rsidR="009F1F8E" w:rsidRPr="003B17D2" w:rsidRDefault="009F1F8E" w:rsidP="00E96336">
      <w:pPr>
        <w:pStyle w:val="Heading1"/>
        <w:ind w:left="1440" w:hanging="720"/>
        <w:jc w:val="both"/>
        <w:rPr>
          <w:lang w:val="es-US"/>
        </w:rPr>
      </w:pPr>
      <w:bookmarkStart w:id="31" w:name="_Toc83747595"/>
      <w:bookmarkStart w:id="32" w:name="_Toc194050570"/>
      <w:bookmarkStart w:id="33" w:name="_Toc196308638"/>
      <w:bookmarkStart w:id="34" w:name="_Toc202349291"/>
      <w:bookmarkStart w:id="35" w:name="_Toc203986812"/>
      <w:r w:rsidRPr="003B17D2">
        <w:rPr>
          <w:lang w:val="es-US"/>
        </w:rPr>
        <w:t xml:space="preserve">ACTUACIONES POSTERIORES AL INFORME No. </w:t>
      </w:r>
      <w:r w:rsidR="002B417D" w:rsidRPr="003B17D2">
        <w:rPr>
          <w:lang w:val="es-US"/>
        </w:rPr>
        <w:t>46</w:t>
      </w:r>
      <w:r w:rsidRPr="003B17D2">
        <w:rPr>
          <w:lang w:val="es-US"/>
        </w:rPr>
        <w:t>/25 E INFORMACIÓN SOBRE CUMPLIMIENTO</w:t>
      </w:r>
      <w:bookmarkEnd w:id="31"/>
      <w:bookmarkEnd w:id="32"/>
      <w:bookmarkEnd w:id="33"/>
      <w:bookmarkEnd w:id="34"/>
      <w:bookmarkEnd w:id="35"/>
    </w:p>
    <w:p w14:paraId="5AFEE36A" w14:textId="77777777" w:rsidR="009F1F8E" w:rsidRPr="003B17D2" w:rsidRDefault="009F1F8E" w:rsidP="009F1F8E">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Theme="majorHAnsi" w:hAnsiTheme="majorHAnsi"/>
          <w:sz w:val="20"/>
          <w:szCs w:val="20"/>
        </w:rPr>
      </w:pPr>
    </w:p>
    <w:p w14:paraId="7F6733DE" w14:textId="345DAAB8" w:rsidR="009F1F8E" w:rsidRPr="003B17D2" w:rsidRDefault="009F1F8E" w:rsidP="00206F4D">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Theme="majorHAnsi" w:hAnsiTheme="majorHAnsi"/>
          <w:sz w:val="20"/>
          <w:szCs w:val="20"/>
          <w:lang w:val="es-ES"/>
        </w:rPr>
      </w:pPr>
      <w:r w:rsidRPr="003B17D2">
        <w:rPr>
          <w:rFonts w:ascii="Cambria" w:hAnsi="Cambria"/>
          <w:sz w:val="20"/>
          <w:szCs w:val="20"/>
          <w:lang w:val="es-US"/>
        </w:rPr>
        <w:t>La</w:t>
      </w:r>
      <w:r w:rsidRPr="003B17D2">
        <w:rPr>
          <w:rFonts w:asciiTheme="majorHAnsi" w:hAnsiTheme="majorHAnsi"/>
          <w:sz w:val="20"/>
          <w:szCs w:val="20"/>
          <w:lang w:val="es-ES"/>
        </w:rPr>
        <w:t xml:space="preserve"> Comisión transmitió el Informe de Fondo (Final) No. </w:t>
      </w:r>
      <w:r w:rsidR="002B417D" w:rsidRPr="003B17D2">
        <w:rPr>
          <w:rFonts w:asciiTheme="majorHAnsi" w:hAnsiTheme="majorHAnsi"/>
          <w:sz w:val="20"/>
          <w:szCs w:val="20"/>
          <w:lang w:val="es-ES"/>
        </w:rPr>
        <w:t>46</w:t>
      </w:r>
      <w:r w:rsidRPr="003B17D2">
        <w:rPr>
          <w:rFonts w:asciiTheme="majorHAnsi" w:hAnsiTheme="majorHAnsi"/>
          <w:sz w:val="20"/>
          <w:szCs w:val="20"/>
          <w:lang w:val="es-ES"/>
        </w:rPr>
        <w:t xml:space="preserve">/25 al Estado el </w:t>
      </w:r>
      <w:r w:rsidR="001A1CB4" w:rsidRPr="003B17D2">
        <w:rPr>
          <w:rFonts w:asciiTheme="majorHAnsi" w:hAnsiTheme="majorHAnsi"/>
          <w:sz w:val="20"/>
          <w:szCs w:val="20"/>
          <w:lang w:val="es-ES"/>
        </w:rPr>
        <w:t>23</w:t>
      </w:r>
      <w:r w:rsidRPr="003B17D2">
        <w:rPr>
          <w:rFonts w:asciiTheme="majorHAnsi" w:hAnsiTheme="majorHAnsi"/>
          <w:sz w:val="20"/>
          <w:szCs w:val="20"/>
          <w:lang w:val="es-ES"/>
        </w:rPr>
        <w:t xml:space="preserve"> de abril de 2025 otorgándole el plazo de tres semanas para informar sobre las medidas adoptadas para el cumplimiento de la</w:t>
      </w:r>
      <w:r w:rsidR="001D3AC5" w:rsidRPr="003B17D2">
        <w:rPr>
          <w:rFonts w:asciiTheme="majorHAnsi" w:hAnsiTheme="majorHAnsi"/>
          <w:sz w:val="20"/>
          <w:szCs w:val="20"/>
          <w:lang w:val="es-ES"/>
        </w:rPr>
        <w:t>s</w:t>
      </w:r>
      <w:r w:rsidRPr="003B17D2">
        <w:rPr>
          <w:rFonts w:asciiTheme="majorHAnsi" w:hAnsiTheme="majorHAnsi"/>
          <w:sz w:val="20"/>
          <w:szCs w:val="20"/>
          <w:lang w:val="es-ES"/>
        </w:rPr>
        <w:t xml:space="preserve"> recomendaci</w:t>
      </w:r>
      <w:r w:rsidR="001D3AC5" w:rsidRPr="003B17D2">
        <w:rPr>
          <w:rFonts w:asciiTheme="majorHAnsi" w:hAnsiTheme="majorHAnsi"/>
          <w:sz w:val="20"/>
          <w:szCs w:val="20"/>
          <w:lang w:val="es-ES"/>
        </w:rPr>
        <w:t>ones</w:t>
      </w:r>
      <w:r w:rsidRPr="003B17D2">
        <w:rPr>
          <w:rFonts w:asciiTheme="majorHAnsi" w:hAnsiTheme="majorHAnsi"/>
          <w:sz w:val="20"/>
          <w:szCs w:val="20"/>
          <w:lang w:val="es-ES"/>
        </w:rPr>
        <w:t xml:space="preserve"> pendiente</w:t>
      </w:r>
      <w:r w:rsidR="001D3AC5" w:rsidRPr="003B17D2">
        <w:rPr>
          <w:rFonts w:asciiTheme="majorHAnsi" w:hAnsiTheme="majorHAnsi"/>
          <w:sz w:val="20"/>
          <w:szCs w:val="20"/>
          <w:lang w:val="es-ES"/>
        </w:rPr>
        <w:t>s</w:t>
      </w:r>
      <w:r w:rsidRPr="003B17D2">
        <w:rPr>
          <w:rFonts w:asciiTheme="majorHAnsi" w:hAnsiTheme="majorHAnsi"/>
          <w:sz w:val="20"/>
          <w:szCs w:val="20"/>
          <w:lang w:val="es-ES"/>
        </w:rPr>
        <w:t xml:space="preserve">. </w:t>
      </w:r>
      <w:r w:rsidRPr="003B17D2">
        <w:rPr>
          <w:rFonts w:asciiTheme="majorHAnsi" w:hAnsiTheme="majorHAnsi" w:cs="Verdana"/>
          <w:sz w:val="20"/>
          <w:szCs w:val="20"/>
          <w:lang w:val="es-ES" w:bidi="en-US"/>
        </w:rPr>
        <w:t xml:space="preserve">El </w:t>
      </w:r>
      <w:r w:rsidR="009703E3" w:rsidRPr="003B17D2">
        <w:rPr>
          <w:rFonts w:asciiTheme="majorHAnsi" w:hAnsiTheme="majorHAnsi" w:cs="Verdana"/>
          <w:sz w:val="20"/>
          <w:szCs w:val="20"/>
          <w:lang w:val="es-ES" w:bidi="en-US"/>
        </w:rPr>
        <w:t>12 de junio</w:t>
      </w:r>
      <w:r w:rsidRPr="003B17D2">
        <w:rPr>
          <w:rFonts w:asciiTheme="majorHAnsi" w:hAnsiTheme="majorHAnsi" w:cs="Verdana"/>
          <w:sz w:val="20"/>
          <w:szCs w:val="20"/>
          <w:lang w:val="es-ES" w:bidi="en-US"/>
        </w:rPr>
        <w:t xml:space="preserve"> de 2025 la Comisión recibió el informe estatal, comunicación que fue traslada para el conocimiento de la parte peticionaria. </w:t>
      </w:r>
    </w:p>
    <w:p w14:paraId="353DCE19" w14:textId="77777777" w:rsidR="009F1F8E" w:rsidRPr="003B17D2" w:rsidRDefault="009F1F8E" w:rsidP="009F1F8E">
      <w:pPr>
        <w:rPr>
          <w:rFonts w:asciiTheme="majorHAnsi" w:hAnsiTheme="majorHAnsi" w:cs="Verdana"/>
          <w:sz w:val="20"/>
          <w:szCs w:val="20"/>
          <w:lang w:val="es-US" w:bidi="en-US"/>
        </w:rPr>
      </w:pPr>
    </w:p>
    <w:p w14:paraId="6F8BFE4D" w14:textId="135847A7" w:rsidR="009F1F8E" w:rsidRPr="003B17D2" w:rsidRDefault="00780D46" w:rsidP="00206F4D">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US"/>
        </w:rPr>
      </w:pPr>
      <w:r w:rsidRPr="003B17D2">
        <w:rPr>
          <w:rFonts w:asciiTheme="majorHAnsi" w:hAnsiTheme="majorHAnsi" w:cs="Verdana"/>
          <w:sz w:val="20"/>
          <w:szCs w:val="20"/>
          <w:lang w:val="es-ES" w:bidi="en-US"/>
        </w:rPr>
        <w:lastRenderedPageBreak/>
        <w:t>Sobre el acto público de reconocimiento de responsabilidad estatal el Estado sostuvo que mantuvo una reunión con la víctima y la Fiscalía General de la Nación, la cual está a cargo de realizar dicho acto y que</w:t>
      </w:r>
      <w:r w:rsidR="00206F4D" w:rsidRPr="003B17D2">
        <w:rPr>
          <w:rFonts w:asciiTheme="majorHAnsi" w:hAnsiTheme="majorHAnsi" w:cs="Verdana"/>
          <w:sz w:val="20"/>
          <w:szCs w:val="20"/>
          <w:lang w:val="es-ES" w:bidi="en-US"/>
        </w:rPr>
        <w:t xml:space="preserve">, </w:t>
      </w:r>
      <w:r w:rsidR="0027679C" w:rsidRPr="003B17D2">
        <w:rPr>
          <w:rFonts w:asciiTheme="majorHAnsi" w:hAnsiTheme="majorHAnsi" w:cs="Verdana"/>
          <w:sz w:val="20"/>
          <w:szCs w:val="20"/>
          <w:lang w:val="es-ES" w:bidi="en-US"/>
        </w:rPr>
        <w:t>ante requerimiento formal</w:t>
      </w:r>
      <w:r w:rsidR="00206F4D" w:rsidRPr="003B17D2">
        <w:rPr>
          <w:rFonts w:asciiTheme="majorHAnsi" w:hAnsiTheme="majorHAnsi" w:cs="Verdana"/>
          <w:sz w:val="20"/>
          <w:szCs w:val="20"/>
          <w:lang w:val="es-ES" w:bidi="en-US"/>
        </w:rPr>
        <w:t>,</w:t>
      </w:r>
      <w:r w:rsidR="0027679C" w:rsidRPr="003B17D2">
        <w:rPr>
          <w:rFonts w:asciiTheme="majorHAnsi" w:hAnsiTheme="majorHAnsi" w:cs="Verdana"/>
          <w:sz w:val="20"/>
          <w:szCs w:val="20"/>
          <w:lang w:val="es-ES" w:bidi="en-US"/>
        </w:rPr>
        <w:t xml:space="preserve"> la Fiscalía manifest</w:t>
      </w:r>
      <w:r w:rsidR="00657382" w:rsidRPr="003B17D2">
        <w:rPr>
          <w:rFonts w:asciiTheme="majorHAnsi" w:hAnsiTheme="majorHAnsi" w:cs="Verdana"/>
          <w:sz w:val="20"/>
          <w:szCs w:val="20"/>
          <w:lang w:val="es-ES" w:bidi="en-US"/>
        </w:rPr>
        <w:t>ó</w:t>
      </w:r>
      <w:r w:rsidR="0027679C" w:rsidRPr="003B17D2">
        <w:rPr>
          <w:rFonts w:asciiTheme="majorHAnsi" w:hAnsiTheme="majorHAnsi" w:cs="Verdana"/>
          <w:sz w:val="20"/>
          <w:szCs w:val="20"/>
          <w:lang w:val="es-ES" w:bidi="en-US"/>
        </w:rPr>
        <w:t xml:space="preserve"> su disposición de realizar </w:t>
      </w:r>
      <w:r w:rsidR="00657382" w:rsidRPr="003B17D2">
        <w:rPr>
          <w:rFonts w:asciiTheme="majorHAnsi" w:hAnsiTheme="majorHAnsi" w:cs="Verdana"/>
          <w:sz w:val="20"/>
          <w:szCs w:val="20"/>
          <w:lang w:val="es-ES" w:bidi="en-US"/>
        </w:rPr>
        <w:t xml:space="preserve">el acto de reconocimiento el 4 de agosto de 2025. </w:t>
      </w:r>
      <w:r w:rsidR="00940507" w:rsidRPr="003B17D2">
        <w:rPr>
          <w:rFonts w:asciiTheme="majorHAnsi" w:hAnsiTheme="majorHAnsi" w:cs="Verdana"/>
          <w:sz w:val="20"/>
          <w:szCs w:val="20"/>
          <w:lang w:val="es-ES" w:bidi="en-US"/>
        </w:rPr>
        <w:t>Indicó que se e</w:t>
      </w:r>
      <w:r w:rsidR="00206F4D" w:rsidRPr="003B17D2">
        <w:rPr>
          <w:rFonts w:asciiTheme="majorHAnsi" w:hAnsiTheme="majorHAnsi" w:cs="Verdana"/>
          <w:sz w:val="20"/>
          <w:szCs w:val="20"/>
          <w:lang w:val="es-ES" w:bidi="en-US"/>
        </w:rPr>
        <w:t>s</w:t>
      </w:r>
      <w:r w:rsidR="00940507" w:rsidRPr="003B17D2">
        <w:rPr>
          <w:rFonts w:asciiTheme="majorHAnsi" w:hAnsiTheme="majorHAnsi" w:cs="Verdana"/>
          <w:sz w:val="20"/>
          <w:szCs w:val="20"/>
          <w:lang w:val="es-ES" w:bidi="en-US"/>
        </w:rPr>
        <w:t>tán realizando las gestiones con la v</w:t>
      </w:r>
      <w:r w:rsidR="00206F4D" w:rsidRPr="003B17D2">
        <w:rPr>
          <w:rFonts w:asciiTheme="majorHAnsi" w:hAnsiTheme="majorHAnsi" w:cs="Verdana"/>
          <w:sz w:val="20"/>
          <w:szCs w:val="20"/>
          <w:lang w:val="es-ES" w:bidi="en-US"/>
        </w:rPr>
        <w:t>íc</w:t>
      </w:r>
      <w:r w:rsidR="00940507" w:rsidRPr="003B17D2">
        <w:rPr>
          <w:rFonts w:asciiTheme="majorHAnsi" w:hAnsiTheme="majorHAnsi" w:cs="Verdana"/>
          <w:sz w:val="20"/>
          <w:szCs w:val="20"/>
          <w:lang w:val="es-ES" w:bidi="en-US"/>
        </w:rPr>
        <w:t xml:space="preserve">tima y su representante </w:t>
      </w:r>
      <w:r w:rsidR="00206F4D" w:rsidRPr="003B17D2">
        <w:rPr>
          <w:rFonts w:asciiTheme="majorHAnsi" w:hAnsiTheme="majorHAnsi" w:cs="Verdana"/>
          <w:sz w:val="20"/>
          <w:szCs w:val="20"/>
          <w:lang w:val="es-ES" w:bidi="en-US"/>
        </w:rPr>
        <w:t>sobre los detalles logísticos del evento.</w:t>
      </w:r>
      <w:r w:rsidR="00B75DC6" w:rsidRPr="003B17D2">
        <w:rPr>
          <w:rFonts w:asciiTheme="majorHAnsi" w:hAnsiTheme="majorHAnsi" w:cs="Verdana"/>
          <w:sz w:val="20"/>
          <w:szCs w:val="20"/>
          <w:lang w:val="es-ES" w:bidi="en-US"/>
        </w:rPr>
        <w:t xml:space="preserve"> Por lo tanto, la Comisión considera que la medida de satisfacción aún se encuentra pendiente de cumplimiento.</w:t>
      </w:r>
    </w:p>
    <w:p w14:paraId="1F394200" w14:textId="77777777" w:rsidR="00206F4D" w:rsidRPr="003B17D2" w:rsidRDefault="00206F4D" w:rsidP="001318A8">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sz w:val="20"/>
          <w:szCs w:val="20"/>
          <w:lang w:val="es-US"/>
        </w:rPr>
      </w:pPr>
    </w:p>
    <w:p w14:paraId="7B394D10" w14:textId="4F7E40D5" w:rsidR="00E8727D" w:rsidRPr="003B17D2" w:rsidRDefault="00945069" w:rsidP="0033219A">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US"/>
        </w:rPr>
      </w:pPr>
      <w:r w:rsidRPr="003B17D2">
        <w:rPr>
          <w:rFonts w:ascii="Cambria" w:hAnsi="Cambria"/>
          <w:sz w:val="20"/>
          <w:szCs w:val="20"/>
          <w:lang w:val="es-US"/>
        </w:rPr>
        <w:t>Sobre las investigaciones, el Estado informó que Fiscalía General de la Nación se encuentra a la espera de la decisión que adopte JEP respecto de las declaraciones relacionadas con el homicidio del señor Hernando Pizarro León</w:t>
      </w:r>
      <w:r w:rsidR="0033219A" w:rsidRPr="003B17D2">
        <w:rPr>
          <w:rFonts w:ascii="Cambria" w:hAnsi="Cambria"/>
          <w:sz w:val="20"/>
          <w:szCs w:val="20"/>
          <w:lang w:val="es-US"/>
        </w:rPr>
        <w:t xml:space="preserve"> </w:t>
      </w:r>
      <w:r w:rsidRPr="003B17D2">
        <w:rPr>
          <w:rFonts w:ascii="Cambria" w:hAnsi="Cambria"/>
          <w:sz w:val="20"/>
          <w:szCs w:val="20"/>
          <w:lang w:val="es-US"/>
        </w:rPr>
        <w:t>Gómez</w:t>
      </w:r>
      <w:r w:rsidR="0033219A" w:rsidRPr="003B17D2">
        <w:rPr>
          <w:rFonts w:ascii="Cambria" w:hAnsi="Cambria"/>
          <w:sz w:val="20"/>
          <w:szCs w:val="20"/>
          <w:lang w:val="es-US"/>
        </w:rPr>
        <w:t xml:space="preserve">. Indicó que la JEP informó </w:t>
      </w:r>
      <w:r w:rsidR="00DD13AE" w:rsidRPr="003B17D2">
        <w:rPr>
          <w:rFonts w:ascii="Cambria" w:hAnsi="Cambria"/>
          <w:sz w:val="20"/>
          <w:szCs w:val="20"/>
          <w:lang w:val="es-US"/>
        </w:rPr>
        <w:t xml:space="preserve">sobre los avances en el proceso penal por </w:t>
      </w:r>
      <w:r w:rsidR="00361358" w:rsidRPr="003B17D2">
        <w:rPr>
          <w:rFonts w:ascii="Cambria" w:hAnsi="Cambria"/>
          <w:sz w:val="20"/>
          <w:szCs w:val="20"/>
          <w:lang w:val="es-US"/>
        </w:rPr>
        <w:t>los asesinatos</w:t>
      </w:r>
      <w:r w:rsidR="00DD13AE" w:rsidRPr="003B17D2">
        <w:rPr>
          <w:rFonts w:ascii="Cambria" w:hAnsi="Cambria"/>
          <w:sz w:val="20"/>
          <w:szCs w:val="20"/>
          <w:lang w:val="es-US"/>
        </w:rPr>
        <w:t xml:space="preserve"> de</w:t>
      </w:r>
      <w:r w:rsidR="00890C94" w:rsidRPr="003B17D2">
        <w:rPr>
          <w:rFonts w:ascii="Cambria" w:hAnsi="Cambria"/>
          <w:sz w:val="20"/>
          <w:szCs w:val="20"/>
          <w:lang w:val="es-US"/>
        </w:rPr>
        <w:t>l señor Pizarro</w:t>
      </w:r>
      <w:r w:rsidR="00BC7DD9" w:rsidRPr="003B17D2">
        <w:rPr>
          <w:rFonts w:ascii="Cambria" w:hAnsi="Cambria"/>
          <w:sz w:val="20"/>
          <w:szCs w:val="20"/>
          <w:lang w:val="es-US"/>
        </w:rPr>
        <w:t xml:space="preserve"> y otros</w:t>
      </w:r>
      <w:r w:rsidR="00890C94" w:rsidRPr="003B17D2">
        <w:rPr>
          <w:rFonts w:ascii="Cambria" w:hAnsi="Cambria"/>
          <w:sz w:val="20"/>
          <w:szCs w:val="20"/>
          <w:lang w:val="es-US"/>
        </w:rPr>
        <w:t xml:space="preserve"> </w:t>
      </w:r>
      <w:r w:rsidR="00361358" w:rsidRPr="003B17D2">
        <w:rPr>
          <w:rFonts w:ascii="Cambria" w:hAnsi="Cambria"/>
          <w:sz w:val="20"/>
          <w:szCs w:val="20"/>
          <w:lang w:val="es-US"/>
        </w:rPr>
        <w:t>y</w:t>
      </w:r>
      <w:r w:rsidR="00890C94" w:rsidRPr="003B17D2">
        <w:rPr>
          <w:rFonts w:ascii="Cambria" w:hAnsi="Cambria"/>
          <w:sz w:val="20"/>
          <w:szCs w:val="20"/>
          <w:lang w:val="es-US"/>
        </w:rPr>
        <w:t xml:space="preserve"> que invitó a </w:t>
      </w:r>
      <w:r w:rsidR="00BC7DD9" w:rsidRPr="003B17D2">
        <w:rPr>
          <w:rFonts w:ascii="Cambria" w:hAnsi="Cambria"/>
          <w:sz w:val="20"/>
          <w:szCs w:val="20"/>
          <w:lang w:val="es-US"/>
        </w:rPr>
        <w:t>los familiares participantes a que presentaran observaciones sobre la competencia de la JEP</w:t>
      </w:r>
      <w:r w:rsidR="00361358" w:rsidRPr="003B17D2">
        <w:rPr>
          <w:rFonts w:ascii="Cambria" w:hAnsi="Cambria"/>
          <w:sz w:val="20"/>
          <w:szCs w:val="20"/>
          <w:lang w:val="es-US"/>
        </w:rPr>
        <w:t xml:space="preserve"> y a las per</w:t>
      </w:r>
      <w:r w:rsidR="003F7865" w:rsidRPr="003B17D2">
        <w:rPr>
          <w:rFonts w:ascii="Cambria" w:hAnsi="Cambria"/>
          <w:sz w:val="20"/>
          <w:szCs w:val="20"/>
          <w:lang w:val="es-US"/>
        </w:rPr>
        <w:t>so</w:t>
      </w:r>
      <w:r w:rsidR="00361358" w:rsidRPr="003B17D2">
        <w:rPr>
          <w:rFonts w:ascii="Cambria" w:hAnsi="Cambria"/>
          <w:sz w:val="20"/>
          <w:szCs w:val="20"/>
          <w:lang w:val="es-US"/>
        </w:rPr>
        <w:t xml:space="preserve">nas que se consideran víctimas a manifestarlo para que puedan participar. </w:t>
      </w:r>
      <w:r w:rsidR="00E73E77" w:rsidRPr="003B17D2">
        <w:rPr>
          <w:rFonts w:ascii="Cambria" w:hAnsi="Cambria"/>
          <w:sz w:val="20"/>
          <w:szCs w:val="20"/>
          <w:lang w:val="es-US"/>
        </w:rPr>
        <w:t xml:space="preserve">En relación a </w:t>
      </w:r>
      <w:r w:rsidR="00361358" w:rsidRPr="003B17D2">
        <w:rPr>
          <w:rFonts w:ascii="Cambria" w:hAnsi="Cambria"/>
          <w:sz w:val="20"/>
          <w:szCs w:val="20"/>
          <w:lang w:val="es-US"/>
        </w:rPr>
        <w:t xml:space="preserve">la </w:t>
      </w:r>
      <w:r w:rsidR="0011552C" w:rsidRPr="003B17D2">
        <w:rPr>
          <w:rFonts w:ascii="Cambria" w:hAnsi="Cambria"/>
          <w:sz w:val="20"/>
          <w:szCs w:val="20"/>
          <w:lang w:val="es-US"/>
        </w:rPr>
        <w:t xml:space="preserve">situación jurídica del señor Sastoque </w:t>
      </w:r>
      <w:r w:rsidR="00E73E77" w:rsidRPr="003B17D2">
        <w:rPr>
          <w:rFonts w:ascii="Cambria" w:hAnsi="Cambria"/>
          <w:sz w:val="20"/>
          <w:szCs w:val="20"/>
          <w:lang w:val="es-US"/>
        </w:rPr>
        <w:t>informó</w:t>
      </w:r>
      <w:r w:rsidR="0011552C" w:rsidRPr="003B17D2">
        <w:rPr>
          <w:rFonts w:ascii="Cambria" w:hAnsi="Cambria"/>
          <w:sz w:val="20"/>
          <w:szCs w:val="20"/>
          <w:lang w:val="es-US"/>
        </w:rPr>
        <w:t xml:space="preserve"> que </w:t>
      </w:r>
      <w:r w:rsidR="006546C0" w:rsidRPr="003B17D2">
        <w:rPr>
          <w:rFonts w:ascii="Cambria" w:hAnsi="Cambria"/>
          <w:sz w:val="20"/>
          <w:szCs w:val="20"/>
          <w:lang w:val="es-US"/>
        </w:rPr>
        <w:t>independientemente de la decisión que tome la SRVR frente a la competencia de la JEP para conocer del homicidio del señor Hernando Pizarro, la Fiscalía General de la Nación mantiene la competencia sobre la investigación, así como los demás operadores judiciales</w:t>
      </w:r>
      <w:r w:rsidR="007E34EF" w:rsidRPr="003B17D2">
        <w:rPr>
          <w:rFonts w:ascii="Cambria" w:hAnsi="Cambria"/>
          <w:sz w:val="20"/>
          <w:szCs w:val="20"/>
          <w:lang w:val="es-US"/>
        </w:rPr>
        <w:t>.</w:t>
      </w:r>
      <w:r w:rsidR="0004731A" w:rsidRPr="003B17D2">
        <w:rPr>
          <w:rFonts w:ascii="Cambria" w:hAnsi="Cambria"/>
          <w:sz w:val="20"/>
          <w:szCs w:val="20"/>
          <w:lang w:val="es-US"/>
        </w:rPr>
        <w:t xml:space="preserve"> Indicó que la </w:t>
      </w:r>
      <w:r w:rsidR="001924BD" w:rsidRPr="003B17D2">
        <w:rPr>
          <w:rFonts w:ascii="Cambria" w:hAnsi="Cambria"/>
          <w:sz w:val="20"/>
          <w:szCs w:val="20"/>
          <w:lang w:val="es-US"/>
        </w:rPr>
        <w:t xml:space="preserve">jurisdicción ordinaria continúa ejerciendo competencia </w:t>
      </w:r>
      <w:r w:rsidR="003F7865" w:rsidRPr="003B17D2">
        <w:rPr>
          <w:rFonts w:ascii="Cambria" w:hAnsi="Cambria"/>
          <w:sz w:val="20"/>
          <w:szCs w:val="20"/>
          <w:lang w:val="es-US"/>
        </w:rPr>
        <w:t>y debe continuar con la indagación e investigación de los hechos.</w:t>
      </w:r>
      <w:r w:rsidR="00E73E77" w:rsidRPr="003B17D2">
        <w:rPr>
          <w:rFonts w:ascii="Cambria" w:hAnsi="Cambria"/>
          <w:sz w:val="20"/>
          <w:szCs w:val="20"/>
          <w:lang w:val="es-US"/>
        </w:rPr>
        <w:t xml:space="preserve"> Por lo tanto, la CIDH consi</w:t>
      </w:r>
      <w:r w:rsidR="001C5F22" w:rsidRPr="003B17D2">
        <w:rPr>
          <w:rFonts w:ascii="Cambria" w:hAnsi="Cambria"/>
          <w:sz w:val="20"/>
          <w:szCs w:val="20"/>
          <w:lang w:val="es-US"/>
        </w:rPr>
        <w:t>d</w:t>
      </w:r>
      <w:r w:rsidR="00E73E77" w:rsidRPr="003B17D2">
        <w:rPr>
          <w:rFonts w:ascii="Cambria" w:hAnsi="Cambria"/>
          <w:sz w:val="20"/>
          <w:szCs w:val="20"/>
          <w:lang w:val="es-US"/>
        </w:rPr>
        <w:t xml:space="preserve">era que esta recomendación </w:t>
      </w:r>
      <w:r w:rsidR="001C5F22" w:rsidRPr="003B17D2">
        <w:rPr>
          <w:rFonts w:ascii="Cambria" w:hAnsi="Cambria"/>
          <w:sz w:val="20"/>
          <w:szCs w:val="20"/>
          <w:lang w:val="es-US"/>
        </w:rPr>
        <w:t>n</w:t>
      </w:r>
      <w:r w:rsidR="00AF57C9" w:rsidRPr="003B17D2">
        <w:rPr>
          <w:rFonts w:ascii="Cambria" w:hAnsi="Cambria"/>
          <w:sz w:val="20"/>
          <w:szCs w:val="20"/>
          <w:lang w:val="es-US"/>
        </w:rPr>
        <w:t>o se encuentra cumplida</w:t>
      </w:r>
      <w:r w:rsidR="001C5F22" w:rsidRPr="003B17D2">
        <w:rPr>
          <w:rFonts w:ascii="Cambria" w:hAnsi="Cambria"/>
          <w:sz w:val="20"/>
          <w:szCs w:val="20"/>
          <w:lang w:val="es-US"/>
        </w:rPr>
        <w:t>.</w:t>
      </w:r>
    </w:p>
    <w:p w14:paraId="3112F321" w14:textId="5A199000" w:rsidR="00361358" w:rsidRPr="003B17D2" w:rsidRDefault="00361358" w:rsidP="007E34EF">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2880" w:firstLine="0"/>
        <w:jc w:val="both"/>
        <w:rPr>
          <w:rFonts w:ascii="Cambria" w:hAnsi="Cambria"/>
          <w:sz w:val="20"/>
          <w:szCs w:val="20"/>
          <w:lang w:val="es-US"/>
        </w:rPr>
      </w:pPr>
    </w:p>
    <w:p w14:paraId="1D4A6494" w14:textId="77777777" w:rsidR="009D3D29" w:rsidRPr="003B17D2" w:rsidRDefault="00477608" w:rsidP="00206F4D">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US"/>
        </w:rPr>
      </w:pPr>
      <w:r w:rsidRPr="003B17D2">
        <w:rPr>
          <w:rFonts w:ascii="Cambria" w:hAnsi="Cambria"/>
          <w:sz w:val="20"/>
          <w:szCs w:val="20"/>
          <w:lang w:val="es-US"/>
        </w:rPr>
        <w:t>Sobre el in</w:t>
      </w:r>
      <w:r w:rsidR="00234084" w:rsidRPr="003B17D2">
        <w:rPr>
          <w:rFonts w:ascii="Cambria" w:hAnsi="Cambria"/>
          <w:sz w:val="20"/>
          <w:szCs w:val="20"/>
          <w:lang w:val="es-US"/>
        </w:rPr>
        <w:t>ci</w:t>
      </w:r>
      <w:r w:rsidRPr="003B17D2">
        <w:rPr>
          <w:rFonts w:ascii="Cambria" w:hAnsi="Cambria"/>
          <w:sz w:val="20"/>
          <w:szCs w:val="20"/>
          <w:lang w:val="es-US"/>
        </w:rPr>
        <w:t>s</w:t>
      </w:r>
      <w:r w:rsidR="00234084" w:rsidRPr="003B17D2">
        <w:rPr>
          <w:rFonts w:ascii="Cambria" w:hAnsi="Cambria"/>
          <w:sz w:val="20"/>
          <w:szCs w:val="20"/>
          <w:lang w:val="es-US"/>
        </w:rPr>
        <w:t>o</w:t>
      </w:r>
      <w:r w:rsidRPr="003B17D2">
        <w:rPr>
          <w:rFonts w:ascii="Cambria" w:hAnsi="Cambria"/>
          <w:sz w:val="20"/>
          <w:szCs w:val="20"/>
          <w:lang w:val="es-US"/>
        </w:rPr>
        <w:t xml:space="preserve"> ii) de las medidas de no repetición </w:t>
      </w:r>
      <w:r w:rsidR="00234084" w:rsidRPr="003B17D2">
        <w:rPr>
          <w:rFonts w:ascii="Cambria" w:hAnsi="Cambria"/>
          <w:sz w:val="20"/>
          <w:szCs w:val="20"/>
          <w:lang w:val="es-US"/>
        </w:rPr>
        <w:t xml:space="preserve">relativo </w:t>
      </w:r>
      <w:r w:rsidR="00E8727D" w:rsidRPr="003B17D2">
        <w:rPr>
          <w:rFonts w:ascii="Cambria" w:hAnsi="Cambria"/>
          <w:sz w:val="20"/>
          <w:szCs w:val="20"/>
          <w:lang w:val="es-US"/>
        </w:rPr>
        <w:t xml:space="preserve">a la debida capacitación de las autoridades fiscales y judiciales el Estado informó </w:t>
      </w:r>
      <w:r w:rsidR="00234084" w:rsidRPr="003B17D2">
        <w:rPr>
          <w:rFonts w:ascii="Cambria" w:hAnsi="Cambria"/>
          <w:sz w:val="20"/>
          <w:szCs w:val="20"/>
          <w:lang w:val="es-US"/>
        </w:rPr>
        <w:t>el dictado de</w:t>
      </w:r>
      <w:r w:rsidR="00E8727D" w:rsidRPr="003B17D2">
        <w:rPr>
          <w:rFonts w:ascii="Cambria" w:hAnsi="Cambria"/>
          <w:sz w:val="20"/>
          <w:szCs w:val="20"/>
          <w:lang w:val="es-US"/>
        </w:rPr>
        <w:t xml:space="preserve"> una serie de cursos y </w:t>
      </w:r>
      <w:r w:rsidR="000F3143" w:rsidRPr="003B17D2">
        <w:rPr>
          <w:rFonts w:ascii="Cambria" w:hAnsi="Cambria"/>
          <w:sz w:val="20"/>
          <w:szCs w:val="20"/>
          <w:lang w:val="es-US"/>
        </w:rPr>
        <w:t xml:space="preserve">seminarios </w:t>
      </w:r>
      <w:r w:rsidR="00EE70E8" w:rsidRPr="003B17D2">
        <w:rPr>
          <w:rFonts w:ascii="Cambria" w:hAnsi="Cambria"/>
          <w:sz w:val="20"/>
          <w:szCs w:val="20"/>
          <w:lang w:val="es-US"/>
        </w:rPr>
        <w:t>virtuales y presenciales</w:t>
      </w:r>
      <w:r w:rsidR="000F3143" w:rsidRPr="003B17D2">
        <w:rPr>
          <w:rFonts w:ascii="Cambria" w:hAnsi="Cambria"/>
          <w:sz w:val="20"/>
          <w:szCs w:val="20"/>
          <w:lang w:val="es-US"/>
        </w:rPr>
        <w:t xml:space="preserve"> a fiscales entre 2022 y 2025</w:t>
      </w:r>
      <w:r w:rsidR="006370D9" w:rsidRPr="003B17D2">
        <w:rPr>
          <w:rFonts w:ascii="Cambria" w:hAnsi="Cambria"/>
          <w:sz w:val="20"/>
          <w:szCs w:val="20"/>
          <w:lang w:val="es-US"/>
        </w:rPr>
        <w:t>.</w:t>
      </w:r>
      <w:r w:rsidR="000F3143" w:rsidRPr="003B17D2">
        <w:rPr>
          <w:rFonts w:ascii="Cambria" w:hAnsi="Cambria"/>
          <w:sz w:val="20"/>
          <w:szCs w:val="20"/>
          <w:lang w:val="es-US"/>
        </w:rPr>
        <w:t xml:space="preserve"> </w:t>
      </w:r>
      <w:r w:rsidR="006370D9" w:rsidRPr="003B17D2">
        <w:rPr>
          <w:rFonts w:ascii="Cambria" w:hAnsi="Cambria"/>
          <w:sz w:val="20"/>
          <w:szCs w:val="20"/>
          <w:lang w:val="es-US"/>
        </w:rPr>
        <w:t>E</w:t>
      </w:r>
      <w:r w:rsidR="00665579" w:rsidRPr="003B17D2">
        <w:rPr>
          <w:rFonts w:ascii="Cambria" w:hAnsi="Cambria"/>
          <w:sz w:val="20"/>
          <w:szCs w:val="20"/>
          <w:lang w:val="es-US"/>
        </w:rPr>
        <w:t>n</w:t>
      </w:r>
      <w:r w:rsidR="00161CAC" w:rsidRPr="003B17D2">
        <w:rPr>
          <w:rFonts w:ascii="Cambria" w:hAnsi="Cambria"/>
          <w:sz w:val="20"/>
          <w:szCs w:val="20"/>
          <w:lang w:val="es-US"/>
        </w:rPr>
        <w:t xml:space="preserve">tre ellos </w:t>
      </w:r>
      <w:r w:rsidR="00B4029E" w:rsidRPr="003B17D2">
        <w:rPr>
          <w:rFonts w:ascii="Cambria" w:hAnsi="Cambria"/>
          <w:sz w:val="20"/>
          <w:szCs w:val="20"/>
          <w:lang w:val="es-US"/>
        </w:rPr>
        <w:t>los cursos</w:t>
      </w:r>
      <w:r w:rsidR="00161CAC" w:rsidRPr="003B17D2">
        <w:rPr>
          <w:rFonts w:ascii="Cambria" w:hAnsi="Cambria"/>
          <w:sz w:val="20"/>
          <w:szCs w:val="20"/>
          <w:lang w:val="es-US"/>
        </w:rPr>
        <w:t xml:space="preserve"> sobre</w:t>
      </w:r>
      <w:r w:rsidR="002D4B23" w:rsidRPr="003B17D2">
        <w:rPr>
          <w:rFonts w:ascii="Cambria" w:hAnsi="Cambria"/>
          <w:sz w:val="20"/>
          <w:szCs w:val="20"/>
          <w:lang w:val="es-US"/>
        </w:rPr>
        <w:t>:</w:t>
      </w:r>
      <w:r w:rsidR="00665579" w:rsidRPr="003B17D2">
        <w:rPr>
          <w:rFonts w:ascii="Cambria" w:hAnsi="Cambria"/>
          <w:sz w:val="20"/>
          <w:szCs w:val="20"/>
          <w:lang w:val="es-US"/>
        </w:rPr>
        <w:t xml:space="preserve"> policía judicial e investigación fiscal y forense, </w:t>
      </w:r>
      <w:r w:rsidR="00014722" w:rsidRPr="003B17D2">
        <w:rPr>
          <w:rFonts w:ascii="Cambria" w:hAnsi="Cambria"/>
          <w:sz w:val="20"/>
          <w:szCs w:val="20"/>
          <w:lang w:val="es-US"/>
        </w:rPr>
        <w:t xml:space="preserve">protección y valoración de riesgo de testigos y víctimas, </w:t>
      </w:r>
      <w:r w:rsidR="00161CAC" w:rsidRPr="003B17D2">
        <w:rPr>
          <w:rFonts w:ascii="Cambria" w:hAnsi="Cambria"/>
          <w:sz w:val="20"/>
          <w:szCs w:val="20"/>
          <w:lang w:val="es-US"/>
        </w:rPr>
        <w:t xml:space="preserve">derecho internacional humanitario, técnicas de interrogatorio y contrainterrogatorio, </w:t>
      </w:r>
      <w:r w:rsidR="00FB5E2C" w:rsidRPr="003B17D2">
        <w:rPr>
          <w:rFonts w:ascii="Cambria" w:hAnsi="Cambria"/>
          <w:sz w:val="20"/>
          <w:szCs w:val="20"/>
          <w:lang w:val="es-US"/>
        </w:rPr>
        <w:t xml:space="preserve">práctica de prueba anticipada, habilidades y destrezas para la intervención en audiencias, </w:t>
      </w:r>
      <w:r w:rsidR="00EE70E8" w:rsidRPr="003B17D2">
        <w:rPr>
          <w:rFonts w:ascii="Cambria" w:hAnsi="Cambria"/>
          <w:sz w:val="20"/>
          <w:szCs w:val="20"/>
          <w:lang w:val="es-US"/>
        </w:rPr>
        <w:t xml:space="preserve">derechos humanos aplicados a la función judicial, </w:t>
      </w:r>
      <w:r w:rsidR="0058536C" w:rsidRPr="003B17D2">
        <w:rPr>
          <w:rFonts w:ascii="Cambria" w:hAnsi="Cambria"/>
          <w:sz w:val="20"/>
          <w:szCs w:val="20"/>
          <w:lang w:val="es-US"/>
        </w:rPr>
        <w:t xml:space="preserve">fundamentos para el rol del fiscal, medidas de aseguramiento y estándares interamericanos de investigación de graves violaciones </w:t>
      </w:r>
      <w:r w:rsidR="00AC0F79" w:rsidRPr="003B17D2">
        <w:rPr>
          <w:rFonts w:ascii="Cambria" w:hAnsi="Cambria"/>
          <w:sz w:val="20"/>
          <w:szCs w:val="20"/>
          <w:lang w:val="es-US"/>
        </w:rPr>
        <w:t>a los</w:t>
      </w:r>
      <w:r w:rsidR="0058536C" w:rsidRPr="003B17D2">
        <w:rPr>
          <w:rFonts w:ascii="Cambria" w:hAnsi="Cambria"/>
          <w:sz w:val="20"/>
          <w:szCs w:val="20"/>
          <w:lang w:val="es-US"/>
        </w:rPr>
        <w:t xml:space="preserve"> derechos humanos</w:t>
      </w:r>
      <w:r w:rsidR="00AC0F79" w:rsidRPr="003B17D2">
        <w:rPr>
          <w:rFonts w:ascii="Cambria" w:hAnsi="Cambria"/>
          <w:sz w:val="20"/>
          <w:szCs w:val="20"/>
          <w:lang w:val="es-US"/>
        </w:rPr>
        <w:t>.</w:t>
      </w:r>
      <w:r w:rsidR="00544CDF" w:rsidRPr="003B17D2">
        <w:rPr>
          <w:rFonts w:ascii="Cambria" w:hAnsi="Cambria"/>
          <w:sz w:val="20"/>
          <w:szCs w:val="20"/>
          <w:lang w:val="es-US"/>
        </w:rPr>
        <w:t xml:space="preserve"> El Estado indicó que </w:t>
      </w:r>
      <w:r w:rsidR="00111226" w:rsidRPr="003B17D2">
        <w:rPr>
          <w:rFonts w:ascii="Cambria" w:hAnsi="Cambria"/>
          <w:sz w:val="20"/>
          <w:szCs w:val="20"/>
          <w:lang w:val="es-US"/>
        </w:rPr>
        <w:t>se encue</w:t>
      </w:r>
      <w:r w:rsidR="001F164E" w:rsidRPr="003B17D2">
        <w:rPr>
          <w:rFonts w:ascii="Cambria" w:hAnsi="Cambria"/>
          <w:sz w:val="20"/>
          <w:szCs w:val="20"/>
          <w:lang w:val="es-US"/>
        </w:rPr>
        <w:t>n</w:t>
      </w:r>
      <w:r w:rsidR="00111226" w:rsidRPr="003B17D2">
        <w:rPr>
          <w:rFonts w:ascii="Cambria" w:hAnsi="Cambria"/>
          <w:sz w:val="20"/>
          <w:szCs w:val="20"/>
          <w:lang w:val="es-US"/>
        </w:rPr>
        <w:t xml:space="preserve">tra a la espera de información sobre las capacitaciones a jueces de </w:t>
      </w:r>
      <w:r w:rsidR="00544CDF" w:rsidRPr="003B17D2">
        <w:rPr>
          <w:rFonts w:ascii="Cambria" w:hAnsi="Cambria"/>
          <w:sz w:val="20"/>
          <w:szCs w:val="20"/>
          <w:lang w:val="es-US"/>
        </w:rPr>
        <w:t xml:space="preserve">parte del </w:t>
      </w:r>
      <w:r w:rsidR="00111226" w:rsidRPr="003B17D2">
        <w:rPr>
          <w:rFonts w:ascii="Cambria" w:hAnsi="Cambria"/>
          <w:sz w:val="20"/>
          <w:szCs w:val="20"/>
          <w:lang w:val="es-US"/>
        </w:rPr>
        <w:t xml:space="preserve">Consejo Superior de la Judicatura. </w:t>
      </w:r>
    </w:p>
    <w:p w14:paraId="4A0149B2" w14:textId="77777777" w:rsidR="009D3D29" w:rsidRPr="003B17D2" w:rsidRDefault="009D3D29" w:rsidP="001318A8">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sz w:val="20"/>
          <w:szCs w:val="20"/>
          <w:lang w:val="es-US"/>
        </w:rPr>
      </w:pPr>
    </w:p>
    <w:p w14:paraId="03C6C326" w14:textId="38BAE67D" w:rsidR="00E8727D" w:rsidRPr="003B17D2" w:rsidRDefault="009D3D29" w:rsidP="00206F4D">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US"/>
        </w:rPr>
      </w:pPr>
      <w:r w:rsidRPr="003B17D2">
        <w:rPr>
          <w:rFonts w:ascii="Cambria" w:hAnsi="Cambria"/>
          <w:sz w:val="20"/>
          <w:szCs w:val="20"/>
          <w:lang w:val="es-US"/>
        </w:rPr>
        <w:t>La Comisión destaca</w:t>
      </w:r>
      <w:r w:rsidR="0039711F" w:rsidRPr="003B17D2">
        <w:rPr>
          <w:rFonts w:ascii="Cambria" w:hAnsi="Cambria"/>
          <w:sz w:val="20"/>
          <w:szCs w:val="20"/>
          <w:lang w:val="es-US"/>
        </w:rPr>
        <w:t xml:space="preserve"> </w:t>
      </w:r>
      <w:r w:rsidRPr="003B17D2">
        <w:rPr>
          <w:rFonts w:ascii="Cambria" w:hAnsi="Cambria"/>
          <w:sz w:val="20"/>
          <w:szCs w:val="20"/>
          <w:lang w:val="es-US"/>
        </w:rPr>
        <w:t xml:space="preserve">que las capacitaciones </w:t>
      </w:r>
      <w:r w:rsidR="0039711F" w:rsidRPr="003B17D2">
        <w:rPr>
          <w:rFonts w:ascii="Cambria" w:hAnsi="Cambria"/>
          <w:sz w:val="20"/>
          <w:szCs w:val="20"/>
          <w:lang w:val="es-US"/>
        </w:rPr>
        <w:t xml:space="preserve">deben ser realizadas </w:t>
      </w:r>
      <w:r w:rsidRPr="003B17D2">
        <w:rPr>
          <w:rFonts w:ascii="Cambria" w:hAnsi="Cambria"/>
          <w:sz w:val="20"/>
          <w:szCs w:val="20"/>
          <w:lang w:val="es-US"/>
        </w:rPr>
        <w:t xml:space="preserve">sobre estándares interamericanos de debido proceso </w:t>
      </w:r>
      <w:r w:rsidR="0039711F" w:rsidRPr="003B17D2">
        <w:rPr>
          <w:rFonts w:ascii="Cambria" w:hAnsi="Cambria"/>
          <w:sz w:val="20"/>
          <w:szCs w:val="20"/>
          <w:lang w:val="es-US"/>
        </w:rPr>
        <w:t xml:space="preserve">y </w:t>
      </w:r>
      <w:r w:rsidRPr="003B17D2">
        <w:rPr>
          <w:rFonts w:ascii="Cambria" w:hAnsi="Cambria"/>
          <w:sz w:val="20"/>
          <w:szCs w:val="20"/>
          <w:lang w:val="es-US"/>
        </w:rPr>
        <w:t>particularmente enfocad</w:t>
      </w:r>
      <w:r w:rsidR="0039711F" w:rsidRPr="003B17D2">
        <w:rPr>
          <w:rFonts w:ascii="Cambria" w:hAnsi="Cambria"/>
          <w:sz w:val="20"/>
          <w:szCs w:val="20"/>
          <w:lang w:val="es-US"/>
        </w:rPr>
        <w:t>a</w:t>
      </w:r>
      <w:r w:rsidRPr="003B17D2">
        <w:rPr>
          <w:rFonts w:ascii="Cambria" w:hAnsi="Cambria"/>
          <w:sz w:val="20"/>
          <w:szCs w:val="20"/>
          <w:lang w:val="es-US"/>
        </w:rPr>
        <w:t xml:space="preserve">s en </w:t>
      </w:r>
      <w:r w:rsidRPr="003B17D2">
        <w:rPr>
          <w:rFonts w:ascii="Cambria" w:hAnsi="Cambria" w:cs="Tahoma"/>
          <w:sz w:val="20"/>
          <w:szCs w:val="20"/>
          <w:lang w:val="es-ES"/>
        </w:rPr>
        <w:t>el uso de testigos con identidad reservada y presunción de inocencia</w:t>
      </w:r>
      <w:r w:rsidR="001318A8" w:rsidRPr="003B17D2">
        <w:rPr>
          <w:rFonts w:ascii="Cambria" w:hAnsi="Cambria" w:cs="Tahoma"/>
          <w:sz w:val="20"/>
          <w:szCs w:val="20"/>
          <w:lang w:val="es-ES"/>
        </w:rPr>
        <w:t>.</w:t>
      </w:r>
      <w:r w:rsidRPr="003B17D2">
        <w:rPr>
          <w:rFonts w:ascii="Cambria" w:hAnsi="Cambria"/>
          <w:sz w:val="20"/>
          <w:szCs w:val="20"/>
          <w:lang w:val="es-US"/>
        </w:rPr>
        <w:t xml:space="preserve"> </w:t>
      </w:r>
      <w:r w:rsidR="00C87021" w:rsidRPr="003B17D2">
        <w:rPr>
          <w:rFonts w:ascii="Cambria" w:hAnsi="Cambria"/>
          <w:sz w:val="20"/>
          <w:szCs w:val="20"/>
          <w:lang w:val="es-US"/>
        </w:rPr>
        <w:t>L</w:t>
      </w:r>
      <w:r w:rsidR="001F164E" w:rsidRPr="003B17D2">
        <w:rPr>
          <w:rFonts w:ascii="Cambria" w:hAnsi="Cambria"/>
          <w:sz w:val="20"/>
          <w:szCs w:val="20"/>
          <w:lang w:val="es-US"/>
        </w:rPr>
        <w:t xml:space="preserve">a Comisión </w:t>
      </w:r>
      <w:r w:rsidR="00C87021" w:rsidRPr="003B17D2">
        <w:rPr>
          <w:rFonts w:ascii="Cambria" w:hAnsi="Cambria"/>
          <w:sz w:val="20"/>
          <w:szCs w:val="20"/>
          <w:lang w:val="es-US"/>
        </w:rPr>
        <w:t>queda a la espera de la información sobre el cumplimiento</w:t>
      </w:r>
      <w:r w:rsidR="00D42498" w:rsidRPr="003B17D2">
        <w:rPr>
          <w:rFonts w:ascii="Cambria" w:hAnsi="Cambria"/>
          <w:sz w:val="20"/>
          <w:szCs w:val="20"/>
          <w:lang w:val="es-US"/>
        </w:rPr>
        <w:t xml:space="preserve"> de las medidas de no repetición y</w:t>
      </w:r>
      <w:r w:rsidR="00C87021" w:rsidRPr="003B17D2">
        <w:rPr>
          <w:rFonts w:ascii="Cambria" w:hAnsi="Cambria"/>
          <w:sz w:val="20"/>
          <w:szCs w:val="20"/>
          <w:lang w:val="es-US"/>
        </w:rPr>
        <w:t xml:space="preserve"> </w:t>
      </w:r>
      <w:r w:rsidR="001F164E" w:rsidRPr="003B17D2">
        <w:rPr>
          <w:rFonts w:ascii="Cambria" w:hAnsi="Cambria"/>
          <w:sz w:val="20"/>
          <w:szCs w:val="20"/>
          <w:lang w:val="es-US"/>
        </w:rPr>
        <w:t>considera que</w:t>
      </w:r>
      <w:r w:rsidR="00544CDF" w:rsidRPr="003B17D2">
        <w:rPr>
          <w:rFonts w:ascii="Cambria" w:hAnsi="Cambria"/>
          <w:sz w:val="20"/>
          <w:szCs w:val="20"/>
          <w:lang w:val="es-US"/>
        </w:rPr>
        <w:t xml:space="preserve"> el inciso ii) de la recomendación se encuentra parcialmente cumplido.</w:t>
      </w:r>
    </w:p>
    <w:p w14:paraId="152A8B2E" w14:textId="77777777" w:rsidR="001C5F22" w:rsidRPr="003B17D2" w:rsidRDefault="001C5F22" w:rsidP="001C5F22">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sz w:val="20"/>
          <w:szCs w:val="20"/>
          <w:lang w:val="es-US"/>
        </w:rPr>
      </w:pPr>
    </w:p>
    <w:p w14:paraId="4D1AB8A6" w14:textId="6B11271D" w:rsidR="001C5F22" w:rsidRPr="003B17D2" w:rsidRDefault="001C5F22" w:rsidP="00206F4D">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US"/>
        </w:rPr>
      </w:pPr>
      <w:r w:rsidRPr="003B17D2">
        <w:rPr>
          <w:rFonts w:ascii="Cambria" w:hAnsi="Cambria"/>
          <w:sz w:val="20"/>
          <w:szCs w:val="20"/>
          <w:lang w:val="es-US"/>
        </w:rPr>
        <w:t xml:space="preserve">El Estado no presentó información sobre </w:t>
      </w:r>
      <w:r w:rsidR="003133EC" w:rsidRPr="003B17D2">
        <w:rPr>
          <w:rFonts w:ascii="Cambria" w:hAnsi="Cambria"/>
          <w:sz w:val="20"/>
          <w:szCs w:val="20"/>
          <w:lang w:val="es-US"/>
        </w:rPr>
        <w:t xml:space="preserve">el cumplimiento de </w:t>
      </w:r>
      <w:r w:rsidRPr="003B17D2">
        <w:rPr>
          <w:rFonts w:ascii="Cambria" w:hAnsi="Cambria"/>
          <w:sz w:val="20"/>
          <w:szCs w:val="20"/>
          <w:lang w:val="es-US"/>
        </w:rPr>
        <w:t xml:space="preserve">las demás recomendaciones que </w:t>
      </w:r>
      <w:r w:rsidR="001E66D3" w:rsidRPr="003B17D2">
        <w:rPr>
          <w:rFonts w:ascii="Cambria" w:hAnsi="Cambria"/>
          <w:sz w:val="20"/>
          <w:szCs w:val="20"/>
          <w:lang w:val="es-US"/>
        </w:rPr>
        <w:t>aún</w:t>
      </w:r>
      <w:r w:rsidRPr="003B17D2">
        <w:rPr>
          <w:rFonts w:ascii="Cambria" w:hAnsi="Cambria"/>
          <w:sz w:val="20"/>
          <w:szCs w:val="20"/>
          <w:lang w:val="es-US"/>
        </w:rPr>
        <w:t xml:space="preserve"> se</w:t>
      </w:r>
      <w:r w:rsidR="001E66D3" w:rsidRPr="003B17D2">
        <w:rPr>
          <w:rFonts w:ascii="Cambria" w:hAnsi="Cambria"/>
          <w:sz w:val="20"/>
          <w:szCs w:val="20"/>
          <w:lang w:val="es-US"/>
        </w:rPr>
        <w:t xml:space="preserve"> </w:t>
      </w:r>
      <w:r w:rsidRPr="003B17D2">
        <w:rPr>
          <w:rFonts w:ascii="Cambria" w:hAnsi="Cambria"/>
          <w:sz w:val="20"/>
          <w:szCs w:val="20"/>
          <w:lang w:val="es-US"/>
        </w:rPr>
        <w:t>encu</w:t>
      </w:r>
      <w:r w:rsidR="001E66D3" w:rsidRPr="003B17D2">
        <w:rPr>
          <w:rFonts w:ascii="Cambria" w:hAnsi="Cambria"/>
          <w:sz w:val="20"/>
          <w:szCs w:val="20"/>
          <w:lang w:val="es-US"/>
        </w:rPr>
        <w:t>e</w:t>
      </w:r>
      <w:r w:rsidRPr="003B17D2">
        <w:rPr>
          <w:rFonts w:ascii="Cambria" w:hAnsi="Cambria"/>
          <w:sz w:val="20"/>
          <w:szCs w:val="20"/>
          <w:lang w:val="es-US"/>
        </w:rPr>
        <w:t>ntran pendientes de cumplimiento.</w:t>
      </w:r>
    </w:p>
    <w:p w14:paraId="5F5A2906" w14:textId="77777777" w:rsidR="001C7A2B" w:rsidRPr="003B17D2" w:rsidRDefault="001C7A2B" w:rsidP="001C7A2B">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rPr>
      </w:pPr>
    </w:p>
    <w:p w14:paraId="2325EDC3" w14:textId="31FAA93A" w:rsidR="00CD623B" w:rsidRPr="003B17D2" w:rsidRDefault="00CD623B" w:rsidP="00CD623B">
      <w:pPr>
        <w:pStyle w:val="Heading1"/>
        <w:ind w:left="1440" w:hanging="720"/>
        <w:jc w:val="both"/>
        <w:rPr>
          <w:lang w:val="es-ES_tradnl"/>
        </w:rPr>
      </w:pPr>
      <w:bookmarkStart w:id="36" w:name="_Toc163571978"/>
      <w:bookmarkStart w:id="37" w:name="_Toc203986813"/>
      <w:r w:rsidRPr="003B17D2">
        <w:rPr>
          <w:lang w:val="es-MX"/>
        </w:rPr>
        <w:t>CONCLUSIONES</w:t>
      </w:r>
      <w:r w:rsidRPr="003B17D2">
        <w:rPr>
          <w:lang w:val="es-ES_tradnl"/>
        </w:rPr>
        <w:t xml:space="preserve"> Y RECOMENDACIONES</w:t>
      </w:r>
      <w:bookmarkEnd w:id="36"/>
      <w:r w:rsidR="00261ADE" w:rsidRPr="003B17D2">
        <w:rPr>
          <w:lang w:val="es-ES_tradnl"/>
        </w:rPr>
        <w:t xml:space="preserve"> FINALES</w:t>
      </w:r>
      <w:bookmarkEnd w:id="37"/>
      <w:r w:rsidRPr="003B17D2">
        <w:rPr>
          <w:lang w:val="es-ES_tradnl"/>
        </w:rPr>
        <w:t xml:space="preserve"> </w:t>
      </w:r>
    </w:p>
    <w:p w14:paraId="011F1F05" w14:textId="77777777" w:rsidR="00CD623B" w:rsidRPr="003B17D2" w:rsidRDefault="00CD623B" w:rsidP="00CD623B">
      <w:pPr>
        <w:spacing w:after="0" w:line="240" w:lineRule="auto"/>
        <w:rPr>
          <w:lang w:val="es-ES_tradnl"/>
        </w:rPr>
      </w:pPr>
    </w:p>
    <w:p w14:paraId="21F5B9BE" w14:textId="77777777" w:rsidR="00CD623B" w:rsidRPr="003B17D2" w:rsidRDefault="00CD623B" w:rsidP="00CD623B">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rPr>
      </w:pPr>
      <w:r w:rsidRPr="003B17D2">
        <w:rPr>
          <w:rFonts w:ascii="Cambria" w:hAnsi="Cambria"/>
          <w:sz w:val="20"/>
          <w:szCs w:val="20"/>
        </w:rPr>
        <w:t xml:space="preserve">La </w:t>
      </w:r>
      <w:r w:rsidRPr="003B17D2">
        <w:rPr>
          <w:rFonts w:ascii="Cambria" w:hAnsi="Cambria"/>
          <w:bCs/>
          <w:sz w:val="20"/>
          <w:szCs w:val="20"/>
          <w:lang w:val="es-ES"/>
        </w:rPr>
        <w:t>Comisión</w:t>
      </w:r>
      <w:r w:rsidRPr="003B17D2">
        <w:rPr>
          <w:rFonts w:ascii="Cambria" w:hAnsi="Cambria"/>
          <w:sz w:val="20"/>
          <w:szCs w:val="20"/>
        </w:rPr>
        <w:t xml:space="preserve"> concluye que el Estado es responsable por la violación de los derechos a la libertad personal, garantías judiciales y protección judicial, establecidos en los artículos 5.1, 7.1, 7.2, 7.3, 7.4, 8.1, 8.2, 8.2 b), 8.2 c), 8.2 f) y 25.1 de la Convención Americana sobre Derechos Humanos en relación con las obligaciones establecidas en los artículos 1.1 y 2 del mismo instrumento, en perjuicio de </w:t>
      </w:r>
      <w:r w:rsidRPr="003B17D2">
        <w:rPr>
          <w:rFonts w:ascii="Cambria" w:hAnsi="Cambria"/>
          <w:sz w:val="20"/>
          <w:szCs w:val="20"/>
          <w:lang w:val="es-ES"/>
        </w:rPr>
        <w:t>Gustavo Sastoque Alfonso</w:t>
      </w:r>
      <w:r w:rsidRPr="003B17D2">
        <w:rPr>
          <w:rFonts w:ascii="Cambria" w:hAnsi="Cambria"/>
          <w:sz w:val="20"/>
          <w:szCs w:val="20"/>
        </w:rPr>
        <w:t xml:space="preserve">. </w:t>
      </w:r>
    </w:p>
    <w:p w14:paraId="6AE366F8" w14:textId="77777777" w:rsidR="00CD623B" w:rsidRPr="003B17D2" w:rsidRDefault="00CD623B" w:rsidP="00CD623B">
      <w:pPr>
        <w:spacing w:after="0" w:line="240" w:lineRule="auto"/>
        <w:jc w:val="both"/>
        <w:rPr>
          <w:rFonts w:ascii="Cambria" w:eastAsia="Times New Roman" w:hAnsi="Cambria"/>
          <w:sz w:val="20"/>
          <w:szCs w:val="20"/>
          <w:lang w:val="es-ES_tradnl"/>
        </w:rPr>
      </w:pPr>
    </w:p>
    <w:p w14:paraId="30F21F3C" w14:textId="77777777" w:rsidR="00CD623B" w:rsidRPr="003B17D2" w:rsidRDefault="00CD623B" w:rsidP="00CD623B">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rPr>
      </w:pPr>
      <w:r w:rsidRPr="003B17D2">
        <w:rPr>
          <w:rFonts w:ascii="Cambria" w:hAnsi="Cambria"/>
          <w:sz w:val="20"/>
          <w:szCs w:val="20"/>
        </w:rPr>
        <w:t xml:space="preserve">Con fundamento en los </w:t>
      </w:r>
      <w:r w:rsidRPr="003B17D2">
        <w:rPr>
          <w:rFonts w:ascii="Cambria" w:hAnsi="Cambria"/>
          <w:bCs/>
          <w:sz w:val="20"/>
          <w:szCs w:val="20"/>
          <w:lang w:val="es-ES"/>
        </w:rPr>
        <w:t>argumentos</w:t>
      </w:r>
      <w:r w:rsidRPr="003B17D2">
        <w:rPr>
          <w:rFonts w:ascii="Cambria" w:hAnsi="Cambria"/>
          <w:sz w:val="20"/>
          <w:szCs w:val="20"/>
        </w:rPr>
        <w:t xml:space="preserve"> de hecho y de derecho antes expuestos,</w:t>
      </w:r>
    </w:p>
    <w:p w14:paraId="53A508A7" w14:textId="77777777" w:rsidR="00CD623B" w:rsidRPr="003B17D2" w:rsidRDefault="00CD623B" w:rsidP="00CD623B">
      <w:pPr>
        <w:spacing w:after="0" w:line="240" w:lineRule="auto"/>
        <w:ind w:firstLine="720"/>
        <w:jc w:val="both"/>
        <w:rPr>
          <w:rFonts w:ascii="Cambria" w:eastAsia="Times New Roman" w:hAnsi="Cambria"/>
          <w:sz w:val="20"/>
          <w:szCs w:val="20"/>
          <w:lang w:val="es-ES_tradnl"/>
        </w:rPr>
      </w:pPr>
    </w:p>
    <w:p w14:paraId="7D49CFEC" w14:textId="77777777" w:rsidR="00CD623B" w:rsidRPr="003B17D2" w:rsidRDefault="00CD623B" w:rsidP="00CD623B">
      <w:pPr>
        <w:spacing w:after="0" w:line="240" w:lineRule="auto"/>
        <w:jc w:val="center"/>
        <w:rPr>
          <w:rFonts w:ascii="Cambria" w:eastAsia="Times New Roman" w:hAnsi="Cambria"/>
          <w:b/>
          <w:sz w:val="20"/>
          <w:szCs w:val="20"/>
          <w:lang w:val="es-ES_tradnl"/>
        </w:rPr>
      </w:pPr>
      <w:r w:rsidRPr="003B17D2">
        <w:rPr>
          <w:rFonts w:ascii="Cambria" w:eastAsia="Times New Roman" w:hAnsi="Cambria"/>
          <w:b/>
          <w:sz w:val="20"/>
          <w:szCs w:val="20"/>
          <w:lang w:val="es-ES_tradnl"/>
        </w:rPr>
        <w:t>LA COMISIÓN INTERAMERICANA DE DERECHOS HUMANOS</w:t>
      </w:r>
    </w:p>
    <w:p w14:paraId="13BA8819" w14:textId="77777777" w:rsidR="00CD623B" w:rsidRPr="003B17D2" w:rsidRDefault="00CD623B" w:rsidP="00CD623B">
      <w:pPr>
        <w:spacing w:after="0" w:line="240" w:lineRule="auto"/>
        <w:jc w:val="center"/>
        <w:rPr>
          <w:rFonts w:ascii="Cambria" w:eastAsia="Times New Roman" w:hAnsi="Cambria"/>
          <w:b/>
          <w:sz w:val="20"/>
          <w:szCs w:val="20"/>
          <w:lang w:val="es-ES_tradnl"/>
        </w:rPr>
      </w:pPr>
      <w:r w:rsidRPr="003B17D2">
        <w:rPr>
          <w:rFonts w:ascii="Cambria" w:eastAsia="Times New Roman" w:hAnsi="Cambria"/>
          <w:b/>
          <w:sz w:val="20"/>
          <w:szCs w:val="20"/>
          <w:lang w:val="es-ES_tradnl"/>
        </w:rPr>
        <w:t>REITERA AL ESTADO DE COLOMBIA:</w:t>
      </w:r>
    </w:p>
    <w:p w14:paraId="18F70241" w14:textId="77777777" w:rsidR="00CD623B" w:rsidRPr="003B17D2" w:rsidRDefault="00CD623B" w:rsidP="00CD623B">
      <w:pPr>
        <w:spacing w:after="0" w:line="240" w:lineRule="auto"/>
        <w:jc w:val="both"/>
        <w:rPr>
          <w:rFonts w:ascii="Cambria" w:eastAsia="Times New Roman" w:hAnsi="Cambria" w:cs="Tahoma"/>
          <w:sz w:val="20"/>
          <w:szCs w:val="20"/>
          <w:lang w:val="es-ES"/>
        </w:rPr>
      </w:pPr>
    </w:p>
    <w:p w14:paraId="571E3D4C" w14:textId="1BF310E4" w:rsidR="00CD623B" w:rsidRPr="003B17D2" w:rsidRDefault="004C5624" w:rsidP="00CD623B">
      <w:pPr>
        <w:spacing w:after="0" w:line="240" w:lineRule="auto"/>
        <w:ind w:firstLine="720"/>
        <w:jc w:val="both"/>
        <w:rPr>
          <w:rFonts w:ascii="Cambria" w:hAnsi="Cambria" w:cs="Tahoma"/>
          <w:sz w:val="20"/>
          <w:szCs w:val="20"/>
          <w:lang w:val="es-ES"/>
        </w:rPr>
      </w:pPr>
      <w:r w:rsidRPr="003B17D2">
        <w:rPr>
          <w:rFonts w:ascii="Cambria" w:eastAsia="Times New Roman" w:hAnsi="Cambria" w:cs="Tahoma"/>
          <w:sz w:val="20"/>
          <w:szCs w:val="20"/>
          <w:lang w:val="es-ES"/>
        </w:rPr>
        <w:t>1</w:t>
      </w:r>
      <w:r w:rsidR="00CD623B" w:rsidRPr="003B17D2">
        <w:rPr>
          <w:rFonts w:ascii="Cambria" w:eastAsia="Times New Roman" w:hAnsi="Cambria" w:cs="Tahoma"/>
          <w:sz w:val="20"/>
          <w:szCs w:val="20"/>
          <w:lang w:val="es-ES"/>
        </w:rPr>
        <w:t>.</w:t>
      </w:r>
      <w:r w:rsidR="00CD623B" w:rsidRPr="003B17D2">
        <w:rPr>
          <w:rFonts w:ascii="Cambria" w:eastAsia="Times New Roman" w:hAnsi="Cambria" w:cs="Tahoma"/>
          <w:sz w:val="20"/>
          <w:szCs w:val="20"/>
          <w:lang w:val="es-ES"/>
        </w:rPr>
        <w:tab/>
      </w:r>
      <w:r w:rsidR="00CD623B" w:rsidRPr="003B17D2">
        <w:rPr>
          <w:rFonts w:ascii="Cambria" w:hAnsi="Cambria" w:cs="Tahoma"/>
          <w:sz w:val="20"/>
          <w:szCs w:val="20"/>
          <w:lang w:val="es-ES"/>
        </w:rPr>
        <w:t>Reparar integralmente las violaciones de derechos humanos declaradas en el presente informe tanto en el aspecto material como inmaterial. Para ello, el Estado deberá adoptar medidas de compensación económica y satisfacción en favor de la víctima, las cuales deberán ser consistentes con las violaciones declaradas en el presente informe de fondo. Además, en caso de que la víctima así lo desee y de manera concertada, el Estado deberá disponer medidas de atención en salud física o mental.</w:t>
      </w:r>
    </w:p>
    <w:p w14:paraId="3E22639A" w14:textId="77777777" w:rsidR="00CD623B" w:rsidRPr="003B17D2" w:rsidRDefault="00CD623B" w:rsidP="00CD623B">
      <w:pPr>
        <w:spacing w:after="0" w:line="240" w:lineRule="auto"/>
        <w:ind w:firstLine="720"/>
        <w:jc w:val="both"/>
        <w:rPr>
          <w:rFonts w:ascii="Cambria" w:hAnsi="Cambria" w:cs="Tahoma"/>
          <w:sz w:val="20"/>
          <w:szCs w:val="20"/>
          <w:lang w:val="es-ES"/>
        </w:rPr>
      </w:pPr>
    </w:p>
    <w:p w14:paraId="4853E05D" w14:textId="47EB1347" w:rsidR="00CD623B" w:rsidRPr="003B17D2" w:rsidRDefault="004C5624" w:rsidP="00CD623B">
      <w:pPr>
        <w:spacing w:after="0" w:line="240" w:lineRule="auto"/>
        <w:ind w:firstLine="720"/>
        <w:jc w:val="both"/>
        <w:rPr>
          <w:rFonts w:ascii="Cambria" w:hAnsi="Cambria" w:cs="Tahoma"/>
          <w:sz w:val="20"/>
          <w:szCs w:val="20"/>
          <w:lang w:val="es-ES"/>
        </w:rPr>
      </w:pPr>
      <w:r w:rsidRPr="003B17D2">
        <w:rPr>
          <w:rFonts w:ascii="Cambria" w:hAnsi="Cambria" w:cs="Tahoma"/>
          <w:sz w:val="20"/>
          <w:szCs w:val="20"/>
          <w:lang w:val="es-ES"/>
        </w:rPr>
        <w:t>2</w:t>
      </w:r>
      <w:r w:rsidR="00CD623B" w:rsidRPr="003B17D2">
        <w:rPr>
          <w:rFonts w:ascii="Cambria" w:hAnsi="Cambria" w:cs="Tahoma"/>
          <w:sz w:val="20"/>
          <w:szCs w:val="20"/>
          <w:lang w:val="es-ES"/>
        </w:rPr>
        <w:t xml:space="preserve">. </w:t>
      </w:r>
      <w:r w:rsidR="00CD623B" w:rsidRPr="003B17D2">
        <w:rPr>
          <w:rFonts w:ascii="Cambria" w:hAnsi="Cambria" w:cs="Tahoma"/>
          <w:sz w:val="20"/>
          <w:szCs w:val="20"/>
          <w:lang w:val="es-ES"/>
        </w:rPr>
        <w:tab/>
        <w:t xml:space="preserve">Continuar con las investigaciones y procesos internos por las denuncias por falso testimonio y fraude procesal, los cuales deberán ser realizados con la debida diligencia, de manera seria, efectiva y en un plazo razonable. El Estado colombiano deberá, además, abrir de oficio las investigaciones penales, administrativas o de otra índole, vinculadas a las violaciones de derechos humanos declaradas en el presente informe de fondo. </w:t>
      </w:r>
    </w:p>
    <w:p w14:paraId="54D32C52" w14:textId="77777777" w:rsidR="00CD623B" w:rsidRPr="003B17D2" w:rsidRDefault="00CD623B" w:rsidP="00CD623B">
      <w:pPr>
        <w:spacing w:after="0" w:line="240" w:lineRule="auto"/>
        <w:ind w:firstLine="720"/>
        <w:jc w:val="both"/>
        <w:rPr>
          <w:rFonts w:ascii="Cambria" w:hAnsi="Cambria" w:cs="Tahoma"/>
          <w:sz w:val="20"/>
          <w:szCs w:val="20"/>
          <w:lang w:val="es-ES"/>
        </w:rPr>
      </w:pPr>
    </w:p>
    <w:p w14:paraId="44582C24" w14:textId="23978CB6" w:rsidR="00CD623B" w:rsidRPr="003B17D2" w:rsidRDefault="004C5624" w:rsidP="00CD623B">
      <w:pPr>
        <w:spacing w:after="0" w:line="240" w:lineRule="auto"/>
        <w:ind w:firstLine="720"/>
        <w:jc w:val="both"/>
        <w:rPr>
          <w:rFonts w:ascii="Cambria" w:hAnsi="Cambria" w:cs="Tahoma"/>
          <w:sz w:val="20"/>
          <w:szCs w:val="20"/>
          <w:lang w:val="es-ES"/>
        </w:rPr>
      </w:pPr>
      <w:r w:rsidRPr="003B17D2">
        <w:rPr>
          <w:rFonts w:ascii="Cambria" w:hAnsi="Cambria" w:cs="Tahoma"/>
          <w:sz w:val="20"/>
          <w:szCs w:val="20"/>
          <w:lang w:val="es-ES"/>
        </w:rPr>
        <w:t>3</w:t>
      </w:r>
      <w:r w:rsidR="00CD623B" w:rsidRPr="003B17D2">
        <w:rPr>
          <w:rFonts w:ascii="Cambria" w:hAnsi="Cambria" w:cs="Tahoma"/>
          <w:sz w:val="20"/>
          <w:szCs w:val="20"/>
          <w:lang w:val="es-ES"/>
        </w:rPr>
        <w:t xml:space="preserve">. </w:t>
      </w:r>
      <w:r w:rsidR="00CD623B" w:rsidRPr="003B17D2">
        <w:rPr>
          <w:rFonts w:ascii="Cambria" w:hAnsi="Cambria" w:cs="Tahoma"/>
          <w:sz w:val="20"/>
          <w:szCs w:val="20"/>
          <w:lang w:val="es-ES"/>
        </w:rPr>
        <w:tab/>
        <w:t xml:space="preserve">Disponer las medidas necesarias para evitar la repetición de las violaciones declaradas en el presente informe de fondo incluyendo: i) las medidas para asegurar que el uso de la detención preventiva se ajuste a los estándares descritos en el presente informe; ii) la debida capacitación a las autoridades fiscales y judiciales sobre los estándares interamericanos de debido proceso, particularmente los relativos al uso de testigos con identidad reservada y presunción de inocencia; iii) el fortalecimiento de los mecanismos de rendición de cuentas frente a funcionarios que con sus acciones u omisiones cometen violaciones al debido proceso; y iv) la reducción de los plazos de decisiones de los recursos contra condenas penales, incluyendo apelación y casación; y v) las medidas necesarias para que a lo largo del proceso penal, existan mecanismos idóneos y efectivos para obtener una protección judicial frente a posibles violaciones al debido proceso que pudieron cometerse durante el proceso, incluyendo las que pudieran surgir en los propios fallos judiciales. </w:t>
      </w:r>
    </w:p>
    <w:p w14:paraId="05A23F91" w14:textId="06DE91BC" w:rsidR="00CD623B" w:rsidRPr="003B17D2" w:rsidRDefault="00CD623B" w:rsidP="00CD623B">
      <w:pPr>
        <w:spacing w:after="0" w:line="240" w:lineRule="auto"/>
        <w:ind w:firstLine="720"/>
        <w:jc w:val="both"/>
        <w:rPr>
          <w:rFonts w:ascii="Cambria" w:hAnsi="Cambria" w:cs="Tahoma"/>
          <w:sz w:val="20"/>
          <w:szCs w:val="20"/>
          <w:lang w:val="es-ES"/>
        </w:rPr>
      </w:pPr>
    </w:p>
    <w:p w14:paraId="3C6D5306" w14:textId="08B5AD9B" w:rsidR="00CD623B" w:rsidRPr="003B17D2" w:rsidRDefault="009D08DE" w:rsidP="00CD623B">
      <w:pPr>
        <w:pStyle w:val="Heading1"/>
        <w:ind w:left="1440" w:hanging="720"/>
        <w:jc w:val="both"/>
        <w:rPr>
          <w:lang w:val="es-MX"/>
        </w:rPr>
      </w:pPr>
      <w:bookmarkStart w:id="38" w:name="_Toc163571979"/>
      <w:bookmarkStart w:id="39" w:name="_Toc203986814"/>
      <w:r w:rsidRPr="003B17D2">
        <w:rPr>
          <w:lang w:val="es-MX"/>
        </w:rPr>
        <w:t>PUBL</w:t>
      </w:r>
      <w:r w:rsidR="00CD623B" w:rsidRPr="003B17D2">
        <w:rPr>
          <w:lang w:val="es-MX"/>
        </w:rPr>
        <w:t>ICACIÓN</w:t>
      </w:r>
      <w:bookmarkEnd w:id="38"/>
      <w:bookmarkEnd w:id="39"/>
    </w:p>
    <w:p w14:paraId="25485620" w14:textId="77777777" w:rsidR="00421488" w:rsidRPr="003B17D2" w:rsidRDefault="00421488" w:rsidP="00421488">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sz w:val="20"/>
          <w:szCs w:val="20"/>
        </w:rPr>
      </w:pPr>
    </w:p>
    <w:p w14:paraId="710FAC2E" w14:textId="731EC31A" w:rsidR="003F59E1" w:rsidRDefault="00421488" w:rsidP="003133EC">
      <w:pPr>
        <w:pStyle w:val="BodyTextInden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rPr>
      </w:pPr>
      <w:r w:rsidRPr="003B17D2">
        <w:rPr>
          <w:rFonts w:ascii="Cambria" w:hAnsi="Cambria"/>
          <w:sz w:val="20"/>
          <w:szCs w:val="20"/>
        </w:rPr>
        <w:t>De acuerdo con lo desarrollado y de conformidad con lo dispuesto en el artículo 51.3 de la Convención Americana y 47.3 de su Reglamento, la Comisión Interamericana de Derechos Humanos decide publicar este informe e incluirlo en su Informe Anual a la Asamblea General de la Organización de Estados Americanos. La Comisión Interamericana, de conformidad con las normas establecidas en los instrumentos que regulan su mandato, continuará evaluando que el Estado de Colombia repare integralmente a las víctimas según lo establecido en las recomendaciones arriba señaladas, hasta que determine que se le ha dado un total cumplimiento.</w:t>
      </w:r>
    </w:p>
    <w:p w14:paraId="3E4FACC6" w14:textId="77777777" w:rsidR="00364C03" w:rsidRDefault="00364C03" w:rsidP="00364C03">
      <w:pPr>
        <w:pStyle w:val="BodyTextIndent"/>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0"/>
          <w:szCs w:val="20"/>
        </w:rPr>
      </w:pPr>
    </w:p>
    <w:p w14:paraId="691703A2" w14:textId="00BCFCCD" w:rsidR="00364C03" w:rsidRPr="00364C03" w:rsidRDefault="00364C03" w:rsidP="00364C03">
      <w:pPr>
        <w:pBdr>
          <w:top w:val="nil"/>
          <w:left w:val="nil"/>
          <w:bottom w:val="nil"/>
          <w:right w:val="nil"/>
          <w:between w:val="nil"/>
          <w:bar w:val="nil"/>
        </w:pBdr>
        <w:spacing w:after="0" w:line="240" w:lineRule="auto"/>
        <w:ind w:firstLine="708"/>
        <w:jc w:val="both"/>
        <w:rPr>
          <w:rFonts w:ascii="Cambria" w:eastAsia="Arial Unicode MS" w:hAnsi="Cambria"/>
          <w:color w:val="000000"/>
          <w:sz w:val="20"/>
          <w:szCs w:val="20"/>
          <w:bdr w:val="nil"/>
          <w:lang w:val="es-VE"/>
        </w:rPr>
      </w:pPr>
      <w:r w:rsidRPr="00364C03">
        <w:rPr>
          <w:rFonts w:ascii="Cambria" w:eastAsia="Arial Unicode MS" w:hAnsi="Cambria"/>
          <w:color w:val="000000"/>
          <w:sz w:val="20"/>
          <w:szCs w:val="20"/>
          <w:bdr w:val="nil"/>
          <w:lang w:val="es-VE"/>
        </w:rPr>
        <w:t xml:space="preserve">Aprobado por la Comisión Interamericana de Derechos Humanos a los </w:t>
      </w:r>
      <w:r>
        <w:rPr>
          <w:rFonts w:ascii="Cambria" w:eastAsia="Arial Unicode MS" w:hAnsi="Cambria"/>
          <w:color w:val="000000"/>
          <w:sz w:val="20"/>
          <w:szCs w:val="20"/>
          <w:bdr w:val="nil"/>
          <w:lang w:val="es-VE"/>
        </w:rPr>
        <w:t>15</w:t>
      </w:r>
      <w:r w:rsidRPr="00364C03">
        <w:rPr>
          <w:rFonts w:ascii="Cambria" w:eastAsia="Arial Unicode MS" w:hAnsi="Cambria"/>
          <w:color w:val="000000"/>
          <w:sz w:val="20"/>
          <w:szCs w:val="20"/>
          <w:bdr w:val="nil"/>
          <w:lang w:val="es-VE"/>
        </w:rPr>
        <w:t xml:space="preserve"> días del mes de julio de 2025. (Firmado): José Luis Caballero Ochoa, Presidente</w:t>
      </w:r>
      <w:r w:rsidR="00A31DB8">
        <w:rPr>
          <w:rFonts w:ascii="Cambria" w:eastAsia="Arial Unicode MS" w:hAnsi="Cambria"/>
          <w:color w:val="000000"/>
          <w:sz w:val="20"/>
          <w:szCs w:val="20"/>
          <w:bdr w:val="nil"/>
          <w:lang w:val="es-VE"/>
        </w:rPr>
        <w:t>;</w:t>
      </w:r>
      <w:r w:rsidRPr="00364C03">
        <w:rPr>
          <w:rFonts w:ascii="Cambria" w:eastAsia="Arial Unicode MS" w:hAnsi="Cambria"/>
          <w:color w:val="000000"/>
          <w:sz w:val="20"/>
          <w:szCs w:val="20"/>
          <w:bdr w:val="nil"/>
          <w:lang w:val="es-VE"/>
        </w:rPr>
        <w:t xml:space="preserve"> </w:t>
      </w:r>
      <w:r w:rsidR="00A31DB8">
        <w:rPr>
          <w:rFonts w:ascii="Cambria" w:eastAsia="Arial Unicode MS" w:hAnsi="Cambria"/>
          <w:color w:val="000000"/>
          <w:sz w:val="20"/>
          <w:szCs w:val="20"/>
          <w:bdr w:val="nil"/>
          <w:lang w:val="es-VE"/>
        </w:rPr>
        <w:t>Andrea Pochak, Primera Vicepresidenta</w:t>
      </w:r>
      <w:r w:rsidR="00A31DB8">
        <w:rPr>
          <w:rFonts w:ascii="Cambria" w:eastAsia="Arial Unicode MS" w:hAnsi="Cambria"/>
          <w:color w:val="000000"/>
          <w:sz w:val="20"/>
          <w:szCs w:val="20"/>
          <w:bdr w:val="nil"/>
          <w:lang w:val="es-US"/>
        </w:rPr>
        <w:t xml:space="preserve">; </w:t>
      </w:r>
      <w:r w:rsidRPr="00364C03">
        <w:rPr>
          <w:rFonts w:ascii="Cambria" w:eastAsia="Arial Unicode MS" w:hAnsi="Cambria"/>
          <w:color w:val="000000"/>
          <w:sz w:val="20"/>
          <w:szCs w:val="20"/>
          <w:bdr w:val="nil"/>
          <w:lang w:val="es-VE"/>
        </w:rPr>
        <w:t>Arif Bulkan, Segundo Vicepresidente, Roberta Clarke y Edgar Stuardo Ralón Orellana, Miembros de la Comisión.</w:t>
      </w:r>
    </w:p>
    <w:p w14:paraId="3C1E9FC3" w14:textId="3801D46E" w:rsidR="00364C03" w:rsidRPr="00364C03" w:rsidRDefault="00364C03" w:rsidP="00364C03">
      <w:pPr>
        <w:pBdr>
          <w:top w:val="nil"/>
          <w:left w:val="nil"/>
          <w:bottom w:val="nil"/>
          <w:right w:val="nil"/>
          <w:between w:val="nil"/>
          <w:bar w:val="nil"/>
        </w:pBdr>
        <w:spacing w:after="0" w:line="240" w:lineRule="auto"/>
        <w:jc w:val="both"/>
        <w:rPr>
          <w:rFonts w:ascii="Times New Roman" w:eastAsia="Arial Unicode MS" w:hAnsi="Times New Roman"/>
          <w:sz w:val="24"/>
          <w:szCs w:val="24"/>
          <w:bdr w:val="nil"/>
          <w:lang w:val="es-ES_tradnl"/>
        </w:rPr>
      </w:pPr>
    </w:p>
    <w:p w14:paraId="597D8FEA" w14:textId="77777777" w:rsidR="00364C03" w:rsidRPr="003B17D2" w:rsidRDefault="00364C03" w:rsidP="00364C03">
      <w:pPr>
        <w:pStyle w:val="BodyTextIndent"/>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0"/>
          <w:szCs w:val="20"/>
        </w:rPr>
      </w:pPr>
    </w:p>
    <w:sectPr w:rsidR="00364C03" w:rsidRPr="003B17D2" w:rsidSect="00961A24">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A35F9" w14:textId="77777777" w:rsidR="00E10E19" w:rsidRDefault="00E10E19" w:rsidP="001B3677">
      <w:pPr>
        <w:spacing w:after="0" w:line="240" w:lineRule="auto"/>
      </w:pPr>
      <w:r>
        <w:separator/>
      </w:r>
    </w:p>
  </w:endnote>
  <w:endnote w:type="continuationSeparator" w:id="0">
    <w:p w14:paraId="4125DC5B" w14:textId="77777777" w:rsidR="00E10E19" w:rsidRDefault="00E10E19" w:rsidP="001B3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ヒラギノ角ゴ Pro W3">
    <w:charset w:val="80"/>
    <w:family w:val="auto"/>
    <w:pitch w:val="variable"/>
    <w:sig w:usb0="E00002FF" w:usb1="7AC7FFFF" w:usb2="00000012" w:usb3="00000000" w:csb0="0002000D" w:csb1="00000000"/>
  </w:font>
  <w:font w:name="Times-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Calibri-Italic">
    <w:charset w:val="00"/>
    <w:family w:val="auto"/>
    <w:pitch w:val="variable"/>
    <w:sig w:usb0="E00002FF" w:usb1="4000ACFF" w:usb2="00000001"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TT3132dbeaafO05102100">
    <w:panose1 w:val="00000000000000000000"/>
    <w:charset w:val="00"/>
    <w:family w:val="auto"/>
    <w:notTrueType/>
    <w:pitch w:val="default"/>
    <w:sig w:usb0="00000003" w:usb1="00000000" w:usb2="00000000" w:usb3="00000000" w:csb0="00000001" w:csb1="00000000"/>
  </w:font>
  <w:font w:name="ACaslonPro-Regular">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85CAE" w14:textId="77777777" w:rsidR="006307FA" w:rsidRPr="00934A2C" w:rsidRDefault="006307FA">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657BD0">
      <w:rPr>
        <w:noProof/>
        <w:sz w:val="16"/>
        <w:szCs w:val="22"/>
      </w:rPr>
      <w:t>32</w:t>
    </w:r>
    <w:r w:rsidRPr="00934A2C">
      <w:rPr>
        <w:noProof/>
        <w:sz w:val="16"/>
        <w:szCs w:val="22"/>
      </w:rPr>
      <w:fldChar w:fldCharType="end"/>
    </w:r>
  </w:p>
  <w:p w14:paraId="5ED86E07" w14:textId="77777777" w:rsidR="006307FA" w:rsidRDefault="00630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7E277" w14:textId="77777777" w:rsidR="006307FA" w:rsidRPr="00934A2C" w:rsidRDefault="006307FA">
    <w:pPr>
      <w:pStyle w:val="Footer"/>
      <w:jc w:val="center"/>
      <w:rPr>
        <w:sz w:val="16"/>
        <w:szCs w:val="22"/>
      </w:rPr>
    </w:pPr>
  </w:p>
  <w:p w14:paraId="5327D9A1" w14:textId="77777777" w:rsidR="006307FA" w:rsidRDefault="00630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A6092" w14:textId="77777777" w:rsidR="00E10E19" w:rsidRDefault="00E10E19" w:rsidP="001B3677">
      <w:pPr>
        <w:spacing w:after="0" w:line="240" w:lineRule="auto"/>
      </w:pPr>
      <w:r>
        <w:separator/>
      </w:r>
    </w:p>
  </w:footnote>
  <w:footnote w:type="continuationSeparator" w:id="0">
    <w:p w14:paraId="2615EB43" w14:textId="77777777" w:rsidR="00E10E19" w:rsidRDefault="00E10E19" w:rsidP="001B3677">
      <w:pPr>
        <w:spacing w:after="0" w:line="240" w:lineRule="auto"/>
      </w:pPr>
      <w:r>
        <w:continuationSeparator/>
      </w:r>
    </w:p>
  </w:footnote>
  <w:footnote w:id="1">
    <w:p w14:paraId="6CA42DCB" w14:textId="14D5AFD2" w:rsidR="004A1C17" w:rsidRPr="005D2619" w:rsidRDefault="004A1C17" w:rsidP="004A1C17">
      <w:pPr>
        <w:pStyle w:val="FootnoteText"/>
        <w:jc w:val="both"/>
        <w:rPr>
          <w:rFonts w:ascii="Cambria" w:hAnsi="Cambria"/>
          <w:sz w:val="16"/>
          <w:szCs w:val="16"/>
          <w:lang w:val="es-MX"/>
        </w:rPr>
      </w:pPr>
      <w:r w:rsidRPr="005D2619">
        <w:rPr>
          <w:rStyle w:val="FootnoteReference"/>
          <w:rFonts w:ascii="Cambria" w:hAnsi="Cambria"/>
          <w:sz w:val="16"/>
          <w:szCs w:val="16"/>
        </w:rPr>
        <w:footnoteRef/>
      </w:r>
      <w:r w:rsidRPr="005D2619">
        <w:rPr>
          <w:rFonts w:ascii="Cambria" w:hAnsi="Cambria"/>
          <w:sz w:val="16"/>
          <w:szCs w:val="16"/>
          <w:lang w:val="es-US"/>
        </w:rPr>
        <w:t xml:space="preserve"> </w:t>
      </w:r>
      <w:r w:rsidRPr="005D2619">
        <w:rPr>
          <w:rFonts w:ascii="Cambria" w:hAnsi="Cambria"/>
          <w:sz w:val="16"/>
          <w:szCs w:val="16"/>
          <w:lang w:val="es-CO"/>
        </w:rPr>
        <w:t xml:space="preserve">Conforme a lo dispuesto en el artículo 17.2 del Reglamento de la Comisión, el Comisionado </w:t>
      </w:r>
      <w:r w:rsidRPr="00011D9C">
        <w:rPr>
          <w:rFonts w:ascii="Cambria" w:hAnsi="Cambria"/>
          <w:bCs/>
          <w:sz w:val="16"/>
          <w:szCs w:val="16"/>
          <w:lang w:val="es-MX"/>
        </w:rPr>
        <w:t>Carlos Bernal Pulido</w:t>
      </w:r>
      <w:r w:rsidRPr="00011D9C">
        <w:rPr>
          <w:rFonts w:ascii="Cambria" w:hAnsi="Cambria"/>
          <w:sz w:val="16"/>
          <w:szCs w:val="16"/>
          <w:lang w:val="es-CO"/>
        </w:rPr>
        <w:t>,</w:t>
      </w:r>
      <w:r w:rsidRPr="005D2619">
        <w:rPr>
          <w:rFonts w:ascii="Cambria" w:hAnsi="Cambria"/>
          <w:sz w:val="16"/>
          <w:szCs w:val="16"/>
          <w:lang w:val="es-CO"/>
        </w:rPr>
        <w:t xml:space="preserve"> de nacionalidad </w:t>
      </w:r>
      <w:r w:rsidRPr="005D2619">
        <w:rPr>
          <w:rFonts w:ascii="Cambria" w:hAnsi="Cambria"/>
          <w:sz w:val="16"/>
          <w:szCs w:val="16"/>
          <w:lang w:val="es-MX"/>
        </w:rPr>
        <w:t xml:space="preserve">colombiana, no participó en el debate ni en la decisión del presente caso. </w:t>
      </w:r>
    </w:p>
  </w:footnote>
  <w:footnote w:id="2">
    <w:p w14:paraId="2AC881E4" w14:textId="77777777" w:rsidR="006307FA" w:rsidRPr="005D2619" w:rsidRDefault="006307FA" w:rsidP="00CE40F8">
      <w:pPr>
        <w:pStyle w:val="FootnoteText"/>
        <w:tabs>
          <w:tab w:val="left" w:pos="720"/>
        </w:tabs>
        <w:jc w:val="both"/>
        <w:rPr>
          <w:rFonts w:ascii="Cambria" w:hAnsi="Cambria"/>
          <w:color w:val="auto"/>
          <w:sz w:val="16"/>
          <w:szCs w:val="16"/>
          <w:lang w:val="es-ES"/>
        </w:rPr>
      </w:pPr>
      <w:r w:rsidRPr="005D2619">
        <w:rPr>
          <w:rStyle w:val="FootnoteReference"/>
          <w:rFonts w:ascii="Cambria" w:hAnsi="Cambria"/>
          <w:color w:val="auto"/>
          <w:sz w:val="16"/>
          <w:szCs w:val="16"/>
        </w:rPr>
        <w:footnoteRef/>
      </w:r>
      <w:r w:rsidRPr="005D2619">
        <w:rPr>
          <w:rFonts w:ascii="Cambria" w:hAnsi="Cambria"/>
          <w:color w:val="auto"/>
          <w:sz w:val="16"/>
          <w:szCs w:val="16"/>
          <w:lang w:val="es-ES"/>
        </w:rPr>
        <w:t xml:space="preserve"> CIDH, Informe No. 5/05, Petición 3156-02, Admisibilidad, Gustavo Sastoque Alfonso, Colombia, 22 de febrero de 2005. </w:t>
      </w:r>
    </w:p>
  </w:footnote>
  <w:footnote w:id="3">
    <w:p w14:paraId="692BCA10" w14:textId="6CF1D797" w:rsidR="006307FA" w:rsidRPr="005D2619" w:rsidRDefault="006307FA" w:rsidP="00CE40F8">
      <w:pPr>
        <w:pStyle w:val="FootnoteText"/>
        <w:tabs>
          <w:tab w:val="left" w:pos="720"/>
        </w:tabs>
        <w:jc w:val="both"/>
        <w:rPr>
          <w:rFonts w:ascii="Cambria" w:hAnsi="Cambria"/>
          <w:color w:val="auto"/>
          <w:sz w:val="16"/>
          <w:szCs w:val="16"/>
          <w:lang w:val="es-MX"/>
        </w:rPr>
      </w:pPr>
      <w:r w:rsidRPr="005D2619">
        <w:rPr>
          <w:rStyle w:val="FootnoteReference"/>
          <w:rFonts w:ascii="Cambria" w:hAnsi="Cambria"/>
          <w:color w:val="auto"/>
          <w:sz w:val="16"/>
          <w:szCs w:val="16"/>
        </w:rPr>
        <w:footnoteRef/>
      </w:r>
      <w:r w:rsidRPr="005D2619">
        <w:rPr>
          <w:rFonts w:ascii="Cambria" w:hAnsi="Cambria"/>
          <w:color w:val="auto"/>
          <w:sz w:val="16"/>
          <w:szCs w:val="16"/>
          <w:lang w:val="es-MX"/>
        </w:rPr>
        <w:t xml:space="preserve"> </w:t>
      </w:r>
      <w:r>
        <w:rPr>
          <w:rFonts w:ascii="Cambria" w:hAnsi="Cambria"/>
          <w:color w:val="auto"/>
          <w:sz w:val="16"/>
          <w:szCs w:val="16"/>
          <w:lang w:val="es-MX"/>
        </w:rPr>
        <w:t xml:space="preserve">Anexo 1. </w:t>
      </w:r>
      <w:r w:rsidRPr="005D2619">
        <w:rPr>
          <w:rFonts w:ascii="Cambria" w:hAnsi="Cambria"/>
          <w:color w:val="auto"/>
          <w:sz w:val="16"/>
          <w:szCs w:val="16"/>
          <w:lang w:val="es-MX"/>
        </w:rPr>
        <w:t>Sentencia del Juzgado Regional de Santafé Bogotá, 26 de mayo de 1997. Anexo a la petición inicial.</w:t>
      </w:r>
    </w:p>
  </w:footnote>
  <w:footnote w:id="4">
    <w:p w14:paraId="4FF3B788" w14:textId="0CF98B7D" w:rsidR="006307FA" w:rsidRPr="005D2619" w:rsidRDefault="006307FA" w:rsidP="00CE40F8">
      <w:pPr>
        <w:pStyle w:val="FootnoteText"/>
        <w:tabs>
          <w:tab w:val="left" w:pos="720"/>
        </w:tabs>
        <w:jc w:val="both"/>
        <w:rPr>
          <w:rFonts w:ascii="Cambria" w:hAnsi="Cambria"/>
          <w:color w:val="auto"/>
          <w:sz w:val="16"/>
          <w:szCs w:val="16"/>
          <w:lang w:val="es-MX"/>
        </w:rPr>
      </w:pPr>
      <w:r w:rsidRPr="005D2619">
        <w:rPr>
          <w:rStyle w:val="FootnoteReference"/>
          <w:rFonts w:ascii="Cambria" w:hAnsi="Cambria"/>
          <w:color w:val="auto"/>
          <w:sz w:val="16"/>
          <w:szCs w:val="16"/>
        </w:rPr>
        <w:footnoteRef/>
      </w:r>
      <w:r w:rsidRPr="005D2619">
        <w:rPr>
          <w:rFonts w:ascii="Cambria" w:hAnsi="Cambria"/>
          <w:color w:val="auto"/>
          <w:sz w:val="16"/>
          <w:szCs w:val="16"/>
          <w:lang w:val="es-MX"/>
        </w:rPr>
        <w:t xml:space="preserve"> </w:t>
      </w:r>
      <w:r>
        <w:rPr>
          <w:rFonts w:ascii="Cambria" w:hAnsi="Cambria"/>
          <w:color w:val="auto"/>
          <w:sz w:val="16"/>
          <w:szCs w:val="16"/>
          <w:lang w:val="es-MX"/>
        </w:rPr>
        <w:t xml:space="preserve">Anexo 2. </w:t>
      </w:r>
      <w:r w:rsidRPr="005D2619">
        <w:rPr>
          <w:rFonts w:ascii="Cambria" w:hAnsi="Cambria"/>
          <w:color w:val="auto"/>
          <w:sz w:val="16"/>
          <w:szCs w:val="16"/>
          <w:lang w:val="es-MX"/>
        </w:rPr>
        <w:t>Diligencia de allanamiento y registro, 26 de febrero de 1995. Anexo a la petición inicial.</w:t>
      </w:r>
    </w:p>
  </w:footnote>
  <w:footnote w:id="5">
    <w:p w14:paraId="53D4AF93" w14:textId="252C2E86" w:rsidR="006307FA" w:rsidRPr="005D2619" w:rsidRDefault="006307FA" w:rsidP="00CE40F8">
      <w:pPr>
        <w:pStyle w:val="FootnoteText"/>
        <w:tabs>
          <w:tab w:val="left" w:pos="720"/>
        </w:tabs>
        <w:jc w:val="both"/>
        <w:rPr>
          <w:rFonts w:ascii="Cambria" w:hAnsi="Cambria"/>
          <w:color w:val="auto"/>
          <w:sz w:val="16"/>
          <w:szCs w:val="16"/>
          <w:lang w:val="es-MX"/>
        </w:rPr>
      </w:pPr>
      <w:r w:rsidRPr="005D2619">
        <w:rPr>
          <w:rStyle w:val="FootnoteReference"/>
          <w:rFonts w:ascii="Cambria" w:hAnsi="Cambria"/>
          <w:color w:val="auto"/>
          <w:sz w:val="16"/>
          <w:szCs w:val="16"/>
        </w:rPr>
        <w:footnoteRef/>
      </w:r>
      <w:r w:rsidRPr="005D2619">
        <w:rPr>
          <w:rFonts w:ascii="Cambria" w:hAnsi="Cambria"/>
          <w:color w:val="auto"/>
          <w:sz w:val="16"/>
          <w:szCs w:val="16"/>
          <w:lang w:val="es-MX"/>
        </w:rPr>
        <w:t xml:space="preserve"> </w:t>
      </w:r>
      <w:r>
        <w:rPr>
          <w:rFonts w:ascii="Cambria" w:hAnsi="Cambria"/>
          <w:color w:val="auto"/>
          <w:sz w:val="16"/>
          <w:szCs w:val="16"/>
          <w:lang w:val="es-MX"/>
        </w:rPr>
        <w:t xml:space="preserve">Anexo 3. </w:t>
      </w:r>
      <w:r w:rsidRPr="005D2619">
        <w:rPr>
          <w:rFonts w:ascii="Cambria" w:hAnsi="Cambria"/>
          <w:color w:val="auto"/>
          <w:sz w:val="16"/>
          <w:szCs w:val="16"/>
          <w:lang w:val="es-MX"/>
        </w:rPr>
        <w:t>Declaración de Sandra Velasco ante los fiscales 35 y 38 de la Unidad Tercera de Vida, 28 de febrero de 1995. Anexo a la petición inicial.</w:t>
      </w:r>
    </w:p>
  </w:footnote>
  <w:footnote w:id="6">
    <w:p w14:paraId="21608C12" w14:textId="1386C648" w:rsidR="006307FA" w:rsidRPr="005D2619" w:rsidRDefault="006307FA" w:rsidP="00CE40F8">
      <w:pPr>
        <w:pStyle w:val="FootnoteText"/>
        <w:tabs>
          <w:tab w:val="left" w:pos="720"/>
        </w:tabs>
        <w:jc w:val="both"/>
        <w:rPr>
          <w:rFonts w:ascii="Cambria" w:hAnsi="Cambria"/>
          <w:color w:val="auto"/>
          <w:sz w:val="16"/>
          <w:szCs w:val="16"/>
          <w:lang w:val="es-MX"/>
        </w:rPr>
      </w:pPr>
      <w:r w:rsidRPr="005D2619">
        <w:rPr>
          <w:rStyle w:val="FootnoteReference"/>
          <w:rFonts w:ascii="Cambria" w:hAnsi="Cambria"/>
          <w:color w:val="auto"/>
          <w:sz w:val="16"/>
          <w:szCs w:val="16"/>
        </w:rPr>
        <w:footnoteRef/>
      </w:r>
      <w:r w:rsidRPr="005D2619">
        <w:rPr>
          <w:rFonts w:ascii="Cambria" w:hAnsi="Cambria"/>
          <w:color w:val="auto"/>
          <w:sz w:val="16"/>
          <w:szCs w:val="16"/>
          <w:lang w:val="es-MX"/>
        </w:rPr>
        <w:t xml:space="preserve"> </w:t>
      </w:r>
      <w:r>
        <w:rPr>
          <w:rFonts w:ascii="Cambria" w:hAnsi="Cambria"/>
          <w:color w:val="auto"/>
          <w:sz w:val="16"/>
          <w:szCs w:val="16"/>
          <w:lang w:val="es-MX"/>
        </w:rPr>
        <w:t xml:space="preserve">Anexo 4. </w:t>
      </w:r>
      <w:r w:rsidRPr="005D2619">
        <w:rPr>
          <w:rFonts w:ascii="Cambria" w:hAnsi="Cambria"/>
          <w:color w:val="auto"/>
          <w:sz w:val="16"/>
          <w:szCs w:val="16"/>
          <w:lang w:val="es-MX"/>
        </w:rPr>
        <w:t>Informe No. 008-95 del Cuerpo Técnico de Investigación, 2 de marzo de 1995. Anexo a la petición inicial.</w:t>
      </w:r>
    </w:p>
  </w:footnote>
  <w:footnote w:id="7">
    <w:p w14:paraId="0FEA5713" w14:textId="21CE67F1" w:rsidR="006307FA" w:rsidRPr="005D2619" w:rsidRDefault="006307FA" w:rsidP="00CE40F8">
      <w:pPr>
        <w:pStyle w:val="FootnoteText"/>
        <w:tabs>
          <w:tab w:val="left" w:pos="720"/>
        </w:tabs>
        <w:jc w:val="both"/>
        <w:rPr>
          <w:rFonts w:ascii="Cambria" w:hAnsi="Cambria"/>
          <w:color w:val="auto"/>
          <w:sz w:val="16"/>
          <w:szCs w:val="16"/>
          <w:lang w:val="es-MX"/>
        </w:rPr>
      </w:pPr>
      <w:r w:rsidRPr="005D2619">
        <w:rPr>
          <w:rStyle w:val="FootnoteReference"/>
          <w:rFonts w:ascii="Cambria" w:hAnsi="Cambria"/>
          <w:color w:val="auto"/>
          <w:sz w:val="16"/>
          <w:szCs w:val="16"/>
        </w:rPr>
        <w:footnoteRef/>
      </w:r>
      <w:r w:rsidRPr="005D2619">
        <w:rPr>
          <w:rFonts w:ascii="Cambria" w:hAnsi="Cambria"/>
          <w:color w:val="auto"/>
          <w:sz w:val="16"/>
          <w:szCs w:val="16"/>
          <w:lang w:val="es-MX"/>
        </w:rPr>
        <w:t xml:space="preserve"> </w:t>
      </w:r>
      <w:r>
        <w:rPr>
          <w:rFonts w:ascii="Cambria" w:hAnsi="Cambria"/>
          <w:color w:val="auto"/>
          <w:sz w:val="16"/>
          <w:szCs w:val="16"/>
          <w:lang w:val="es-MX"/>
        </w:rPr>
        <w:t xml:space="preserve">Anexo 5. </w:t>
      </w:r>
      <w:r w:rsidRPr="005D2619">
        <w:rPr>
          <w:rFonts w:ascii="Cambria" w:hAnsi="Cambria"/>
          <w:color w:val="auto"/>
          <w:sz w:val="16"/>
          <w:szCs w:val="16"/>
          <w:lang w:val="es-MX"/>
        </w:rPr>
        <w:t>Informe No. 0390 del Ejército Nacional, 3 de marzo de 1995. Anexo a la petición inicial.</w:t>
      </w:r>
    </w:p>
  </w:footnote>
  <w:footnote w:id="8">
    <w:p w14:paraId="2C1B20C9" w14:textId="77767098" w:rsidR="006307FA" w:rsidRPr="005D2619" w:rsidRDefault="006307FA" w:rsidP="00CE40F8">
      <w:pPr>
        <w:pStyle w:val="FootnoteText"/>
        <w:tabs>
          <w:tab w:val="left" w:pos="720"/>
        </w:tabs>
        <w:jc w:val="both"/>
        <w:rPr>
          <w:rFonts w:ascii="Cambria" w:hAnsi="Cambria"/>
          <w:color w:val="auto"/>
          <w:sz w:val="16"/>
          <w:szCs w:val="16"/>
          <w:lang w:val="es-MX"/>
        </w:rPr>
      </w:pPr>
      <w:r w:rsidRPr="005D2619">
        <w:rPr>
          <w:rStyle w:val="FootnoteReference"/>
          <w:rFonts w:ascii="Cambria" w:hAnsi="Cambria"/>
          <w:color w:val="auto"/>
          <w:sz w:val="16"/>
          <w:szCs w:val="16"/>
        </w:rPr>
        <w:footnoteRef/>
      </w:r>
      <w:r w:rsidRPr="005D2619">
        <w:rPr>
          <w:rFonts w:ascii="Cambria" w:hAnsi="Cambria"/>
          <w:color w:val="auto"/>
          <w:sz w:val="16"/>
          <w:szCs w:val="16"/>
          <w:lang w:val="es-MX"/>
        </w:rPr>
        <w:t xml:space="preserve"> </w:t>
      </w:r>
      <w:r>
        <w:rPr>
          <w:rFonts w:ascii="Cambria" w:hAnsi="Cambria"/>
          <w:color w:val="auto"/>
          <w:sz w:val="16"/>
          <w:szCs w:val="16"/>
          <w:lang w:val="es-MX"/>
        </w:rPr>
        <w:t xml:space="preserve">Anexo 6. </w:t>
      </w:r>
      <w:r w:rsidRPr="005D2619">
        <w:rPr>
          <w:rFonts w:ascii="Cambria" w:hAnsi="Cambria"/>
          <w:color w:val="auto"/>
          <w:sz w:val="16"/>
          <w:szCs w:val="16"/>
          <w:lang w:val="es-MX"/>
        </w:rPr>
        <w:t>Informe No. 028 del Cuerpo Técnico de Investigación, 3 de marzo de 1995. Anexo a la petición inicial.</w:t>
      </w:r>
    </w:p>
  </w:footnote>
  <w:footnote w:id="9">
    <w:p w14:paraId="27C5914B" w14:textId="7FFDEC22" w:rsidR="006307FA" w:rsidRPr="005D2619" w:rsidRDefault="006307FA" w:rsidP="00CE40F8">
      <w:pPr>
        <w:pStyle w:val="FootnoteText"/>
        <w:tabs>
          <w:tab w:val="left" w:pos="720"/>
        </w:tabs>
        <w:jc w:val="both"/>
        <w:rPr>
          <w:rFonts w:ascii="Cambria" w:hAnsi="Cambria"/>
          <w:color w:val="auto"/>
          <w:sz w:val="16"/>
          <w:szCs w:val="16"/>
          <w:lang w:val="es-MX"/>
        </w:rPr>
      </w:pPr>
      <w:r w:rsidRPr="005D2619">
        <w:rPr>
          <w:rStyle w:val="FootnoteReference"/>
          <w:rFonts w:ascii="Cambria" w:hAnsi="Cambria"/>
          <w:color w:val="auto"/>
          <w:sz w:val="16"/>
          <w:szCs w:val="16"/>
        </w:rPr>
        <w:footnoteRef/>
      </w:r>
      <w:r w:rsidRPr="005D2619">
        <w:rPr>
          <w:rFonts w:ascii="Cambria" w:hAnsi="Cambria"/>
          <w:color w:val="auto"/>
          <w:sz w:val="16"/>
          <w:szCs w:val="16"/>
          <w:lang w:val="es-MX"/>
        </w:rPr>
        <w:t xml:space="preserve"> </w:t>
      </w:r>
      <w:r>
        <w:rPr>
          <w:rFonts w:ascii="Cambria" w:hAnsi="Cambria"/>
          <w:color w:val="auto"/>
          <w:sz w:val="16"/>
          <w:szCs w:val="16"/>
          <w:lang w:val="es-MX"/>
        </w:rPr>
        <w:t xml:space="preserve">Anexo 7. </w:t>
      </w:r>
      <w:r w:rsidRPr="005D2619">
        <w:rPr>
          <w:rFonts w:ascii="Cambria" w:hAnsi="Cambria"/>
          <w:color w:val="auto"/>
          <w:sz w:val="16"/>
          <w:szCs w:val="16"/>
          <w:lang w:val="es-MX"/>
        </w:rPr>
        <w:t>Petición inicial.</w:t>
      </w:r>
    </w:p>
  </w:footnote>
  <w:footnote w:id="10">
    <w:p w14:paraId="6163AEA7" w14:textId="77777777" w:rsidR="006307FA" w:rsidRPr="005D2619" w:rsidRDefault="006307FA" w:rsidP="00CE40F8">
      <w:pPr>
        <w:pStyle w:val="FootnoteText"/>
        <w:jc w:val="both"/>
        <w:rPr>
          <w:rFonts w:ascii="Cambria" w:hAnsi="Cambria"/>
          <w:color w:val="auto"/>
          <w:sz w:val="16"/>
          <w:szCs w:val="16"/>
          <w:lang w:val="es-ES_tradnl"/>
        </w:rPr>
      </w:pPr>
      <w:r w:rsidRPr="005D2619">
        <w:rPr>
          <w:rStyle w:val="FootnoteReference"/>
          <w:rFonts w:ascii="Cambria" w:hAnsi="Cambria"/>
          <w:color w:val="auto"/>
          <w:sz w:val="16"/>
          <w:szCs w:val="16"/>
        </w:rPr>
        <w:footnoteRef/>
      </w:r>
      <w:r w:rsidRPr="005D2619">
        <w:rPr>
          <w:rFonts w:ascii="Cambria" w:hAnsi="Cambria"/>
          <w:color w:val="auto"/>
          <w:sz w:val="16"/>
          <w:szCs w:val="16"/>
          <w:lang w:val="es-ES"/>
        </w:rPr>
        <w:t xml:space="preserve"> Ley 81 de 1993 que modifica artículo 71 del Código de Procedimiento Penal: Competencia de los Jueces Regionales. Los Jueces Regionales conocen: 5. De los delitos de los delitos de secuestro extorsivo o agravado en virtud de los numerales 6º, 8º. o 12 del artículo 3º de la Ley 40 de 1993 y homicidio agravado según el numeral 8º del artículo 324 del Código Penal.</w:t>
      </w:r>
    </w:p>
  </w:footnote>
  <w:footnote w:id="11">
    <w:p w14:paraId="483036A7" w14:textId="79B24932" w:rsidR="006307FA" w:rsidRPr="005D2619" w:rsidRDefault="006307FA" w:rsidP="00CE40F8">
      <w:pPr>
        <w:pStyle w:val="FootnoteText"/>
        <w:jc w:val="both"/>
        <w:rPr>
          <w:rFonts w:ascii="Cambria" w:hAnsi="Cambria"/>
          <w:color w:val="auto"/>
          <w:sz w:val="16"/>
          <w:szCs w:val="16"/>
          <w:lang w:val="es-ES_tradnl"/>
        </w:rPr>
      </w:pPr>
      <w:r w:rsidRPr="005D2619">
        <w:rPr>
          <w:rStyle w:val="FootnoteReference"/>
          <w:rFonts w:ascii="Cambria" w:hAnsi="Cambria"/>
          <w:color w:val="auto"/>
          <w:sz w:val="16"/>
          <w:szCs w:val="16"/>
        </w:rPr>
        <w:footnoteRef/>
      </w:r>
      <w:r w:rsidRPr="005D2619">
        <w:rPr>
          <w:rFonts w:ascii="Cambria" w:hAnsi="Cambria"/>
          <w:color w:val="auto"/>
          <w:sz w:val="16"/>
          <w:szCs w:val="16"/>
          <w:lang w:val="es-MX"/>
        </w:rPr>
        <w:t xml:space="preserve"> </w:t>
      </w:r>
      <w:r>
        <w:rPr>
          <w:rFonts w:ascii="Cambria" w:hAnsi="Cambria"/>
          <w:color w:val="auto"/>
          <w:sz w:val="16"/>
          <w:szCs w:val="16"/>
          <w:lang w:val="es-MX"/>
        </w:rPr>
        <w:t xml:space="preserve">Anexo 8. </w:t>
      </w:r>
      <w:r w:rsidRPr="005D2619">
        <w:rPr>
          <w:rFonts w:ascii="Cambria" w:hAnsi="Cambria"/>
          <w:color w:val="auto"/>
          <w:sz w:val="16"/>
          <w:szCs w:val="16"/>
          <w:lang w:val="es-MX"/>
        </w:rPr>
        <w:t>Acta con la cual se reserva la identidad del testigo número uno, 4 de marzo de 1995. Anexo a la petición inicial.</w:t>
      </w:r>
    </w:p>
  </w:footnote>
  <w:footnote w:id="12">
    <w:p w14:paraId="7CAD736A" w14:textId="47AEF1AF" w:rsidR="006307FA" w:rsidRPr="005D2619" w:rsidRDefault="006307FA" w:rsidP="00CE40F8">
      <w:pPr>
        <w:pStyle w:val="FootnoteText"/>
        <w:tabs>
          <w:tab w:val="left" w:pos="720"/>
        </w:tabs>
        <w:jc w:val="both"/>
        <w:rPr>
          <w:rFonts w:ascii="Cambria" w:hAnsi="Cambria"/>
          <w:color w:val="auto"/>
          <w:sz w:val="16"/>
          <w:szCs w:val="16"/>
          <w:lang w:val="es-MX"/>
        </w:rPr>
      </w:pPr>
      <w:r w:rsidRPr="005D2619">
        <w:rPr>
          <w:rStyle w:val="FootnoteReference"/>
          <w:rFonts w:ascii="Cambria" w:hAnsi="Cambria"/>
          <w:color w:val="auto"/>
          <w:sz w:val="16"/>
          <w:szCs w:val="16"/>
        </w:rPr>
        <w:footnoteRef/>
      </w:r>
      <w:r w:rsidRPr="005D2619">
        <w:rPr>
          <w:rFonts w:ascii="Cambria" w:hAnsi="Cambria"/>
          <w:color w:val="auto"/>
          <w:sz w:val="16"/>
          <w:szCs w:val="16"/>
          <w:lang w:val="es-MX"/>
        </w:rPr>
        <w:t xml:space="preserve"> </w:t>
      </w:r>
      <w:r>
        <w:rPr>
          <w:rFonts w:ascii="Cambria" w:hAnsi="Cambria"/>
          <w:color w:val="auto"/>
          <w:sz w:val="16"/>
          <w:szCs w:val="16"/>
          <w:lang w:val="es-MX"/>
        </w:rPr>
        <w:t xml:space="preserve">Anexo 9. </w:t>
      </w:r>
      <w:r w:rsidRPr="005D2619">
        <w:rPr>
          <w:rFonts w:ascii="Cambria" w:hAnsi="Cambria"/>
          <w:color w:val="auto"/>
          <w:sz w:val="16"/>
          <w:szCs w:val="16"/>
          <w:lang w:val="es-MX"/>
        </w:rPr>
        <w:t>Diligencia de declaración de un testigo que reserva su identidad a quien se denomina número dos, 6 de marzo de 1995. Anexo a la petición inicial.</w:t>
      </w:r>
    </w:p>
  </w:footnote>
  <w:footnote w:id="13">
    <w:p w14:paraId="2531A60A" w14:textId="1D7A9D6B" w:rsidR="006307FA" w:rsidRPr="005D2619" w:rsidRDefault="006307FA" w:rsidP="00CE40F8">
      <w:pPr>
        <w:pStyle w:val="FootnoteText"/>
        <w:tabs>
          <w:tab w:val="left" w:pos="720"/>
        </w:tabs>
        <w:jc w:val="both"/>
        <w:rPr>
          <w:rFonts w:ascii="Cambria" w:hAnsi="Cambria"/>
          <w:color w:val="auto"/>
          <w:sz w:val="16"/>
          <w:szCs w:val="16"/>
          <w:lang w:val="es-MX"/>
        </w:rPr>
      </w:pPr>
      <w:r w:rsidRPr="005D2619">
        <w:rPr>
          <w:rStyle w:val="FootnoteReference"/>
          <w:rFonts w:ascii="Cambria" w:hAnsi="Cambria"/>
          <w:color w:val="auto"/>
          <w:sz w:val="16"/>
          <w:szCs w:val="16"/>
        </w:rPr>
        <w:footnoteRef/>
      </w:r>
      <w:r w:rsidRPr="005D2619">
        <w:rPr>
          <w:rFonts w:ascii="Cambria" w:hAnsi="Cambria"/>
          <w:color w:val="auto"/>
          <w:sz w:val="16"/>
          <w:szCs w:val="16"/>
          <w:lang w:val="es-ES"/>
        </w:rPr>
        <w:t xml:space="preserve"> </w:t>
      </w:r>
      <w:r>
        <w:rPr>
          <w:rFonts w:ascii="Cambria" w:hAnsi="Cambria"/>
          <w:color w:val="auto"/>
          <w:sz w:val="16"/>
          <w:szCs w:val="16"/>
          <w:lang w:val="es-ES"/>
        </w:rPr>
        <w:t xml:space="preserve">Anexo 10. </w:t>
      </w:r>
      <w:r w:rsidRPr="005D2619">
        <w:rPr>
          <w:rFonts w:ascii="Cambria" w:hAnsi="Cambria"/>
          <w:color w:val="auto"/>
          <w:sz w:val="16"/>
          <w:szCs w:val="16"/>
          <w:lang w:val="es-MX"/>
        </w:rPr>
        <w:t>Declaración de Eduardo Mejía. Anexo a la Petición inicial.</w:t>
      </w:r>
    </w:p>
  </w:footnote>
  <w:footnote w:id="14">
    <w:p w14:paraId="7CBBA346" w14:textId="03F5D95B" w:rsidR="006307FA" w:rsidRPr="005D2619" w:rsidRDefault="006307FA" w:rsidP="00CE40F8">
      <w:pPr>
        <w:pStyle w:val="FootnoteText"/>
        <w:jc w:val="both"/>
        <w:rPr>
          <w:rFonts w:ascii="Cambria" w:hAnsi="Cambria"/>
          <w:color w:val="auto"/>
          <w:sz w:val="16"/>
          <w:szCs w:val="16"/>
          <w:lang w:val="es-MX"/>
        </w:rPr>
      </w:pPr>
      <w:r w:rsidRPr="005D2619">
        <w:rPr>
          <w:rStyle w:val="FootnoteReference"/>
          <w:rFonts w:ascii="Cambria" w:hAnsi="Cambria"/>
          <w:color w:val="auto"/>
          <w:sz w:val="16"/>
          <w:szCs w:val="16"/>
        </w:rPr>
        <w:footnoteRef/>
      </w:r>
      <w:r w:rsidRPr="005D2619">
        <w:rPr>
          <w:rFonts w:ascii="Cambria" w:hAnsi="Cambria"/>
          <w:color w:val="auto"/>
          <w:sz w:val="16"/>
          <w:szCs w:val="16"/>
          <w:lang w:val="es-MX"/>
        </w:rPr>
        <w:t xml:space="preserve"> </w:t>
      </w:r>
      <w:r>
        <w:rPr>
          <w:rFonts w:ascii="Cambria" w:hAnsi="Cambria"/>
          <w:color w:val="auto"/>
          <w:sz w:val="16"/>
          <w:szCs w:val="16"/>
          <w:lang w:val="es-MX"/>
        </w:rPr>
        <w:t xml:space="preserve">Anexo 11. </w:t>
      </w:r>
      <w:r w:rsidRPr="005D2619">
        <w:rPr>
          <w:rFonts w:ascii="Cambria" w:hAnsi="Cambria"/>
          <w:color w:val="auto"/>
          <w:sz w:val="16"/>
          <w:szCs w:val="16"/>
          <w:lang w:val="es-MX"/>
        </w:rPr>
        <w:t>Diligencia de reconocimiento fotográfico ante la dirección seccional de la fiscalía general. Santa Fe, Bogotá. 17 de marzo de 1995. Anexo petición inicial.</w:t>
      </w:r>
    </w:p>
  </w:footnote>
  <w:footnote w:id="15">
    <w:p w14:paraId="4573A5DF" w14:textId="311A447A" w:rsidR="006307FA" w:rsidRPr="005D2619" w:rsidRDefault="006307FA" w:rsidP="00CE40F8">
      <w:pPr>
        <w:pStyle w:val="FootnoteText"/>
        <w:jc w:val="both"/>
        <w:rPr>
          <w:rFonts w:ascii="Cambria" w:hAnsi="Cambria"/>
          <w:color w:val="auto"/>
          <w:sz w:val="16"/>
          <w:szCs w:val="16"/>
          <w:lang w:val="es-MX"/>
        </w:rPr>
      </w:pPr>
      <w:r w:rsidRPr="005D2619">
        <w:rPr>
          <w:rStyle w:val="FootnoteReference"/>
          <w:rFonts w:ascii="Cambria" w:hAnsi="Cambria"/>
          <w:color w:val="auto"/>
          <w:sz w:val="16"/>
          <w:szCs w:val="16"/>
        </w:rPr>
        <w:footnoteRef/>
      </w:r>
      <w:r w:rsidRPr="005D2619">
        <w:rPr>
          <w:rStyle w:val="FootnoteReference"/>
          <w:rFonts w:ascii="Cambria" w:hAnsi="Cambria"/>
          <w:color w:val="auto"/>
          <w:sz w:val="16"/>
          <w:szCs w:val="16"/>
          <w:lang w:val="es-MX"/>
        </w:rPr>
        <w:t xml:space="preserve"> </w:t>
      </w:r>
      <w:r>
        <w:rPr>
          <w:rFonts w:ascii="Cambria" w:hAnsi="Cambria"/>
          <w:color w:val="auto"/>
          <w:sz w:val="16"/>
          <w:szCs w:val="16"/>
          <w:lang w:val="es-MX"/>
        </w:rPr>
        <w:t xml:space="preserve">Anexo 12. </w:t>
      </w:r>
      <w:r w:rsidRPr="005D2619">
        <w:rPr>
          <w:rFonts w:ascii="Cambria" w:hAnsi="Cambria"/>
          <w:color w:val="auto"/>
          <w:sz w:val="16"/>
          <w:szCs w:val="16"/>
          <w:lang w:val="es-MX"/>
        </w:rPr>
        <w:t xml:space="preserve">Diligencia de reconocimiento ante las instalaciones del departamento de seguridad DAS. 27 marzo de 1995. Santafé Bogotá. Anexo petición inicial. </w:t>
      </w:r>
    </w:p>
  </w:footnote>
  <w:footnote w:id="16">
    <w:p w14:paraId="00AF3628" w14:textId="57C1DAE1" w:rsidR="006307FA" w:rsidRPr="005D2619" w:rsidRDefault="006307FA" w:rsidP="00CE40F8">
      <w:pPr>
        <w:pStyle w:val="FootnoteText"/>
        <w:jc w:val="both"/>
        <w:rPr>
          <w:rFonts w:ascii="Cambria" w:hAnsi="Cambria"/>
          <w:color w:val="auto"/>
          <w:sz w:val="16"/>
          <w:szCs w:val="16"/>
          <w:lang w:val="es-MX"/>
        </w:rPr>
      </w:pPr>
      <w:r w:rsidRPr="005D2619">
        <w:rPr>
          <w:rStyle w:val="FootnoteReference"/>
          <w:rFonts w:ascii="Cambria" w:hAnsi="Cambria"/>
          <w:color w:val="auto"/>
          <w:sz w:val="16"/>
          <w:szCs w:val="16"/>
        </w:rPr>
        <w:footnoteRef/>
      </w:r>
      <w:r w:rsidRPr="005D2619">
        <w:rPr>
          <w:rFonts w:ascii="Cambria" w:hAnsi="Cambria"/>
          <w:color w:val="auto"/>
          <w:sz w:val="16"/>
          <w:szCs w:val="16"/>
          <w:lang w:val="es-MX"/>
        </w:rPr>
        <w:t xml:space="preserve"> </w:t>
      </w:r>
      <w:r>
        <w:rPr>
          <w:rFonts w:ascii="Cambria" w:hAnsi="Cambria"/>
          <w:color w:val="auto"/>
          <w:sz w:val="16"/>
          <w:szCs w:val="16"/>
          <w:lang w:val="es-MX"/>
        </w:rPr>
        <w:t xml:space="preserve">Anexo 13. </w:t>
      </w:r>
      <w:r w:rsidRPr="005D2619">
        <w:rPr>
          <w:rFonts w:ascii="Cambria" w:hAnsi="Cambria"/>
          <w:color w:val="auto"/>
          <w:sz w:val="16"/>
          <w:szCs w:val="16"/>
          <w:lang w:val="es-MX"/>
        </w:rPr>
        <w:t xml:space="preserve">Ampliación de declaración del testigo número 3 con reserva de identidad ante el fiscal regional comisionado. 20 de julio, 1995. Santa Fe, Bogotá. Anexo petición inicial. </w:t>
      </w:r>
    </w:p>
  </w:footnote>
  <w:footnote w:id="17">
    <w:p w14:paraId="5CBD3D59" w14:textId="77777777" w:rsidR="006307FA" w:rsidRPr="005D2619" w:rsidRDefault="006307FA" w:rsidP="000E6681">
      <w:pPr>
        <w:pStyle w:val="FootnoteText"/>
        <w:jc w:val="both"/>
        <w:rPr>
          <w:rFonts w:ascii="Cambria" w:hAnsi="Cambria"/>
          <w:color w:val="auto"/>
          <w:sz w:val="16"/>
          <w:szCs w:val="16"/>
          <w:lang w:val="es-ES"/>
        </w:rPr>
      </w:pPr>
      <w:r w:rsidRPr="005D2619">
        <w:rPr>
          <w:rStyle w:val="FootnoteReference"/>
          <w:rFonts w:ascii="Cambria" w:hAnsi="Cambria"/>
          <w:color w:val="auto"/>
          <w:sz w:val="16"/>
          <w:szCs w:val="16"/>
        </w:rPr>
        <w:footnoteRef/>
      </w:r>
      <w:r w:rsidRPr="005D2619">
        <w:rPr>
          <w:rFonts w:ascii="Cambria" w:hAnsi="Cambria"/>
          <w:color w:val="auto"/>
          <w:sz w:val="16"/>
          <w:szCs w:val="16"/>
          <w:lang w:val="es-ES"/>
        </w:rPr>
        <w:t xml:space="preserve"> CIDH, Tercer Informe sobre la Situación de los Derechos Humanos en Colombia, 26 de febrero de 1999, párrs. 82-86.</w:t>
      </w:r>
    </w:p>
  </w:footnote>
  <w:footnote w:id="18">
    <w:p w14:paraId="62E76E9A" w14:textId="77777777" w:rsidR="006307FA" w:rsidRPr="005D2619" w:rsidRDefault="006307FA" w:rsidP="000E6681">
      <w:pPr>
        <w:pStyle w:val="FootnoteText"/>
        <w:jc w:val="both"/>
        <w:rPr>
          <w:rFonts w:ascii="Cambria" w:hAnsi="Cambria"/>
          <w:color w:val="auto"/>
          <w:sz w:val="16"/>
          <w:szCs w:val="16"/>
          <w:lang w:val="es-ES"/>
        </w:rPr>
      </w:pPr>
      <w:r w:rsidRPr="005D2619">
        <w:rPr>
          <w:rStyle w:val="FootnoteReference"/>
          <w:rFonts w:ascii="Cambria" w:hAnsi="Cambria"/>
          <w:color w:val="auto"/>
          <w:sz w:val="16"/>
          <w:szCs w:val="16"/>
        </w:rPr>
        <w:footnoteRef/>
      </w:r>
      <w:r w:rsidRPr="005D2619">
        <w:rPr>
          <w:rFonts w:ascii="Cambria" w:hAnsi="Cambria"/>
          <w:color w:val="auto"/>
          <w:sz w:val="16"/>
          <w:szCs w:val="16"/>
          <w:lang w:val="es-ES"/>
        </w:rPr>
        <w:t xml:space="preserve"> CIDH, Tercer Informe sobre la Situación de los Derechos Humanos en Colombia, 26 de febrero de 1999, párrs. 119-126.</w:t>
      </w:r>
    </w:p>
  </w:footnote>
  <w:footnote w:id="19">
    <w:p w14:paraId="638AE522" w14:textId="77777777" w:rsidR="006307FA" w:rsidRPr="005D2619" w:rsidRDefault="006307FA" w:rsidP="000E6681">
      <w:pPr>
        <w:pStyle w:val="FootnoteText"/>
        <w:jc w:val="both"/>
        <w:rPr>
          <w:rFonts w:ascii="Cambria" w:hAnsi="Cambria"/>
          <w:color w:val="auto"/>
          <w:sz w:val="16"/>
          <w:szCs w:val="16"/>
          <w:lang w:val="es-ES"/>
        </w:rPr>
      </w:pPr>
      <w:r w:rsidRPr="005D2619">
        <w:rPr>
          <w:rStyle w:val="FootnoteReference"/>
          <w:rFonts w:ascii="Cambria" w:hAnsi="Cambria"/>
          <w:color w:val="auto"/>
          <w:sz w:val="16"/>
          <w:szCs w:val="16"/>
        </w:rPr>
        <w:footnoteRef/>
      </w:r>
      <w:r w:rsidRPr="005D2619">
        <w:rPr>
          <w:rFonts w:ascii="Cambria" w:hAnsi="Cambria"/>
          <w:color w:val="auto"/>
          <w:sz w:val="16"/>
          <w:szCs w:val="16"/>
          <w:lang w:val="es-ES"/>
        </w:rPr>
        <w:t xml:space="preserve"> CIDH, Tercer Informe sobre la Situación de los Derechos Humanos en Colombia, 26 de febrero de 1999, párrs. 87-111.</w:t>
      </w:r>
    </w:p>
  </w:footnote>
  <w:footnote w:id="20">
    <w:p w14:paraId="6285255D" w14:textId="77777777" w:rsidR="006307FA" w:rsidRPr="005D2619" w:rsidRDefault="006307FA" w:rsidP="000E6681">
      <w:pPr>
        <w:pStyle w:val="FootnoteText"/>
        <w:jc w:val="both"/>
        <w:rPr>
          <w:rFonts w:ascii="Cambria" w:hAnsi="Cambria"/>
          <w:color w:val="auto"/>
          <w:sz w:val="16"/>
          <w:szCs w:val="16"/>
          <w:lang w:val="es-ES"/>
        </w:rPr>
      </w:pPr>
      <w:r w:rsidRPr="005D2619">
        <w:rPr>
          <w:rStyle w:val="FootnoteReference"/>
          <w:rFonts w:ascii="Cambria" w:hAnsi="Cambria"/>
          <w:color w:val="auto"/>
          <w:sz w:val="16"/>
          <w:szCs w:val="16"/>
        </w:rPr>
        <w:footnoteRef/>
      </w:r>
      <w:r w:rsidRPr="005D2619">
        <w:rPr>
          <w:rFonts w:ascii="Cambria" w:hAnsi="Cambria"/>
          <w:color w:val="auto"/>
          <w:sz w:val="16"/>
          <w:szCs w:val="16"/>
          <w:lang w:val="es-ES"/>
        </w:rPr>
        <w:t xml:space="preserve"> CIDH, Tercer Informe sobre la Situación de los Derechos Humanos en Colombia, 26 de febrero de 1999, párr. 130.</w:t>
      </w:r>
    </w:p>
  </w:footnote>
  <w:footnote w:id="21">
    <w:p w14:paraId="28F73CB9" w14:textId="77777777" w:rsidR="006307FA" w:rsidRPr="005D2619" w:rsidRDefault="006307FA" w:rsidP="000E6681">
      <w:pPr>
        <w:pStyle w:val="FootnoteText"/>
        <w:jc w:val="both"/>
        <w:rPr>
          <w:rFonts w:ascii="Cambria" w:hAnsi="Cambria"/>
          <w:color w:val="auto"/>
          <w:sz w:val="16"/>
          <w:szCs w:val="16"/>
          <w:lang w:val="es-ES"/>
        </w:rPr>
      </w:pPr>
      <w:r w:rsidRPr="005D2619">
        <w:rPr>
          <w:rStyle w:val="FootnoteReference"/>
          <w:rFonts w:ascii="Cambria" w:hAnsi="Cambria"/>
          <w:color w:val="auto"/>
          <w:sz w:val="16"/>
          <w:szCs w:val="16"/>
        </w:rPr>
        <w:footnoteRef/>
      </w:r>
      <w:r w:rsidRPr="005D2619">
        <w:rPr>
          <w:rFonts w:ascii="Cambria" w:hAnsi="Cambria"/>
          <w:color w:val="auto"/>
          <w:sz w:val="16"/>
          <w:szCs w:val="16"/>
          <w:lang w:val="es-ES"/>
        </w:rPr>
        <w:t xml:space="preserve"> CIDH, Informe Anual, Capítulo V – Seguimiento de Recomendaciones de la Comisión, Colombia, párrs. 46-50.</w:t>
      </w:r>
    </w:p>
  </w:footnote>
  <w:footnote w:id="22">
    <w:p w14:paraId="2FE15A2D" w14:textId="1ED3C3B8" w:rsidR="006307FA" w:rsidRPr="005D2619" w:rsidRDefault="006307FA" w:rsidP="000E6681">
      <w:pPr>
        <w:pStyle w:val="FootnoteText"/>
        <w:jc w:val="both"/>
        <w:rPr>
          <w:rFonts w:ascii="Cambria" w:hAnsi="Cambria"/>
          <w:color w:val="auto"/>
          <w:sz w:val="16"/>
          <w:szCs w:val="16"/>
          <w:lang w:val="es-ES"/>
        </w:rPr>
      </w:pPr>
      <w:r w:rsidRPr="005D2619">
        <w:rPr>
          <w:rStyle w:val="FootnoteReference"/>
          <w:rFonts w:ascii="Cambria" w:hAnsi="Cambria"/>
          <w:color w:val="auto"/>
          <w:sz w:val="16"/>
          <w:szCs w:val="16"/>
        </w:rPr>
        <w:footnoteRef/>
      </w:r>
      <w:r w:rsidRPr="005D2619">
        <w:rPr>
          <w:rFonts w:ascii="Cambria" w:hAnsi="Cambria"/>
          <w:color w:val="auto"/>
          <w:sz w:val="16"/>
          <w:szCs w:val="16"/>
          <w:lang w:val="es-ES"/>
        </w:rPr>
        <w:t xml:space="preserve"> Comité de Derechos Humanos, Observaciones</w:t>
      </w:r>
      <w:r w:rsidR="005163FF">
        <w:rPr>
          <w:rFonts w:ascii="Cambria" w:hAnsi="Cambria"/>
          <w:color w:val="auto"/>
          <w:sz w:val="16"/>
          <w:szCs w:val="16"/>
          <w:lang w:val="es-ES"/>
        </w:rPr>
        <w:t xml:space="preserve"> Finales sobre Colombia, 5 de</w:t>
      </w:r>
      <w:r w:rsidRPr="005D2619">
        <w:rPr>
          <w:rFonts w:ascii="Cambria" w:hAnsi="Cambria"/>
          <w:color w:val="auto"/>
          <w:sz w:val="16"/>
          <w:szCs w:val="16"/>
          <w:lang w:val="es-ES"/>
        </w:rPr>
        <w:t xml:space="preserve"> mayo de 1997, párrs. 21 y 40.</w:t>
      </w:r>
    </w:p>
  </w:footnote>
  <w:footnote w:id="23">
    <w:p w14:paraId="734D496F" w14:textId="3F1DCC11" w:rsidR="006307FA" w:rsidRPr="005D2619" w:rsidRDefault="006307FA" w:rsidP="00CE40F8">
      <w:pPr>
        <w:pStyle w:val="FootnoteText"/>
        <w:tabs>
          <w:tab w:val="left" w:pos="720"/>
        </w:tabs>
        <w:jc w:val="both"/>
        <w:rPr>
          <w:rFonts w:ascii="Cambria" w:hAnsi="Cambria"/>
          <w:color w:val="auto"/>
          <w:sz w:val="16"/>
          <w:szCs w:val="16"/>
          <w:lang w:val="es-MX"/>
        </w:rPr>
      </w:pPr>
      <w:r w:rsidRPr="005D2619">
        <w:rPr>
          <w:rStyle w:val="FootnoteReference"/>
          <w:rFonts w:ascii="Cambria" w:hAnsi="Cambria"/>
          <w:color w:val="auto"/>
          <w:sz w:val="16"/>
          <w:szCs w:val="16"/>
        </w:rPr>
        <w:footnoteRef/>
      </w:r>
      <w:r w:rsidRPr="005D2619">
        <w:rPr>
          <w:rFonts w:ascii="Cambria" w:hAnsi="Cambria"/>
          <w:color w:val="auto"/>
          <w:sz w:val="16"/>
          <w:szCs w:val="16"/>
          <w:lang w:val="es-MX"/>
        </w:rPr>
        <w:t xml:space="preserve"> </w:t>
      </w:r>
      <w:r>
        <w:rPr>
          <w:rFonts w:ascii="Cambria" w:hAnsi="Cambria"/>
          <w:color w:val="auto"/>
          <w:sz w:val="16"/>
          <w:szCs w:val="16"/>
          <w:lang w:val="es-MX"/>
        </w:rPr>
        <w:t xml:space="preserve">Anexo 14. </w:t>
      </w:r>
      <w:r w:rsidRPr="005D2619">
        <w:rPr>
          <w:rFonts w:ascii="Cambria" w:hAnsi="Cambria"/>
          <w:color w:val="auto"/>
          <w:sz w:val="16"/>
          <w:szCs w:val="16"/>
          <w:lang w:val="es-MX"/>
        </w:rPr>
        <w:t>Declaración de María Mora ante la Fiscalía General de la Nación, 11 de septiembre de 2003. Anexo 1, folios 25-26.</w:t>
      </w:r>
    </w:p>
  </w:footnote>
  <w:footnote w:id="24">
    <w:p w14:paraId="77072666" w14:textId="15C2998D" w:rsidR="006307FA" w:rsidRPr="005D2619" w:rsidRDefault="006307FA" w:rsidP="00CE40F8">
      <w:pPr>
        <w:pStyle w:val="FootnoteText"/>
        <w:jc w:val="both"/>
        <w:rPr>
          <w:rFonts w:ascii="Cambria" w:hAnsi="Cambria"/>
          <w:color w:val="auto"/>
          <w:sz w:val="16"/>
          <w:szCs w:val="16"/>
          <w:lang w:val="es-MX"/>
        </w:rPr>
      </w:pPr>
      <w:r w:rsidRPr="005D2619">
        <w:rPr>
          <w:rStyle w:val="FootnoteReference"/>
          <w:rFonts w:ascii="Cambria" w:hAnsi="Cambria"/>
          <w:color w:val="auto"/>
          <w:sz w:val="16"/>
          <w:szCs w:val="16"/>
        </w:rPr>
        <w:footnoteRef/>
      </w:r>
      <w:r w:rsidRPr="005D2619">
        <w:rPr>
          <w:rStyle w:val="FootnoteReference"/>
          <w:rFonts w:ascii="Cambria" w:hAnsi="Cambria"/>
          <w:color w:val="auto"/>
          <w:sz w:val="16"/>
          <w:szCs w:val="16"/>
          <w:lang w:val="es-MX"/>
        </w:rPr>
        <w:t xml:space="preserve"> </w:t>
      </w:r>
      <w:r>
        <w:rPr>
          <w:rFonts w:ascii="Cambria" w:hAnsi="Cambria"/>
          <w:color w:val="auto"/>
          <w:sz w:val="16"/>
          <w:szCs w:val="16"/>
          <w:lang w:val="es-MX"/>
        </w:rPr>
        <w:t xml:space="preserve">Anexo 14. </w:t>
      </w:r>
      <w:r w:rsidRPr="005D2619">
        <w:rPr>
          <w:rFonts w:ascii="Cambria" w:hAnsi="Cambria"/>
          <w:color w:val="auto"/>
          <w:sz w:val="16"/>
          <w:szCs w:val="16"/>
          <w:lang w:val="es-MX"/>
        </w:rPr>
        <w:t>Declaración de María Mora ante la Fiscalía General de la Nación, 11 de septiembre de 2003. Anexo 1, folios 25-26.</w:t>
      </w:r>
    </w:p>
  </w:footnote>
  <w:footnote w:id="25">
    <w:p w14:paraId="685919A7" w14:textId="7E9CBF5B" w:rsidR="006307FA" w:rsidRPr="005D2619" w:rsidRDefault="006307FA" w:rsidP="00CE40F8">
      <w:pPr>
        <w:pStyle w:val="FootnoteText"/>
        <w:tabs>
          <w:tab w:val="left" w:pos="720"/>
        </w:tabs>
        <w:jc w:val="both"/>
        <w:rPr>
          <w:rFonts w:ascii="Cambria" w:hAnsi="Cambria"/>
          <w:color w:val="auto"/>
          <w:sz w:val="16"/>
          <w:szCs w:val="16"/>
          <w:lang w:val="es-MX"/>
        </w:rPr>
      </w:pPr>
      <w:r w:rsidRPr="005D2619">
        <w:rPr>
          <w:rStyle w:val="FootnoteReference"/>
          <w:rFonts w:ascii="Cambria" w:hAnsi="Cambria"/>
          <w:color w:val="auto"/>
          <w:sz w:val="16"/>
          <w:szCs w:val="16"/>
        </w:rPr>
        <w:footnoteRef/>
      </w:r>
      <w:r w:rsidRPr="005D2619">
        <w:rPr>
          <w:rFonts w:ascii="Cambria" w:hAnsi="Cambria"/>
          <w:color w:val="auto"/>
          <w:sz w:val="16"/>
          <w:szCs w:val="16"/>
          <w:lang w:val="es-MX"/>
        </w:rPr>
        <w:t xml:space="preserve"> </w:t>
      </w:r>
      <w:r>
        <w:rPr>
          <w:rFonts w:ascii="Cambria" w:hAnsi="Cambria"/>
          <w:color w:val="auto"/>
          <w:sz w:val="16"/>
          <w:szCs w:val="16"/>
          <w:lang w:val="es-MX"/>
        </w:rPr>
        <w:t xml:space="preserve">Anexo 15. </w:t>
      </w:r>
      <w:r w:rsidRPr="005D2619">
        <w:rPr>
          <w:rFonts w:ascii="Cambria" w:hAnsi="Cambria"/>
          <w:color w:val="auto"/>
          <w:sz w:val="16"/>
          <w:szCs w:val="16"/>
          <w:lang w:val="es-MX"/>
        </w:rPr>
        <w:t>Certificado de la Fiscalía General de la Nación, 21 de julio de 1995. Anexo a la petición inicial.</w:t>
      </w:r>
    </w:p>
  </w:footnote>
  <w:footnote w:id="26">
    <w:p w14:paraId="3D3A0C96" w14:textId="5E65F6C0" w:rsidR="006307FA" w:rsidRPr="005D2619" w:rsidRDefault="006307FA" w:rsidP="00CE40F8">
      <w:pPr>
        <w:pStyle w:val="FootnoteText"/>
        <w:tabs>
          <w:tab w:val="left" w:pos="720"/>
        </w:tabs>
        <w:jc w:val="both"/>
        <w:rPr>
          <w:rFonts w:ascii="Cambria" w:hAnsi="Cambria"/>
          <w:color w:val="auto"/>
          <w:sz w:val="16"/>
          <w:szCs w:val="16"/>
          <w:lang w:val="es-MX"/>
        </w:rPr>
      </w:pPr>
      <w:r w:rsidRPr="005D2619">
        <w:rPr>
          <w:rStyle w:val="FootnoteReference"/>
          <w:rFonts w:ascii="Cambria" w:hAnsi="Cambria"/>
          <w:color w:val="auto"/>
          <w:sz w:val="16"/>
          <w:szCs w:val="16"/>
        </w:rPr>
        <w:footnoteRef/>
      </w:r>
      <w:r w:rsidRPr="005D2619">
        <w:rPr>
          <w:rFonts w:ascii="Cambria" w:hAnsi="Cambria"/>
          <w:color w:val="auto"/>
          <w:sz w:val="16"/>
          <w:szCs w:val="16"/>
          <w:lang w:val="es-MX"/>
        </w:rPr>
        <w:t xml:space="preserve"> </w:t>
      </w:r>
      <w:r>
        <w:rPr>
          <w:rFonts w:ascii="Cambria" w:hAnsi="Cambria"/>
          <w:color w:val="auto"/>
          <w:sz w:val="16"/>
          <w:szCs w:val="16"/>
          <w:lang w:val="es-MX"/>
        </w:rPr>
        <w:t xml:space="preserve">Anexo 16. </w:t>
      </w:r>
      <w:r w:rsidRPr="005D2619">
        <w:rPr>
          <w:rFonts w:ascii="Cambria" w:hAnsi="Cambria"/>
          <w:color w:val="auto"/>
          <w:sz w:val="16"/>
          <w:szCs w:val="16"/>
          <w:lang w:val="es-MX"/>
        </w:rPr>
        <w:t>Ampliación de indagatoria de Gustavo Sastoque ante Juzgados Regionales de Santafé de Bogotá, 13 de agosto de 1996. Anexo a la petición inicial.</w:t>
      </w:r>
    </w:p>
  </w:footnote>
  <w:footnote w:id="27">
    <w:p w14:paraId="7701A610" w14:textId="0593D8F1" w:rsidR="006307FA" w:rsidRPr="005D2619" w:rsidRDefault="006307FA" w:rsidP="00CE40F8">
      <w:pPr>
        <w:pStyle w:val="FootnoteText"/>
        <w:tabs>
          <w:tab w:val="left" w:pos="720"/>
        </w:tabs>
        <w:jc w:val="both"/>
        <w:rPr>
          <w:rFonts w:ascii="Cambria" w:hAnsi="Cambria"/>
          <w:color w:val="auto"/>
          <w:sz w:val="16"/>
          <w:szCs w:val="16"/>
          <w:lang w:val="es-MX"/>
        </w:rPr>
      </w:pPr>
      <w:r w:rsidRPr="005D2619">
        <w:rPr>
          <w:rStyle w:val="FootnoteReference"/>
          <w:rFonts w:ascii="Cambria" w:hAnsi="Cambria"/>
          <w:color w:val="auto"/>
          <w:sz w:val="16"/>
          <w:szCs w:val="16"/>
        </w:rPr>
        <w:footnoteRef/>
      </w:r>
      <w:r w:rsidRPr="005D2619">
        <w:rPr>
          <w:rFonts w:ascii="Cambria" w:hAnsi="Cambria"/>
          <w:color w:val="auto"/>
          <w:sz w:val="16"/>
          <w:szCs w:val="16"/>
          <w:lang w:val="es-MX"/>
        </w:rPr>
        <w:t xml:space="preserve"> </w:t>
      </w:r>
      <w:r>
        <w:rPr>
          <w:rFonts w:ascii="Cambria" w:hAnsi="Cambria"/>
          <w:color w:val="auto"/>
          <w:sz w:val="16"/>
          <w:szCs w:val="16"/>
          <w:lang w:val="es-MX"/>
        </w:rPr>
        <w:t xml:space="preserve">Anexo 16. </w:t>
      </w:r>
      <w:r w:rsidRPr="005D2619">
        <w:rPr>
          <w:rFonts w:ascii="Cambria" w:hAnsi="Cambria"/>
          <w:color w:val="auto"/>
          <w:sz w:val="16"/>
          <w:szCs w:val="16"/>
          <w:lang w:val="es-MX"/>
        </w:rPr>
        <w:t>Ampliación de indagatoria de Gustavo Sastoque ante Juzgados Regionales de Santafé de Bogotá, 13 de agosto de 1996. Anexo a la petición inicial.</w:t>
      </w:r>
    </w:p>
  </w:footnote>
  <w:footnote w:id="28">
    <w:p w14:paraId="154CB045" w14:textId="3F108AD2" w:rsidR="006307FA" w:rsidRPr="005D2619" w:rsidRDefault="006307FA" w:rsidP="00CE40F8">
      <w:pPr>
        <w:pStyle w:val="FootnoteText"/>
        <w:jc w:val="both"/>
        <w:rPr>
          <w:rFonts w:ascii="Cambria" w:hAnsi="Cambria"/>
          <w:color w:val="auto"/>
          <w:sz w:val="16"/>
          <w:szCs w:val="16"/>
          <w:lang w:val="es-ES_tradnl"/>
        </w:rPr>
      </w:pPr>
      <w:r w:rsidRPr="005D2619">
        <w:rPr>
          <w:rStyle w:val="FootnoteReference"/>
          <w:rFonts w:ascii="Cambria" w:hAnsi="Cambria"/>
          <w:color w:val="auto"/>
          <w:sz w:val="16"/>
          <w:szCs w:val="16"/>
        </w:rPr>
        <w:footnoteRef/>
      </w:r>
      <w:r w:rsidRPr="005D2619">
        <w:rPr>
          <w:rFonts w:ascii="Cambria" w:hAnsi="Cambria"/>
          <w:color w:val="auto"/>
          <w:sz w:val="16"/>
          <w:szCs w:val="16"/>
          <w:lang w:val="es-MX"/>
        </w:rPr>
        <w:t xml:space="preserve"> </w:t>
      </w:r>
      <w:r>
        <w:rPr>
          <w:rFonts w:ascii="Cambria" w:hAnsi="Cambria"/>
          <w:color w:val="auto"/>
          <w:sz w:val="16"/>
          <w:szCs w:val="16"/>
          <w:lang w:val="es-MX"/>
        </w:rPr>
        <w:t xml:space="preserve">Anexo 17. </w:t>
      </w:r>
      <w:r w:rsidRPr="005D2619">
        <w:rPr>
          <w:rFonts w:ascii="Cambria" w:hAnsi="Cambria"/>
          <w:color w:val="auto"/>
          <w:sz w:val="16"/>
          <w:szCs w:val="16"/>
          <w:lang w:val="es-ES_tradnl"/>
        </w:rPr>
        <w:t>Orden de captura, 8 de marzo de 1995. Anexo a la petición inicial.</w:t>
      </w:r>
    </w:p>
  </w:footnote>
  <w:footnote w:id="29">
    <w:p w14:paraId="3A1315AB" w14:textId="78AA6C68" w:rsidR="006307FA" w:rsidRPr="005D2619" w:rsidRDefault="006307FA" w:rsidP="00CE40F8">
      <w:pPr>
        <w:pStyle w:val="FootnoteText"/>
        <w:jc w:val="both"/>
        <w:rPr>
          <w:rFonts w:ascii="Cambria" w:hAnsi="Cambria"/>
          <w:color w:val="auto"/>
          <w:sz w:val="16"/>
          <w:szCs w:val="16"/>
          <w:lang w:val="es-ES_tradnl"/>
        </w:rPr>
      </w:pPr>
      <w:r w:rsidRPr="005D2619">
        <w:rPr>
          <w:rStyle w:val="FootnoteReference"/>
          <w:rFonts w:ascii="Cambria" w:hAnsi="Cambria"/>
          <w:color w:val="auto"/>
          <w:sz w:val="16"/>
          <w:szCs w:val="16"/>
        </w:rPr>
        <w:footnoteRef/>
      </w:r>
      <w:r w:rsidRPr="005D2619">
        <w:rPr>
          <w:rFonts w:ascii="Cambria" w:hAnsi="Cambria"/>
          <w:color w:val="auto"/>
          <w:sz w:val="16"/>
          <w:szCs w:val="16"/>
          <w:lang w:val="es-MX"/>
        </w:rPr>
        <w:t xml:space="preserve"> </w:t>
      </w:r>
      <w:r>
        <w:rPr>
          <w:rFonts w:ascii="Cambria" w:hAnsi="Cambria"/>
          <w:color w:val="auto"/>
          <w:sz w:val="16"/>
          <w:szCs w:val="16"/>
          <w:lang w:val="es-MX"/>
        </w:rPr>
        <w:t xml:space="preserve">Anexo 18. </w:t>
      </w:r>
      <w:r w:rsidRPr="005D2619">
        <w:rPr>
          <w:rFonts w:ascii="Cambria" w:hAnsi="Cambria"/>
          <w:color w:val="auto"/>
          <w:sz w:val="16"/>
          <w:szCs w:val="16"/>
          <w:lang w:val="es-ES_tradnl"/>
        </w:rPr>
        <w:t>Boletín No. 019 de la Oficina de Divulgación y Prensa de la Fiscalía General de la Nación, 8 de marzo de 1995. Anexo a la petición inicial.</w:t>
      </w:r>
    </w:p>
  </w:footnote>
  <w:footnote w:id="30">
    <w:p w14:paraId="0933095B" w14:textId="3D0DD4FB" w:rsidR="006307FA" w:rsidRPr="005D2619" w:rsidRDefault="006307FA" w:rsidP="00CE40F8">
      <w:pPr>
        <w:pStyle w:val="FootnoteText"/>
        <w:tabs>
          <w:tab w:val="left" w:pos="720"/>
        </w:tabs>
        <w:jc w:val="both"/>
        <w:rPr>
          <w:rFonts w:ascii="Cambria" w:hAnsi="Cambria"/>
          <w:color w:val="auto"/>
          <w:sz w:val="16"/>
          <w:szCs w:val="16"/>
          <w:lang w:val="es-MX"/>
        </w:rPr>
      </w:pPr>
      <w:r w:rsidRPr="005D2619">
        <w:rPr>
          <w:rStyle w:val="FootnoteReference"/>
          <w:rFonts w:ascii="Cambria" w:hAnsi="Cambria"/>
          <w:color w:val="auto"/>
          <w:sz w:val="16"/>
          <w:szCs w:val="16"/>
        </w:rPr>
        <w:footnoteRef/>
      </w:r>
      <w:r w:rsidRPr="005D2619">
        <w:rPr>
          <w:rFonts w:ascii="Cambria" w:hAnsi="Cambria"/>
          <w:color w:val="auto"/>
          <w:sz w:val="16"/>
          <w:szCs w:val="16"/>
          <w:lang w:val="es-MX"/>
        </w:rPr>
        <w:t xml:space="preserve"> </w:t>
      </w:r>
      <w:r>
        <w:rPr>
          <w:rFonts w:ascii="Cambria" w:hAnsi="Cambria"/>
          <w:color w:val="auto"/>
          <w:sz w:val="16"/>
          <w:szCs w:val="16"/>
          <w:lang w:val="es-MX"/>
        </w:rPr>
        <w:t xml:space="preserve">Anexo 19. </w:t>
      </w:r>
      <w:r w:rsidRPr="005D2619">
        <w:rPr>
          <w:rFonts w:ascii="Cambria" w:hAnsi="Cambria"/>
          <w:color w:val="auto"/>
          <w:sz w:val="16"/>
          <w:szCs w:val="16"/>
          <w:lang w:val="es-MX"/>
        </w:rPr>
        <w:t xml:space="preserve">Acta de reconocimiento en fila de personas de la Fiscalía General de la Nación, 10 de marzo de 1995. </w:t>
      </w:r>
      <w:r w:rsidRPr="005D2619">
        <w:rPr>
          <w:rFonts w:ascii="Cambria" w:hAnsi="Cambria"/>
          <w:color w:val="auto"/>
          <w:sz w:val="16"/>
          <w:szCs w:val="16"/>
          <w:lang w:val="es-ES_tradnl"/>
        </w:rPr>
        <w:t>Anexo a la petición inicial. Reconocimiento en fila de personas de la Dirección Regional de Fiscalías, 16 de marzo de 1995. Anexo a la petición inicial.</w:t>
      </w:r>
    </w:p>
  </w:footnote>
  <w:footnote w:id="31">
    <w:p w14:paraId="05FA9F6F" w14:textId="28662786" w:rsidR="006307FA" w:rsidRPr="005D2619" w:rsidRDefault="006307FA" w:rsidP="00CE40F8">
      <w:pPr>
        <w:pStyle w:val="FootnoteText"/>
        <w:tabs>
          <w:tab w:val="left" w:pos="720"/>
        </w:tabs>
        <w:jc w:val="both"/>
        <w:rPr>
          <w:rFonts w:ascii="Cambria" w:hAnsi="Cambria"/>
          <w:color w:val="auto"/>
          <w:sz w:val="16"/>
          <w:szCs w:val="16"/>
          <w:lang w:val="es-MX"/>
        </w:rPr>
      </w:pPr>
      <w:r w:rsidRPr="005D2619">
        <w:rPr>
          <w:rStyle w:val="FootnoteReference"/>
          <w:rFonts w:ascii="Cambria" w:hAnsi="Cambria"/>
          <w:color w:val="auto"/>
          <w:sz w:val="16"/>
          <w:szCs w:val="16"/>
        </w:rPr>
        <w:footnoteRef/>
      </w:r>
      <w:r w:rsidRPr="005D2619">
        <w:rPr>
          <w:rFonts w:ascii="Cambria" w:hAnsi="Cambria"/>
          <w:color w:val="auto"/>
          <w:sz w:val="16"/>
          <w:szCs w:val="16"/>
          <w:lang w:val="es-MX"/>
        </w:rPr>
        <w:t xml:space="preserve"> </w:t>
      </w:r>
      <w:r>
        <w:rPr>
          <w:rFonts w:ascii="Cambria" w:hAnsi="Cambria"/>
          <w:color w:val="auto"/>
          <w:sz w:val="16"/>
          <w:szCs w:val="16"/>
          <w:lang w:val="es-MX"/>
        </w:rPr>
        <w:t xml:space="preserve">Anexo 19. </w:t>
      </w:r>
      <w:r w:rsidRPr="005D2619">
        <w:rPr>
          <w:rFonts w:ascii="Cambria" w:hAnsi="Cambria"/>
          <w:color w:val="auto"/>
          <w:sz w:val="16"/>
          <w:szCs w:val="16"/>
          <w:lang w:val="es-MX"/>
        </w:rPr>
        <w:t xml:space="preserve">Acta de reconocimiento en fila de personas de la Fiscalía General de la Nación, 10 de marzo de 1995. </w:t>
      </w:r>
      <w:r w:rsidRPr="005D2619">
        <w:rPr>
          <w:rFonts w:ascii="Cambria" w:hAnsi="Cambria"/>
          <w:color w:val="auto"/>
          <w:sz w:val="16"/>
          <w:szCs w:val="16"/>
          <w:lang w:val="es-ES_tradnl"/>
        </w:rPr>
        <w:t>Anexo a la petición inicial. Reconocimiento en fila de personas de la Dirección Regional de Fiscalías, 16 de marzo de 1995. Anexo a la petición inicial.</w:t>
      </w:r>
    </w:p>
  </w:footnote>
  <w:footnote w:id="32">
    <w:p w14:paraId="7AC321B7" w14:textId="153FB6EE" w:rsidR="006307FA" w:rsidRPr="005D2619" w:rsidRDefault="006307FA" w:rsidP="00CE40F8">
      <w:pPr>
        <w:pStyle w:val="FootnoteText"/>
        <w:tabs>
          <w:tab w:val="left" w:pos="720"/>
        </w:tabs>
        <w:jc w:val="both"/>
        <w:rPr>
          <w:rFonts w:ascii="Cambria" w:hAnsi="Cambria"/>
          <w:color w:val="auto"/>
          <w:sz w:val="16"/>
          <w:szCs w:val="16"/>
          <w:lang w:val="es-MX"/>
        </w:rPr>
      </w:pPr>
      <w:r w:rsidRPr="005D2619">
        <w:rPr>
          <w:rStyle w:val="FootnoteReference"/>
          <w:rFonts w:ascii="Cambria" w:hAnsi="Cambria"/>
          <w:color w:val="auto"/>
          <w:sz w:val="16"/>
          <w:szCs w:val="16"/>
        </w:rPr>
        <w:footnoteRef/>
      </w:r>
      <w:r w:rsidRPr="005D2619">
        <w:rPr>
          <w:rFonts w:ascii="Cambria" w:hAnsi="Cambria"/>
          <w:color w:val="auto"/>
          <w:sz w:val="16"/>
          <w:szCs w:val="16"/>
          <w:lang w:val="es-MX"/>
        </w:rPr>
        <w:t xml:space="preserve"> </w:t>
      </w:r>
      <w:r>
        <w:rPr>
          <w:rFonts w:ascii="Cambria" w:hAnsi="Cambria"/>
          <w:color w:val="auto"/>
          <w:sz w:val="16"/>
          <w:szCs w:val="16"/>
          <w:lang w:val="es-MX"/>
        </w:rPr>
        <w:t xml:space="preserve">Anexo 20. </w:t>
      </w:r>
      <w:r w:rsidRPr="005D2619">
        <w:rPr>
          <w:rFonts w:ascii="Cambria" w:hAnsi="Cambria"/>
          <w:color w:val="auto"/>
          <w:sz w:val="16"/>
          <w:szCs w:val="16"/>
          <w:lang w:val="es-MX"/>
        </w:rPr>
        <w:t>Alirio Caycedo Gutiérrez ante el director regional de fiscalías. Petición inicial.</w:t>
      </w:r>
    </w:p>
  </w:footnote>
  <w:footnote w:id="33">
    <w:p w14:paraId="2AF152C2" w14:textId="095E72A4" w:rsidR="006307FA" w:rsidRPr="005D2619" w:rsidRDefault="006307FA" w:rsidP="00CE40F8">
      <w:pPr>
        <w:pStyle w:val="FootnoteText"/>
        <w:tabs>
          <w:tab w:val="left" w:pos="720"/>
        </w:tabs>
        <w:jc w:val="both"/>
        <w:rPr>
          <w:rFonts w:ascii="Cambria" w:hAnsi="Cambria"/>
          <w:color w:val="auto"/>
          <w:sz w:val="16"/>
          <w:szCs w:val="16"/>
          <w:lang w:val="es-MX"/>
        </w:rPr>
      </w:pPr>
      <w:r w:rsidRPr="005D2619">
        <w:rPr>
          <w:rStyle w:val="FootnoteReference"/>
          <w:rFonts w:ascii="Cambria" w:hAnsi="Cambria"/>
          <w:color w:val="auto"/>
          <w:sz w:val="16"/>
          <w:szCs w:val="16"/>
        </w:rPr>
        <w:footnoteRef/>
      </w:r>
      <w:r w:rsidRPr="005D2619">
        <w:rPr>
          <w:rFonts w:ascii="Cambria" w:hAnsi="Cambria"/>
          <w:color w:val="auto"/>
          <w:sz w:val="16"/>
          <w:szCs w:val="16"/>
          <w:lang w:val="es-MX"/>
        </w:rPr>
        <w:t xml:space="preserve"> </w:t>
      </w:r>
      <w:r>
        <w:rPr>
          <w:rFonts w:ascii="Cambria" w:hAnsi="Cambria"/>
          <w:color w:val="auto"/>
          <w:sz w:val="16"/>
          <w:szCs w:val="16"/>
          <w:lang w:val="es-MX"/>
        </w:rPr>
        <w:t xml:space="preserve">Anexo 21. </w:t>
      </w:r>
      <w:r w:rsidRPr="005D2619">
        <w:rPr>
          <w:rFonts w:ascii="Cambria" w:hAnsi="Cambria"/>
          <w:color w:val="auto"/>
          <w:sz w:val="16"/>
          <w:szCs w:val="16"/>
          <w:lang w:val="es-MX"/>
        </w:rPr>
        <w:t xml:space="preserve">Declaración de José Rey ante </w:t>
      </w:r>
      <w:r w:rsidRPr="005D2619">
        <w:rPr>
          <w:rFonts w:ascii="Cambria" w:hAnsi="Cambria"/>
          <w:color w:val="auto"/>
          <w:sz w:val="16"/>
          <w:szCs w:val="16"/>
          <w:lang w:val="es-ES"/>
        </w:rPr>
        <w:t>la Fiscalía Regional de Santafé de Bogotá, 13 de marzo de 1995</w:t>
      </w:r>
      <w:r w:rsidRPr="005D2619">
        <w:rPr>
          <w:rFonts w:ascii="Cambria" w:hAnsi="Cambria"/>
          <w:color w:val="auto"/>
          <w:sz w:val="16"/>
          <w:szCs w:val="16"/>
          <w:lang w:val="es-MX"/>
        </w:rPr>
        <w:t>. Anexo a la petición inicial.</w:t>
      </w:r>
    </w:p>
  </w:footnote>
  <w:footnote w:id="34">
    <w:p w14:paraId="070097E6" w14:textId="77777777" w:rsidR="006307FA" w:rsidRPr="005D2619" w:rsidRDefault="006307FA" w:rsidP="00CE40F8">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color w:val="auto"/>
          <w:sz w:val="16"/>
          <w:szCs w:val="16"/>
          <w:lang w:val="es-MX"/>
        </w:rPr>
      </w:pPr>
      <w:r w:rsidRPr="005D2619">
        <w:rPr>
          <w:rStyle w:val="FootnoteReference"/>
          <w:rFonts w:ascii="Cambria" w:hAnsi="Cambria"/>
          <w:color w:val="auto"/>
          <w:sz w:val="16"/>
          <w:szCs w:val="16"/>
        </w:rPr>
        <w:footnoteRef/>
      </w:r>
      <w:r w:rsidRPr="005D2619">
        <w:rPr>
          <w:rFonts w:ascii="Cambria" w:hAnsi="Cambria"/>
          <w:color w:val="auto"/>
          <w:sz w:val="16"/>
          <w:szCs w:val="16"/>
        </w:rPr>
        <w:t xml:space="preserve"> </w:t>
      </w:r>
      <w:r w:rsidRPr="005D2619">
        <w:rPr>
          <w:rFonts w:ascii="Cambria" w:hAnsi="Cambria"/>
          <w:color w:val="auto"/>
          <w:sz w:val="16"/>
          <w:szCs w:val="16"/>
          <w:lang w:val="es-ES"/>
        </w:rPr>
        <w:t xml:space="preserve">Artículo 324.8 del Código Penal (Agravantes del delito de homicidio) </w:t>
      </w:r>
      <w:r w:rsidRPr="005D2619">
        <w:rPr>
          <w:rFonts w:ascii="Cambria" w:hAnsi="Cambria"/>
          <w:color w:val="auto"/>
          <w:sz w:val="16"/>
          <w:szCs w:val="16"/>
          <w:lang w:val="es-MX"/>
        </w:rPr>
        <w:t>Con fines terroristas, en desarrollo de actividades terroristas o en persona que sea o hubiere sido servidor público, periodista, candidato a cargo de elección popular, dirigente, comunitario, sindical, político o periodista, candidato a elección popular, dirigente comunitario, sindical, político, o religioso; miembro de la fuerza pública, profesor universitario, agente diplomático o consular al servicio de la Nación o acreditada ante ella, por causa o por motivo de sus cargos o dignidades o por razón del ejercito de sus funciones, o en cualquier habitante del territorio nacional por sus creencias u opiniones políticas; o en sus parientes dentro del cuarto grado de consanguinidad, segundo de afinidad o primero civil. Referido en: Escrito del Estado de 18 de marzo de 2003.</w:t>
      </w:r>
    </w:p>
  </w:footnote>
  <w:footnote w:id="35">
    <w:p w14:paraId="3CD0079B" w14:textId="57607160" w:rsidR="006307FA" w:rsidRPr="005D2619" w:rsidRDefault="006307FA" w:rsidP="00CE40F8">
      <w:pPr>
        <w:pStyle w:val="FootnoteText"/>
        <w:tabs>
          <w:tab w:val="left" w:pos="720"/>
        </w:tabs>
        <w:jc w:val="both"/>
        <w:rPr>
          <w:rFonts w:ascii="Cambria" w:hAnsi="Cambria"/>
          <w:color w:val="auto"/>
          <w:sz w:val="16"/>
          <w:szCs w:val="16"/>
          <w:lang w:val="es-MX"/>
        </w:rPr>
      </w:pPr>
      <w:r w:rsidRPr="005D2619">
        <w:rPr>
          <w:rStyle w:val="FootnoteReference"/>
          <w:rFonts w:ascii="Cambria" w:hAnsi="Cambria"/>
          <w:color w:val="auto"/>
          <w:sz w:val="16"/>
          <w:szCs w:val="16"/>
        </w:rPr>
        <w:footnoteRef/>
      </w:r>
      <w:r w:rsidRPr="005D2619">
        <w:rPr>
          <w:rFonts w:ascii="Cambria" w:hAnsi="Cambria"/>
          <w:color w:val="auto"/>
          <w:sz w:val="16"/>
          <w:szCs w:val="16"/>
          <w:lang w:val="es-ES"/>
        </w:rPr>
        <w:t xml:space="preserve"> </w:t>
      </w:r>
      <w:r>
        <w:rPr>
          <w:rFonts w:ascii="Cambria" w:hAnsi="Cambria"/>
          <w:color w:val="auto"/>
          <w:sz w:val="16"/>
          <w:szCs w:val="16"/>
          <w:lang w:val="es-ES"/>
        </w:rPr>
        <w:t xml:space="preserve">Anexo 22. </w:t>
      </w:r>
      <w:r w:rsidRPr="005D2619">
        <w:rPr>
          <w:rFonts w:ascii="Cambria" w:hAnsi="Cambria"/>
          <w:color w:val="auto"/>
          <w:sz w:val="16"/>
          <w:szCs w:val="16"/>
          <w:lang w:val="es-ES"/>
        </w:rPr>
        <w:t xml:space="preserve">Resolución interlocutoria, 14 de marzo de 1995. Anexo a la petición inicial. </w:t>
      </w:r>
    </w:p>
  </w:footnote>
  <w:footnote w:id="36">
    <w:p w14:paraId="13C08FDE" w14:textId="6518B017" w:rsidR="006307FA" w:rsidRPr="005D2619" w:rsidRDefault="006307FA" w:rsidP="00CE40F8">
      <w:pPr>
        <w:pStyle w:val="FootnoteText"/>
        <w:tabs>
          <w:tab w:val="left" w:pos="720"/>
        </w:tabs>
        <w:jc w:val="both"/>
        <w:rPr>
          <w:rFonts w:ascii="Cambria" w:hAnsi="Cambria"/>
          <w:color w:val="auto"/>
          <w:sz w:val="16"/>
          <w:szCs w:val="16"/>
          <w:lang w:val="es-MX"/>
        </w:rPr>
      </w:pPr>
      <w:r w:rsidRPr="005D2619">
        <w:rPr>
          <w:rStyle w:val="FootnoteReference"/>
          <w:rFonts w:ascii="Cambria" w:hAnsi="Cambria"/>
          <w:color w:val="auto"/>
          <w:sz w:val="16"/>
          <w:szCs w:val="16"/>
        </w:rPr>
        <w:footnoteRef/>
      </w:r>
      <w:r w:rsidRPr="005D2619">
        <w:rPr>
          <w:rFonts w:ascii="Cambria" w:hAnsi="Cambria"/>
          <w:color w:val="auto"/>
          <w:sz w:val="16"/>
          <w:szCs w:val="16"/>
          <w:lang w:val="es-MX"/>
        </w:rPr>
        <w:t xml:space="preserve"> </w:t>
      </w:r>
      <w:r>
        <w:rPr>
          <w:rFonts w:ascii="Cambria" w:hAnsi="Cambria"/>
          <w:color w:val="auto"/>
          <w:sz w:val="16"/>
          <w:szCs w:val="16"/>
          <w:lang w:val="es-MX"/>
        </w:rPr>
        <w:t xml:space="preserve">Anexo 23. </w:t>
      </w:r>
      <w:r w:rsidRPr="005D2619">
        <w:rPr>
          <w:rFonts w:ascii="Cambria" w:hAnsi="Cambria"/>
          <w:color w:val="auto"/>
          <w:sz w:val="16"/>
          <w:szCs w:val="16"/>
          <w:lang w:val="es-MX"/>
        </w:rPr>
        <w:t>Diligencia de declaración rendida por Wander Trullo Carlos, ante la Fiscalía Regional, Santafé Bogotá, 8 marzo de 1995. Anexo a la petición inicial. Diligencia de declaración rendida por Roncancio Lopez José Wilson ante la fiscalía regional, Santafé Bogotá, 9 de mayo de 1995. Anexo a la petición inicial.</w:t>
      </w:r>
    </w:p>
  </w:footnote>
  <w:footnote w:id="37">
    <w:p w14:paraId="5D5BE0DC" w14:textId="085062D6" w:rsidR="006307FA" w:rsidRPr="005D2619" w:rsidRDefault="006307FA" w:rsidP="00CE40F8">
      <w:pPr>
        <w:pStyle w:val="FootnoteText"/>
        <w:jc w:val="both"/>
        <w:rPr>
          <w:rFonts w:ascii="Cambria" w:hAnsi="Cambria"/>
          <w:color w:val="auto"/>
          <w:sz w:val="16"/>
          <w:szCs w:val="16"/>
          <w:lang w:val="es-MX"/>
        </w:rPr>
      </w:pPr>
      <w:r w:rsidRPr="005D2619">
        <w:rPr>
          <w:rStyle w:val="FootnoteReference"/>
          <w:rFonts w:ascii="Cambria" w:hAnsi="Cambria"/>
          <w:color w:val="auto"/>
          <w:sz w:val="16"/>
          <w:szCs w:val="16"/>
        </w:rPr>
        <w:footnoteRef/>
      </w:r>
      <w:r w:rsidRPr="005D2619">
        <w:rPr>
          <w:rFonts w:ascii="Cambria" w:hAnsi="Cambria"/>
          <w:color w:val="auto"/>
          <w:sz w:val="16"/>
          <w:szCs w:val="16"/>
          <w:lang w:val="es-MX"/>
        </w:rPr>
        <w:t xml:space="preserve"> </w:t>
      </w:r>
      <w:r>
        <w:rPr>
          <w:rFonts w:ascii="Cambria" w:hAnsi="Cambria"/>
          <w:color w:val="auto"/>
          <w:sz w:val="16"/>
          <w:szCs w:val="16"/>
          <w:lang w:val="es-MX"/>
        </w:rPr>
        <w:t xml:space="preserve">Anexo 24. </w:t>
      </w:r>
      <w:r w:rsidRPr="005D2619">
        <w:rPr>
          <w:rFonts w:ascii="Cambria" w:hAnsi="Cambria"/>
          <w:color w:val="auto"/>
          <w:sz w:val="16"/>
          <w:szCs w:val="16"/>
          <w:lang w:val="es-MX"/>
        </w:rPr>
        <w:t>Reconocimiento en fila de personas, Wander Trullo Claros, ante la Dirección regional de fiscalías, Santafé Bogotá, 19 de mayo de 1995. Anexo a la petición inicial.</w:t>
      </w:r>
    </w:p>
  </w:footnote>
  <w:footnote w:id="38">
    <w:p w14:paraId="28CE2E04" w14:textId="0EEC5C99" w:rsidR="006307FA" w:rsidRPr="005D2619" w:rsidRDefault="006307FA" w:rsidP="00CE40F8">
      <w:pPr>
        <w:pStyle w:val="FootnoteText"/>
        <w:jc w:val="both"/>
        <w:rPr>
          <w:rFonts w:ascii="Cambria" w:hAnsi="Cambria"/>
          <w:color w:val="auto"/>
          <w:sz w:val="16"/>
          <w:szCs w:val="16"/>
          <w:lang w:val="es-MX"/>
        </w:rPr>
      </w:pPr>
      <w:r w:rsidRPr="005D2619">
        <w:rPr>
          <w:rStyle w:val="FootnoteReference"/>
          <w:rFonts w:ascii="Cambria" w:hAnsi="Cambria"/>
          <w:color w:val="auto"/>
          <w:sz w:val="16"/>
          <w:szCs w:val="16"/>
        </w:rPr>
        <w:footnoteRef/>
      </w:r>
      <w:r w:rsidRPr="005D2619">
        <w:rPr>
          <w:rFonts w:ascii="Cambria" w:hAnsi="Cambria"/>
          <w:color w:val="auto"/>
          <w:sz w:val="16"/>
          <w:szCs w:val="16"/>
          <w:lang w:val="es-MX"/>
        </w:rPr>
        <w:t xml:space="preserve"> </w:t>
      </w:r>
      <w:r>
        <w:rPr>
          <w:rFonts w:ascii="Cambria" w:hAnsi="Cambria"/>
          <w:color w:val="auto"/>
          <w:sz w:val="16"/>
          <w:szCs w:val="16"/>
          <w:lang w:val="es-MX"/>
        </w:rPr>
        <w:t xml:space="preserve">Anexo 25. </w:t>
      </w:r>
      <w:r w:rsidRPr="005D2619">
        <w:rPr>
          <w:rFonts w:ascii="Cambria" w:hAnsi="Cambria"/>
          <w:color w:val="auto"/>
          <w:sz w:val="16"/>
          <w:szCs w:val="16"/>
          <w:lang w:val="es-MX"/>
        </w:rPr>
        <w:t xml:space="preserve">Reconocimiento en fila de personas, José Wilson Roncancio Gómez, ante la Dirección regional de fiscalías, Santafé Bogotá, 19 de mayo de 1995. Anexo a la petición inicial. </w:t>
      </w:r>
    </w:p>
  </w:footnote>
  <w:footnote w:id="39">
    <w:p w14:paraId="08C81DFB" w14:textId="1CA91D8B" w:rsidR="006307FA" w:rsidRPr="005D2619" w:rsidRDefault="006307FA" w:rsidP="00CE40F8">
      <w:pPr>
        <w:pStyle w:val="FootnoteText"/>
        <w:tabs>
          <w:tab w:val="left" w:pos="720"/>
        </w:tabs>
        <w:jc w:val="both"/>
        <w:rPr>
          <w:rFonts w:ascii="Cambria" w:hAnsi="Cambria"/>
          <w:color w:val="auto"/>
          <w:sz w:val="16"/>
          <w:szCs w:val="16"/>
          <w:lang w:val="es-MX"/>
        </w:rPr>
      </w:pPr>
      <w:r w:rsidRPr="005D2619">
        <w:rPr>
          <w:rStyle w:val="FootnoteReference"/>
          <w:rFonts w:ascii="Cambria" w:hAnsi="Cambria"/>
          <w:color w:val="auto"/>
          <w:sz w:val="16"/>
          <w:szCs w:val="16"/>
        </w:rPr>
        <w:footnoteRef/>
      </w:r>
      <w:r w:rsidRPr="005D2619">
        <w:rPr>
          <w:rFonts w:ascii="Cambria" w:hAnsi="Cambria"/>
          <w:color w:val="auto"/>
          <w:sz w:val="16"/>
          <w:szCs w:val="16"/>
          <w:lang w:val="es-ES"/>
        </w:rPr>
        <w:t xml:space="preserve"> </w:t>
      </w:r>
      <w:r>
        <w:rPr>
          <w:rFonts w:ascii="Cambria" w:hAnsi="Cambria"/>
          <w:color w:val="auto"/>
          <w:sz w:val="16"/>
          <w:szCs w:val="16"/>
          <w:lang w:val="es-ES"/>
        </w:rPr>
        <w:t xml:space="preserve">Anexo 26. </w:t>
      </w:r>
      <w:r w:rsidRPr="005D2619">
        <w:rPr>
          <w:rFonts w:ascii="Cambria" w:hAnsi="Cambria"/>
          <w:color w:val="auto"/>
          <w:sz w:val="16"/>
          <w:szCs w:val="16"/>
          <w:lang w:val="es-MX"/>
        </w:rPr>
        <w:t>Diligencia de declaración con reserva de identidad, testigo número 4, ante el Fiscal regional, 23 de mayo de 1995, Anexo a la petición inicial.</w:t>
      </w:r>
    </w:p>
  </w:footnote>
  <w:footnote w:id="40">
    <w:p w14:paraId="0032E773" w14:textId="44A02180" w:rsidR="006307FA" w:rsidRPr="005D2619" w:rsidRDefault="006307FA" w:rsidP="00CE40F8">
      <w:pPr>
        <w:pStyle w:val="FootnoteText"/>
        <w:jc w:val="both"/>
        <w:rPr>
          <w:rFonts w:ascii="Cambria" w:hAnsi="Cambria"/>
          <w:color w:val="auto"/>
          <w:sz w:val="16"/>
          <w:szCs w:val="16"/>
          <w:lang w:val="es-ES"/>
        </w:rPr>
      </w:pPr>
      <w:r w:rsidRPr="005D2619">
        <w:rPr>
          <w:rStyle w:val="FootnoteReference"/>
          <w:rFonts w:ascii="Cambria" w:hAnsi="Cambria"/>
          <w:color w:val="auto"/>
          <w:sz w:val="16"/>
          <w:szCs w:val="16"/>
        </w:rPr>
        <w:footnoteRef/>
      </w:r>
      <w:r w:rsidRPr="005D2619">
        <w:rPr>
          <w:rFonts w:ascii="Cambria" w:hAnsi="Cambria"/>
          <w:color w:val="auto"/>
          <w:sz w:val="16"/>
          <w:szCs w:val="16"/>
          <w:lang w:val="es-ES"/>
        </w:rPr>
        <w:t xml:space="preserve"> </w:t>
      </w:r>
      <w:r>
        <w:rPr>
          <w:rFonts w:ascii="Cambria" w:hAnsi="Cambria"/>
          <w:color w:val="auto"/>
          <w:sz w:val="16"/>
          <w:szCs w:val="16"/>
          <w:lang w:val="es-ES"/>
        </w:rPr>
        <w:t xml:space="preserve">Anexo 27. </w:t>
      </w:r>
      <w:r w:rsidRPr="005D2619">
        <w:rPr>
          <w:rFonts w:ascii="Cambria" w:hAnsi="Cambria"/>
          <w:color w:val="auto"/>
          <w:sz w:val="16"/>
          <w:szCs w:val="16"/>
          <w:lang w:val="es-ES"/>
        </w:rPr>
        <w:t>Diligencia de ampliación de declaración con reserva de identidad No. 1, 25 de agosto de 1995. Anexo a la petición inicial.</w:t>
      </w:r>
    </w:p>
  </w:footnote>
  <w:footnote w:id="41">
    <w:p w14:paraId="3BE5E245" w14:textId="4E32161F" w:rsidR="006307FA" w:rsidRPr="005D2619" w:rsidRDefault="006307FA" w:rsidP="00CE40F8">
      <w:pPr>
        <w:pStyle w:val="FootnoteText"/>
        <w:jc w:val="both"/>
        <w:rPr>
          <w:rFonts w:ascii="Cambria" w:hAnsi="Cambria"/>
          <w:color w:val="auto"/>
          <w:sz w:val="16"/>
          <w:szCs w:val="16"/>
          <w:lang w:val="es-MX"/>
        </w:rPr>
      </w:pPr>
      <w:r w:rsidRPr="005D2619">
        <w:rPr>
          <w:rStyle w:val="FootnoteReference"/>
          <w:rFonts w:ascii="Cambria" w:hAnsi="Cambria"/>
          <w:color w:val="auto"/>
          <w:sz w:val="16"/>
          <w:szCs w:val="16"/>
        </w:rPr>
        <w:footnoteRef/>
      </w:r>
      <w:r w:rsidRPr="005D2619">
        <w:rPr>
          <w:rFonts w:ascii="Cambria" w:hAnsi="Cambria"/>
          <w:color w:val="auto"/>
          <w:sz w:val="16"/>
          <w:szCs w:val="16"/>
          <w:lang w:val="es-MX"/>
        </w:rPr>
        <w:t xml:space="preserve"> </w:t>
      </w:r>
      <w:r>
        <w:rPr>
          <w:rFonts w:ascii="Cambria" w:hAnsi="Cambria"/>
          <w:color w:val="auto"/>
          <w:sz w:val="16"/>
          <w:szCs w:val="16"/>
          <w:lang w:val="es-MX"/>
        </w:rPr>
        <w:t xml:space="preserve">Anexo 28. </w:t>
      </w:r>
      <w:r w:rsidRPr="005D2619">
        <w:rPr>
          <w:rFonts w:ascii="Cambria" w:hAnsi="Cambria"/>
          <w:color w:val="auto"/>
          <w:sz w:val="16"/>
          <w:szCs w:val="16"/>
          <w:lang w:val="es-MX"/>
        </w:rPr>
        <w:t>Resolución proferida por el fiscal regional en la cual se levantó la reserva de identidad del testigo número 1, a 3 de octubre de 1995. Anexo a la petición inicial.</w:t>
      </w:r>
      <w:r w:rsidRPr="005D2619">
        <w:rPr>
          <w:rFonts w:ascii="Cambria" w:hAnsi="Cambria"/>
          <w:color w:val="auto"/>
          <w:sz w:val="16"/>
          <w:szCs w:val="16"/>
          <w:lang w:val="es-ES"/>
        </w:rPr>
        <w:t xml:space="preserve"> </w:t>
      </w:r>
    </w:p>
  </w:footnote>
  <w:footnote w:id="42">
    <w:p w14:paraId="7D265372" w14:textId="72878F4E" w:rsidR="006307FA" w:rsidRPr="005D2619" w:rsidRDefault="006307FA" w:rsidP="00CE40F8">
      <w:pPr>
        <w:pStyle w:val="FootnoteText"/>
        <w:tabs>
          <w:tab w:val="left" w:pos="720"/>
        </w:tabs>
        <w:jc w:val="both"/>
        <w:rPr>
          <w:rFonts w:ascii="Cambria" w:hAnsi="Cambria"/>
          <w:color w:val="auto"/>
          <w:sz w:val="16"/>
          <w:szCs w:val="16"/>
          <w:lang w:val="es-MX"/>
        </w:rPr>
      </w:pPr>
      <w:r w:rsidRPr="005D2619">
        <w:rPr>
          <w:rStyle w:val="FootnoteReference"/>
          <w:rFonts w:ascii="Cambria" w:hAnsi="Cambria"/>
          <w:color w:val="auto"/>
          <w:sz w:val="16"/>
          <w:szCs w:val="16"/>
        </w:rPr>
        <w:footnoteRef/>
      </w:r>
      <w:r w:rsidRPr="005D2619">
        <w:rPr>
          <w:rFonts w:ascii="Cambria" w:hAnsi="Cambria"/>
          <w:color w:val="auto"/>
          <w:sz w:val="16"/>
          <w:szCs w:val="16"/>
          <w:lang w:val="es-MX"/>
        </w:rPr>
        <w:t xml:space="preserve"> </w:t>
      </w:r>
      <w:r>
        <w:rPr>
          <w:rFonts w:ascii="Cambria" w:hAnsi="Cambria"/>
          <w:color w:val="auto"/>
          <w:sz w:val="16"/>
          <w:szCs w:val="16"/>
          <w:lang w:val="es-MX"/>
        </w:rPr>
        <w:t xml:space="preserve">Anexo 28. </w:t>
      </w:r>
      <w:r w:rsidRPr="005D2619">
        <w:rPr>
          <w:rFonts w:ascii="Cambria" w:hAnsi="Cambria"/>
          <w:color w:val="auto"/>
          <w:sz w:val="16"/>
          <w:szCs w:val="16"/>
          <w:lang w:val="es-MX"/>
        </w:rPr>
        <w:t>Resolución proferida por el fiscal regional en la cual se declaró el cierre de investigación, 6 de octubre de 1995. Anexo a la petición inicial.</w:t>
      </w:r>
    </w:p>
  </w:footnote>
  <w:footnote w:id="43">
    <w:p w14:paraId="425C3799" w14:textId="5591A0B1" w:rsidR="006307FA" w:rsidRPr="005D2619" w:rsidRDefault="006307FA" w:rsidP="00CE40F8">
      <w:pPr>
        <w:pStyle w:val="FootnoteText"/>
        <w:jc w:val="both"/>
        <w:rPr>
          <w:rFonts w:ascii="Cambria" w:hAnsi="Cambria"/>
          <w:color w:val="auto"/>
          <w:sz w:val="16"/>
          <w:szCs w:val="16"/>
          <w:lang w:val="es-ES"/>
        </w:rPr>
      </w:pPr>
      <w:r w:rsidRPr="005D2619">
        <w:rPr>
          <w:rStyle w:val="FootnoteReference"/>
          <w:rFonts w:ascii="Cambria" w:hAnsi="Cambria"/>
          <w:color w:val="auto"/>
          <w:sz w:val="16"/>
          <w:szCs w:val="16"/>
        </w:rPr>
        <w:footnoteRef/>
      </w:r>
      <w:r w:rsidRPr="005D2619">
        <w:rPr>
          <w:rFonts w:ascii="Cambria" w:hAnsi="Cambria"/>
          <w:color w:val="auto"/>
          <w:sz w:val="16"/>
          <w:szCs w:val="16"/>
          <w:lang w:val="es-ES"/>
        </w:rPr>
        <w:t xml:space="preserve"> </w:t>
      </w:r>
      <w:r>
        <w:rPr>
          <w:rFonts w:ascii="Cambria" w:hAnsi="Cambria"/>
          <w:color w:val="auto"/>
          <w:sz w:val="16"/>
          <w:szCs w:val="16"/>
          <w:lang w:val="es-ES"/>
        </w:rPr>
        <w:t xml:space="preserve">Anexo 29. </w:t>
      </w:r>
      <w:r w:rsidRPr="005D2619">
        <w:rPr>
          <w:rFonts w:ascii="Cambria" w:hAnsi="Cambria"/>
          <w:color w:val="auto"/>
          <w:sz w:val="16"/>
          <w:szCs w:val="16"/>
          <w:lang w:val="es-ES"/>
        </w:rPr>
        <w:t>Ampliación de testimonio de Olga Esther Guevara Fajardo, 16 de diciembre de 1996. Anexo a la petición inicial.</w:t>
      </w:r>
    </w:p>
  </w:footnote>
  <w:footnote w:id="44">
    <w:p w14:paraId="66CDB3BC" w14:textId="7D79BF7A" w:rsidR="006307FA" w:rsidRPr="005D2619" w:rsidRDefault="006307FA" w:rsidP="00CE40F8">
      <w:pPr>
        <w:pStyle w:val="FootnoteText"/>
        <w:jc w:val="both"/>
        <w:rPr>
          <w:rFonts w:ascii="Cambria" w:hAnsi="Cambria"/>
          <w:color w:val="auto"/>
          <w:sz w:val="16"/>
          <w:szCs w:val="16"/>
          <w:lang w:val="es-MX"/>
        </w:rPr>
      </w:pPr>
      <w:r w:rsidRPr="005D2619">
        <w:rPr>
          <w:rStyle w:val="FootnoteReference"/>
          <w:rFonts w:ascii="Cambria" w:hAnsi="Cambria"/>
          <w:color w:val="auto"/>
          <w:sz w:val="16"/>
          <w:szCs w:val="16"/>
        </w:rPr>
        <w:footnoteRef/>
      </w:r>
      <w:r w:rsidRPr="005D2619">
        <w:rPr>
          <w:rFonts w:ascii="Cambria" w:hAnsi="Cambria"/>
          <w:color w:val="auto"/>
          <w:sz w:val="16"/>
          <w:szCs w:val="16"/>
          <w:lang w:val="es-MX"/>
        </w:rPr>
        <w:t xml:space="preserve"> </w:t>
      </w:r>
      <w:r>
        <w:rPr>
          <w:rFonts w:ascii="Cambria" w:hAnsi="Cambria"/>
          <w:color w:val="auto"/>
          <w:sz w:val="16"/>
          <w:szCs w:val="16"/>
          <w:lang w:val="es-MX"/>
        </w:rPr>
        <w:t xml:space="preserve">Anexo 30. </w:t>
      </w:r>
      <w:r w:rsidRPr="005D2619">
        <w:rPr>
          <w:rFonts w:ascii="Cambria" w:hAnsi="Cambria"/>
          <w:color w:val="auto"/>
          <w:sz w:val="16"/>
          <w:szCs w:val="16"/>
          <w:lang w:val="es-MX"/>
        </w:rPr>
        <w:t xml:space="preserve">Declaración juramentada de Custodio Jacinto Mora Medina, ante la fiscalía general de la nación, 18 de octubre de 1995. Anexo a la petición inicial. </w:t>
      </w:r>
    </w:p>
  </w:footnote>
  <w:footnote w:id="45">
    <w:p w14:paraId="7C751440" w14:textId="27E6DE75" w:rsidR="006307FA" w:rsidRPr="005D2619" w:rsidRDefault="006307FA" w:rsidP="00CE40F8">
      <w:pPr>
        <w:pStyle w:val="FootnoteText"/>
        <w:jc w:val="both"/>
        <w:rPr>
          <w:rFonts w:ascii="Cambria" w:hAnsi="Cambria"/>
          <w:color w:val="auto"/>
          <w:sz w:val="16"/>
          <w:szCs w:val="16"/>
          <w:lang w:val="es-MX"/>
        </w:rPr>
      </w:pPr>
      <w:r w:rsidRPr="005D2619">
        <w:rPr>
          <w:rStyle w:val="FootnoteReference"/>
          <w:rFonts w:ascii="Cambria" w:hAnsi="Cambria"/>
          <w:color w:val="auto"/>
          <w:sz w:val="16"/>
          <w:szCs w:val="16"/>
        </w:rPr>
        <w:footnoteRef/>
      </w:r>
      <w:r w:rsidRPr="005D2619">
        <w:rPr>
          <w:rFonts w:ascii="Cambria" w:hAnsi="Cambria"/>
          <w:color w:val="auto"/>
          <w:sz w:val="16"/>
          <w:szCs w:val="16"/>
          <w:lang w:val="es-MX"/>
        </w:rPr>
        <w:t xml:space="preserve"> </w:t>
      </w:r>
      <w:r>
        <w:rPr>
          <w:rFonts w:ascii="Cambria" w:hAnsi="Cambria"/>
          <w:color w:val="auto"/>
          <w:sz w:val="16"/>
          <w:szCs w:val="16"/>
          <w:lang w:val="es-MX"/>
        </w:rPr>
        <w:t xml:space="preserve">Anexo 1. </w:t>
      </w:r>
      <w:r w:rsidRPr="005D2619">
        <w:rPr>
          <w:rFonts w:ascii="Cambria" w:hAnsi="Cambria"/>
          <w:color w:val="auto"/>
          <w:sz w:val="16"/>
          <w:szCs w:val="16"/>
          <w:lang w:val="es-MX"/>
        </w:rPr>
        <w:t>Sentencia del Juzgado Regional de Santafé Bogotá, 26 de mayo de 1997. Anexo a la petición inicial.</w:t>
      </w:r>
    </w:p>
  </w:footnote>
  <w:footnote w:id="46">
    <w:p w14:paraId="3296DD1A" w14:textId="67E7B4D0" w:rsidR="006307FA" w:rsidRPr="005D2619" w:rsidRDefault="006307FA" w:rsidP="00CE40F8">
      <w:pPr>
        <w:pStyle w:val="FootnoteText"/>
        <w:tabs>
          <w:tab w:val="left" w:pos="720"/>
        </w:tabs>
        <w:jc w:val="both"/>
        <w:rPr>
          <w:rFonts w:ascii="Cambria" w:hAnsi="Cambria"/>
          <w:color w:val="auto"/>
          <w:sz w:val="16"/>
          <w:szCs w:val="16"/>
          <w:lang w:val="es-MX"/>
        </w:rPr>
      </w:pPr>
      <w:r w:rsidRPr="005D2619">
        <w:rPr>
          <w:rStyle w:val="FootnoteReference"/>
          <w:rFonts w:ascii="Cambria" w:hAnsi="Cambria"/>
          <w:color w:val="auto"/>
          <w:sz w:val="16"/>
          <w:szCs w:val="16"/>
        </w:rPr>
        <w:footnoteRef/>
      </w:r>
      <w:r w:rsidRPr="005D2619">
        <w:rPr>
          <w:rFonts w:ascii="Cambria" w:hAnsi="Cambria"/>
          <w:color w:val="auto"/>
          <w:sz w:val="16"/>
          <w:szCs w:val="16"/>
          <w:lang w:val="es-MX"/>
        </w:rPr>
        <w:t xml:space="preserve"> </w:t>
      </w:r>
      <w:r>
        <w:rPr>
          <w:rFonts w:ascii="Cambria" w:hAnsi="Cambria"/>
          <w:color w:val="auto"/>
          <w:sz w:val="16"/>
          <w:szCs w:val="16"/>
          <w:lang w:val="es-MX"/>
        </w:rPr>
        <w:t xml:space="preserve">Anexo 16. </w:t>
      </w:r>
      <w:r w:rsidRPr="005D2619">
        <w:rPr>
          <w:rFonts w:ascii="Cambria" w:hAnsi="Cambria"/>
          <w:color w:val="auto"/>
          <w:sz w:val="16"/>
          <w:szCs w:val="16"/>
          <w:lang w:val="es-MX"/>
        </w:rPr>
        <w:t>Ampliación de indagatoria de Gustavo Sastoque ante Juzgados Regionales de Santafé de Bogotá, 13 de agosto de 1996. Anexo a la petición inicial.</w:t>
      </w:r>
    </w:p>
  </w:footnote>
  <w:footnote w:id="47">
    <w:p w14:paraId="60AD000A" w14:textId="5EF100D9" w:rsidR="006307FA" w:rsidRPr="005D2619" w:rsidRDefault="006307FA" w:rsidP="00CE40F8">
      <w:pPr>
        <w:pStyle w:val="FootnoteText"/>
        <w:tabs>
          <w:tab w:val="left" w:pos="720"/>
        </w:tabs>
        <w:jc w:val="both"/>
        <w:rPr>
          <w:rFonts w:ascii="Cambria" w:hAnsi="Cambria"/>
          <w:color w:val="auto"/>
          <w:sz w:val="16"/>
          <w:szCs w:val="16"/>
          <w:lang w:val="es-MX"/>
        </w:rPr>
      </w:pPr>
      <w:r w:rsidRPr="005D2619">
        <w:rPr>
          <w:rStyle w:val="FootnoteReference"/>
          <w:rFonts w:ascii="Cambria" w:hAnsi="Cambria"/>
          <w:color w:val="auto"/>
          <w:sz w:val="16"/>
          <w:szCs w:val="16"/>
        </w:rPr>
        <w:footnoteRef/>
      </w:r>
      <w:r w:rsidRPr="005D2619">
        <w:rPr>
          <w:rFonts w:ascii="Cambria" w:hAnsi="Cambria"/>
          <w:color w:val="auto"/>
          <w:sz w:val="16"/>
          <w:szCs w:val="16"/>
          <w:lang w:val="es-MX"/>
        </w:rPr>
        <w:t xml:space="preserve"> </w:t>
      </w:r>
      <w:r>
        <w:rPr>
          <w:rFonts w:ascii="Cambria" w:hAnsi="Cambria"/>
          <w:color w:val="auto"/>
          <w:sz w:val="16"/>
          <w:szCs w:val="16"/>
          <w:lang w:val="es-MX"/>
        </w:rPr>
        <w:t xml:space="preserve">Anexo 1. </w:t>
      </w:r>
      <w:r w:rsidRPr="005D2619">
        <w:rPr>
          <w:rFonts w:ascii="Cambria" w:hAnsi="Cambria"/>
          <w:color w:val="auto"/>
          <w:sz w:val="16"/>
          <w:szCs w:val="16"/>
          <w:lang w:val="es-MX"/>
        </w:rPr>
        <w:t>Sentencia del Juzgado Regional de Santafé Bogotá, 26 de mayo de 1997. Anexo a la petición inicial.</w:t>
      </w:r>
    </w:p>
  </w:footnote>
  <w:footnote w:id="48">
    <w:p w14:paraId="67E7786A" w14:textId="361FD10B" w:rsidR="006307FA" w:rsidRPr="005D2619" w:rsidRDefault="006307FA" w:rsidP="00CE40F8">
      <w:pPr>
        <w:pStyle w:val="FootnoteText"/>
        <w:tabs>
          <w:tab w:val="left" w:pos="720"/>
        </w:tabs>
        <w:jc w:val="both"/>
        <w:rPr>
          <w:rFonts w:ascii="Cambria" w:hAnsi="Cambria"/>
          <w:color w:val="auto"/>
          <w:sz w:val="16"/>
          <w:szCs w:val="16"/>
          <w:lang w:val="es-MX"/>
        </w:rPr>
      </w:pPr>
      <w:r w:rsidRPr="005D2619">
        <w:rPr>
          <w:rStyle w:val="FootnoteReference"/>
          <w:rFonts w:ascii="Cambria" w:hAnsi="Cambria"/>
          <w:color w:val="auto"/>
          <w:sz w:val="16"/>
          <w:szCs w:val="16"/>
        </w:rPr>
        <w:footnoteRef/>
      </w:r>
      <w:r w:rsidRPr="005D2619">
        <w:rPr>
          <w:rFonts w:ascii="Cambria" w:hAnsi="Cambria"/>
          <w:color w:val="auto"/>
          <w:sz w:val="16"/>
          <w:szCs w:val="16"/>
          <w:lang w:val="es-ES"/>
        </w:rPr>
        <w:t xml:space="preserve"> </w:t>
      </w:r>
      <w:r>
        <w:rPr>
          <w:rFonts w:ascii="Cambria" w:hAnsi="Cambria"/>
          <w:color w:val="auto"/>
          <w:sz w:val="16"/>
          <w:szCs w:val="16"/>
          <w:lang w:val="es-MX"/>
        </w:rPr>
        <w:t xml:space="preserve">Anexo 1. </w:t>
      </w:r>
      <w:r w:rsidRPr="005D2619">
        <w:rPr>
          <w:rFonts w:ascii="Cambria" w:hAnsi="Cambria"/>
          <w:color w:val="auto"/>
          <w:sz w:val="16"/>
          <w:szCs w:val="16"/>
          <w:lang w:val="es-MX"/>
        </w:rPr>
        <w:t>Sentencia del Juzgado Regional de Santafé Bogotá, 26 de mayo de 1997. Anexo a la petición inicial.</w:t>
      </w:r>
    </w:p>
  </w:footnote>
  <w:footnote w:id="49">
    <w:p w14:paraId="36037338" w14:textId="77297850" w:rsidR="006307FA" w:rsidRPr="005D2619" w:rsidRDefault="006307FA" w:rsidP="00CE40F8">
      <w:pPr>
        <w:pStyle w:val="FootnoteText"/>
        <w:jc w:val="both"/>
        <w:rPr>
          <w:rFonts w:ascii="Cambria" w:hAnsi="Cambria"/>
          <w:color w:val="auto"/>
          <w:sz w:val="16"/>
          <w:szCs w:val="16"/>
          <w:lang w:val="es-MX"/>
        </w:rPr>
      </w:pPr>
      <w:r w:rsidRPr="005D2619">
        <w:rPr>
          <w:rStyle w:val="FootnoteReference"/>
          <w:rFonts w:ascii="Cambria" w:hAnsi="Cambria"/>
          <w:color w:val="auto"/>
          <w:sz w:val="16"/>
          <w:szCs w:val="16"/>
        </w:rPr>
        <w:footnoteRef/>
      </w:r>
      <w:r w:rsidRPr="005D2619">
        <w:rPr>
          <w:rFonts w:ascii="Cambria" w:hAnsi="Cambria"/>
          <w:color w:val="auto"/>
          <w:sz w:val="16"/>
          <w:szCs w:val="16"/>
          <w:lang w:val="es-MX"/>
        </w:rPr>
        <w:t xml:space="preserve"> </w:t>
      </w:r>
      <w:r>
        <w:rPr>
          <w:rFonts w:ascii="Cambria" w:hAnsi="Cambria"/>
          <w:color w:val="auto"/>
          <w:sz w:val="16"/>
          <w:szCs w:val="16"/>
          <w:lang w:val="es-MX"/>
        </w:rPr>
        <w:t xml:space="preserve">Anexo 1. </w:t>
      </w:r>
      <w:r w:rsidRPr="005D2619">
        <w:rPr>
          <w:rFonts w:ascii="Cambria" w:hAnsi="Cambria"/>
          <w:color w:val="auto"/>
          <w:sz w:val="16"/>
          <w:szCs w:val="16"/>
          <w:lang w:val="es-MX"/>
        </w:rPr>
        <w:t>Sentencia del Juzgado Regional de Santafé Bogotá, 26 de mayo de 1997. Anexo a la petición inicial.</w:t>
      </w:r>
    </w:p>
  </w:footnote>
  <w:footnote w:id="50">
    <w:p w14:paraId="3D67F6B9" w14:textId="4DEFDDC2" w:rsidR="006307FA" w:rsidRPr="005D2619" w:rsidRDefault="006307FA" w:rsidP="00CE40F8">
      <w:pPr>
        <w:pStyle w:val="FootnoteText"/>
        <w:jc w:val="both"/>
        <w:rPr>
          <w:rFonts w:ascii="Cambria" w:hAnsi="Cambria"/>
          <w:color w:val="auto"/>
          <w:sz w:val="16"/>
          <w:szCs w:val="16"/>
          <w:lang w:val="es-ES_tradnl"/>
        </w:rPr>
      </w:pPr>
      <w:r w:rsidRPr="005D2619">
        <w:rPr>
          <w:rStyle w:val="FootnoteReference"/>
          <w:rFonts w:ascii="Cambria" w:hAnsi="Cambria"/>
          <w:color w:val="auto"/>
          <w:sz w:val="16"/>
          <w:szCs w:val="16"/>
        </w:rPr>
        <w:footnoteRef/>
      </w:r>
      <w:r w:rsidRPr="005D2619">
        <w:rPr>
          <w:rFonts w:ascii="Cambria" w:hAnsi="Cambria"/>
          <w:color w:val="auto"/>
          <w:sz w:val="16"/>
          <w:szCs w:val="16"/>
          <w:lang w:val="es-ES"/>
        </w:rPr>
        <w:t xml:space="preserve"> </w:t>
      </w:r>
      <w:r w:rsidR="00B30288">
        <w:rPr>
          <w:rFonts w:ascii="Cambria" w:hAnsi="Cambria"/>
          <w:color w:val="auto"/>
          <w:sz w:val="16"/>
          <w:szCs w:val="16"/>
          <w:lang w:val="es-ES"/>
        </w:rPr>
        <w:t xml:space="preserve">Anexo 31. </w:t>
      </w:r>
      <w:r w:rsidRPr="005D2619">
        <w:rPr>
          <w:rFonts w:ascii="Cambria" w:hAnsi="Cambria"/>
          <w:color w:val="auto"/>
          <w:sz w:val="16"/>
          <w:szCs w:val="16"/>
          <w:lang w:val="es-ES_tradnl"/>
        </w:rPr>
        <w:t>Concepto No. 34, escrito de la Procuraduría Judicial Penal, sin fecha. Anexo a la petición inicial.</w:t>
      </w:r>
    </w:p>
  </w:footnote>
  <w:footnote w:id="51">
    <w:p w14:paraId="5870E6B4" w14:textId="061B42CF" w:rsidR="006307FA" w:rsidRPr="005D2619" w:rsidRDefault="006307FA" w:rsidP="00CE40F8">
      <w:pPr>
        <w:pStyle w:val="FootnoteText"/>
        <w:jc w:val="both"/>
        <w:rPr>
          <w:rFonts w:ascii="Cambria" w:hAnsi="Cambria"/>
          <w:color w:val="auto"/>
          <w:sz w:val="16"/>
          <w:szCs w:val="16"/>
          <w:lang w:val="es-MX"/>
        </w:rPr>
      </w:pPr>
      <w:r w:rsidRPr="005D2619">
        <w:rPr>
          <w:rStyle w:val="FootnoteReference"/>
          <w:rFonts w:ascii="Cambria" w:hAnsi="Cambria"/>
          <w:color w:val="auto"/>
          <w:sz w:val="16"/>
          <w:szCs w:val="16"/>
        </w:rPr>
        <w:footnoteRef/>
      </w:r>
      <w:r w:rsidRPr="005D2619">
        <w:rPr>
          <w:rFonts w:ascii="Cambria" w:hAnsi="Cambria"/>
          <w:color w:val="auto"/>
          <w:sz w:val="16"/>
          <w:szCs w:val="16"/>
          <w:lang w:val="es-MX"/>
        </w:rPr>
        <w:t xml:space="preserve"> </w:t>
      </w:r>
      <w:r w:rsidR="00B30288">
        <w:rPr>
          <w:rFonts w:ascii="Cambria" w:hAnsi="Cambria"/>
          <w:color w:val="auto"/>
          <w:sz w:val="16"/>
          <w:szCs w:val="16"/>
          <w:lang w:val="es-MX"/>
        </w:rPr>
        <w:t xml:space="preserve">Anexo 32. </w:t>
      </w:r>
      <w:r w:rsidRPr="005D2619">
        <w:rPr>
          <w:rFonts w:ascii="Cambria" w:hAnsi="Cambria"/>
          <w:color w:val="auto"/>
          <w:sz w:val="16"/>
          <w:szCs w:val="16"/>
          <w:lang w:val="es-MX"/>
        </w:rPr>
        <w:t xml:space="preserve">Sentencia del Tribunal Nacional, Santafé Bogotá. 6 de marzo de 1998. Anexo a la petición inicial. </w:t>
      </w:r>
    </w:p>
  </w:footnote>
  <w:footnote w:id="52">
    <w:p w14:paraId="7E4F7CE0" w14:textId="0438EF1E" w:rsidR="006307FA" w:rsidRPr="005D2619" w:rsidRDefault="006307FA" w:rsidP="00CE40F8">
      <w:pPr>
        <w:pStyle w:val="FootnoteText"/>
        <w:jc w:val="both"/>
        <w:rPr>
          <w:rFonts w:ascii="Cambria" w:hAnsi="Cambria"/>
          <w:color w:val="auto"/>
          <w:sz w:val="16"/>
          <w:szCs w:val="16"/>
          <w:lang w:val="es-ES"/>
        </w:rPr>
      </w:pPr>
      <w:r w:rsidRPr="005D2619">
        <w:rPr>
          <w:rStyle w:val="FootnoteReference"/>
          <w:rFonts w:ascii="Cambria" w:hAnsi="Cambria"/>
          <w:color w:val="auto"/>
          <w:sz w:val="16"/>
          <w:szCs w:val="16"/>
        </w:rPr>
        <w:footnoteRef/>
      </w:r>
      <w:r w:rsidRPr="005D2619">
        <w:rPr>
          <w:rFonts w:ascii="Cambria" w:hAnsi="Cambria"/>
          <w:color w:val="auto"/>
          <w:sz w:val="16"/>
          <w:szCs w:val="16"/>
          <w:lang w:val="es-ES"/>
        </w:rPr>
        <w:t xml:space="preserve"> </w:t>
      </w:r>
      <w:r w:rsidR="00B30288">
        <w:rPr>
          <w:rFonts w:ascii="Cambria" w:hAnsi="Cambria"/>
          <w:color w:val="auto"/>
          <w:sz w:val="16"/>
          <w:szCs w:val="16"/>
          <w:lang w:val="es-ES"/>
        </w:rPr>
        <w:t xml:space="preserve">Anexo 33. </w:t>
      </w:r>
      <w:r w:rsidRPr="005D2619">
        <w:rPr>
          <w:rFonts w:ascii="Cambria" w:hAnsi="Cambria"/>
          <w:color w:val="auto"/>
          <w:sz w:val="16"/>
          <w:szCs w:val="16"/>
          <w:lang w:val="es-ES"/>
        </w:rPr>
        <w:t>Demanda de casación, 29 de julio de 1998. Anexo a la comunicación de la parte peticionaria recibida el 6 de noviembre de 2002.</w:t>
      </w:r>
    </w:p>
  </w:footnote>
  <w:footnote w:id="53">
    <w:p w14:paraId="4A769662" w14:textId="173A0980" w:rsidR="006307FA" w:rsidRPr="005D2619" w:rsidRDefault="006307FA" w:rsidP="00CE40F8">
      <w:pPr>
        <w:pStyle w:val="FootnoteText"/>
        <w:jc w:val="both"/>
        <w:rPr>
          <w:rFonts w:ascii="Cambria" w:hAnsi="Cambria"/>
          <w:color w:val="auto"/>
          <w:sz w:val="16"/>
          <w:szCs w:val="16"/>
          <w:lang w:val="es-MX"/>
        </w:rPr>
      </w:pPr>
      <w:r w:rsidRPr="005D2619">
        <w:rPr>
          <w:rStyle w:val="FootnoteReference"/>
          <w:rFonts w:ascii="Cambria" w:hAnsi="Cambria"/>
          <w:color w:val="auto"/>
          <w:sz w:val="16"/>
          <w:szCs w:val="16"/>
        </w:rPr>
        <w:footnoteRef/>
      </w:r>
      <w:r w:rsidRPr="005D2619">
        <w:rPr>
          <w:rFonts w:ascii="Cambria" w:hAnsi="Cambria"/>
          <w:color w:val="auto"/>
          <w:sz w:val="16"/>
          <w:szCs w:val="16"/>
          <w:lang w:val="es-MX"/>
        </w:rPr>
        <w:t xml:space="preserve"> </w:t>
      </w:r>
      <w:r w:rsidR="00B30288">
        <w:rPr>
          <w:rFonts w:ascii="Cambria" w:hAnsi="Cambria"/>
          <w:color w:val="auto"/>
          <w:sz w:val="16"/>
          <w:szCs w:val="16"/>
          <w:lang w:val="es-MX"/>
        </w:rPr>
        <w:t xml:space="preserve">Anexo 34. </w:t>
      </w:r>
      <w:r w:rsidRPr="005D2619">
        <w:rPr>
          <w:rFonts w:ascii="Cambria" w:hAnsi="Cambria"/>
          <w:color w:val="auto"/>
          <w:sz w:val="16"/>
          <w:szCs w:val="16"/>
          <w:lang w:val="es-MX"/>
        </w:rPr>
        <w:t xml:space="preserve">Ampliación de denuncia de Gustavo Sastoque Alfonso, 22 de febrero de 2000. Anexo a la petición inicial. </w:t>
      </w:r>
    </w:p>
  </w:footnote>
  <w:footnote w:id="54">
    <w:p w14:paraId="427414EE" w14:textId="288B1E70" w:rsidR="006307FA" w:rsidRPr="005D2619" w:rsidRDefault="006307FA" w:rsidP="00CE40F8">
      <w:pPr>
        <w:pStyle w:val="FootnoteText"/>
        <w:tabs>
          <w:tab w:val="left" w:pos="720"/>
        </w:tabs>
        <w:jc w:val="both"/>
        <w:rPr>
          <w:rFonts w:ascii="Cambria" w:hAnsi="Cambria"/>
          <w:color w:val="auto"/>
          <w:sz w:val="16"/>
          <w:szCs w:val="16"/>
          <w:lang w:val="es-MX"/>
        </w:rPr>
      </w:pPr>
      <w:r w:rsidRPr="005D2619">
        <w:rPr>
          <w:rStyle w:val="FootnoteReference"/>
          <w:rFonts w:ascii="Cambria" w:hAnsi="Cambria"/>
          <w:color w:val="auto"/>
          <w:sz w:val="16"/>
          <w:szCs w:val="16"/>
        </w:rPr>
        <w:footnoteRef/>
      </w:r>
      <w:r w:rsidRPr="005D2619">
        <w:rPr>
          <w:rStyle w:val="FootnoteReference"/>
          <w:rFonts w:ascii="Cambria" w:hAnsi="Cambria"/>
          <w:color w:val="auto"/>
          <w:sz w:val="16"/>
          <w:szCs w:val="16"/>
          <w:lang w:val="es-ES"/>
        </w:rPr>
        <w:t xml:space="preserve"> </w:t>
      </w:r>
      <w:r w:rsidR="00B30288">
        <w:rPr>
          <w:rFonts w:ascii="Cambria" w:hAnsi="Cambria"/>
          <w:color w:val="auto"/>
          <w:sz w:val="16"/>
          <w:szCs w:val="16"/>
          <w:lang w:val="es-ES"/>
        </w:rPr>
        <w:t xml:space="preserve">Anexo 35. </w:t>
      </w:r>
      <w:r w:rsidRPr="005D2619">
        <w:rPr>
          <w:rFonts w:ascii="Cambria" w:hAnsi="Cambria"/>
          <w:color w:val="auto"/>
          <w:sz w:val="16"/>
          <w:szCs w:val="16"/>
          <w:lang w:val="es-MX"/>
        </w:rPr>
        <w:t>Declaración juramentada de Mercedes Yolima Guaqueta Hernandez. 14 de diciembre de 1999. Anexo a la petición inicial.</w:t>
      </w:r>
    </w:p>
  </w:footnote>
  <w:footnote w:id="55">
    <w:p w14:paraId="7A53B471" w14:textId="5D05B541" w:rsidR="006307FA" w:rsidRPr="005D2619" w:rsidRDefault="006307FA" w:rsidP="00CE40F8">
      <w:pPr>
        <w:pStyle w:val="FootnoteText"/>
        <w:tabs>
          <w:tab w:val="left" w:pos="720"/>
        </w:tabs>
        <w:jc w:val="both"/>
        <w:rPr>
          <w:rFonts w:ascii="Cambria" w:hAnsi="Cambria"/>
          <w:color w:val="auto"/>
          <w:sz w:val="16"/>
          <w:szCs w:val="16"/>
          <w:lang w:val="es-MX"/>
        </w:rPr>
      </w:pPr>
      <w:r w:rsidRPr="005D2619">
        <w:rPr>
          <w:rStyle w:val="FootnoteReference"/>
          <w:rFonts w:ascii="Cambria" w:hAnsi="Cambria"/>
          <w:color w:val="auto"/>
          <w:sz w:val="16"/>
          <w:szCs w:val="16"/>
        </w:rPr>
        <w:footnoteRef/>
      </w:r>
      <w:r w:rsidRPr="005D2619">
        <w:rPr>
          <w:rStyle w:val="FootnoteReference"/>
          <w:rFonts w:ascii="Cambria" w:hAnsi="Cambria"/>
          <w:color w:val="auto"/>
          <w:sz w:val="16"/>
          <w:szCs w:val="16"/>
          <w:lang w:val="es-ES"/>
        </w:rPr>
        <w:t xml:space="preserve"> </w:t>
      </w:r>
      <w:r w:rsidR="00B30288">
        <w:rPr>
          <w:rFonts w:ascii="Cambria" w:hAnsi="Cambria"/>
          <w:color w:val="auto"/>
          <w:sz w:val="16"/>
          <w:szCs w:val="16"/>
          <w:lang w:val="es-ES"/>
        </w:rPr>
        <w:t xml:space="preserve">Anexo 36. </w:t>
      </w:r>
      <w:r w:rsidRPr="005D2619">
        <w:rPr>
          <w:rFonts w:ascii="Cambria" w:hAnsi="Cambria"/>
          <w:color w:val="auto"/>
          <w:sz w:val="16"/>
          <w:szCs w:val="16"/>
          <w:lang w:val="es-MX"/>
        </w:rPr>
        <w:t>Declaración juramentada de Mercedes Yolima Guaqueta Hernandez. 14 de diciembre de 1999. Anexo a la petición inicial.</w:t>
      </w:r>
    </w:p>
  </w:footnote>
  <w:footnote w:id="56">
    <w:p w14:paraId="783E45EA" w14:textId="44579F99" w:rsidR="006307FA" w:rsidRPr="005D2619" w:rsidRDefault="006307FA" w:rsidP="00CE40F8">
      <w:pPr>
        <w:pStyle w:val="FootnoteText"/>
        <w:tabs>
          <w:tab w:val="left" w:pos="720"/>
        </w:tabs>
        <w:jc w:val="both"/>
        <w:rPr>
          <w:rFonts w:ascii="Cambria" w:hAnsi="Cambria"/>
          <w:color w:val="auto"/>
          <w:sz w:val="16"/>
          <w:szCs w:val="16"/>
          <w:lang w:val="es-MX"/>
        </w:rPr>
      </w:pPr>
      <w:r w:rsidRPr="005D2619">
        <w:rPr>
          <w:rStyle w:val="FootnoteReference"/>
          <w:rFonts w:ascii="Cambria" w:hAnsi="Cambria"/>
          <w:color w:val="auto"/>
          <w:sz w:val="16"/>
          <w:szCs w:val="16"/>
        </w:rPr>
        <w:footnoteRef/>
      </w:r>
      <w:r w:rsidRPr="005D2619">
        <w:rPr>
          <w:rStyle w:val="FootnoteReference"/>
          <w:rFonts w:ascii="Cambria" w:hAnsi="Cambria"/>
          <w:color w:val="auto"/>
          <w:sz w:val="16"/>
          <w:szCs w:val="16"/>
          <w:lang w:val="es-ES"/>
        </w:rPr>
        <w:t xml:space="preserve"> </w:t>
      </w:r>
      <w:r w:rsidR="00B30288">
        <w:rPr>
          <w:rFonts w:ascii="Cambria" w:hAnsi="Cambria"/>
          <w:color w:val="auto"/>
          <w:sz w:val="16"/>
          <w:szCs w:val="16"/>
          <w:lang w:val="es-ES"/>
        </w:rPr>
        <w:t xml:space="preserve">Anexo 36. </w:t>
      </w:r>
      <w:r w:rsidRPr="005D2619">
        <w:rPr>
          <w:rFonts w:ascii="Cambria" w:hAnsi="Cambria"/>
          <w:color w:val="auto"/>
          <w:sz w:val="16"/>
          <w:szCs w:val="16"/>
          <w:lang w:val="es-MX"/>
        </w:rPr>
        <w:t>Declaración juramentada de Mercedes Yolima Guaqueta Hernandez. 6 julio 2000. Anexo a la petición inicial.</w:t>
      </w:r>
    </w:p>
  </w:footnote>
  <w:footnote w:id="57">
    <w:p w14:paraId="080D0D62" w14:textId="2AC6A73B" w:rsidR="006307FA" w:rsidRPr="005D2619" w:rsidRDefault="006307FA" w:rsidP="00CE40F8">
      <w:pPr>
        <w:pStyle w:val="FootnoteText"/>
        <w:jc w:val="both"/>
        <w:rPr>
          <w:rFonts w:ascii="Cambria" w:hAnsi="Cambria"/>
          <w:color w:val="auto"/>
          <w:sz w:val="16"/>
          <w:szCs w:val="16"/>
          <w:lang w:val="es-MX"/>
        </w:rPr>
      </w:pPr>
      <w:r w:rsidRPr="005D2619">
        <w:rPr>
          <w:rStyle w:val="FootnoteReference"/>
          <w:rFonts w:ascii="Cambria" w:hAnsi="Cambria"/>
          <w:color w:val="auto"/>
          <w:sz w:val="16"/>
          <w:szCs w:val="16"/>
        </w:rPr>
        <w:footnoteRef/>
      </w:r>
      <w:r w:rsidRPr="005D2619">
        <w:rPr>
          <w:rFonts w:ascii="Cambria" w:hAnsi="Cambria"/>
          <w:color w:val="auto"/>
          <w:sz w:val="16"/>
          <w:szCs w:val="16"/>
          <w:lang w:val="es-MX"/>
        </w:rPr>
        <w:t xml:space="preserve"> </w:t>
      </w:r>
      <w:r w:rsidR="00B30288">
        <w:rPr>
          <w:rFonts w:ascii="Cambria" w:hAnsi="Cambria"/>
          <w:color w:val="auto"/>
          <w:sz w:val="16"/>
          <w:szCs w:val="16"/>
          <w:lang w:val="es-ES"/>
        </w:rPr>
        <w:t xml:space="preserve">Anexo 37. </w:t>
      </w:r>
      <w:r w:rsidRPr="005D2619">
        <w:rPr>
          <w:rFonts w:ascii="Cambria" w:hAnsi="Cambria"/>
          <w:color w:val="auto"/>
          <w:sz w:val="16"/>
          <w:szCs w:val="16"/>
          <w:lang w:val="es-MX"/>
        </w:rPr>
        <w:t xml:space="preserve">Diligencia de declaración rendida por Ángel Humberto Junca Guzmán, grupo de Derechos Humanos del Cuerpo técnico de Investigación, 9 de noviembre de 2000. Anexo a la petición inicial. </w:t>
      </w:r>
    </w:p>
  </w:footnote>
  <w:footnote w:id="58">
    <w:p w14:paraId="77C72750" w14:textId="220A5BAD" w:rsidR="006307FA" w:rsidRPr="005D2619" w:rsidRDefault="006307FA" w:rsidP="00CE40F8">
      <w:pPr>
        <w:pStyle w:val="FootnoteText"/>
        <w:jc w:val="both"/>
        <w:rPr>
          <w:rFonts w:ascii="Cambria" w:hAnsi="Cambria"/>
          <w:color w:val="auto"/>
          <w:sz w:val="16"/>
          <w:szCs w:val="16"/>
          <w:lang w:val="es-MX"/>
        </w:rPr>
      </w:pPr>
      <w:r w:rsidRPr="005D2619">
        <w:rPr>
          <w:rStyle w:val="FootnoteReference"/>
          <w:rFonts w:ascii="Cambria" w:hAnsi="Cambria"/>
          <w:color w:val="auto"/>
          <w:sz w:val="16"/>
          <w:szCs w:val="16"/>
        </w:rPr>
        <w:footnoteRef/>
      </w:r>
      <w:r w:rsidRPr="005D2619">
        <w:rPr>
          <w:rFonts w:ascii="Cambria" w:hAnsi="Cambria"/>
          <w:color w:val="auto"/>
          <w:sz w:val="16"/>
          <w:szCs w:val="16"/>
          <w:lang w:val="es-ES"/>
        </w:rPr>
        <w:t xml:space="preserve"> </w:t>
      </w:r>
      <w:r w:rsidR="00B30288">
        <w:rPr>
          <w:rFonts w:ascii="Cambria" w:hAnsi="Cambria"/>
          <w:color w:val="auto"/>
          <w:sz w:val="16"/>
          <w:szCs w:val="16"/>
          <w:lang w:val="es-ES"/>
        </w:rPr>
        <w:t xml:space="preserve">Anexo 38. </w:t>
      </w:r>
      <w:r w:rsidRPr="005D2619">
        <w:rPr>
          <w:rFonts w:ascii="Cambria" w:hAnsi="Cambria"/>
          <w:color w:val="auto"/>
          <w:sz w:val="16"/>
          <w:szCs w:val="16"/>
          <w:lang w:val="es-ES_tradnl"/>
        </w:rPr>
        <w:t xml:space="preserve">Sentencia de la </w:t>
      </w:r>
      <w:r w:rsidRPr="005D2619">
        <w:rPr>
          <w:rFonts w:ascii="Cambria" w:hAnsi="Cambria"/>
          <w:color w:val="auto"/>
          <w:sz w:val="16"/>
          <w:szCs w:val="16"/>
          <w:lang w:val="es-MX"/>
        </w:rPr>
        <w:t>Sala de Casación Penal de la Corte Suprema de Justicia, 13 de febrero de 2003. Anexo escrito del estado de 15 de agosto de 2003.</w:t>
      </w:r>
    </w:p>
  </w:footnote>
  <w:footnote w:id="59">
    <w:p w14:paraId="2E3C298A" w14:textId="026BBC24" w:rsidR="006307FA" w:rsidRPr="005D2619" w:rsidRDefault="006307FA" w:rsidP="00CE40F8">
      <w:pPr>
        <w:pStyle w:val="FootnoteText"/>
        <w:jc w:val="both"/>
        <w:rPr>
          <w:rFonts w:ascii="Cambria" w:hAnsi="Cambria"/>
          <w:color w:val="auto"/>
          <w:sz w:val="16"/>
          <w:szCs w:val="16"/>
          <w:lang w:val="es-MX"/>
        </w:rPr>
      </w:pPr>
      <w:r w:rsidRPr="005D2619">
        <w:rPr>
          <w:rStyle w:val="FootnoteReference"/>
          <w:rFonts w:ascii="Cambria" w:hAnsi="Cambria"/>
          <w:color w:val="auto"/>
          <w:sz w:val="16"/>
          <w:szCs w:val="16"/>
        </w:rPr>
        <w:footnoteRef/>
      </w:r>
      <w:r w:rsidRPr="005D2619">
        <w:rPr>
          <w:rFonts w:ascii="Cambria" w:hAnsi="Cambria"/>
          <w:color w:val="auto"/>
          <w:sz w:val="16"/>
          <w:szCs w:val="16"/>
          <w:lang w:val="es-MX"/>
        </w:rPr>
        <w:t xml:space="preserve"> </w:t>
      </w:r>
      <w:r w:rsidR="00B30288">
        <w:rPr>
          <w:rFonts w:ascii="Cambria" w:hAnsi="Cambria"/>
          <w:color w:val="auto"/>
          <w:sz w:val="16"/>
          <w:szCs w:val="16"/>
          <w:lang w:val="es-MX"/>
        </w:rPr>
        <w:t xml:space="preserve">Anexo 39. </w:t>
      </w:r>
      <w:r w:rsidRPr="005D2619">
        <w:rPr>
          <w:rFonts w:ascii="Cambria" w:hAnsi="Cambria"/>
          <w:color w:val="auto"/>
          <w:sz w:val="16"/>
          <w:szCs w:val="16"/>
          <w:lang w:val="es-ES"/>
        </w:rPr>
        <w:t>Resolución del juzgado Quinto de Ejecución de Pena y medidas de Seguridad de Bogotá, 30 noviembre de 2005. Anexo escrito del Estado de 1 de febrero de 2006.</w:t>
      </w:r>
    </w:p>
  </w:footnote>
  <w:footnote w:id="60">
    <w:p w14:paraId="5512682D" w14:textId="1CA329D3" w:rsidR="006307FA" w:rsidRPr="005D2619" w:rsidRDefault="006307FA" w:rsidP="00CE40F8">
      <w:pPr>
        <w:pStyle w:val="FootnoteText"/>
        <w:jc w:val="both"/>
        <w:rPr>
          <w:rFonts w:ascii="Cambria" w:hAnsi="Cambria"/>
          <w:color w:val="auto"/>
          <w:sz w:val="16"/>
          <w:szCs w:val="16"/>
          <w:lang w:val="es-MX"/>
        </w:rPr>
      </w:pPr>
      <w:r w:rsidRPr="005D2619">
        <w:rPr>
          <w:rStyle w:val="FootnoteReference"/>
          <w:rFonts w:ascii="Cambria" w:hAnsi="Cambria"/>
          <w:color w:val="auto"/>
          <w:sz w:val="16"/>
          <w:szCs w:val="16"/>
        </w:rPr>
        <w:footnoteRef/>
      </w:r>
      <w:r w:rsidRPr="005D2619">
        <w:rPr>
          <w:rFonts w:ascii="Cambria" w:hAnsi="Cambria"/>
          <w:color w:val="auto"/>
          <w:sz w:val="16"/>
          <w:szCs w:val="16"/>
          <w:lang w:val="es-MX"/>
        </w:rPr>
        <w:t xml:space="preserve"> </w:t>
      </w:r>
      <w:r w:rsidR="00B30288">
        <w:rPr>
          <w:rFonts w:ascii="Cambria" w:hAnsi="Cambria"/>
          <w:color w:val="auto"/>
          <w:sz w:val="16"/>
          <w:szCs w:val="16"/>
          <w:lang w:val="es-MX"/>
        </w:rPr>
        <w:t xml:space="preserve">Anexo 39. </w:t>
      </w:r>
      <w:r w:rsidRPr="005D2619">
        <w:rPr>
          <w:rFonts w:ascii="Cambria" w:hAnsi="Cambria"/>
          <w:color w:val="auto"/>
          <w:sz w:val="16"/>
          <w:szCs w:val="16"/>
          <w:lang w:val="es-ES"/>
        </w:rPr>
        <w:t>Resolución del juzgado Quinto de Ejecución de Pena y medidas de Seguridad de Bogotá, 30 noviembre de 2005. Anexo escrito del Estado de 1 de febrero de 2006.</w:t>
      </w:r>
    </w:p>
  </w:footnote>
  <w:footnote w:id="61">
    <w:p w14:paraId="3E336668" w14:textId="3A884AFC" w:rsidR="006307FA" w:rsidRPr="005D2619" w:rsidRDefault="006307FA" w:rsidP="00CE40F8">
      <w:pPr>
        <w:pStyle w:val="FootnoteText"/>
        <w:jc w:val="both"/>
        <w:rPr>
          <w:rFonts w:ascii="Cambria" w:hAnsi="Cambria"/>
          <w:color w:val="auto"/>
          <w:sz w:val="16"/>
          <w:szCs w:val="16"/>
          <w:lang w:val="es-MX"/>
        </w:rPr>
      </w:pPr>
      <w:r w:rsidRPr="005D2619">
        <w:rPr>
          <w:rStyle w:val="FootnoteReference"/>
          <w:rFonts w:ascii="Cambria" w:hAnsi="Cambria"/>
          <w:color w:val="auto"/>
          <w:sz w:val="16"/>
          <w:szCs w:val="16"/>
        </w:rPr>
        <w:footnoteRef/>
      </w:r>
      <w:r w:rsidRPr="005D2619">
        <w:rPr>
          <w:rFonts w:ascii="Cambria" w:hAnsi="Cambria"/>
          <w:color w:val="auto"/>
          <w:sz w:val="16"/>
          <w:szCs w:val="16"/>
          <w:lang w:val="es-MX"/>
        </w:rPr>
        <w:t xml:space="preserve"> </w:t>
      </w:r>
      <w:r w:rsidR="00B30288">
        <w:rPr>
          <w:rFonts w:ascii="Cambria" w:hAnsi="Cambria"/>
          <w:color w:val="auto"/>
          <w:sz w:val="16"/>
          <w:szCs w:val="16"/>
          <w:lang w:val="es-MX"/>
        </w:rPr>
        <w:t xml:space="preserve">Anexo 39. </w:t>
      </w:r>
      <w:r w:rsidRPr="005D2619">
        <w:rPr>
          <w:rFonts w:ascii="Cambria" w:hAnsi="Cambria"/>
          <w:color w:val="auto"/>
          <w:sz w:val="16"/>
          <w:szCs w:val="16"/>
          <w:lang w:val="es-ES"/>
        </w:rPr>
        <w:t>Resolución del juzgado Quinto de Ejecución de Pena y medidas de Seguridad de Bogotá, 30 noviembre de 2005. Anexo escrito del Estado.</w:t>
      </w:r>
    </w:p>
  </w:footnote>
  <w:footnote w:id="62">
    <w:p w14:paraId="54EC7860" w14:textId="19B17C64" w:rsidR="006307FA" w:rsidRPr="005D2619" w:rsidRDefault="006307FA" w:rsidP="00CE40F8">
      <w:pPr>
        <w:pStyle w:val="FootnoteText"/>
        <w:jc w:val="both"/>
        <w:rPr>
          <w:rFonts w:ascii="Cambria" w:hAnsi="Cambria"/>
          <w:color w:val="auto"/>
          <w:sz w:val="16"/>
          <w:szCs w:val="16"/>
          <w:lang w:val="es-MX"/>
        </w:rPr>
      </w:pPr>
      <w:r w:rsidRPr="005D2619">
        <w:rPr>
          <w:rStyle w:val="FootnoteReference"/>
          <w:rFonts w:ascii="Cambria" w:hAnsi="Cambria"/>
          <w:color w:val="auto"/>
          <w:sz w:val="16"/>
          <w:szCs w:val="16"/>
        </w:rPr>
        <w:footnoteRef/>
      </w:r>
      <w:r w:rsidRPr="005D2619">
        <w:rPr>
          <w:rFonts w:ascii="Cambria" w:hAnsi="Cambria"/>
          <w:color w:val="auto"/>
          <w:sz w:val="16"/>
          <w:szCs w:val="16"/>
          <w:lang w:val="es-MX"/>
        </w:rPr>
        <w:t xml:space="preserve"> </w:t>
      </w:r>
      <w:r w:rsidR="00B30288">
        <w:rPr>
          <w:rFonts w:ascii="Cambria" w:hAnsi="Cambria"/>
          <w:color w:val="auto"/>
          <w:sz w:val="16"/>
          <w:szCs w:val="16"/>
          <w:lang w:val="es-MX"/>
        </w:rPr>
        <w:t xml:space="preserve">Anexo 39. </w:t>
      </w:r>
      <w:r w:rsidRPr="005D2619">
        <w:rPr>
          <w:rFonts w:ascii="Cambria" w:hAnsi="Cambria"/>
          <w:color w:val="auto"/>
          <w:sz w:val="16"/>
          <w:szCs w:val="16"/>
          <w:lang w:val="es-ES"/>
        </w:rPr>
        <w:t>Resolución del juzgado Quinto de Ejecución de Pena y medidas de Seguridad de Bogotá, 30 noviembre de 2005. Anexo escrito del Estado de 1 de febrero de 2006.</w:t>
      </w:r>
    </w:p>
  </w:footnote>
  <w:footnote w:id="63">
    <w:p w14:paraId="0ED2D77D" w14:textId="613C7CC3" w:rsidR="006307FA" w:rsidRPr="005D2619" w:rsidRDefault="006307FA" w:rsidP="00CE40F8">
      <w:pPr>
        <w:pStyle w:val="FootnoteText"/>
        <w:jc w:val="both"/>
        <w:rPr>
          <w:rFonts w:ascii="Cambria" w:hAnsi="Cambria"/>
          <w:color w:val="auto"/>
          <w:sz w:val="16"/>
          <w:szCs w:val="16"/>
          <w:lang w:val="es-MX"/>
        </w:rPr>
      </w:pPr>
      <w:r w:rsidRPr="005D2619">
        <w:rPr>
          <w:rStyle w:val="FootnoteReference"/>
          <w:rFonts w:ascii="Cambria" w:hAnsi="Cambria"/>
          <w:color w:val="auto"/>
          <w:sz w:val="16"/>
          <w:szCs w:val="16"/>
        </w:rPr>
        <w:footnoteRef/>
      </w:r>
      <w:r w:rsidRPr="005D2619">
        <w:rPr>
          <w:rFonts w:ascii="Cambria" w:hAnsi="Cambria"/>
          <w:color w:val="auto"/>
          <w:sz w:val="16"/>
          <w:szCs w:val="16"/>
          <w:lang w:val="es-MX"/>
        </w:rPr>
        <w:t xml:space="preserve"> </w:t>
      </w:r>
      <w:r w:rsidR="00B30288">
        <w:rPr>
          <w:rFonts w:ascii="Cambria" w:hAnsi="Cambria"/>
          <w:color w:val="auto"/>
          <w:sz w:val="16"/>
          <w:szCs w:val="16"/>
          <w:lang w:val="es-MX"/>
        </w:rPr>
        <w:t xml:space="preserve">Anexo 40. </w:t>
      </w:r>
      <w:r w:rsidRPr="005D2619">
        <w:rPr>
          <w:rFonts w:ascii="Cambria" w:hAnsi="Cambria"/>
          <w:color w:val="auto"/>
          <w:sz w:val="16"/>
          <w:szCs w:val="16"/>
          <w:lang w:val="es-MX"/>
        </w:rPr>
        <w:t>Fiscalía General de la Nación,  Unidad Nacional de Derechos Humanos y Derecho Humanitario, 25 febrero de 2008, Anexo a escrito del Estado de 9 de abril de 2008.</w:t>
      </w:r>
    </w:p>
  </w:footnote>
  <w:footnote w:id="64">
    <w:p w14:paraId="49A19D5E" w14:textId="0DDC289B" w:rsidR="006307FA" w:rsidRPr="005D2619" w:rsidRDefault="006307FA" w:rsidP="00CE40F8">
      <w:pPr>
        <w:pStyle w:val="FootnoteText"/>
        <w:jc w:val="both"/>
        <w:rPr>
          <w:rFonts w:ascii="Cambria" w:hAnsi="Cambria"/>
          <w:color w:val="auto"/>
          <w:sz w:val="16"/>
          <w:szCs w:val="16"/>
          <w:lang w:val="es-MX"/>
        </w:rPr>
      </w:pPr>
      <w:r w:rsidRPr="005D2619">
        <w:rPr>
          <w:rStyle w:val="FootnoteReference"/>
          <w:rFonts w:ascii="Cambria" w:hAnsi="Cambria"/>
          <w:color w:val="auto"/>
          <w:sz w:val="16"/>
          <w:szCs w:val="16"/>
        </w:rPr>
        <w:footnoteRef/>
      </w:r>
      <w:r w:rsidRPr="005D2619">
        <w:rPr>
          <w:rFonts w:ascii="Cambria" w:hAnsi="Cambria"/>
          <w:color w:val="auto"/>
          <w:sz w:val="16"/>
          <w:szCs w:val="16"/>
          <w:lang w:val="es-MX"/>
        </w:rPr>
        <w:t xml:space="preserve"> </w:t>
      </w:r>
      <w:r w:rsidR="00B30288">
        <w:rPr>
          <w:rFonts w:ascii="Cambria" w:hAnsi="Cambria"/>
          <w:color w:val="auto"/>
          <w:sz w:val="16"/>
          <w:szCs w:val="16"/>
          <w:lang w:val="es-MX"/>
        </w:rPr>
        <w:t xml:space="preserve">Anexo 40. </w:t>
      </w:r>
      <w:r w:rsidRPr="005D2619">
        <w:rPr>
          <w:rFonts w:ascii="Cambria" w:hAnsi="Cambria"/>
          <w:color w:val="auto"/>
          <w:sz w:val="16"/>
          <w:szCs w:val="16"/>
          <w:lang w:val="es-MX"/>
        </w:rPr>
        <w:t>Fiscalía General de la Nación,  Unidad Nacional de Derechos Humanos y Derecho Humanitario, 25 febrero de 2008, Anexo a escrito del Estado de 9 de abril de 2008.</w:t>
      </w:r>
    </w:p>
  </w:footnote>
  <w:footnote w:id="65">
    <w:p w14:paraId="581EF983" w14:textId="2A1D9B33" w:rsidR="006307FA" w:rsidRPr="005D2619" w:rsidRDefault="006307FA" w:rsidP="00CE40F8">
      <w:pPr>
        <w:pStyle w:val="FootnoteText"/>
        <w:jc w:val="both"/>
        <w:rPr>
          <w:rFonts w:ascii="Cambria" w:hAnsi="Cambria"/>
          <w:color w:val="auto"/>
          <w:sz w:val="16"/>
          <w:szCs w:val="16"/>
          <w:lang w:val="es-MX"/>
        </w:rPr>
      </w:pPr>
      <w:r w:rsidRPr="005D2619">
        <w:rPr>
          <w:rStyle w:val="FootnoteReference"/>
          <w:rFonts w:ascii="Cambria" w:hAnsi="Cambria"/>
          <w:color w:val="auto"/>
          <w:sz w:val="16"/>
          <w:szCs w:val="16"/>
        </w:rPr>
        <w:footnoteRef/>
      </w:r>
      <w:r w:rsidRPr="005D2619">
        <w:rPr>
          <w:rFonts w:ascii="Cambria" w:hAnsi="Cambria"/>
          <w:color w:val="auto"/>
          <w:sz w:val="16"/>
          <w:szCs w:val="16"/>
          <w:lang w:val="es-MX"/>
        </w:rPr>
        <w:t xml:space="preserve"> </w:t>
      </w:r>
      <w:r w:rsidR="00B30288">
        <w:rPr>
          <w:rFonts w:ascii="Cambria" w:hAnsi="Cambria"/>
          <w:color w:val="auto"/>
          <w:sz w:val="16"/>
          <w:szCs w:val="16"/>
          <w:lang w:val="es-MX"/>
        </w:rPr>
        <w:t xml:space="preserve">Anexo 40. </w:t>
      </w:r>
      <w:r w:rsidRPr="005D2619">
        <w:rPr>
          <w:rFonts w:ascii="Cambria" w:hAnsi="Cambria"/>
          <w:color w:val="auto"/>
          <w:sz w:val="16"/>
          <w:szCs w:val="16"/>
          <w:lang w:val="es-MX"/>
        </w:rPr>
        <w:t>Fiscalía General de la Nación,  Unidad Nacional de Derechos Humanos y Derecho Humanitario, 25 febrero de 2008, Anexo a escrito del Estado de 9 de abril de 2008.</w:t>
      </w:r>
    </w:p>
  </w:footnote>
  <w:footnote w:id="66">
    <w:p w14:paraId="3756F2AD" w14:textId="4CD7B0F8" w:rsidR="006307FA" w:rsidRPr="005D2619" w:rsidRDefault="006307FA" w:rsidP="00CE40F8">
      <w:pPr>
        <w:pStyle w:val="FootnoteText"/>
        <w:jc w:val="both"/>
        <w:rPr>
          <w:rFonts w:ascii="Cambria" w:hAnsi="Cambria"/>
          <w:color w:val="auto"/>
          <w:sz w:val="16"/>
          <w:szCs w:val="16"/>
          <w:lang w:val="es-MX"/>
        </w:rPr>
      </w:pPr>
      <w:r w:rsidRPr="005D2619">
        <w:rPr>
          <w:rStyle w:val="FootnoteReference"/>
          <w:rFonts w:ascii="Cambria" w:hAnsi="Cambria"/>
          <w:color w:val="auto"/>
          <w:sz w:val="16"/>
          <w:szCs w:val="16"/>
        </w:rPr>
        <w:footnoteRef/>
      </w:r>
      <w:r w:rsidRPr="005D2619">
        <w:rPr>
          <w:rFonts w:ascii="Cambria" w:hAnsi="Cambria"/>
          <w:color w:val="auto"/>
          <w:sz w:val="16"/>
          <w:szCs w:val="16"/>
          <w:lang w:val="es-MX"/>
        </w:rPr>
        <w:t xml:space="preserve"> </w:t>
      </w:r>
      <w:r w:rsidR="00B30288">
        <w:rPr>
          <w:rFonts w:ascii="Cambria" w:hAnsi="Cambria"/>
          <w:color w:val="auto"/>
          <w:sz w:val="16"/>
          <w:szCs w:val="16"/>
          <w:lang w:val="es-MX"/>
        </w:rPr>
        <w:t xml:space="preserve">Anexo 40. </w:t>
      </w:r>
      <w:r w:rsidRPr="005D2619">
        <w:rPr>
          <w:rFonts w:ascii="Cambria" w:hAnsi="Cambria"/>
          <w:color w:val="auto"/>
          <w:sz w:val="16"/>
          <w:szCs w:val="16"/>
          <w:lang w:val="es-MX"/>
        </w:rPr>
        <w:t>Fiscalía General de la Nación,  Unidad Nacional de Derechos Humanos y Derecho Humanitario, 25 febrero de 2008, Anexo a escrito del Estado de 9 de abril de 2008.</w:t>
      </w:r>
    </w:p>
  </w:footnote>
  <w:footnote w:id="67">
    <w:p w14:paraId="1DA8B9C1" w14:textId="3954F197" w:rsidR="006307FA" w:rsidRPr="005D2619" w:rsidRDefault="006307FA" w:rsidP="00CE40F8">
      <w:pPr>
        <w:pStyle w:val="FootnoteText"/>
        <w:jc w:val="both"/>
        <w:rPr>
          <w:rFonts w:ascii="Cambria" w:hAnsi="Cambria"/>
          <w:color w:val="auto"/>
          <w:sz w:val="16"/>
          <w:szCs w:val="16"/>
          <w:lang w:val="es-ES_tradnl"/>
        </w:rPr>
      </w:pPr>
      <w:r w:rsidRPr="005D2619">
        <w:rPr>
          <w:rStyle w:val="FootnoteReference"/>
          <w:rFonts w:ascii="Cambria" w:hAnsi="Cambria"/>
          <w:color w:val="auto"/>
          <w:sz w:val="16"/>
          <w:szCs w:val="16"/>
        </w:rPr>
        <w:footnoteRef/>
      </w:r>
      <w:r w:rsidRPr="005D2619">
        <w:rPr>
          <w:rFonts w:ascii="Cambria" w:hAnsi="Cambria"/>
          <w:color w:val="auto"/>
          <w:sz w:val="16"/>
          <w:szCs w:val="16"/>
          <w:lang w:val="es-ES"/>
        </w:rPr>
        <w:t xml:space="preserve"> </w:t>
      </w:r>
      <w:r w:rsidR="00B30288">
        <w:rPr>
          <w:rFonts w:ascii="Cambria" w:hAnsi="Cambria"/>
          <w:color w:val="auto"/>
          <w:sz w:val="16"/>
          <w:szCs w:val="16"/>
          <w:lang w:val="es-MX"/>
        </w:rPr>
        <w:t xml:space="preserve">Anexo 41. </w:t>
      </w:r>
      <w:r w:rsidRPr="005D2619">
        <w:rPr>
          <w:rFonts w:ascii="Cambria" w:hAnsi="Cambria"/>
          <w:color w:val="auto"/>
          <w:sz w:val="16"/>
          <w:szCs w:val="16"/>
          <w:lang w:val="es-ES_tradnl"/>
        </w:rPr>
        <w:t>Escrito del Estado de 26 de octubre de 2010.</w:t>
      </w:r>
    </w:p>
  </w:footnote>
  <w:footnote w:id="68">
    <w:p w14:paraId="6CEAF1F5" w14:textId="77777777" w:rsidR="006307FA" w:rsidRPr="005D2619" w:rsidRDefault="006307FA" w:rsidP="00CE40F8">
      <w:pPr>
        <w:pStyle w:val="FootnoteText"/>
        <w:jc w:val="both"/>
        <w:rPr>
          <w:rFonts w:ascii="Cambria" w:hAnsi="Cambria"/>
          <w:color w:val="auto"/>
          <w:sz w:val="16"/>
          <w:szCs w:val="16"/>
          <w:lang w:val="es-ES_tradnl"/>
        </w:rPr>
      </w:pPr>
      <w:r w:rsidRPr="005D2619">
        <w:rPr>
          <w:rStyle w:val="FootnoteReference"/>
          <w:rFonts w:ascii="Cambria" w:hAnsi="Cambria"/>
          <w:color w:val="auto"/>
          <w:sz w:val="16"/>
          <w:szCs w:val="16"/>
        </w:rPr>
        <w:footnoteRef/>
      </w:r>
      <w:r w:rsidRPr="005D2619">
        <w:rPr>
          <w:rFonts w:ascii="Cambria" w:hAnsi="Cambria"/>
          <w:color w:val="auto"/>
          <w:sz w:val="16"/>
          <w:szCs w:val="16"/>
          <w:lang w:val="es-ES"/>
        </w:rPr>
        <w:t xml:space="preserve"> Nota de Prensa “A juicio testigos de asesinato de ex M-19 Hernando Pizarro”, publicado en El Espectador el 21 de mayo de 2011. Disponible en: https://www.elespectador.com/content/juicio-testigos-de-asesinato-de-ex-m-19-hernando-pizarro</w:t>
      </w:r>
    </w:p>
  </w:footnote>
  <w:footnote w:id="69">
    <w:p w14:paraId="0C5143D6" w14:textId="77777777" w:rsidR="006307FA" w:rsidRPr="005D2619" w:rsidRDefault="006307FA" w:rsidP="00CE40F8">
      <w:pPr>
        <w:pStyle w:val="FootnoteText"/>
        <w:jc w:val="both"/>
        <w:rPr>
          <w:rFonts w:ascii="Cambria" w:hAnsi="Cambria"/>
          <w:color w:val="auto"/>
          <w:sz w:val="16"/>
          <w:szCs w:val="16"/>
          <w:lang w:val="es-ES_tradnl"/>
        </w:rPr>
      </w:pPr>
      <w:r w:rsidRPr="005D2619">
        <w:rPr>
          <w:rStyle w:val="FootnoteReference"/>
          <w:rFonts w:ascii="Cambria" w:hAnsi="Cambria"/>
          <w:color w:val="auto"/>
          <w:sz w:val="16"/>
          <w:szCs w:val="16"/>
        </w:rPr>
        <w:footnoteRef/>
      </w:r>
      <w:r w:rsidRPr="005D2619">
        <w:rPr>
          <w:rFonts w:ascii="Cambria" w:hAnsi="Cambria"/>
          <w:color w:val="auto"/>
          <w:sz w:val="16"/>
          <w:szCs w:val="16"/>
          <w:lang w:val="es-ES"/>
        </w:rPr>
        <w:t xml:space="preserve"> Nota de Prensa “Juicio por complot contra Sastoque”, publicado en El Espectador el 4 de octubre de 2012. Disponible en: https://www.elespectador.com/noticias/judicial/juicio-complot-contra-sastoque-articulo-379426</w:t>
      </w:r>
    </w:p>
  </w:footnote>
  <w:footnote w:id="70">
    <w:p w14:paraId="24A417B9" w14:textId="77777777" w:rsidR="006307FA" w:rsidRPr="005D2619" w:rsidRDefault="006307FA" w:rsidP="00CE40F8">
      <w:pPr>
        <w:pStyle w:val="FootnoteText"/>
        <w:jc w:val="both"/>
        <w:rPr>
          <w:rFonts w:ascii="Cambria" w:hAnsi="Cambria"/>
          <w:color w:val="auto"/>
          <w:sz w:val="16"/>
          <w:szCs w:val="16"/>
          <w:lang w:val="es-ES"/>
        </w:rPr>
      </w:pPr>
      <w:r w:rsidRPr="005D2619">
        <w:rPr>
          <w:rStyle w:val="FootnoteReference"/>
          <w:rFonts w:ascii="Cambria" w:hAnsi="Cambria"/>
          <w:color w:val="auto"/>
          <w:sz w:val="16"/>
          <w:szCs w:val="16"/>
        </w:rPr>
        <w:footnoteRef/>
      </w:r>
      <w:r w:rsidRPr="005D2619">
        <w:rPr>
          <w:rFonts w:ascii="Cambria" w:hAnsi="Cambria"/>
          <w:color w:val="auto"/>
          <w:sz w:val="16"/>
          <w:szCs w:val="16"/>
          <w:lang w:val="es-ES"/>
        </w:rPr>
        <w:t xml:space="preserve"> Artículo 7. Derecho a la libertad personal.</w:t>
      </w:r>
    </w:p>
    <w:p w14:paraId="462EE9C6" w14:textId="77777777" w:rsidR="006307FA" w:rsidRPr="005D2619" w:rsidRDefault="006307FA" w:rsidP="009B4ECB">
      <w:pPr>
        <w:pStyle w:val="FootnoteText"/>
        <w:numPr>
          <w:ilvl w:val="0"/>
          <w:numId w:val="56"/>
        </w:numPr>
        <w:tabs>
          <w:tab w:val="left" w:pos="180"/>
        </w:tabs>
        <w:ind w:left="720" w:firstLine="0"/>
        <w:jc w:val="both"/>
        <w:rPr>
          <w:rFonts w:ascii="Cambria" w:hAnsi="Cambria" w:cs="Tahoma"/>
          <w:color w:val="auto"/>
          <w:sz w:val="16"/>
          <w:szCs w:val="16"/>
          <w:lang w:val="es-ES"/>
        </w:rPr>
      </w:pPr>
      <w:r w:rsidRPr="005D2619">
        <w:rPr>
          <w:rFonts w:ascii="Cambria" w:hAnsi="Cambria" w:cs="Tahoma"/>
          <w:color w:val="auto"/>
          <w:sz w:val="16"/>
          <w:szCs w:val="16"/>
          <w:lang w:val="es-ES"/>
        </w:rPr>
        <w:t xml:space="preserve">Toda persona tiene derecho a la libertad y a la seguridad personales (…).    </w:t>
      </w:r>
    </w:p>
    <w:p w14:paraId="10CB3B68" w14:textId="77777777" w:rsidR="006307FA" w:rsidRPr="005D2619" w:rsidRDefault="006307FA" w:rsidP="009B4ECB">
      <w:pPr>
        <w:pStyle w:val="FootnoteText"/>
        <w:numPr>
          <w:ilvl w:val="0"/>
          <w:numId w:val="56"/>
        </w:numPr>
        <w:tabs>
          <w:tab w:val="left" w:pos="180"/>
        </w:tabs>
        <w:ind w:left="720" w:firstLine="0"/>
        <w:jc w:val="both"/>
        <w:rPr>
          <w:rFonts w:ascii="Cambria" w:hAnsi="Cambria" w:cs="Tahoma"/>
          <w:color w:val="auto"/>
          <w:sz w:val="16"/>
          <w:szCs w:val="16"/>
          <w:lang w:val="es-ES"/>
        </w:rPr>
      </w:pPr>
      <w:r w:rsidRPr="005D2619">
        <w:rPr>
          <w:rFonts w:ascii="Cambria" w:hAnsi="Cambria" w:cs="Tahoma"/>
          <w:color w:val="auto"/>
          <w:sz w:val="16"/>
          <w:szCs w:val="16"/>
          <w:lang w:val="es-ES"/>
        </w:rPr>
        <w:t xml:space="preserve">Nadie puede ser privado de su libertad física, salvo por las causas y en las condiciones fijadas de antemano por las Constituciones Políticas de los Estados Partes o por las leyes dictadas conforme a ellas.                                  </w:t>
      </w:r>
    </w:p>
    <w:p w14:paraId="5FB2BC87" w14:textId="77777777" w:rsidR="006307FA" w:rsidRPr="005D2619" w:rsidRDefault="006307FA" w:rsidP="009B4ECB">
      <w:pPr>
        <w:pStyle w:val="FootnoteText"/>
        <w:numPr>
          <w:ilvl w:val="0"/>
          <w:numId w:val="56"/>
        </w:numPr>
        <w:tabs>
          <w:tab w:val="left" w:pos="180"/>
        </w:tabs>
        <w:ind w:left="720" w:firstLine="0"/>
        <w:jc w:val="both"/>
        <w:rPr>
          <w:rFonts w:ascii="Cambria" w:hAnsi="Cambria" w:cs="Tahoma"/>
          <w:color w:val="auto"/>
          <w:sz w:val="16"/>
          <w:szCs w:val="16"/>
          <w:lang w:val="es-ES"/>
        </w:rPr>
      </w:pPr>
      <w:r w:rsidRPr="005D2619">
        <w:rPr>
          <w:rFonts w:ascii="Cambria" w:hAnsi="Cambria" w:cs="Tahoma"/>
          <w:color w:val="auto"/>
          <w:sz w:val="16"/>
          <w:szCs w:val="16"/>
          <w:lang w:val="es-ES"/>
        </w:rPr>
        <w:t>Nadie puede ser sometido a detención o encarcelamiento arbitrarios.</w:t>
      </w:r>
    </w:p>
    <w:p w14:paraId="66F76646" w14:textId="77777777" w:rsidR="006307FA" w:rsidRPr="005D2619" w:rsidRDefault="006307FA" w:rsidP="009B4ECB">
      <w:pPr>
        <w:widowControl w:val="0"/>
        <w:numPr>
          <w:ilvl w:val="0"/>
          <w:numId w:val="56"/>
        </w:numPr>
        <w:tabs>
          <w:tab w:val="left" w:pos="180"/>
        </w:tabs>
        <w:autoSpaceDE w:val="0"/>
        <w:autoSpaceDN w:val="0"/>
        <w:adjustRightInd w:val="0"/>
        <w:spacing w:after="0" w:line="240" w:lineRule="auto"/>
        <w:ind w:left="720" w:firstLine="0"/>
        <w:jc w:val="both"/>
        <w:rPr>
          <w:rFonts w:ascii="Cambria" w:hAnsi="Cambria" w:cs="Times-Roman"/>
          <w:sz w:val="16"/>
          <w:szCs w:val="16"/>
          <w:lang w:val="es-ES" w:bidi="en-US"/>
        </w:rPr>
      </w:pPr>
      <w:r w:rsidRPr="005D2619">
        <w:rPr>
          <w:rFonts w:ascii="Cambria" w:hAnsi="Cambria" w:cs="Verdana"/>
          <w:sz w:val="16"/>
          <w:szCs w:val="16"/>
          <w:lang w:val="es-ES" w:bidi="en-US"/>
        </w:rPr>
        <w:t>Toda persona detenida o retenida debe ser informada de las razones de su detención y notificada, sin demora, del cargo o cargos formulados contra ella.</w:t>
      </w:r>
    </w:p>
  </w:footnote>
  <w:footnote w:id="71">
    <w:p w14:paraId="3C1B8676" w14:textId="77777777" w:rsidR="006307FA" w:rsidRPr="005D2619" w:rsidRDefault="006307FA" w:rsidP="00CE40F8">
      <w:pPr>
        <w:pStyle w:val="FootnoteText"/>
        <w:tabs>
          <w:tab w:val="left" w:pos="720"/>
          <w:tab w:val="left" w:pos="1080"/>
        </w:tabs>
        <w:jc w:val="both"/>
        <w:rPr>
          <w:rFonts w:ascii="Cambria" w:hAnsi="Cambria"/>
          <w:color w:val="auto"/>
          <w:sz w:val="16"/>
          <w:szCs w:val="16"/>
          <w:lang w:val="es-ES_tradnl"/>
        </w:rPr>
      </w:pPr>
      <w:r w:rsidRPr="005D2619">
        <w:rPr>
          <w:rStyle w:val="FootnoteReference"/>
          <w:rFonts w:ascii="Cambria" w:hAnsi="Cambria"/>
          <w:color w:val="auto"/>
          <w:sz w:val="16"/>
          <w:szCs w:val="16"/>
        </w:rPr>
        <w:footnoteRef/>
      </w:r>
      <w:r w:rsidRPr="005D2619">
        <w:rPr>
          <w:rFonts w:ascii="Cambria" w:hAnsi="Cambria"/>
          <w:color w:val="auto"/>
          <w:sz w:val="16"/>
          <w:szCs w:val="16"/>
          <w:lang w:val="es-ES_tradnl"/>
        </w:rPr>
        <w:t xml:space="preserve"> Corte IDH. </w:t>
      </w:r>
      <w:r w:rsidRPr="005D2619">
        <w:rPr>
          <w:rFonts w:ascii="Cambria" w:hAnsi="Cambria"/>
          <w:bCs/>
          <w:i/>
          <w:color w:val="auto"/>
          <w:sz w:val="16"/>
          <w:szCs w:val="16"/>
          <w:lang w:val="es-ES_tradnl"/>
        </w:rPr>
        <w:t>Caso Chaparro Álvarez y Lapo Íñiguez. Vs. Ecuador</w:t>
      </w:r>
      <w:r w:rsidRPr="005D2619">
        <w:rPr>
          <w:rFonts w:ascii="Cambria" w:hAnsi="Cambria"/>
          <w:bCs/>
          <w:color w:val="auto"/>
          <w:sz w:val="16"/>
          <w:szCs w:val="16"/>
          <w:lang w:val="es-ES_tradnl"/>
        </w:rPr>
        <w:t xml:space="preserve">. </w:t>
      </w:r>
      <w:r w:rsidRPr="005D2619">
        <w:rPr>
          <w:rFonts w:ascii="Cambria" w:hAnsi="Cambria"/>
          <w:color w:val="auto"/>
          <w:sz w:val="16"/>
          <w:szCs w:val="16"/>
          <w:lang w:val="es-ES_tradnl"/>
        </w:rPr>
        <w:t>Excepciones Preliminares, Fondo, Reparaciones y Costas. Sentencia de 21 de noviembre de 2007. Serie C No. 170, párr. 56.</w:t>
      </w:r>
    </w:p>
  </w:footnote>
  <w:footnote w:id="72">
    <w:p w14:paraId="07024073" w14:textId="77777777" w:rsidR="006307FA" w:rsidRPr="005D2619" w:rsidRDefault="006307FA" w:rsidP="00CE40F8">
      <w:pPr>
        <w:spacing w:after="0" w:line="240" w:lineRule="auto"/>
        <w:jc w:val="both"/>
        <w:rPr>
          <w:rFonts w:ascii="Cambria" w:hAnsi="Cambria"/>
          <w:sz w:val="16"/>
          <w:szCs w:val="16"/>
          <w:lang w:val="es-ES"/>
        </w:rPr>
      </w:pPr>
      <w:r w:rsidRPr="005D2619">
        <w:rPr>
          <w:rStyle w:val="FootnoteReference"/>
          <w:rFonts w:ascii="Cambria" w:hAnsi="Cambria"/>
          <w:sz w:val="16"/>
          <w:szCs w:val="16"/>
          <w:lang w:val="es-ES"/>
        </w:rPr>
        <w:footnoteRef/>
      </w:r>
      <w:r w:rsidRPr="005D2619">
        <w:rPr>
          <w:rFonts w:ascii="Cambria" w:hAnsi="Cambria"/>
          <w:sz w:val="16"/>
          <w:szCs w:val="16"/>
          <w:lang w:val="es-ES"/>
        </w:rPr>
        <w:t xml:space="preserve"> CIDH. </w:t>
      </w:r>
      <w:hyperlink r:id="rId1" w:history="1">
        <w:r w:rsidRPr="005D2619">
          <w:rPr>
            <w:rStyle w:val="Hyperlink"/>
            <w:rFonts w:ascii="Cambria" w:hAnsi="Cambria"/>
            <w:sz w:val="16"/>
            <w:szCs w:val="16"/>
            <w:u w:val="none"/>
            <w:lang w:val="es-ES"/>
          </w:rPr>
          <w:t>Informe sobre seguridad ciudadana y derechos humanos</w:t>
        </w:r>
      </w:hyperlink>
      <w:r w:rsidRPr="005D2619">
        <w:rPr>
          <w:rFonts w:ascii="Cambria" w:hAnsi="Cambria"/>
          <w:sz w:val="16"/>
          <w:szCs w:val="16"/>
          <w:lang w:val="es-ES"/>
        </w:rPr>
        <w:t>. 31 de diciembre de 2009, párrs. 144-146.</w:t>
      </w:r>
    </w:p>
  </w:footnote>
  <w:footnote w:id="73">
    <w:p w14:paraId="7C6F3E9C" w14:textId="77777777" w:rsidR="006307FA" w:rsidRPr="005D2619" w:rsidRDefault="006307FA" w:rsidP="00CE40F8">
      <w:pPr>
        <w:spacing w:after="0" w:line="240" w:lineRule="auto"/>
        <w:jc w:val="both"/>
        <w:rPr>
          <w:rFonts w:ascii="Cambria" w:hAnsi="Cambria"/>
          <w:sz w:val="16"/>
          <w:szCs w:val="16"/>
          <w:lang w:val="es-CO"/>
        </w:rPr>
      </w:pPr>
      <w:r w:rsidRPr="005D2619">
        <w:rPr>
          <w:rStyle w:val="FootnoteReference"/>
          <w:rFonts w:ascii="Cambria" w:hAnsi="Cambria"/>
          <w:sz w:val="16"/>
          <w:szCs w:val="16"/>
        </w:rPr>
        <w:footnoteRef/>
      </w:r>
      <w:r w:rsidRPr="005D2619">
        <w:rPr>
          <w:rFonts w:ascii="Cambria" w:hAnsi="Cambria"/>
          <w:sz w:val="16"/>
          <w:szCs w:val="16"/>
          <w:lang w:val="es-PR"/>
        </w:rPr>
        <w:t xml:space="preserve"> </w:t>
      </w:r>
      <w:r w:rsidRPr="005D2619">
        <w:rPr>
          <w:rFonts w:ascii="Cambria" w:hAnsi="Cambria"/>
          <w:sz w:val="16"/>
          <w:szCs w:val="16"/>
          <w:lang w:val="es-ES"/>
        </w:rPr>
        <w:t xml:space="preserve">CIDH. Informe No. 76/11. Caso 11.769 A. J. Perú. 20 de julio de 2011, párr. 166. Corte IDH. </w:t>
      </w:r>
      <w:r w:rsidRPr="005D2619">
        <w:rPr>
          <w:rFonts w:ascii="Cambria" w:hAnsi="Cambria"/>
          <w:i/>
          <w:sz w:val="16"/>
          <w:szCs w:val="16"/>
          <w:lang w:val="es-PR"/>
        </w:rPr>
        <w:t>Caso Juan Humberto Sánchez Vs. Honduras.</w:t>
      </w:r>
      <w:r w:rsidRPr="005D2619">
        <w:rPr>
          <w:rFonts w:ascii="Cambria" w:hAnsi="Cambria"/>
          <w:sz w:val="16"/>
          <w:szCs w:val="16"/>
          <w:lang w:val="es-PR"/>
        </w:rPr>
        <w:t xml:space="preserve"> </w:t>
      </w:r>
      <w:r w:rsidRPr="005D2619">
        <w:rPr>
          <w:rFonts w:ascii="Cambria" w:hAnsi="Cambria"/>
          <w:sz w:val="16"/>
          <w:szCs w:val="16"/>
          <w:lang w:val="es-ES"/>
        </w:rPr>
        <w:t xml:space="preserve">Sentencia de 7 de junio de 2003. Serie C No. 99, párr. 82; y </w:t>
      </w:r>
      <w:r w:rsidRPr="005D2619">
        <w:rPr>
          <w:rFonts w:ascii="Cambria" w:hAnsi="Cambria"/>
          <w:i/>
          <w:noProof/>
          <w:sz w:val="16"/>
          <w:szCs w:val="16"/>
          <w:lang w:val="es-ES"/>
        </w:rPr>
        <w:t>Caso Yvon Neptune Vs. Haití</w:t>
      </w:r>
      <w:r w:rsidRPr="005D2619">
        <w:rPr>
          <w:rFonts w:ascii="Cambria" w:hAnsi="Cambria"/>
          <w:noProof/>
          <w:sz w:val="16"/>
          <w:szCs w:val="16"/>
          <w:lang w:val="es-ES"/>
        </w:rPr>
        <w:t xml:space="preserve">. Fondo, Reparaciones y Costas.  Sentencia de 6 de mayo de 2008. Serie C No. 180, párr. 107. </w:t>
      </w:r>
    </w:p>
  </w:footnote>
  <w:footnote w:id="74">
    <w:p w14:paraId="52C1E7C6" w14:textId="77777777" w:rsidR="006307FA" w:rsidRPr="005D2619" w:rsidRDefault="006307FA" w:rsidP="00CE40F8">
      <w:pPr>
        <w:spacing w:after="0" w:line="240" w:lineRule="auto"/>
        <w:jc w:val="both"/>
        <w:rPr>
          <w:rFonts w:ascii="Cambria" w:hAnsi="Cambria"/>
          <w:sz w:val="16"/>
          <w:szCs w:val="16"/>
          <w:lang w:val="es-CO"/>
        </w:rPr>
      </w:pPr>
      <w:r w:rsidRPr="005D2619">
        <w:rPr>
          <w:rStyle w:val="FootnoteReference"/>
          <w:rFonts w:ascii="Cambria" w:hAnsi="Cambria"/>
          <w:sz w:val="16"/>
          <w:szCs w:val="16"/>
        </w:rPr>
        <w:footnoteRef/>
      </w:r>
      <w:r w:rsidRPr="005D2619">
        <w:rPr>
          <w:rFonts w:ascii="Cambria" w:hAnsi="Cambria"/>
          <w:sz w:val="16"/>
          <w:szCs w:val="16"/>
          <w:lang w:val="es-ES"/>
        </w:rPr>
        <w:t xml:space="preserve"> Corte IDH. </w:t>
      </w:r>
      <w:r w:rsidRPr="005D2619">
        <w:rPr>
          <w:rFonts w:ascii="Cambria" w:hAnsi="Cambria"/>
          <w:bCs/>
          <w:i/>
          <w:sz w:val="16"/>
          <w:szCs w:val="16"/>
          <w:lang w:val="es-ES"/>
        </w:rPr>
        <w:t>Caso Cabrera García y Montiel Flores Vs. México</w:t>
      </w:r>
      <w:r w:rsidRPr="005D2619">
        <w:rPr>
          <w:rFonts w:ascii="Cambria" w:hAnsi="Cambria"/>
          <w:bCs/>
          <w:sz w:val="16"/>
          <w:szCs w:val="16"/>
          <w:lang w:val="es-ES"/>
        </w:rPr>
        <w:t xml:space="preserve">. </w:t>
      </w:r>
      <w:r w:rsidRPr="005D2619">
        <w:rPr>
          <w:rFonts w:ascii="Cambria" w:hAnsi="Cambria"/>
          <w:sz w:val="16"/>
          <w:szCs w:val="16"/>
          <w:lang w:val="es-ES"/>
        </w:rPr>
        <w:t xml:space="preserve">Excepción Preliminar, Fondo, Reparaciones y Costas. Sentencia de 26 de noviembre de 2010. Serie C No. 220, párr. </w:t>
      </w:r>
      <w:r w:rsidRPr="005D2619">
        <w:rPr>
          <w:rFonts w:ascii="Cambria" w:hAnsi="Cambria"/>
          <w:sz w:val="16"/>
          <w:szCs w:val="16"/>
          <w:lang w:val="es-PR"/>
        </w:rPr>
        <w:t xml:space="preserve">105. </w:t>
      </w:r>
    </w:p>
  </w:footnote>
  <w:footnote w:id="75">
    <w:p w14:paraId="73E56F91" w14:textId="77777777" w:rsidR="006307FA" w:rsidRPr="005D2619" w:rsidRDefault="006307FA" w:rsidP="00CE40F8">
      <w:pPr>
        <w:pStyle w:val="FootnoteText"/>
        <w:jc w:val="both"/>
        <w:rPr>
          <w:rFonts w:ascii="Cambria" w:hAnsi="Cambria"/>
          <w:sz w:val="16"/>
          <w:szCs w:val="16"/>
          <w:lang w:val="es-ES_tradnl"/>
        </w:rPr>
      </w:pPr>
      <w:r w:rsidRPr="005D2619">
        <w:rPr>
          <w:rStyle w:val="FootnoteReference"/>
          <w:rFonts w:ascii="Cambria" w:hAnsi="Cambria"/>
          <w:sz w:val="16"/>
          <w:szCs w:val="16"/>
        </w:rPr>
        <w:footnoteRef/>
      </w:r>
      <w:r w:rsidRPr="00253524">
        <w:rPr>
          <w:rFonts w:ascii="Cambria" w:hAnsi="Cambria"/>
          <w:sz w:val="16"/>
          <w:szCs w:val="16"/>
          <w:lang w:val="es-ES"/>
        </w:rPr>
        <w:t xml:space="preserve"> CIDH. Informe No. 76/11. Caso 11.769 A. J. Perú. 20 de julio de 2011, párr. </w:t>
      </w:r>
      <w:r w:rsidRPr="00253524">
        <w:rPr>
          <w:rFonts w:ascii="Cambria" w:hAnsi="Cambria"/>
          <w:sz w:val="16"/>
          <w:szCs w:val="16"/>
          <w:lang w:val="es-US"/>
        </w:rPr>
        <w:t xml:space="preserve">166. Corte IDH. </w:t>
      </w:r>
      <w:r w:rsidRPr="005D2619">
        <w:rPr>
          <w:rFonts w:ascii="Cambria" w:hAnsi="Cambria"/>
          <w:bCs/>
          <w:i/>
          <w:sz w:val="16"/>
          <w:szCs w:val="16"/>
          <w:lang w:val="es-ES"/>
        </w:rPr>
        <w:t>Caso Cabrera García y Montiel Flores Vs. México</w:t>
      </w:r>
      <w:r w:rsidRPr="005D2619">
        <w:rPr>
          <w:rFonts w:ascii="Cambria" w:hAnsi="Cambria"/>
          <w:bCs/>
          <w:sz w:val="16"/>
          <w:szCs w:val="16"/>
          <w:lang w:val="es-ES"/>
        </w:rPr>
        <w:t xml:space="preserve">. </w:t>
      </w:r>
      <w:r w:rsidRPr="005D2619">
        <w:rPr>
          <w:rFonts w:ascii="Cambria" w:hAnsi="Cambria"/>
          <w:sz w:val="16"/>
          <w:szCs w:val="16"/>
          <w:lang w:val="es-ES"/>
        </w:rPr>
        <w:t xml:space="preserve">Excepción Preliminar, Fondo, Reparaciones y Costas. Sentencia de 26 de noviembre de 2010. Serie C No. 220, párr. </w:t>
      </w:r>
      <w:r w:rsidRPr="005D2619">
        <w:rPr>
          <w:rFonts w:ascii="Cambria" w:hAnsi="Cambria"/>
          <w:sz w:val="16"/>
          <w:szCs w:val="16"/>
          <w:lang w:val="es-ES_tradnl"/>
        </w:rPr>
        <w:t xml:space="preserve">106. </w:t>
      </w:r>
    </w:p>
  </w:footnote>
  <w:footnote w:id="76">
    <w:p w14:paraId="43F6094F" w14:textId="77777777" w:rsidR="006307FA" w:rsidRPr="005D2619" w:rsidRDefault="006307FA" w:rsidP="00CE40F8">
      <w:pPr>
        <w:pStyle w:val="FootnoteText"/>
        <w:jc w:val="both"/>
        <w:rPr>
          <w:rFonts w:ascii="Cambria" w:hAnsi="Cambria"/>
          <w:sz w:val="16"/>
          <w:szCs w:val="16"/>
          <w:lang w:val="es-ES"/>
        </w:rPr>
      </w:pPr>
      <w:r w:rsidRPr="005D2619">
        <w:rPr>
          <w:rStyle w:val="FootnoteReference"/>
          <w:rFonts w:ascii="Cambria" w:hAnsi="Cambria"/>
          <w:sz w:val="16"/>
          <w:szCs w:val="16"/>
        </w:rPr>
        <w:footnoteRef/>
      </w:r>
      <w:r w:rsidRPr="005D2619">
        <w:rPr>
          <w:rFonts w:ascii="Cambria" w:hAnsi="Cambria"/>
          <w:sz w:val="16"/>
          <w:szCs w:val="16"/>
          <w:lang w:val="es-ES"/>
        </w:rPr>
        <w:t xml:space="preserve"> </w:t>
      </w:r>
      <w:r w:rsidRPr="005D2619">
        <w:rPr>
          <w:rFonts w:ascii="Cambria" w:hAnsi="Cambria" w:cs="Arial"/>
          <w:sz w:val="16"/>
          <w:szCs w:val="16"/>
          <w:shd w:val="clear" w:color="auto" w:fill="FFFFFF"/>
          <w:lang w:val="es-ES"/>
        </w:rPr>
        <w:t xml:space="preserve">Corte IDH. </w:t>
      </w:r>
      <w:r w:rsidRPr="005D2619">
        <w:rPr>
          <w:rFonts w:ascii="Cambria" w:hAnsi="Cambria" w:cs="Arial"/>
          <w:i/>
          <w:sz w:val="16"/>
          <w:szCs w:val="16"/>
          <w:shd w:val="clear" w:color="auto" w:fill="FFFFFF"/>
          <w:lang w:val="es-ES"/>
        </w:rPr>
        <w:t>Caso Chaparro Álvarez y Lapo Íñiguez. Vs. Ecuador</w:t>
      </w:r>
      <w:r w:rsidRPr="005D2619">
        <w:rPr>
          <w:rFonts w:ascii="Cambria" w:hAnsi="Cambria" w:cs="Arial"/>
          <w:sz w:val="16"/>
          <w:szCs w:val="16"/>
          <w:shd w:val="clear" w:color="auto" w:fill="FFFFFF"/>
          <w:lang w:val="es-ES"/>
        </w:rPr>
        <w:t>. Excepciones Preliminares, Fondo, Reparaciones y Costas. Sentencia de 21 de noviembre de 2007. Serie C No. 170</w:t>
      </w:r>
      <w:r w:rsidRPr="005D2619">
        <w:rPr>
          <w:rFonts w:ascii="Cambria" w:hAnsi="Cambria"/>
          <w:sz w:val="16"/>
          <w:szCs w:val="16"/>
          <w:lang w:val="es-ES"/>
        </w:rPr>
        <w:t>, párr. 66.</w:t>
      </w:r>
    </w:p>
  </w:footnote>
  <w:footnote w:id="77">
    <w:p w14:paraId="50CFEA73" w14:textId="77777777" w:rsidR="006307FA" w:rsidRPr="005D2619" w:rsidRDefault="006307FA" w:rsidP="00CE40F8">
      <w:pPr>
        <w:spacing w:after="0" w:line="240" w:lineRule="auto"/>
        <w:jc w:val="both"/>
        <w:rPr>
          <w:rFonts w:ascii="Cambria" w:hAnsi="Cambria" w:cs="Times"/>
          <w:sz w:val="16"/>
          <w:szCs w:val="16"/>
          <w:lang w:val="es-CO"/>
        </w:rPr>
      </w:pPr>
      <w:r w:rsidRPr="005D2619">
        <w:rPr>
          <w:rStyle w:val="FootnoteReference"/>
          <w:rFonts w:ascii="Cambria" w:hAnsi="Cambria"/>
          <w:sz w:val="16"/>
          <w:szCs w:val="16"/>
        </w:rPr>
        <w:footnoteRef/>
      </w:r>
      <w:r w:rsidRPr="005D2619">
        <w:rPr>
          <w:rFonts w:ascii="Cambria" w:hAnsi="Cambria"/>
          <w:sz w:val="16"/>
          <w:szCs w:val="16"/>
          <w:lang w:val="es-CO"/>
        </w:rPr>
        <w:t xml:space="preserve"> CIDH. </w:t>
      </w:r>
      <w:hyperlink r:id="rId2" w:history="1">
        <w:r w:rsidRPr="005D2619">
          <w:rPr>
            <w:rStyle w:val="Hyperlink"/>
            <w:rFonts w:ascii="Cambria" w:hAnsi="Cambria"/>
            <w:sz w:val="16"/>
            <w:szCs w:val="16"/>
            <w:u w:val="none"/>
            <w:lang w:val="es-CO"/>
          </w:rPr>
          <w:t>Informe sobre el uso de la prisión preventiva en las Américas</w:t>
        </w:r>
      </w:hyperlink>
      <w:r w:rsidRPr="005D2619">
        <w:rPr>
          <w:rFonts w:ascii="Cambria" w:hAnsi="Cambria"/>
          <w:sz w:val="16"/>
          <w:szCs w:val="16"/>
          <w:lang w:val="es-CO"/>
        </w:rPr>
        <w:t xml:space="preserve">. OEA/Ser.L/V/II. 30 de diciembre de 2013, párr. 20. </w:t>
      </w:r>
      <w:r w:rsidRPr="005D2619">
        <w:rPr>
          <w:rFonts w:ascii="Cambria" w:hAnsi="Cambria" w:cs="Times"/>
          <w:sz w:val="16"/>
          <w:szCs w:val="16"/>
          <w:lang w:val="it-IT"/>
        </w:rPr>
        <w:t xml:space="preserve">Corte IDH. </w:t>
      </w:r>
      <w:r w:rsidRPr="005D2619">
        <w:rPr>
          <w:rFonts w:ascii="Cambria" w:hAnsi="Cambria" w:cs="Times"/>
          <w:i/>
          <w:iCs/>
          <w:sz w:val="16"/>
          <w:szCs w:val="16"/>
          <w:lang w:val="it-IT"/>
        </w:rPr>
        <w:t>Caso</w:t>
      </w:r>
      <w:r w:rsidRPr="005D2619">
        <w:rPr>
          <w:rFonts w:ascii="Cambria" w:hAnsi="Cambria" w:cs="Times"/>
          <w:i/>
          <w:sz w:val="16"/>
          <w:szCs w:val="16"/>
          <w:lang w:val="it-IT"/>
        </w:rPr>
        <w:t xml:space="preserve"> </w:t>
      </w:r>
      <w:r w:rsidRPr="005D2619">
        <w:rPr>
          <w:rFonts w:ascii="Cambria" w:hAnsi="Cambria" w:cs="Times"/>
          <w:i/>
          <w:iCs/>
          <w:sz w:val="16"/>
          <w:szCs w:val="16"/>
          <w:lang w:val="it-IT"/>
        </w:rPr>
        <w:t>López Álvarez</w:t>
      </w:r>
      <w:r w:rsidRPr="005D2619">
        <w:rPr>
          <w:rFonts w:ascii="Cambria" w:hAnsi="Cambria" w:cs="Times"/>
          <w:sz w:val="16"/>
          <w:szCs w:val="16"/>
          <w:lang w:val="it-IT"/>
        </w:rPr>
        <w:t xml:space="preserve"> </w:t>
      </w:r>
      <w:r w:rsidRPr="005D2619">
        <w:rPr>
          <w:rFonts w:ascii="Cambria" w:hAnsi="Cambria" w:cs="Times"/>
          <w:i/>
          <w:sz w:val="16"/>
          <w:szCs w:val="16"/>
          <w:lang w:val="it-IT"/>
        </w:rPr>
        <w:t>Vs. Honduras</w:t>
      </w:r>
      <w:r w:rsidRPr="005D2619">
        <w:rPr>
          <w:rFonts w:ascii="Cambria" w:hAnsi="Cambria" w:cs="Times"/>
          <w:sz w:val="16"/>
          <w:szCs w:val="16"/>
          <w:lang w:val="it-IT"/>
        </w:rPr>
        <w:t xml:space="preserve">. </w:t>
      </w:r>
      <w:r w:rsidRPr="005D2619">
        <w:rPr>
          <w:rFonts w:ascii="Cambria" w:hAnsi="Cambria" w:cs="Times"/>
          <w:sz w:val="16"/>
          <w:szCs w:val="16"/>
          <w:lang w:val="es-CO"/>
        </w:rPr>
        <w:t xml:space="preserve">Sentencia de 1 de febrero de 2006. Serie C No. 141, </w:t>
      </w:r>
      <w:r w:rsidRPr="005D2619">
        <w:rPr>
          <w:rFonts w:ascii="Cambria" w:hAnsi="Cambria"/>
          <w:sz w:val="16"/>
          <w:szCs w:val="16"/>
          <w:lang w:val="es-CO"/>
        </w:rPr>
        <w:t xml:space="preserve">párr. 67; </w:t>
      </w:r>
      <w:r w:rsidRPr="005D2619">
        <w:rPr>
          <w:rFonts w:ascii="Cambria" w:hAnsi="Cambria" w:cs="Times"/>
          <w:i/>
          <w:iCs/>
          <w:sz w:val="16"/>
          <w:szCs w:val="16"/>
          <w:lang w:val="es-CO"/>
        </w:rPr>
        <w:t>Caso García Asto y Ramírez Rojas Vs. Rojas</w:t>
      </w:r>
      <w:r w:rsidRPr="005D2619">
        <w:rPr>
          <w:rFonts w:ascii="Cambria" w:hAnsi="Cambria" w:cs="Times"/>
          <w:sz w:val="16"/>
          <w:szCs w:val="16"/>
          <w:lang w:val="es-CO"/>
        </w:rPr>
        <w:t xml:space="preserve">. Sentencia de 25 de noviembre de 2005. Serie C No. 137, </w:t>
      </w:r>
      <w:r w:rsidRPr="005D2619">
        <w:rPr>
          <w:rFonts w:ascii="Cambria" w:hAnsi="Cambria"/>
          <w:sz w:val="16"/>
          <w:szCs w:val="16"/>
          <w:lang w:val="es-CO"/>
        </w:rPr>
        <w:t xml:space="preserve">párr. 106; </w:t>
      </w:r>
      <w:r w:rsidRPr="005D2619">
        <w:rPr>
          <w:rFonts w:ascii="Cambria" w:hAnsi="Cambria" w:cs="Times"/>
          <w:i/>
          <w:iCs/>
          <w:sz w:val="16"/>
          <w:szCs w:val="16"/>
          <w:lang w:val="es-CO"/>
        </w:rPr>
        <w:t>Caso Palamara Iribarne Vs. Chile</w:t>
      </w:r>
      <w:r w:rsidRPr="005D2619">
        <w:rPr>
          <w:rFonts w:ascii="Cambria" w:hAnsi="Cambria" w:cs="Times"/>
          <w:sz w:val="16"/>
          <w:szCs w:val="16"/>
          <w:lang w:val="es-CO"/>
        </w:rPr>
        <w:t xml:space="preserve">. Sentencia de 22 de noviembre de 2005. Serie C No. 135, </w:t>
      </w:r>
      <w:r w:rsidRPr="005D2619">
        <w:rPr>
          <w:rFonts w:ascii="Cambria" w:hAnsi="Cambria"/>
          <w:sz w:val="16"/>
          <w:szCs w:val="16"/>
          <w:lang w:val="es-CO"/>
        </w:rPr>
        <w:t xml:space="preserve">párr. 197; y </w:t>
      </w:r>
      <w:r w:rsidRPr="005D2619">
        <w:rPr>
          <w:rFonts w:ascii="Cambria" w:hAnsi="Cambria" w:cs="Times"/>
          <w:i/>
          <w:iCs/>
          <w:sz w:val="16"/>
          <w:szCs w:val="16"/>
          <w:lang w:val="es-CO"/>
        </w:rPr>
        <w:t>Caso Acosta Calderón</w:t>
      </w:r>
      <w:r w:rsidRPr="005D2619">
        <w:rPr>
          <w:rFonts w:ascii="Cambria" w:hAnsi="Cambria" w:cs="Times"/>
          <w:i/>
          <w:sz w:val="16"/>
          <w:szCs w:val="16"/>
          <w:lang w:val="es-CO"/>
        </w:rPr>
        <w:t xml:space="preserve"> Vs. Ecuador</w:t>
      </w:r>
      <w:r w:rsidRPr="005D2619">
        <w:rPr>
          <w:rFonts w:ascii="Cambria" w:hAnsi="Cambria" w:cs="Times"/>
          <w:sz w:val="16"/>
          <w:szCs w:val="16"/>
          <w:lang w:val="es-CO"/>
        </w:rPr>
        <w:t>.  Sentencia de 24 de junio de 2005.  Serie C No. 129, p</w:t>
      </w:r>
      <w:r w:rsidRPr="005D2619">
        <w:rPr>
          <w:rFonts w:ascii="Cambria" w:hAnsi="Cambria"/>
          <w:sz w:val="16"/>
          <w:szCs w:val="16"/>
          <w:lang w:val="es-CO"/>
        </w:rPr>
        <w:t>árr. 74.</w:t>
      </w:r>
    </w:p>
  </w:footnote>
  <w:footnote w:id="78">
    <w:p w14:paraId="536213F2" w14:textId="77777777" w:rsidR="006307FA" w:rsidRPr="005D2619" w:rsidRDefault="006307FA" w:rsidP="00CE40F8">
      <w:pPr>
        <w:spacing w:after="0" w:line="240" w:lineRule="auto"/>
        <w:jc w:val="both"/>
        <w:rPr>
          <w:rFonts w:ascii="Cambria" w:hAnsi="Cambria"/>
          <w:sz w:val="16"/>
          <w:szCs w:val="16"/>
          <w:lang w:val="es-CO"/>
        </w:rPr>
      </w:pPr>
      <w:r w:rsidRPr="005D2619">
        <w:rPr>
          <w:rStyle w:val="FootnoteReference"/>
          <w:rFonts w:ascii="Cambria" w:hAnsi="Cambria"/>
          <w:sz w:val="16"/>
          <w:szCs w:val="16"/>
        </w:rPr>
        <w:footnoteRef/>
      </w:r>
      <w:r w:rsidRPr="00FE02DB">
        <w:rPr>
          <w:rFonts w:ascii="Cambria" w:hAnsi="Cambria"/>
          <w:sz w:val="16"/>
          <w:szCs w:val="16"/>
          <w:lang w:val="es-CO"/>
        </w:rPr>
        <w:t xml:space="preserve"> Corte IDH. </w:t>
      </w:r>
      <w:r w:rsidRPr="00FE02DB">
        <w:rPr>
          <w:rFonts w:ascii="Cambria" w:hAnsi="Cambria"/>
          <w:i/>
          <w:sz w:val="16"/>
          <w:szCs w:val="16"/>
          <w:lang w:val="es-CO"/>
        </w:rPr>
        <w:t xml:space="preserve">Caso Suárez Rosero Vs. </w:t>
      </w:r>
      <w:r w:rsidRPr="005D2619">
        <w:rPr>
          <w:rFonts w:ascii="Cambria" w:hAnsi="Cambria"/>
          <w:i/>
          <w:sz w:val="16"/>
          <w:szCs w:val="16"/>
          <w:lang w:val="es-CO"/>
        </w:rPr>
        <w:t>Ecuador</w:t>
      </w:r>
      <w:r w:rsidRPr="005D2619">
        <w:rPr>
          <w:rFonts w:ascii="Cambria" w:hAnsi="Cambria"/>
          <w:sz w:val="16"/>
          <w:szCs w:val="16"/>
          <w:lang w:val="es-CO"/>
        </w:rPr>
        <w:t>. Sentencia de 12 de noviembre de 1997. Serie C No. 35, párr. 77.</w:t>
      </w:r>
    </w:p>
  </w:footnote>
  <w:footnote w:id="79">
    <w:p w14:paraId="74A40068" w14:textId="77777777" w:rsidR="006307FA" w:rsidRPr="005D2619" w:rsidRDefault="006307FA" w:rsidP="00CE40F8">
      <w:pPr>
        <w:spacing w:after="0" w:line="240" w:lineRule="auto"/>
        <w:jc w:val="both"/>
        <w:rPr>
          <w:rFonts w:ascii="Cambria" w:hAnsi="Cambria"/>
          <w:sz w:val="16"/>
          <w:szCs w:val="16"/>
          <w:lang w:val="es-CO"/>
        </w:rPr>
      </w:pPr>
      <w:r w:rsidRPr="005D2619">
        <w:rPr>
          <w:rStyle w:val="FootnoteReference"/>
          <w:rFonts w:ascii="Cambria" w:hAnsi="Cambria"/>
          <w:sz w:val="16"/>
          <w:szCs w:val="16"/>
        </w:rPr>
        <w:footnoteRef/>
      </w:r>
      <w:r w:rsidRPr="005D2619">
        <w:rPr>
          <w:rFonts w:ascii="Cambria" w:hAnsi="Cambria"/>
          <w:sz w:val="16"/>
          <w:szCs w:val="16"/>
          <w:lang w:val="es-CO"/>
        </w:rPr>
        <w:t xml:space="preserve"> CIDH. </w:t>
      </w:r>
      <w:hyperlink r:id="rId3" w:history="1">
        <w:r w:rsidRPr="005D2619">
          <w:rPr>
            <w:rStyle w:val="Hyperlink"/>
            <w:rFonts w:ascii="Cambria" w:hAnsi="Cambria"/>
            <w:i/>
            <w:sz w:val="16"/>
            <w:szCs w:val="16"/>
            <w:u w:val="none"/>
            <w:lang w:val="es-CO"/>
          </w:rPr>
          <w:t>Informe sobre el uso de la prisión preventiva en las Américas</w:t>
        </w:r>
      </w:hyperlink>
      <w:r w:rsidRPr="005D2619">
        <w:rPr>
          <w:rFonts w:ascii="Cambria" w:hAnsi="Cambria"/>
          <w:sz w:val="16"/>
          <w:szCs w:val="16"/>
          <w:lang w:val="es-CO"/>
        </w:rPr>
        <w:t xml:space="preserve">. OEA/Ser.L/V/II. 30 de diciembre de 2013, párr. 21; </w:t>
      </w:r>
      <w:r w:rsidRPr="005D2619">
        <w:rPr>
          <w:rFonts w:ascii="Cambria" w:hAnsi="Cambria" w:cs="Times"/>
          <w:sz w:val="16"/>
          <w:szCs w:val="16"/>
          <w:lang w:val="it-IT"/>
        </w:rPr>
        <w:t xml:space="preserve">Corte IDH. </w:t>
      </w:r>
      <w:r w:rsidRPr="005D2619">
        <w:rPr>
          <w:rFonts w:ascii="Cambria" w:hAnsi="Cambria" w:cs="Times"/>
          <w:i/>
          <w:iCs/>
          <w:sz w:val="16"/>
          <w:szCs w:val="16"/>
          <w:lang w:val="it-IT"/>
        </w:rPr>
        <w:t>Caso</w:t>
      </w:r>
      <w:r w:rsidRPr="005D2619">
        <w:rPr>
          <w:rFonts w:ascii="Cambria" w:hAnsi="Cambria" w:cs="Times"/>
          <w:i/>
          <w:sz w:val="16"/>
          <w:szCs w:val="16"/>
          <w:lang w:val="it-IT"/>
        </w:rPr>
        <w:t xml:space="preserve"> </w:t>
      </w:r>
      <w:r w:rsidRPr="005D2619">
        <w:rPr>
          <w:rFonts w:ascii="Cambria" w:hAnsi="Cambria" w:cs="Times"/>
          <w:i/>
          <w:iCs/>
          <w:sz w:val="16"/>
          <w:szCs w:val="16"/>
          <w:lang w:val="it-IT"/>
        </w:rPr>
        <w:t>López Álvarez Vs. Honduras</w:t>
      </w:r>
      <w:r w:rsidRPr="005D2619">
        <w:rPr>
          <w:rFonts w:ascii="Cambria" w:hAnsi="Cambria" w:cs="Times"/>
          <w:sz w:val="16"/>
          <w:szCs w:val="16"/>
          <w:lang w:val="it-IT"/>
        </w:rPr>
        <w:t xml:space="preserve">. </w:t>
      </w:r>
      <w:r w:rsidRPr="005D2619">
        <w:rPr>
          <w:rFonts w:ascii="Cambria" w:hAnsi="Cambria" w:cs="Times"/>
          <w:sz w:val="16"/>
          <w:szCs w:val="16"/>
          <w:lang w:val="es-CO"/>
        </w:rPr>
        <w:t xml:space="preserve">Sentencia de 1 de febrero de 2006. Serie C No. 141, </w:t>
      </w:r>
      <w:r w:rsidRPr="005D2619">
        <w:rPr>
          <w:rFonts w:ascii="Cambria" w:hAnsi="Cambria"/>
          <w:sz w:val="16"/>
          <w:szCs w:val="16"/>
          <w:lang w:val="es-CO"/>
        </w:rPr>
        <w:t xml:space="preserve">párr. 67; </w:t>
      </w:r>
      <w:r w:rsidRPr="005D2619">
        <w:rPr>
          <w:rFonts w:ascii="Cambria" w:hAnsi="Cambria"/>
          <w:i/>
          <w:sz w:val="16"/>
          <w:szCs w:val="16"/>
          <w:lang w:val="es-CO"/>
        </w:rPr>
        <w:t>Caso Palamara Iribarne Vs. Chile</w:t>
      </w:r>
      <w:r w:rsidRPr="005D2619">
        <w:rPr>
          <w:rFonts w:ascii="Cambria" w:hAnsi="Cambria"/>
          <w:sz w:val="16"/>
          <w:szCs w:val="16"/>
          <w:lang w:val="es-CO"/>
        </w:rPr>
        <w:t xml:space="preserve">. Sentencia de 22 de noviembre de 2005. Serie C No. 135, párr. 196; y </w:t>
      </w:r>
      <w:r w:rsidRPr="005D2619">
        <w:rPr>
          <w:rFonts w:ascii="Cambria" w:hAnsi="Cambria"/>
          <w:i/>
          <w:sz w:val="16"/>
          <w:szCs w:val="16"/>
          <w:lang w:val="es-CO"/>
        </w:rPr>
        <w:t>Caso Acosta Calderón Vs. Ecuador</w:t>
      </w:r>
      <w:r w:rsidRPr="005D2619">
        <w:rPr>
          <w:rFonts w:ascii="Cambria" w:hAnsi="Cambria"/>
          <w:sz w:val="16"/>
          <w:szCs w:val="16"/>
          <w:lang w:val="es-CO"/>
        </w:rPr>
        <w:t>. Sentencia de 24 de junio de 2005. Serie C No. 129, párr. 74.</w:t>
      </w:r>
    </w:p>
  </w:footnote>
  <w:footnote w:id="80">
    <w:p w14:paraId="52B07949" w14:textId="77777777" w:rsidR="006307FA" w:rsidRPr="00942B5D" w:rsidRDefault="006307FA" w:rsidP="00CE40F8">
      <w:pPr>
        <w:spacing w:after="0" w:line="240" w:lineRule="auto"/>
        <w:jc w:val="both"/>
        <w:rPr>
          <w:rFonts w:ascii="Cambria" w:hAnsi="Cambria"/>
          <w:sz w:val="16"/>
          <w:szCs w:val="16"/>
          <w:lang w:val="pt-BR"/>
        </w:rPr>
      </w:pPr>
      <w:r w:rsidRPr="005D2619">
        <w:rPr>
          <w:rStyle w:val="FootnoteReference"/>
          <w:rFonts w:ascii="Cambria" w:hAnsi="Cambria"/>
          <w:sz w:val="16"/>
          <w:szCs w:val="16"/>
        </w:rPr>
        <w:footnoteRef/>
      </w:r>
      <w:r w:rsidRPr="005D2619">
        <w:rPr>
          <w:rFonts w:ascii="Cambria" w:hAnsi="Cambria"/>
          <w:sz w:val="16"/>
          <w:szCs w:val="16"/>
          <w:lang w:val="es-CO"/>
        </w:rPr>
        <w:t xml:space="preserve"> CIDH. </w:t>
      </w:r>
      <w:hyperlink r:id="rId4" w:history="1">
        <w:r w:rsidRPr="005D2619">
          <w:rPr>
            <w:rStyle w:val="Hyperlink"/>
            <w:rFonts w:ascii="Cambria" w:hAnsi="Cambria"/>
            <w:sz w:val="16"/>
            <w:szCs w:val="16"/>
            <w:u w:val="none"/>
            <w:lang w:val="es-CO"/>
          </w:rPr>
          <w:t>Informe sobre el uso de la prisión preventiva en las Américas</w:t>
        </w:r>
      </w:hyperlink>
      <w:r w:rsidRPr="005D2619">
        <w:rPr>
          <w:rFonts w:ascii="Cambria" w:hAnsi="Cambria"/>
          <w:sz w:val="16"/>
          <w:szCs w:val="16"/>
          <w:lang w:val="es-CO"/>
        </w:rPr>
        <w:t>. OEA/Ser.L/V/II. 30 de diciembre de 2013, p</w:t>
      </w:r>
      <w:r w:rsidRPr="005D2619">
        <w:rPr>
          <w:rFonts w:ascii="Cambria" w:hAnsi="Cambria"/>
          <w:sz w:val="16"/>
          <w:szCs w:val="16"/>
          <w:lang w:val="es-ES"/>
        </w:rPr>
        <w:t xml:space="preserve">árr. 21; </w:t>
      </w:r>
      <w:r w:rsidRPr="005D2619">
        <w:rPr>
          <w:rFonts w:ascii="Cambria" w:hAnsi="Cambria" w:cs="Calibri"/>
          <w:sz w:val="16"/>
          <w:szCs w:val="16"/>
          <w:lang w:val="es-ES" w:eastAsia="es-ES"/>
        </w:rPr>
        <w:t>Corte IDH.</w:t>
      </w:r>
      <w:r w:rsidRPr="005D2619">
        <w:rPr>
          <w:rFonts w:ascii="Cambria" w:hAnsi="Cambria" w:cs="Calibri"/>
          <w:i/>
          <w:sz w:val="16"/>
          <w:szCs w:val="16"/>
          <w:lang w:val="es-ES" w:eastAsia="es-ES"/>
        </w:rPr>
        <w:t xml:space="preserve"> </w:t>
      </w:r>
      <w:r w:rsidRPr="005D2619">
        <w:rPr>
          <w:rFonts w:ascii="Cambria" w:hAnsi="Cambria" w:cs="Calibri-Italic"/>
          <w:i/>
          <w:iCs/>
          <w:sz w:val="16"/>
          <w:szCs w:val="16"/>
          <w:lang w:val="es-CO" w:eastAsia="es-ES"/>
        </w:rPr>
        <w:t>Caso López Álvarez Vs. Honduras</w:t>
      </w:r>
      <w:r w:rsidRPr="005D2619">
        <w:rPr>
          <w:rFonts w:ascii="Cambria" w:hAnsi="Cambria" w:cs="Times"/>
          <w:sz w:val="16"/>
          <w:szCs w:val="16"/>
          <w:lang w:val="es-CO"/>
        </w:rPr>
        <w:t xml:space="preserve">. Sentencia de 1 de febrero de 2006. </w:t>
      </w:r>
      <w:r w:rsidRPr="00942B5D">
        <w:rPr>
          <w:rFonts w:ascii="Cambria" w:hAnsi="Cambria" w:cs="Times"/>
          <w:sz w:val="16"/>
          <w:szCs w:val="16"/>
          <w:lang w:val="pt-BR"/>
        </w:rPr>
        <w:t xml:space="preserve">Serie C No. 141, </w:t>
      </w:r>
      <w:r w:rsidRPr="00942B5D">
        <w:rPr>
          <w:rFonts w:ascii="Cambria" w:hAnsi="Cambria"/>
          <w:sz w:val="16"/>
          <w:szCs w:val="16"/>
          <w:lang w:val="pt-BR"/>
        </w:rPr>
        <w:t>párr. 69.</w:t>
      </w:r>
    </w:p>
  </w:footnote>
  <w:footnote w:id="81">
    <w:p w14:paraId="5729C7C0" w14:textId="77777777" w:rsidR="006307FA" w:rsidRPr="005D2619" w:rsidRDefault="006307FA" w:rsidP="00CE40F8">
      <w:pPr>
        <w:pStyle w:val="FootnoteText"/>
        <w:jc w:val="both"/>
        <w:rPr>
          <w:rFonts w:ascii="Cambria" w:hAnsi="Cambria"/>
          <w:color w:val="auto"/>
          <w:sz w:val="16"/>
          <w:szCs w:val="16"/>
          <w:lang w:val="es-CO"/>
        </w:rPr>
      </w:pPr>
      <w:r w:rsidRPr="005D2619">
        <w:rPr>
          <w:rStyle w:val="FootnoteReference"/>
          <w:rFonts w:ascii="Cambria" w:hAnsi="Cambria"/>
          <w:color w:val="auto"/>
          <w:sz w:val="16"/>
          <w:szCs w:val="16"/>
        </w:rPr>
        <w:footnoteRef/>
      </w:r>
      <w:r w:rsidRPr="000C5890">
        <w:rPr>
          <w:rFonts w:ascii="Cambria" w:hAnsi="Cambria"/>
          <w:color w:val="auto"/>
          <w:sz w:val="16"/>
          <w:szCs w:val="16"/>
          <w:lang w:val="pt-BR"/>
        </w:rPr>
        <w:t xml:space="preserve"> Corte IDH. </w:t>
      </w:r>
      <w:r w:rsidRPr="000C5890">
        <w:rPr>
          <w:rFonts w:ascii="Cambria" w:hAnsi="Cambria"/>
          <w:bCs/>
          <w:i/>
          <w:color w:val="auto"/>
          <w:sz w:val="16"/>
          <w:szCs w:val="16"/>
          <w:lang w:val="pt-BR"/>
        </w:rPr>
        <w:t xml:space="preserve">Caso Barreto Leiva Vs. </w:t>
      </w:r>
      <w:r w:rsidRPr="005D2619">
        <w:rPr>
          <w:rFonts w:ascii="Cambria" w:hAnsi="Cambria"/>
          <w:bCs/>
          <w:i/>
          <w:color w:val="auto"/>
          <w:sz w:val="16"/>
          <w:szCs w:val="16"/>
          <w:lang w:val="es-CO"/>
        </w:rPr>
        <w:t>Venezuela</w:t>
      </w:r>
      <w:r w:rsidRPr="005D2619">
        <w:rPr>
          <w:rFonts w:ascii="Cambria" w:hAnsi="Cambria"/>
          <w:bCs/>
          <w:color w:val="auto"/>
          <w:sz w:val="16"/>
          <w:szCs w:val="16"/>
          <w:lang w:val="es-CO"/>
        </w:rPr>
        <w:t xml:space="preserve">. </w:t>
      </w:r>
      <w:r w:rsidRPr="005D2619">
        <w:rPr>
          <w:rFonts w:ascii="Cambria" w:hAnsi="Cambria"/>
          <w:color w:val="auto"/>
          <w:sz w:val="16"/>
          <w:szCs w:val="16"/>
          <w:lang w:val="es-CO"/>
        </w:rPr>
        <w:t>Fondo, Reparaciones y Costas. Sentencia de 17 de noviembre de 2009. Serie C No. 206, párr. 111..</w:t>
      </w:r>
    </w:p>
  </w:footnote>
  <w:footnote w:id="82">
    <w:p w14:paraId="78E0EF9B" w14:textId="77777777" w:rsidR="006307FA" w:rsidRPr="005D2619" w:rsidRDefault="006307FA" w:rsidP="00CE40F8">
      <w:pPr>
        <w:pStyle w:val="FootnoteText"/>
        <w:jc w:val="both"/>
        <w:rPr>
          <w:rFonts w:ascii="Cambria" w:hAnsi="Cambria"/>
          <w:color w:val="auto"/>
          <w:sz w:val="16"/>
          <w:szCs w:val="16"/>
          <w:lang w:val="es-CO"/>
        </w:rPr>
      </w:pPr>
      <w:r w:rsidRPr="005D2619">
        <w:rPr>
          <w:rStyle w:val="FootnoteReference"/>
          <w:rFonts w:ascii="Cambria" w:hAnsi="Cambria"/>
          <w:color w:val="auto"/>
          <w:sz w:val="16"/>
          <w:szCs w:val="16"/>
        </w:rPr>
        <w:footnoteRef/>
      </w:r>
      <w:r w:rsidRPr="005D2619">
        <w:rPr>
          <w:rFonts w:ascii="Cambria" w:hAnsi="Cambria"/>
          <w:color w:val="auto"/>
          <w:sz w:val="16"/>
          <w:szCs w:val="16"/>
          <w:lang w:val="es-CO"/>
        </w:rPr>
        <w:t xml:space="preserve"> Corte IDH. </w:t>
      </w:r>
      <w:r w:rsidRPr="005D2619">
        <w:rPr>
          <w:rFonts w:ascii="Cambria" w:hAnsi="Cambria"/>
          <w:bCs/>
          <w:i/>
          <w:color w:val="auto"/>
          <w:sz w:val="16"/>
          <w:szCs w:val="16"/>
          <w:lang w:val="es-CO"/>
        </w:rPr>
        <w:t>Caso Chaparro Álvarez y Lapo Íñiguez Vs. Ecuador</w:t>
      </w:r>
      <w:r w:rsidRPr="005D2619">
        <w:rPr>
          <w:rFonts w:ascii="Cambria" w:hAnsi="Cambria"/>
          <w:bCs/>
          <w:color w:val="auto"/>
          <w:sz w:val="16"/>
          <w:szCs w:val="16"/>
          <w:lang w:val="es-CO"/>
        </w:rPr>
        <w:t xml:space="preserve">. </w:t>
      </w:r>
      <w:r w:rsidRPr="005D2619">
        <w:rPr>
          <w:rFonts w:ascii="Cambria" w:hAnsi="Cambria"/>
          <w:color w:val="auto"/>
          <w:sz w:val="16"/>
          <w:szCs w:val="16"/>
          <w:lang w:val="es-CO"/>
        </w:rPr>
        <w:t>Excepciones Preliminares, Fondo, Reparaciones y Costas. Sentencia de 21 de noviembre de 2007. Serie C No. 170, párr. 103.</w:t>
      </w:r>
    </w:p>
  </w:footnote>
  <w:footnote w:id="83">
    <w:p w14:paraId="68550BDC" w14:textId="77777777" w:rsidR="006307FA" w:rsidRPr="005D2619" w:rsidRDefault="006307FA" w:rsidP="00CE40F8">
      <w:pPr>
        <w:spacing w:after="0" w:line="240" w:lineRule="auto"/>
        <w:jc w:val="both"/>
        <w:outlineLvl w:val="0"/>
        <w:rPr>
          <w:rFonts w:ascii="Cambria" w:hAnsi="Cambria"/>
          <w:sz w:val="16"/>
          <w:szCs w:val="16"/>
          <w:lang w:val="es-ES"/>
        </w:rPr>
      </w:pPr>
      <w:r w:rsidRPr="005D2619">
        <w:rPr>
          <w:rStyle w:val="FootnoteReference"/>
          <w:rFonts w:ascii="Cambria" w:hAnsi="Cambria"/>
          <w:sz w:val="16"/>
          <w:szCs w:val="16"/>
        </w:rPr>
        <w:footnoteRef/>
      </w:r>
      <w:r w:rsidRPr="005D2619">
        <w:rPr>
          <w:rFonts w:ascii="Cambria" w:hAnsi="Cambria"/>
          <w:sz w:val="16"/>
          <w:szCs w:val="16"/>
          <w:lang w:val="es-CO"/>
        </w:rPr>
        <w:t xml:space="preserve"> </w:t>
      </w:r>
      <w:r w:rsidRPr="005D2619">
        <w:rPr>
          <w:rFonts w:ascii="Cambria" w:hAnsi="Cambria"/>
          <w:sz w:val="16"/>
          <w:szCs w:val="16"/>
          <w:lang w:val="es-ES"/>
        </w:rPr>
        <w:t xml:space="preserve">CIDH. </w:t>
      </w:r>
      <w:hyperlink r:id="rId5" w:history="1">
        <w:r w:rsidRPr="005D2619">
          <w:rPr>
            <w:rStyle w:val="Hyperlink"/>
            <w:rFonts w:ascii="Cambria" w:hAnsi="Cambria"/>
            <w:sz w:val="16"/>
            <w:szCs w:val="16"/>
            <w:u w:val="none"/>
            <w:lang w:val="es-ES"/>
          </w:rPr>
          <w:t>Informe sobre el uso de la prisión preventiva en las Américas</w:t>
        </w:r>
      </w:hyperlink>
      <w:r w:rsidRPr="005D2619">
        <w:rPr>
          <w:rFonts w:ascii="Cambria" w:hAnsi="Cambria"/>
          <w:sz w:val="16"/>
          <w:szCs w:val="16"/>
          <w:lang w:val="es-ES"/>
        </w:rPr>
        <w:t xml:space="preserve">. </w:t>
      </w:r>
      <w:r w:rsidRPr="005D2619">
        <w:rPr>
          <w:rFonts w:ascii="Cambria" w:hAnsi="Cambria"/>
          <w:sz w:val="16"/>
          <w:szCs w:val="16"/>
          <w:lang w:val="es-CO"/>
        </w:rPr>
        <w:t xml:space="preserve">OEA/Ser.L/V/II. Doc. 46/13. 30 de diciembre de 2013, párr. 21. </w:t>
      </w:r>
    </w:p>
  </w:footnote>
  <w:footnote w:id="84">
    <w:p w14:paraId="21B4EF2F" w14:textId="77777777" w:rsidR="006307FA" w:rsidRPr="005D2619" w:rsidRDefault="006307FA" w:rsidP="00CE40F8">
      <w:pPr>
        <w:autoSpaceDE w:val="0"/>
        <w:autoSpaceDN w:val="0"/>
        <w:adjustRightInd w:val="0"/>
        <w:spacing w:after="0" w:line="240" w:lineRule="auto"/>
        <w:jc w:val="both"/>
        <w:rPr>
          <w:rFonts w:ascii="Cambria" w:hAnsi="Cambria" w:cs="Calibri"/>
          <w:sz w:val="16"/>
          <w:szCs w:val="16"/>
          <w:lang w:val="es-CO" w:eastAsia="es-ES"/>
        </w:rPr>
      </w:pPr>
      <w:r w:rsidRPr="005D2619">
        <w:rPr>
          <w:rStyle w:val="FootnoteReference"/>
          <w:rFonts w:ascii="Cambria" w:hAnsi="Cambria"/>
          <w:sz w:val="16"/>
          <w:szCs w:val="16"/>
        </w:rPr>
        <w:footnoteRef/>
      </w:r>
      <w:r w:rsidRPr="00253524">
        <w:rPr>
          <w:rFonts w:ascii="Cambria" w:hAnsi="Cambria"/>
          <w:sz w:val="16"/>
          <w:szCs w:val="16"/>
          <w:lang w:val="es-US"/>
        </w:rPr>
        <w:t xml:space="preserve"> </w:t>
      </w:r>
      <w:r w:rsidRPr="00253524">
        <w:rPr>
          <w:rFonts w:ascii="Cambria" w:hAnsi="Cambria" w:cs="Calibri"/>
          <w:sz w:val="16"/>
          <w:szCs w:val="16"/>
          <w:lang w:val="es-US" w:eastAsia="es-ES"/>
        </w:rPr>
        <w:t xml:space="preserve">Corte IDH. </w:t>
      </w:r>
      <w:r w:rsidRPr="00253524">
        <w:rPr>
          <w:rFonts w:ascii="Cambria" w:hAnsi="Cambria" w:cs="Calibri-Italic"/>
          <w:i/>
          <w:iCs/>
          <w:sz w:val="16"/>
          <w:szCs w:val="16"/>
          <w:lang w:val="es-US" w:eastAsia="es-ES"/>
        </w:rPr>
        <w:t xml:space="preserve">Caso Usón Ramírez Vs. </w:t>
      </w:r>
      <w:r w:rsidRPr="005D2619">
        <w:rPr>
          <w:rFonts w:ascii="Cambria" w:hAnsi="Cambria" w:cs="Calibri-Italic"/>
          <w:i/>
          <w:iCs/>
          <w:sz w:val="16"/>
          <w:szCs w:val="16"/>
          <w:lang w:val="es-CO" w:eastAsia="es-ES"/>
        </w:rPr>
        <w:t>Venezuela</w:t>
      </w:r>
      <w:r w:rsidRPr="005D2619">
        <w:rPr>
          <w:rFonts w:ascii="Cambria" w:hAnsi="Cambria" w:cs="Calibri-Italic"/>
          <w:iCs/>
          <w:sz w:val="16"/>
          <w:szCs w:val="16"/>
          <w:lang w:val="es-CO" w:eastAsia="es-ES"/>
        </w:rPr>
        <w:t xml:space="preserve">. </w:t>
      </w:r>
      <w:r w:rsidRPr="005D2619">
        <w:rPr>
          <w:rFonts w:ascii="Cambria" w:hAnsi="Cambria" w:cs="Calibri"/>
          <w:sz w:val="16"/>
          <w:szCs w:val="16"/>
          <w:lang w:val="es-CO" w:eastAsia="es-ES"/>
        </w:rPr>
        <w:t>Excepción Preliminar, Fondo, Reparaciones y Costas. Sentencia de 20 de noviembre de 2009. Serie C No. 207, párr. 144.</w:t>
      </w:r>
    </w:p>
  </w:footnote>
  <w:footnote w:id="85">
    <w:p w14:paraId="3548A602" w14:textId="77777777" w:rsidR="006307FA" w:rsidRPr="005D2619" w:rsidRDefault="006307FA" w:rsidP="00CE40F8">
      <w:pPr>
        <w:pStyle w:val="FootnoteText"/>
        <w:jc w:val="both"/>
        <w:rPr>
          <w:rFonts w:ascii="Cambria" w:hAnsi="Cambria"/>
          <w:color w:val="auto"/>
          <w:sz w:val="16"/>
          <w:szCs w:val="16"/>
          <w:lang w:val="es-CO"/>
        </w:rPr>
      </w:pPr>
      <w:r w:rsidRPr="005D2619">
        <w:rPr>
          <w:rStyle w:val="FootnoteReference"/>
          <w:rFonts w:ascii="Cambria" w:eastAsia="Arial Unicode MS" w:hAnsi="Cambria"/>
          <w:color w:val="auto"/>
          <w:sz w:val="16"/>
          <w:szCs w:val="16"/>
        </w:rPr>
        <w:footnoteRef/>
      </w:r>
      <w:r w:rsidRPr="005D2619">
        <w:rPr>
          <w:rFonts w:ascii="Cambria" w:hAnsi="Cambria"/>
          <w:color w:val="auto"/>
          <w:sz w:val="16"/>
          <w:szCs w:val="16"/>
          <w:lang w:val="es-CO"/>
        </w:rPr>
        <w:t xml:space="preserve"> CIDH, </w:t>
      </w:r>
      <w:hyperlink r:id="rId6" w:history="1">
        <w:r w:rsidRPr="005D2619">
          <w:rPr>
            <w:rStyle w:val="Hyperlink"/>
            <w:rFonts w:ascii="Cambria" w:hAnsi="Cambria"/>
            <w:i/>
            <w:color w:val="auto"/>
            <w:sz w:val="16"/>
            <w:szCs w:val="16"/>
            <w:u w:val="none"/>
            <w:lang w:val="es-CO"/>
          </w:rPr>
          <w:t>Informe sobre el uso de la prisión preventiva en las Américas</w:t>
        </w:r>
      </w:hyperlink>
      <w:r w:rsidRPr="005D2619">
        <w:rPr>
          <w:rFonts w:ascii="Cambria" w:hAnsi="Cambria"/>
          <w:color w:val="auto"/>
          <w:sz w:val="16"/>
          <w:szCs w:val="16"/>
          <w:lang w:val="es-CO"/>
        </w:rPr>
        <w:t>. OEA/Ser.L/V/II. 30 de diciembre de 2013, párr. 137.</w:t>
      </w:r>
    </w:p>
  </w:footnote>
  <w:footnote w:id="86">
    <w:p w14:paraId="3F155C97" w14:textId="77777777" w:rsidR="006307FA" w:rsidRPr="005D2619" w:rsidRDefault="006307FA" w:rsidP="00CE40F8">
      <w:pPr>
        <w:pStyle w:val="FootnoteText"/>
        <w:jc w:val="both"/>
        <w:rPr>
          <w:rFonts w:ascii="Cambria" w:hAnsi="Cambria"/>
          <w:color w:val="auto"/>
          <w:sz w:val="16"/>
          <w:szCs w:val="16"/>
          <w:lang w:val="es-ES"/>
        </w:rPr>
      </w:pPr>
      <w:r w:rsidRPr="005D2619">
        <w:rPr>
          <w:rStyle w:val="FootnoteReference"/>
          <w:rFonts w:ascii="Cambria" w:hAnsi="Cambria"/>
          <w:color w:val="auto"/>
          <w:sz w:val="16"/>
          <w:szCs w:val="16"/>
        </w:rPr>
        <w:footnoteRef/>
      </w:r>
      <w:r w:rsidRPr="005D2619">
        <w:rPr>
          <w:rFonts w:ascii="Cambria" w:hAnsi="Cambria"/>
          <w:color w:val="auto"/>
          <w:sz w:val="16"/>
          <w:szCs w:val="16"/>
          <w:lang w:val="es-ES"/>
        </w:rPr>
        <w:t xml:space="preserve"> Artículo 8. Garantías judiciales.</w:t>
      </w:r>
    </w:p>
    <w:p w14:paraId="318DD9BC" w14:textId="1D9747F3" w:rsidR="006307FA" w:rsidRPr="005D2619" w:rsidRDefault="006307FA" w:rsidP="009B4ECB">
      <w:pPr>
        <w:spacing w:after="0" w:line="240" w:lineRule="auto"/>
        <w:ind w:left="720"/>
        <w:jc w:val="both"/>
        <w:rPr>
          <w:rFonts w:ascii="Cambria" w:eastAsia="Times New Roman" w:hAnsi="Cambria" w:cs="Tahoma"/>
          <w:sz w:val="16"/>
          <w:szCs w:val="16"/>
          <w:lang w:val="es-ES" w:eastAsia="es-ES"/>
        </w:rPr>
      </w:pPr>
      <w:r w:rsidRPr="005D2619">
        <w:rPr>
          <w:rFonts w:ascii="Cambria" w:eastAsia="Times New Roman" w:hAnsi="Cambria" w:cs="Tahoma"/>
          <w:sz w:val="16"/>
          <w:szCs w:val="16"/>
          <w:lang w:val="es-ES" w:eastAsia="es-ES"/>
        </w:rPr>
        <w:t>1. Toda persona tiene derecho a ser oída, con las debidas garantías y dentro de un plazo razonable, por un juez o tribunal competente, independiente e imparcial, establecido con anterioridad por la ley, en la sustanciación de cualquier acusación penal formulada contra ella, o para la determinación de sus derechos y obligaciones de orden civil, laboral, fiscal o de cualquier otro carácter.</w:t>
      </w:r>
    </w:p>
    <w:p w14:paraId="29E6C2B6" w14:textId="4FAFE9A7" w:rsidR="006307FA" w:rsidRPr="005D2619" w:rsidRDefault="006307FA" w:rsidP="009B4ECB">
      <w:pPr>
        <w:spacing w:after="0" w:line="240" w:lineRule="auto"/>
        <w:ind w:left="720"/>
        <w:jc w:val="both"/>
        <w:rPr>
          <w:rFonts w:ascii="Cambria" w:eastAsia="Times New Roman" w:hAnsi="Cambria" w:cs="Tahoma"/>
          <w:sz w:val="16"/>
          <w:szCs w:val="16"/>
          <w:lang w:val="es-ES" w:eastAsia="es-ES"/>
        </w:rPr>
      </w:pPr>
      <w:r w:rsidRPr="005D2619">
        <w:rPr>
          <w:rFonts w:ascii="Cambria" w:eastAsia="Times New Roman" w:hAnsi="Cambria" w:cs="Tahoma"/>
          <w:sz w:val="16"/>
          <w:szCs w:val="16"/>
          <w:lang w:val="es-ES" w:eastAsia="es-ES"/>
        </w:rPr>
        <w:t>2. Toda persona inculpada de delito tiene derecho a que se presuma su inocencia mientras no se establezca legalmente su culpabilidad.  Durante el proceso, toda persona tiene derecho, en plena igualdad, a las siguientes garantías mínimas:</w:t>
      </w:r>
    </w:p>
    <w:p w14:paraId="14C8898D" w14:textId="77777777" w:rsidR="006307FA" w:rsidRPr="005D2619" w:rsidRDefault="006307FA" w:rsidP="009B4ECB">
      <w:pPr>
        <w:spacing w:after="0" w:line="240" w:lineRule="auto"/>
        <w:ind w:left="720"/>
        <w:jc w:val="both"/>
        <w:rPr>
          <w:rFonts w:ascii="Cambria" w:eastAsia="Times New Roman" w:hAnsi="Cambria" w:cs="Tahoma"/>
          <w:sz w:val="16"/>
          <w:szCs w:val="16"/>
          <w:lang w:val="es-ES" w:eastAsia="es-ES"/>
        </w:rPr>
      </w:pPr>
      <w:r w:rsidRPr="005D2619">
        <w:rPr>
          <w:rFonts w:ascii="Cambria" w:eastAsia="Times New Roman" w:hAnsi="Cambria" w:cs="Tahoma"/>
          <w:sz w:val="16"/>
          <w:szCs w:val="16"/>
          <w:lang w:val="es-ES" w:eastAsia="es-ES"/>
        </w:rPr>
        <w:t>(…)</w:t>
      </w:r>
    </w:p>
    <w:p w14:paraId="6C5199FF" w14:textId="5E14C018" w:rsidR="006307FA" w:rsidRPr="005D2619" w:rsidRDefault="006307FA" w:rsidP="009B4ECB">
      <w:pPr>
        <w:widowControl w:val="0"/>
        <w:tabs>
          <w:tab w:val="left" w:pos="720"/>
        </w:tabs>
        <w:autoSpaceDE w:val="0"/>
        <w:autoSpaceDN w:val="0"/>
        <w:adjustRightInd w:val="0"/>
        <w:spacing w:after="0" w:line="240" w:lineRule="auto"/>
        <w:ind w:left="720" w:right="720"/>
        <w:jc w:val="both"/>
        <w:rPr>
          <w:rFonts w:ascii="Cambria" w:hAnsi="Cambria" w:cs="Times-Roman"/>
          <w:sz w:val="16"/>
          <w:szCs w:val="16"/>
          <w:lang w:val="es-ES" w:bidi="en-US"/>
        </w:rPr>
      </w:pPr>
      <w:r w:rsidRPr="005D2619">
        <w:rPr>
          <w:rFonts w:ascii="Cambria" w:hAnsi="Cambria" w:cs="Verdana"/>
          <w:sz w:val="16"/>
          <w:szCs w:val="16"/>
          <w:lang w:val="es-ES" w:bidi="en-US"/>
        </w:rPr>
        <w:t>b)</w:t>
      </w:r>
      <w:r w:rsidR="00D23DE0">
        <w:rPr>
          <w:rFonts w:ascii="Cambria" w:hAnsi="Cambria" w:cs="Verdana"/>
          <w:sz w:val="16"/>
          <w:szCs w:val="16"/>
          <w:lang w:val="es-ES" w:bidi="en-US"/>
        </w:rPr>
        <w:t xml:space="preserve"> </w:t>
      </w:r>
      <w:r w:rsidRPr="005D2619">
        <w:rPr>
          <w:rFonts w:ascii="Cambria" w:hAnsi="Cambria" w:cs="Verdana"/>
          <w:sz w:val="16"/>
          <w:szCs w:val="16"/>
          <w:lang w:val="es-ES" w:bidi="en-US"/>
        </w:rPr>
        <w:t>comunicación previa y detallada al inculpado de la acusación formulada;</w:t>
      </w:r>
    </w:p>
    <w:p w14:paraId="118DB92F" w14:textId="77777777" w:rsidR="006307FA" w:rsidRPr="005D2619" w:rsidRDefault="006307FA" w:rsidP="009B4ECB">
      <w:pPr>
        <w:widowControl w:val="0"/>
        <w:tabs>
          <w:tab w:val="left" w:pos="720"/>
        </w:tabs>
        <w:autoSpaceDE w:val="0"/>
        <w:autoSpaceDN w:val="0"/>
        <w:adjustRightInd w:val="0"/>
        <w:spacing w:after="0" w:line="240" w:lineRule="auto"/>
        <w:ind w:left="720" w:right="720"/>
        <w:jc w:val="both"/>
        <w:rPr>
          <w:rFonts w:ascii="Cambria" w:eastAsia="Times New Roman" w:hAnsi="Cambria" w:cs="Tahoma"/>
          <w:sz w:val="16"/>
          <w:szCs w:val="16"/>
          <w:lang w:val="es-ES" w:eastAsia="es-ES"/>
        </w:rPr>
      </w:pPr>
      <w:r w:rsidRPr="005D2619">
        <w:rPr>
          <w:rFonts w:ascii="Cambria" w:eastAsia="Times New Roman" w:hAnsi="Cambria" w:cs="Tahoma"/>
          <w:sz w:val="16"/>
          <w:szCs w:val="16"/>
          <w:lang w:val="es-ES" w:eastAsia="es-ES"/>
        </w:rPr>
        <w:t>c) concesión al inculpado del tiempo y de los medios adecuados para la preparación de su defensa;</w:t>
      </w:r>
    </w:p>
    <w:p w14:paraId="05060922" w14:textId="5D1A51CD" w:rsidR="006307FA" w:rsidRPr="005D2619" w:rsidRDefault="006307FA" w:rsidP="009B4ECB">
      <w:pPr>
        <w:spacing w:after="0" w:line="240" w:lineRule="auto"/>
        <w:ind w:left="720"/>
        <w:jc w:val="both"/>
        <w:rPr>
          <w:rFonts w:ascii="Cambria" w:eastAsia="Times New Roman" w:hAnsi="Cambria" w:cs="Tahoma"/>
          <w:sz w:val="16"/>
          <w:szCs w:val="16"/>
          <w:lang w:val="es-ES" w:eastAsia="es-ES"/>
        </w:rPr>
      </w:pPr>
      <w:r w:rsidRPr="005D2619">
        <w:rPr>
          <w:rFonts w:ascii="Cambria" w:eastAsia="Times New Roman" w:hAnsi="Cambria" w:cs="Tahoma"/>
          <w:sz w:val="16"/>
          <w:szCs w:val="16"/>
          <w:lang w:val="es-ES" w:eastAsia="es-ES"/>
        </w:rPr>
        <w:t>(…)</w:t>
      </w:r>
    </w:p>
    <w:p w14:paraId="539914A6" w14:textId="55C113B1" w:rsidR="006307FA" w:rsidRPr="005D2619" w:rsidRDefault="006307FA" w:rsidP="009B4ECB">
      <w:pPr>
        <w:spacing w:after="0" w:line="240" w:lineRule="auto"/>
        <w:ind w:left="720"/>
        <w:jc w:val="both"/>
        <w:rPr>
          <w:rFonts w:ascii="Cambria" w:eastAsia="Times New Roman" w:hAnsi="Cambria" w:cs="Tahoma"/>
          <w:sz w:val="16"/>
          <w:szCs w:val="16"/>
          <w:lang w:val="es-ES" w:eastAsia="es-ES"/>
        </w:rPr>
      </w:pPr>
      <w:r w:rsidRPr="005D2619">
        <w:rPr>
          <w:rFonts w:ascii="Cambria" w:eastAsia="Times New Roman" w:hAnsi="Cambria" w:cs="Tahoma"/>
          <w:sz w:val="16"/>
          <w:szCs w:val="16"/>
          <w:lang w:val="es-ES" w:eastAsia="es-ES"/>
        </w:rPr>
        <w:t>f) derecho de la defensa de interrogar a los testigos presentes en el tribunal y de obtener la comparecencia, como testigos o peritos, de otras personas que puedan arrojar luz sobre los hechos (…).</w:t>
      </w:r>
    </w:p>
  </w:footnote>
  <w:footnote w:id="87">
    <w:p w14:paraId="32BA0018" w14:textId="77777777" w:rsidR="006307FA" w:rsidRPr="005D2619" w:rsidRDefault="006307FA" w:rsidP="00CE40F8">
      <w:pPr>
        <w:pStyle w:val="FootnoteText"/>
        <w:jc w:val="both"/>
        <w:rPr>
          <w:rFonts w:ascii="Cambria" w:hAnsi="Cambria"/>
          <w:color w:val="auto"/>
          <w:sz w:val="16"/>
          <w:szCs w:val="16"/>
          <w:lang w:val="es-ES"/>
        </w:rPr>
      </w:pPr>
      <w:r w:rsidRPr="005D2619">
        <w:rPr>
          <w:rStyle w:val="FootnoteReference"/>
          <w:rFonts w:ascii="Cambria" w:hAnsi="Cambria"/>
          <w:color w:val="auto"/>
          <w:sz w:val="16"/>
          <w:szCs w:val="16"/>
        </w:rPr>
        <w:footnoteRef/>
      </w:r>
      <w:r w:rsidRPr="005D2619">
        <w:rPr>
          <w:rFonts w:ascii="Cambria" w:hAnsi="Cambria"/>
          <w:color w:val="auto"/>
          <w:sz w:val="16"/>
          <w:szCs w:val="16"/>
          <w:lang w:val="es-ES"/>
        </w:rPr>
        <w:t xml:space="preserve"> Artículo 25. Protección judicial.</w:t>
      </w:r>
    </w:p>
    <w:p w14:paraId="24A25FC1" w14:textId="77777777" w:rsidR="006307FA" w:rsidRPr="005D2619" w:rsidRDefault="006307FA" w:rsidP="009B4ECB">
      <w:pPr>
        <w:spacing w:after="0" w:line="240" w:lineRule="auto"/>
        <w:ind w:left="720"/>
        <w:jc w:val="both"/>
        <w:rPr>
          <w:rFonts w:ascii="Cambria" w:eastAsia="Times New Roman" w:hAnsi="Cambria" w:cs="Tahoma"/>
          <w:sz w:val="16"/>
          <w:szCs w:val="16"/>
          <w:lang w:val="es-ES" w:eastAsia="es-ES"/>
        </w:rPr>
      </w:pPr>
      <w:r w:rsidRPr="005D2619">
        <w:rPr>
          <w:rFonts w:ascii="Cambria" w:eastAsia="Times New Roman" w:hAnsi="Cambria" w:cs="Tahoma"/>
          <w:sz w:val="16"/>
          <w:szCs w:val="16"/>
          <w:lang w:val="es-ES" w:eastAsia="es-ES"/>
        </w:rPr>
        <w:t>1. Toda persona tiene derecho a un recurso sencillo y rápido o a cualquier otro recurso efectivo ante los jueces o tribunales competentes, que la ampare contra actos que violen sus derechos fundamentales reconocidos por la Constitución, la ley o la presente Convención, aun cuando tal violación sea cometida por personas que actúen en ejercicio de sus funciones oficiales (…).</w:t>
      </w:r>
    </w:p>
  </w:footnote>
  <w:footnote w:id="88">
    <w:p w14:paraId="04402A16" w14:textId="77777777" w:rsidR="006307FA" w:rsidRPr="005D2619" w:rsidRDefault="006307FA" w:rsidP="00CE40F8">
      <w:pPr>
        <w:spacing w:after="0" w:line="240" w:lineRule="auto"/>
        <w:jc w:val="both"/>
        <w:rPr>
          <w:rFonts w:ascii="Cambria" w:hAnsi="Cambria"/>
          <w:sz w:val="16"/>
          <w:szCs w:val="16"/>
          <w:lang w:val="es-ES"/>
        </w:rPr>
      </w:pPr>
      <w:r w:rsidRPr="005D2619">
        <w:rPr>
          <w:rStyle w:val="FootnoteReference"/>
          <w:rFonts w:ascii="Cambria" w:hAnsi="Cambria"/>
          <w:sz w:val="16"/>
          <w:szCs w:val="16"/>
        </w:rPr>
        <w:footnoteRef/>
      </w:r>
      <w:r w:rsidRPr="005D2619">
        <w:rPr>
          <w:rFonts w:ascii="Cambria" w:hAnsi="Cambria"/>
          <w:sz w:val="16"/>
          <w:szCs w:val="16"/>
          <w:lang w:val="es-ES"/>
        </w:rPr>
        <w:t xml:space="preserve"> CIDH. Demanda ante la Corte Interamericana de Derechos Humanos. Caso García Asto y Ramírez Rojas vs. Perú de 22 de junio de 2004, párr. 114. Ver también: CIDH. Informe sobre la Situación de los Derechos Humanos en Colombia. 26 de febrero de 1999, párrs. 121 y 122.</w:t>
      </w:r>
    </w:p>
  </w:footnote>
  <w:footnote w:id="89">
    <w:p w14:paraId="2C9B3F99" w14:textId="77777777" w:rsidR="006307FA" w:rsidRPr="005D2619" w:rsidRDefault="006307FA" w:rsidP="00CE40F8">
      <w:pPr>
        <w:spacing w:after="0" w:line="240" w:lineRule="auto"/>
        <w:jc w:val="both"/>
        <w:rPr>
          <w:rFonts w:ascii="Cambria" w:hAnsi="Cambria" w:cs="Arial"/>
          <w:sz w:val="16"/>
          <w:szCs w:val="16"/>
          <w:lang w:val="es-ES"/>
        </w:rPr>
      </w:pPr>
      <w:r w:rsidRPr="005D2619">
        <w:rPr>
          <w:rStyle w:val="FootnoteReference"/>
          <w:rFonts w:ascii="Cambria" w:hAnsi="Cambria" w:cs="Arial"/>
          <w:sz w:val="16"/>
          <w:szCs w:val="16"/>
          <w:lang w:val="es-ES"/>
        </w:rPr>
        <w:footnoteRef/>
      </w:r>
      <w:r w:rsidRPr="005D2619">
        <w:rPr>
          <w:rFonts w:ascii="Cambria" w:hAnsi="Cambria" w:cs="Arial"/>
          <w:sz w:val="16"/>
          <w:szCs w:val="16"/>
          <w:lang w:val="es-ES"/>
        </w:rPr>
        <w:t xml:space="preserve"> CIDH. Informe Anual de la Comisión Interamericana de Derechos Humanos de 1996. Capítulo V.  Perú, II Estado de emergencia. </w:t>
      </w:r>
    </w:p>
  </w:footnote>
  <w:footnote w:id="90">
    <w:p w14:paraId="5AE38D7F" w14:textId="77777777" w:rsidR="006307FA" w:rsidRPr="005D2619" w:rsidRDefault="006307FA" w:rsidP="00CE40F8">
      <w:pPr>
        <w:pStyle w:val="FootnoteText"/>
        <w:tabs>
          <w:tab w:val="left" w:pos="426"/>
        </w:tabs>
        <w:jc w:val="both"/>
        <w:rPr>
          <w:rFonts w:ascii="Cambria" w:hAnsi="Cambria"/>
          <w:i/>
          <w:spacing w:val="-4"/>
          <w:sz w:val="16"/>
          <w:szCs w:val="16"/>
          <w:lang w:val="es-ES"/>
        </w:rPr>
      </w:pPr>
      <w:r w:rsidRPr="005D2619">
        <w:rPr>
          <w:rStyle w:val="FootnoteReference"/>
          <w:rFonts w:ascii="Cambria" w:hAnsi="Cambria"/>
          <w:spacing w:val="-4"/>
          <w:sz w:val="16"/>
          <w:szCs w:val="16"/>
        </w:rPr>
        <w:footnoteRef/>
      </w:r>
      <w:r w:rsidRPr="005D2619">
        <w:rPr>
          <w:rFonts w:ascii="Cambria" w:hAnsi="Cambria"/>
          <w:spacing w:val="-4"/>
          <w:sz w:val="16"/>
          <w:szCs w:val="16"/>
          <w:lang w:val="es-ES"/>
        </w:rPr>
        <w:t xml:space="preserve"> </w:t>
      </w:r>
      <w:r w:rsidRPr="005D2619">
        <w:rPr>
          <w:rStyle w:val="Strong"/>
          <w:rFonts w:ascii="Cambria" w:hAnsi="Cambria"/>
          <w:b w:val="0"/>
          <w:sz w:val="16"/>
          <w:szCs w:val="16"/>
          <w:shd w:val="clear" w:color="auto" w:fill="FFFFFF"/>
          <w:lang w:val="es-ES"/>
        </w:rPr>
        <w:t xml:space="preserve">Corte IDH. </w:t>
      </w:r>
      <w:r w:rsidRPr="005D2619">
        <w:rPr>
          <w:rStyle w:val="Strong"/>
          <w:rFonts w:ascii="Cambria" w:hAnsi="Cambria"/>
          <w:b w:val="0"/>
          <w:i/>
          <w:sz w:val="16"/>
          <w:szCs w:val="16"/>
          <w:shd w:val="clear" w:color="auto" w:fill="FFFFFF"/>
          <w:lang w:val="es-ES"/>
        </w:rPr>
        <w:t>Caso J. Vs. Perú</w:t>
      </w:r>
      <w:r w:rsidRPr="005D2619">
        <w:rPr>
          <w:rStyle w:val="Strong"/>
          <w:rFonts w:ascii="Cambria" w:hAnsi="Cambria"/>
          <w:b w:val="0"/>
          <w:sz w:val="16"/>
          <w:szCs w:val="16"/>
          <w:shd w:val="clear" w:color="auto" w:fill="FFFFFF"/>
          <w:lang w:val="es-ES"/>
        </w:rPr>
        <w:t>. Excepción Preliminar, Fondo, Reparaciones y Costas. Sentencia de 27 de noviembre de 2013. Serie C No. 275, párr. 185.</w:t>
      </w:r>
    </w:p>
  </w:footnote>
  <w:footnote w:id="91">
    <w:p w14:paraId="66B834D3" w14:textId="77777777" w:rsidR="006307FA" w:rsidRPr="009B4ECB" w:rsidRDefault="006307FA" w:rsidP="00CE40F8">
      <w:pPr>
        <w:pStyle w:val="FootnoteText"/>
        <w:tabs>
          <w:tab w:val="left" w:pos="426"/>
        </w:tabs>
        <w:jc w:val="both"/>
        <w:rPr>
          <w:rFonts w:ascii="Cambria" w:hAnsi="Cambria"/>
          <w:sz w:val="16"/>
          <w:szCs w:val="16"/>
          <w:lang w:val="pt-BR"/>
        </w:rPr>
      </w:pPr>
      <w:r w:rsidRPr="005D2619">
        <w:rPr>
          <w:rStyle w:val="FootnoteReference"/>
          <w:rFonts w:ascii="Cambria" w:hAnsi="Cambria"/>
          <w:sz w:val="16"/>
          <w:szCs w:val="16"/>
        </w:rPr>
        <w:footnoteRef/>
      </w:r>
      <w:r w:rsidRPr="005D2619">
        <w:rPr>
          <w:rFonts w:ascii="Cambria" w:hAnsi="Cambria"/>
          <w:sz w:val="16"/>
          <w:szCs w:val="16"/>
          <w:lang w:val="es-ES"/>
        </w:rPr>
        <w:t xml:space="preserve"> Corte IDH.</w:t>
      </w:r>
      <w:r w:rsidRPr="005D2619">
        <w:rPr>
          <w:rFonts w:ascii="Cambria" w:hAnsi="Cambria"/>
          <w:i/>
          <w:spacing w:val="-4"/>
          <w:sz w:val="16"/>
          <w:szCs w:val="16"/>
          <w:lang w:val="es-ES"/>
        </w:rPr>
        <w:t xml:space="preserve"> Caso Cantoral Huamaní y García Santa Cruz Vs. Perú</w:t>
      </w:r>
      <w:r w:rsidRPr="005D2619">
        <w:rPr>
          <w:rFonts w:ascii="Cambria" w:hAnsi="Cambria"/>
          <w:spacing w:val="-4"/>
          <w:sz w:val="16"/>
          <w:szCs w:val="16"/>
          <w:lang w:val="es-ES"/>
        </w:rPr>
        <w:t xml:space="preserve">. Excepción Preliminar, Fondo, Reparaciones y Costas. Sentencia de 10 de julio de 2007. </w:t>
      </w:r>
      <w:r w:rsidRPr="009B4ECB">
        <w:rPr>
          <w:rFonts w:ascii="Cambria" w:hAnsi="Cambria"/>
          <w:spacing w:val="-4"/>
          <w:sz w:val="16"/>
          <w:szCs w:val="16"/>
          <w:lang w:val="pt-BR"/>
        </w:rPr>
        <w:t>Serie C No. 167, párr. 133.</w:t>
      </w:r>
    </w:p>
  </w:footnote>
  <w:footnote w:id="92">
    <w:p w14:paraId="43CF6DE0" w14:textId="77777777" w:rsidR="006307FA" w:rsidRPr="005D2619" w:rsidRDefault="006307FA" w:rsidP="00CE40F8">
      <w:pPr>
        <w:spacing w:after="0" w:line="240" w:lineRule="auto"/>
        <w:jc w:val="both"/>
        <w:rPr>
          <w:rFonts w:ascii="Cambria" w:hAnsi="Cambria"/>
          <w:sz w:val="16"/>
          <w:szCs w:val="16"/>
          <w:lang w:val="pt-BR"/>
        </w:rPr>
      </w:pPr>
      <w:r w:rsidRPr="005D2619">
        <w:rPr>
          <w:rStyle w:val="FootnoteReference"/>
          <w:rFonts w:ascii="Cambria" w:hAnsi="Cambria"/>
          <w:sz w:val="16"/>
          <w:szCs w:val="16"/>
        </w:rPr>
        <w:footnoteRef/>
      </w:r>
      <w:r w:rsidRPr="009B4ECB">
        <w:rPr>
          <w:rFonts w:ascii="Cambria" w:hAnsi="Cambria"/>
          <w:sz w:val="16"/>
          <w:szCs w:val="16"/>
          <w:lang w:val="pt-BR"/>
        </w:rPr>
        <w:t xml:space="preserve"> Corte IDH. </w:t>
      </w:r>
      <w:r w:rsidRPr="009B4ECB">
        <w:rPr>
          <w:rFonts w:ascii="Cambria" w:hAnsi="Cambria"/>
          <w:bCs/>
          <w:i/>
          <w:sz w:val="16"/>
          <w:szCs w:val="16"/>
          <w:lang w:val="pt-BR"/>
        </w:rPr>
        <w:t xml:space="preserve">Caso Barreto Leiva Vs. </w:t>
      </w:r>
      <w:r w:rsidRPr="005D2619">
        <w:rPr>
          <w:rFonts w:ascii="Cambria" w:hAnsi="Cambria"/>
          <w:bCs/>
          <w:i/>
          <w:sz w:val="16"/>
          <w:szCs w:val="16"/>
          <w:lang w:val="es-ES"/>
        </w:rPr>
        <w:t>Venezuela.</w:t>
      </w:r>
      <w:r w:rsidRPr="005D2619">
        <w:rPr>
          <w:rFonts w:ascii="Cambria" w:hAnsi="Cambria"/>
          <w:b/>
          <w:bCs/>
          <w:sz w:val="16"/>
          <w:szCs w:val="16"/>
          <w:lang w:val="es-ES"/>
        </w:rPr>
        <w:t xml:space="preserve"> </w:t>
      </w:r>
      <w:r w:rsidRPr="005D2619">
        <w:rPr>
          <w:rFonts w:ascii="Cambria" w:hAnsi="Cambria"/>
          <w:sz w:val="16"/>
          <w:szCs w:val="16"/>
          <w:lang w:val="es-ES"/>
        </w:rPr>
        <w:t xml:space="preserve">Fondo, Reparaciones y Costas. </w:t>
      </w:r>
      <w:r w:rsidRPr="005D2619">
        <w:rPr>
          <w:rFonts w:ascii="Cambria" w:hAnsi="Cambria"/>
          <w:sz w:val="16"/>
          <w:szCs w:val="16"/>
          <w:lang w:val="es-CO"/>
        </w:rPr>
        <w:t xml:space="preserve">Sentencia de 17 de noviembre de 2009. Serie C No. 206. párr. 29; </w:t>
      </w:r>
      <w:r w:rsidRPr="005D2619">
        <w:rPr>
          <w:rFonts w:ascii="Cambria" w:hAnsi="Cambria"/>
          <w:sz w:val="16"/>
          <w:szCs w:val="16"/>
          <w:lang w:val="es-ES"/>
        </w:rPr>
        <w:t>y</w:t>
      </w:r>
      <w:r w:rsidRPr="005D2619">
        <w:rPr>
          <w:rFonts w:ascii="Cambria" w:hAnsi="Cambria"/>
          <w:i/>
          <w:sz w:val="16"/>
          <w:szCs w:val="16"/>
          <w:lang w:val="es-ES"/>
        </w:rPr>
        <w:t xml:space="preserve"> Caso Heliodoro Portugal Vs. Panamá. Excepciones Preliminares, Fondo, Reparaciones y Costas. </w:t>
      </w:r>
      <w:r w:rsidRPr="005D2619">
        <w:rPr>
          <w:rFonts w:ascii="Cambria" w:hAnsi="Cambria"/>
          <w:sz w:val="16"/>
          <w:szCs w:val="16"/>
          <w:lang w:val="es-CO"/>
        </w:rPr>
        <w:t xml:space="preserve">Sentencia de 12 de agosto de 2008. </w:t>
      </w:r>
      <w:r w:rsidRPr="005D2619">
        <w:rPr>
          <w:rFonts w:ascii="Cambria" w:hAnsi="Cambria"/>
          <w:sz w:val="16"/>
          <w:szCs w:val="16"/>
          <w:lang w:val="pt-BR"/>
        </w:rPr>
        <w:t>Serie C No. 186, párr. 148.</w:t>
      </w:r>
    </w:p>
  </w:footnote>
  <w:footnote w:id="93">
    <w:p w14:paraId="07B70172" w14:textId="77777777" w:rsidR="006307FA" w:rsidRPr="00FE02DB" w:rsidRDefault="006307FA" w:rsidP="00CE40F8">
      <w:pPr>
        <w:pStyle w:val="FootnoteText"/>
        <w:jc w:val="both"/>
        <w:rPr>
          <w:rFonts w:ascii="Cambria" w:hAnsi="Cambria"/>
          <w:sz w:val="16"/>
          <w:szCs w:val="16"/>
          <w:lang w:val="es-US"/>
        </w:rPr>
      </w:pPr>
      <w:r w:rsidRPr="005D2619">
        <w:rPr>
          <w:rStyle w:val="FootnoteReference"/>
          <w:rFonts w:ascii="Cambria" w:hAnsi="Cambria"/>
          <w:sz w:val="16"/>
          <w:szCs w:val="16"/>
        </w:rPr>
        <w:footnoteRef/>
      </w:r>
      <w:r w:rsidRPr="005D2619">
        <w:rPr>
          <w:rFonts w:ascii="Cambria" w:hAnsi="Cambria"/>
          <w:sz w:val="16"/>
          <w:szCs w:val="16"/>
          <w:lang w:val="pt-BR"/>
        </w:rPr>
        <w:t xml:space="preserve"> Corte IDH. </w:t>
      </w:r>
      <w:r w:rsidRPr="005D2619">
        <w:rPr>
          <w:rFonts w:ascii="Cambria" w:hAnsi="Cambria"/>
          <w:bCs/>
          <w:i/>
          <w:sz w:val="16"/>
          <w:szCs w:val="16"/>
          <w:lang w:val="pt-BR"/>
        </w:rPr>
        <w:t xml:space="preserve">Caso Palamara Iribarne Vs. </w:t>
      </w:r>
      <w:r w:rsidRPr="005D2619">
        <w:rPr>
          <w:rFonts w:ascii="Cambria" w:hAnsi="Cambria"/>
          <w:bCs/>
          <w:i/>
          <w:sz w:val="16"/>
          <w:szCs w:val="16"/>
          <w:lang w:val="es-ES"/>
        </w:rPr>
        <w:t xml:space="preserve">Chile. </w:t>
      </w:r>
      <w:r w:rsidRPr="005D2619">
        <w:rPr>
          <w:rFonts w:ascii="Cambria" w:hAnsi="Cambria"/>
          <w:i/>
          <w:sz w:val="16"/>
          <w:szCs w:val="16"/>
          <w:lang w:val="es-ES"/>
        </w:rPr>
        <w:t>Fondo, Reparaciones y Costas.</w:t>
      </w:r>
      <w:r w:rsidRPr="005D2619">
        <w:rPr>
          <w:rFonts w:ascii="Cambria" w:hAnsi="Cambria"/>
          <w:sz w:val="16"/>
          <w:szCs w:val="16"/>
          <w:lang w:val="es-ES"/>
        </w:rPr>
        <w:t xml:space="preserve"> Sentencia de 22 de noviembre de 2005. Serie C No. 135, párr. 225; </w:t>
      </w:r>
      <w:r w:rsidRPr="005D2619">
        <w:rPr>
          <w:rFonts w:ascii="Cambria" w:hAnsi="Cambria"/>
          <w:bCs/>
          <w:i/>
          <w:sz w:val="16"/>
          <w:szCs w:val="16"/>
          <w:lang w:val="es-ES"/>
        </w:rPr>
        <w:t>Caso Acosta Calderón Vs. Ecuador.</w:t>
      </w:r>
      <w:r w:rsidRPr="005D2619">
        <w:rPr>
          <w:rFonts w:ascii="Cambria" w:hAnsi="Cambria"/>
          <w:b/>
          <w:bCs/>
          <w:i/>
          <w:sz w:val="16"/>
          <w:szCs w:val="16"/>
          <w:lang w:val="es-ES"/>
        </w:rPr>
        <w:t xml:space="preserve"> </w:t>
      </w:r>
      <w:r w:rsidRPr="005D2619">
        <w:rPr>
          <w:rFonts w:ascii="Cambria" w:hAnsi="Cambria"/>
          <w:i/>
          <w:sz w:val="16"/>
          <w:szCs w:val="16"/>
          <w:lang w:val="es-ES"/>
        </w:rPr>
        <w:t>Fondo, Reparaciones y Costas.</w:t>
      </w:r>
      <w:r w:rsidRPr="005D2619">
        <w:rPr>
          <w:rFonts w:ascii="Cambria" w:hAnsi="Cambria"/>
          <w:sz w:val="16"/>
          <w:szCs w:val="16"/>
          <w:lang w:val="es-ES"/>
        </w:rPr>
        <w:t xml:space="preserve"> Sentencia de 24 de junio de 2005. Serie C No. 129, párr. 118, y </w:t>
      </w:r>
      <w:r w:rsidRPr="005D2619">
        <w:rPr>
          <w:rFonts w:ascii="Cambria" w:hAnsi="Cambria"/>
          <w:bCs/>
          <w:i/>
          <w:sz w:val="16"/>
          <w:szCs w:val="16"/>
          <w:lang w:val="es-ES"/>
        </w:rPr>
        <w:t xml:space="preserve">Caso Tibi Vs. Ecuador. </w:t>
      </w:r>
      <w:r w:rsidRPr="005D2619">
        <w:rPr>
          <w:rFonts w:ascii="Cambria" w:hAnsi="Cambria"/>
          <w:i/>
          <w:sz w:val="16"/>
          <w:szCs w:val="16"/>
          <w:lang w:val="es-ES"/>
        </w:rPr>
        <w:t>Excepciones Preliminares, Fondo, Reparaciones y Costas.</w:t>
      </w:r>
      <w:r w:rsidRPr="005D2619">
        <w:rPr>
          <w:rFonts w:ascii="Cambria" w:hAnsi="Cambria"/>
          <w:sz w:val="16"/>
          <w:szCs w:val="16"/>
          <w:lang w:val="es-ES"/>
        </w:rPr>
        <w:t xml:space="preserve"> Sentencia de 7 de septiembre de 2004. </w:t>
      </w:r>
      <w:r w:rsidRPr="00FE02DB">
        <w:rPr>
          <w:rFonts w:ascii="Cambria" w:hAnsi="Cambria"/>
          <w:sz w:val="16"/>
          <w:szCs w:val="16"/>
          <w:lang w:val="es-US"/>
        </w:rPr>
        <w:t>Serie C No. 114</w:t>
      </w:r>
      <w:r w:rsidRPr="00FE02DB">
        <w:rPr>
          <w:rFonts w:ascii="Cambria" w:hAnsi="Cambria"/>
          <w:iCs/>
          <w:sz w:val="16"/>
          <w:szCs w:val="16"/>
          <w:lang w:val="es-US"/>
        </w:rPr>
        <w:t>,</w:t>
      </w:r>
      <w:r w:rsidRPr="00FE02DB">
        <w:rPr>
          <w:rFonts w:ascii="Cambria" w:hAnsi="Cambria"/>
          <w:i/>
          <w:sz w:val="16"/>
          <w:szCs w:val="16"/>
          <w:lang w:val="es-US"/>
        </w:rPr>
        <w:t xml:space="preserve"> </w:t>
      </w:r>
      <w:r w:rsidRPr="00FE02DB">
        <w:rPr>
          <w:rFonts w:ascii="Cambria" w:hAnsi="Cambria"/>
          <w:sz w:val="16"/>
          <w:szCs w:val="16"/>
          <w:lang w:val="es-US"/>
        </w:rPr>
        <w:t>párr. 187.</w:t>
      </w:r>
    </w:p>
  </w:footnote>
  <w:footnote w:id="94">
    <w:p w14:paraId="12BF2871" w14:textId="77777777" w:rsidR="006307FA" w:rsidRPr="005D2619" w:rsidRDefault="006307FA" w:rsidP="00CE40F8">
      <w:pPr>
        <w:pStyle w:val="FootnoteText"/>
        <w:jc w:val="both"/>
        <w:rPr>
          <w:rFonts w:ascii="Cambria" w:hAnsi="Cambria"/>
          <w:sz w:val="16"/>
          <w:szCs w:val="16"/>
          <w:lang w:val="es-ES"/>
        </w:rPr>
      </w:pPr>
      <w:r w:rsidRPr="005D2619">
        <w:rPr>
          <w:rStyle w:val="FootnoteReference"/>
          <w:rFonts w:ascii="Cambria" w:hAnsi="Cambria"/>
          <w:sz w:val="16"/>
          <w:szCs w:val="16"/>
        </w:rPr>
        <w:footnoteRef/>
      </w:r>
      <w:r w:rsidRPr="00FE02DB">
        <w:rPr>
          <w:rFonts w:ascii="Cambria" w:hAnsi="Cambria"/>
          <w:sz w:val="16"/>
          <w:szCs w:val="16"/>
          <w:lang w:val="es-US"/>
        </w:rPr>
        <w:t xml:space="preserve"> </w:t>
      </w:r>
      <w:r w:rsidRPr="00FE02DB">
        <w:rPr>
          <w:rFonts w:ascii="Cambria" w:hAnsi="Cambria"/>
          <w:bCs/>
          <w:sz w:val="16"/>
          <w:szCs w:val="16"/>
          <w:lang w:val="es-US"/>
        </w:rPr>
        <w:t xml:space="preserve">Corte IDH. </w:t>
      </w:r>
      <w:r w:rsidRPr="00FE02DB">
        <w:rPr>
          <w:rFonts w:ascii="Cambria" w:hAnsi="Cambria"/>
          <w:bCs/>
          <w:i/>
          <w:sz w:val="16"/>
          <w:szCs w:val="16"/>
          <w:lang w:val="es-US"/>
        </w:rPr>
        <w:t xml:space="preserve">Caso Barreto Leiva Vs. </w:t>
      </w:r>
      <w:r w:rsidRPr="005D2619">
        <w:rPr>
          <w:rFonts w:ascii="Cambria" w:hAnsi="Cambria"/>
          <w:bCs/>
          <w:i/>
          <w:sz w:val="16"/>
          <w:szCs w:val="16"/>
          <w:lang w:val="es-ES"/>
        </w:rPr>
        <w:t>Venezuela</w:t>
      </w:r>
      <w:r w:rsidRPr="005D2619">
        <w:rPr>
          <w:rFonts w:ascii="Cambria" w:hAnsi="Cambria"/>
          <w:bCs/>
          <w:sz w:val="16"/>
          <w:szCs w:val="16"/>
          <w:lang w:val="es-ES"/>
        </w:rPr>
        <w:t>. Fondo, Reparaciones y Costas. Sentencia de 17 de noviembre de 2009. Serie C No. 206. Párr. 29.</w:t>
      </w:r>
    </w:p>
  </w:footnote>
  <w:footnote w:id="95">
    <w:p w14:paraId="4A7F291A" w14:textId="77777777" w:rsidR="006307FA" w:rsidRPr="005D2619" w:rsidRDefault="006307FA" w:rsidP="00CE40F8">
      <w:pPr>
        <w:pStyle w:val="FootnoteText"/>
        <w:jc w:val="both"/>
        <w:rPr>
          <w:rFonts w:ascii="Cambria" w:hAnsi="Cambria"/>
          <w:color w:val="auto"/>
          <w:sz w:val="16"/>
          <w:szCs w:val="16"/>
          <w:lang w:val="es-ES"/>
        </w:rPr>
      </w:pPr>
      <w:r w:rsidRPr="005D2619">
        <w:rPr>
          <w:rStyle w:val="FootnoteReference"/>
          <w:rFonts w:ascii="Cambria" w:hAnsi="Cambria"/>
          <w:color w:val="auto"/>
          <w:sz w:val="16"/>
          <w:szCs w:val="16"/>
        </w:rPr>
        <w:footnoteRef/>
      </w:r>
      <w:r w:rsidRPr="005D2619">
        <w:rPr>
          <w:rFonts w:ascii="Cambria" w:hAnsi="Cambria"/>
          <w:color w:val="auto"/>
          <w:sz w:val="16"/>
          <w:szCs w:val="16"/>
          <w:lang w:val="es-ES"/>
        </w:rPr>
        <w:t xml:space="preserve"> CIDH. Informe No. 76/11. Caso 11.769. Fondo. J. Perú. 20 de julio de 2011, párr. 248; e Informe No. 78/15. Caso 12.831. Fondo (Publicación). Kevin Cooper. Estados Unidos. 28 de octubre de 2015, párr.129.  </w:t>
      </w:r>
    </w:p>
  </w:footnote>
  <w:footnote w:id="96">
    <w:p w14:paraId="0B58B12D" w14:textId="77777777" w:rsidR="006307FA" w:rsidRPr="005D2619" w:rsidRDefault="006307FA" w:rsidP="00CE40F8">
      <w:pPr>
        <w:pStyle w:val="FootnoteText"/>
        <w:jc w:val="both"/>
        <w:rPr>
          <w:rFonts w:ascii="Cambria" w:hAnsi="Cambria"/>
          <w:sz w:val="16"/>
          <w:szCs w:val="16"/>
          <w:lang w:val="es-ES"/>
        </w:rPr>
      </w:pPr>
      <w:r w:rsidRPr="005D2619">
        <w:rPr>
          <w:rStyle w:val="FootnoteReference"/>
          <w:rFonts w:ascii="Cambria" w:hAnsi="Cambria"/>
          <w:sz w:val="16"/>
          <w:szCs w:val="16"/>
        </w:rPr>
        <w:footnoteRef/>
      </w:r>
      <w:r w:rsidRPr="005D2619">
        <w:rPr>
          <w:rFonts w:ascii="Cambria" w:hAnsi="Cambria"/>
          <w:sz w:val="16"/>
          <w:szCs w:val="16"/>
          <w:lang w:val="es-ES"/>
        </w:rPr>
        <w:t xml:space="preserve"> CIDH. Informe No. 176/10. Casos </w:t>
      </w:r>
      <w:r w:rsidRPr="005D2619">
        <w:rPr>
          <w:rFonts w:ascii="Cambria" w:hAnsi="Cambria"/>
          <w:sz w:val="16"/>
          <w:szCs w:val="16"/>
          <w:lang w:val="es-ES_tradnl"/>
        </w:rPr>
        <w:t xml:space="preserve">12.576, 12.611 y 12.612. Fondo. Segundo Norin Catriman y otros. Chile. 5 de noviembre de 2010, </w:t>
      </w:r>
      <w:r w:rsidRPr="005D2619">
        <w:rPr>
          <w:rFonts w:ascii="Cambria" w:hAnsi="Cambria"/>
          <w:sz w:val="16"/>
          <w:szCs w:val="16"/>
          <w:lang w:val="es-ES"/>
        </w:rPr>
        <w:t>párr. 236.</w:t>
      </w:r>
    </w:p>
  </w:footnote>
  <w:footnote w:id="97">
    <w:p w14:paraId="6491BFF2" w14:textId="77777777" w:rsidR="006307FA" w:rsidRPr="005D2619" w:rsidRDefault="006307FA" w:rsidP="00CE40F8">
      <w:pPr>
        <w:pStyle w:val="FootnoteText"/>
        <w:jc w:val="both"/>
        <w:rPr>
          <w:rFonts w:ascii="Cambria" w:hAnsi="Cambria"/>
          <w:sz w:val="16"/>
          <w:szCs w:val="16"/>
          <w:lang w:val="es-ES"/>
        </w:rPr>
      </w:pPr>
      <w:r w:rsidRPr="005D2619">
        <w:rPr>
          <w:rStyle w:val="FootnoteReference"/>
          <w:rFonts w:ascii="Cambria" w:hAnsi="Cambria"/>
          <w:sz w:val="16"/>
          <w:szCs w:val="16"/>
        </w:rPr>
        <w:footnoteRef/>
      </w:r>
      <w:r w:rsidRPr="005D2619">
        <w:rPr>
          <w:rFonts w:ascii="Cambria" w:hAnsi="Cambria"/>
          <w:color w:val="auto"/>
          <w:sz w:val="16"/>
          <w:szCs w:val="16"/>
          <w:lang w:val="es-ES"/>
        </w:rPr>
        <w:t xml:space="preserve"> CIDH, Tercer Informe sobre la Situación de los Derechos Humanos en Colombia, 26 de febrero de 1999, párr. 123.</w:t>
      </w:r>
    </w:p>
  </w:footnote>
  <w:footnote w:id="98">
    <w:p w14:paraId="467D9462" w14:textId="77777777" w:rsidR="006307FA" w:rsidRPr="005D2619" w:rsidRDefault="006307FA" w:rsidP="00CE40F8">
      <w:pPr>
        <w:spacing w:after="0"/>
        <w:jc w:val="both"/>
        <w:rPr>
          <w:rFonts w:ascii="Cambria" w:hAnsi="Cambria"/>
          <w:sz w:val="16"/>
          <w:szCs w:val="16"/>
          <w:lang w:val="es-ES_tradnl"/>
        </w:rPr>
      </w:pPr>
      <w:r w:rsidRPr="005D2619">
        <w:rPr>
          <w:rStyle w:val="FootnoteReference"/>
          <w:rFonts w:ascii="Cambria" w:hAnsi="Cambria"/>
          <w:sz w:val="16"/>
          <w:szCs w:val="16"/>
        </w:rPr>
        <w:footnoteRef/>
      </w:r>
      <w:r w:rsidRPr="005D2619">
        <w:rPr>
          <w:rFonts w:ascii="Cambria" w:hAnsi="Cambria"/>
          <w:sz w:val="16"/>
          <w:szCs w:val="16"/>
          <w:lang w:val="es-ES_tradnl"/>
        </w:rPr>
        <w:t xml:space="preserve"> CIDH, </w:t>
      </w:r>
      <w:r w:rsidRPr="005D2619">
        <w:rPr>
          <w:rFonts w:ascii="Cambria" w:hAnsi="Cambria"/>
          <w:i/>
          <w:sz w:val="16"/>
          <w:szCs w:val="16"/>
          <w:lang w:val="es-ES_tradnl"/>
        </w:rPr>
        <w:t>Tercer Informe sobre la situación de los derechos humanos en Colombia</w:t>
      </w:r>
      <w:r w:rsidRPr="005D2619">
        <w:rPr>
          <w:rFonts w:ascii="Cambria" w:hAnsi="Cambria"/>
          <w:sz w:val="16"/>
          <w:szCs w:val="16"/>
          <w:lang w:val="es-ES_tradnl"/>
        </w:rPr>
        <w:t>, OEA/Ser.L/V/II.102 Doc. 9 rev. 1, 26 de febrero de 1999, Capítulo V, párrs. 121-127. CIDH, Informe Anual 1996, Capítulo V, párrafos 32 y 85 (Colombia). CIDH,</w:t>
      </w:r>
      <w:r w:rsidRPr="005D2619">
        <w:rPr>
          <w:rFonts w:ascii="Cambria" w:hAnsi="Cambria"/>
          <w:i/>
          <w:sz w:val="16"/>
          <w:szCs w:val="16"/>
          <w:lang w:val="es-ES_tradnl"/>
        </w:rPr>
        <w:t xml:space="preserve"> Informe sobre Terrorismo y Derechos Humanos</w:t>
      </w:r>
      <w:r w:rsidRPr="005D2619">
        <w:rPr>
          <w:rFonts w:ascii="Cambria" w:hAnsi="Cambria"/>
          <w:sz w:val="16"/>
          <w:szCs w:val="16"/>
          <w:lang w:val="es-ES_tradnl"/>
        </w:rPr>
        <w:t>, OEA/SER.L/V/II.116, Doc. 5 rev. 1, corr., 22 de octubre de 2002, párr. 233.</w:t>
      </w:r>
    </w:p>
  </w:footnote>
  <w:footnote w:id="99">
    <w:p w14:paraId="5AB25BE7" w14:textId="77777777" w:rsidR="006307FA" w:rsidRPr="005D2619" w:rsidRDefault="006307FA" w:rsidP="00CE40F8">
      <w:pPr>
        <w:pStyle w:val="FootnoteText"/>
        <w:jc w:val="both"/>
        <w:rPr>
          <w:rFonts w:ascii="Cambria" w:hAnsi="Cambria"/>
          <w:color w:val="auto"/>
          <w:sz w:val="16"/>
          <w:szCs w:val="16"/>
          <w:lang w:val="es-ES"/>
        </w:rPr>
      </w:pPr>
      <w:r w:rsidRPr="005D2619">
        <w:rPr>
          <w:rStyle w:val="FootnoteReference"/>
          <w:rFonts w:ascii="Cambria" w:hAnsi="Cambria"/>
          <w:color w:val="auto"/>
          <w:sz w:val="16"/>
          <w:szCs w:val="16"/>
        </w:rPr>
        <w:footnoteRef/>
      </w:r>
      <w:r w:rsidRPr="005D2619">
        <w:rPr>
          <w:rFonts w:ascii="Cambria" w:hAnsi="Cambria"/>
          <w:color w:val="auto"/>
          <w:sz w:val="16"/>
          <w:szCs w:val="16"/>
          <w:lang w:val="es-ES"/>
        </w:rPr>
        <w:t xml:space="preserve"> </w:t>
      </w:r>
      <w:r w:rsidRPr="005D2619">
        <w:rPr>
          <w:rStyle w:val="Strong"/>
          <w:rFonts w:ascii="Cambria" w:hAnsi="Cambria"/>
          <w:b w:val="0"/>
          <w:color w:val="auto"/>
          <w:sz w:val="16"/>
          <w:szCs w:val="16"/>
          <w:shd w:val="clear" w:color="auto" w:fill="FFFFFF"/>
          <w:lang w:val="es-ES"/>
        </w:rPr>
        <w:t xml:space="preserve">Corte IDH. </w:t>
      </w:r>
      <w:r w:rsidRPr="005D2619">
        <w:rPr>
          <w:rStyle w:val="Strong"/>
          <w:rFonts w:ascii="Cambria" w:hAnsi="Cambria"/>
          <w:b w:val="0"/>
          <w:i/>
          <w:color w:val="auto"/>
          <w:sz w:val="16"/>
          <w:szCs w:val="16"/>
          <w:shd w:val="clear" w:color="auto" w:fill="FFFFFF"/>
          <w:lang w:val="es-ES"/>
        </w:rPr>
        <w:t>Caso Norín Catrimán y otros (Dirigentes, miembros y activista del Pueblo Indígena Mapuche) Vs. Chile</w:t>
      </w:r>
      <w:r w:rsidRPr="005D2619">
        <w:rPr>
          <w:rStyle w:val="Strong"/>
          <w:rFonts w:ascii="Cambria" w:hAnsi="Cambria"/>
          <w:b w:val="0"/>
          <w:color w:val="auto"/>
          <w:sz w:val="16"/>
          <w:szCs w:val="16"/>
          <w:shd w:val="clear" w:color="auto" w:fill="FFFFFF"/>
          <w:lang w:val="es-ES"/>
        </w:rPr>
        <w:t>. Fondo, Reparaciones y Costas. Sentencia de 29 de mayo de 2014. Serie C No. 279, párr. 242.</w:t>
      </w:r>
    </w:p>
  </w:footnote>
  <w:footnote w:id="100">
    <w:p w14:paraId="077C80C4" w14:textId="77777777" w:rsidR="006307FA" w:rsidRPr="005D2619" w:rsidRDefault="006307FA" w:rsidP="00CE40F8">
      <w:pPr>
        <w:pStyle w:val="FootnoteText"/>
        <w:jc w:val="both"/>
        <w:rPr>
          <w:rFonts w:ascii="Cambria" w:hAnsi="Cambria"/>
          <w:color w:val="auto"/>
          <w:sz w:val="16"/>
          <w:szCs w:val="16"/>
          <w:lang w:val="es-ES"/>
        </w:rPr>
      </w:pPr>
      <w:r w:rsidRPr="005D2619">
        <w:rPr>
          <w:rStyle w:val="FootnoteReference"/>
          <w:rFonts w:ascii="Cambria" w:hAnsi="Cambria"/>
          <w:color w:val="auto"/>
          <w:sz w:val="16"/>
          <w:szCs w:val="16"/>
        </w:rPr>
        <w:footnoteRef/>
      </w:r>
      <w:r w:rsidRPr="005D2619">
        <w:rPr>
          <w:rFonts w:ascii="Cambria" w:hAnsi="Cambria"/>
          <w:color w:val="auto"/>
          <w:sz w:val="16"/>
          <w:szCs w:val="16"/>
          <w:lang w:val="es-ES"/>
        </w:rPr>
        <w:t xml:space="preserve"> </w:t>
      </w:r>
      <w:r w:rsidRPr="005D2619">
        <w:rPr>
          <w:rStyle w:val="Strong"/>
          <w:rFonts w:ascii="Cambria" w:hAnsi="Cambria"/>
          <w:b w:val="0"/>
          <w:color w:val="auto"/>
          <w:sz w:val="16"/>
          <w:szCs w:val="16"/>
          <w:shd w:val="clear" w:color="auto" w:fill="FFFFFF"/>
          <w:lang w:val="es-ES"/>
        </w:rPr>
        <w:t xml:space="preserve">Corte IDH. </w:t>
      </w:r>
      <w:r w:rsidRPr="005D2619">
        <w:rPr>
          <w:rStyle w:val="Strong"/>
          <w:rFonts w:ascii="Cambria" w:hAnsi="Cambria"/>
          <w:b w:val="0"/>
          <w:i/>
          <w:color w:val="auto"/>
          <w:sz w:val="16"/>
          <w:szCs w:val="16"/>
          <w:shd w:val="clear" w:color="auto" w:fill="FFFFFF"/>
          <w:lang w:val="es-ES"/>
        </w:rPr>
        <w:t>Caso Norín Catrimán y otros (Dirigentes, miembros y activista del Pueblo Indígena Mapuche) Vs. Chile</w:t>
      </w:r>
      <w:r w:rsidRPr="005D2619">
        <w:rPr>
          <w:rStyle w:val="Strong"/>
          <w:rFonts w:ascii="Cambria" w:hAnsi="Cambria"/>
          <w:b w:val="0"/>
          <w:color w:val="auto"/>
          <w:sz w:val="16"/>
          <w:szCs w:val="16"/>
          <w:shd w:val="clear" w:color="auto" w:fill="FFFFFF"/>
          <w:lang w:val="es-ES"/>
        </w:rPr>
        <w:t>. Fondo, Reparaciones y Costas. Sentencia de 29 de mayo de 2014. Serie C No. 279, párr. 245.</w:t>
      </w:r>
    </w:p>
  </w:footnote>
  <w:footnote w:id="101">
    <w:p w14:paraId="4E649C7E" w14:textId="77777777" w:rsidR="006307FA" w:rsidRPr="005D2619" w:rsidRDefault="006307FA" w:rsidP="00CE40F8">
      <w:pPr>
        <w:pStyle w:val="FootnoteText"/>
        <w:jc w:val="both"/>
        <w:rPr>
          <w:lang w:val="es-CO"/>
        </w:rPr>
      </w:pPr>
      <w:r w:rsidRPr="005D2619">
        <w:rPr>
          <w:rStyle w:val="FootnoteReference"/>
          <w:rFonts w:ascii="Cambria" w:hAnsi="Cambria"/>
          <w:sz w:val="16"/>
          <w:szCs w:val="16"/>
        </w:rPr>
        <w:footnoteRef/>
      </w:r>
      <w:r w:rsidRPr="005D2619">
        <w:rPr>
          <w:rFonts w:ascii="Cambria" w:hAnsi="Cambria"/>
          <w:sz w:val="16"/>
          <w:szCs w:val="16"/>
          <w:lang w:val="es-CO"/>
        </w:rPr>
        <w:t xml:space="preserve"> </w:t>
      </w:r>
      <w:r w:rsidRPr="005D2619">
        <w:rPr>
          <w:rFonts w:ascii="Cambria" w:hAnsi="Cambria"/>
          <w:sz w:val="16"/>
          <w:szCs w:val="16"/>
          <w:lang w:val="es-ES"/>
        </w:rPr>
        <w:t xml:space="preserve">CIDH. Informe No. 8/14. Casos </w:t>
      </w:r>
      <w:r w:rsidRPr="005D2619">
        <w:rPr>
          <w:rFonts w:ascii="Cambria" w:hAnsi="Cambria"/>
          <w:sz w:val="16"/>
          <w:szCs w:val="16"/>
          <w:lang w:val="es-ES_tradnl"/>
        </w:rPr>
        <w:t xml:space="preserve">12.617. Fondo. Luis Williams Pollo Rivera. Perú. 2 de abril de 2014, </w:t>
      </w:r>
      <w:r w:rsidRPr="005D2619">
        <w:rPr>
          <w:rFonts w:ascii="Cambria" w:hAnsi="Cambria"/>
          <w:sz w:val="16"/>
          <w:szCs w:val="16"/>
          <w:lang w:val="es-ES"/>
        </w:rPr>
        <w:t xml:space="preserve">párr. 289. </w:t>
      </w:r>
    </w:p>
  </w:footnote>
  <w:footnote w:id="102">
    <w:p w14:paraId="04D47DF2" w14:textId="77777777" w:rsidR="006307FA" w:rsidRPr="005D2619" w:rsidRDefault="006307FA" w:rsidP="00CE40F8">
      <w:pPr>
        <w:pStyle w:val="FootnoteText"/>
        <w:jc w:val="both"/>
        <w:rPr>
          <w:rFonts w:ascii="Cambria" w:hAnsi="Cambria"/>
          <w:color w:val="auto"/>
          <w:sz w:val="16"/>
          <w:szCs w:val="16"/>
          <w:lang w:val="es-ES"/>
        </w:rPr>
      </w:pPr>
      <w:r w:rsidRPr="005D2619">
        <w:rPr>
          <w:rStyle w:val="FootnoteReference"/>
          <w:rFonts w:ascii="Cambria" w:hAnsi="Cambria"/>
          <w:color w:val="auto"/>
          <w:sz w:val="16"/>
          <w:szCs w:val="16"/>
        </w:rPr>
        <w:footnoteRef/>
      </w:r>
      <w:r w:rsidRPr="005D2619">
        <w:rPr>
          <w:rFonts w:ascii="Cambria" w:hAnsi="Cambria"/>
          <w:color w:val="auto"/>
          <w:sz w:val="16"/>
          <w:szCs w:val="16"/>
          <w:lang w:val="es-ES"/>
        </w:rPr>
        <w:t xml:space="preserve"> </w:t>
      </w:r>
      <w:r w:rsidRPr="005D2619">
        <w:rPr>
          <w:rStyle w:val="Strong"/>
          <w:rFonts w:ascii="Cambria" w:hAnsi="Cambria"/>
          <w:b w:val="0"/>
          <w:color w:val="auto"/>
          <w:sz w:val="16"/>
          <w:szCs w:val="16"/>
          <w:shd w:val="clear" w:color="auto" w:fill="FFFFFF"/>
          <w:lang w:val="es-ES"/>
        </w:rPr>
        <w:t xml:space="preserve">Corte IDH. </w:t>
      </w:r>
      <w:r w:rsidRPr="005D2619">
        <w:rPr>
          <w:rStyle w:val="Strong"/>
          <w:rFonts w:ascii="Cambria" w:hAnsi="Cambria"/>
          <w:b w:val="0"/>
          <w:i/>
          <w:color w:val="auto"/>
          <w:sz w:val="16"/>
          <w:szCs w:val="16"/>
          <w:shd w:val="clear" w:color="auto" w:fill="FFFFFF"/>
          <w:lang w:val="es-ES"/>
        </w:rPr>
        <w:t>Caso Norín Catrimán y otros (Dirigentes, miembros y activista del Pueblo Indígena Mapuche) Vs. Chile</w:t>
      </w:r>
      <w:r w:rsidRPr="005D2619">
        <w:rPr>
          <w:rStyle w:val="Strong"/>
          <w:rFonts w:ascii="Cambria" w:hAnsi="Cambria"/>
          <w:b w:val="0"/>
          <w:color w:val="auto"/>
          <w:sz w:val="16"/>
          <w:szCs w:val="16"/>
          <w:shd w:val="clear" w:color="auto" w:fill="FFFFFF"/>
          <w:lang w:val="es-ES"/>
        </w:rPr>
        <w:t>. Fondo, Reparaciones y Costas. Sentencia de 29 de mayo de 2014. Serie C No. 279, párrs. 246-247.</w:t>
      </w:r>
    </w:p>
  </w:footnote>
  <w:footnote w:id="103">
    <w:p w14:paraId="66F05D2A" w14:textId="77777777" w:rsidR="006307FA" w:rsidRPr="005D2619" w:rsidRDefault="006307FA" w:rsidP="00CE40F8">
      <w:pPr>
        <w:pStyle w:val="FootnoteText"/>
        <w:jc w:val="both"/>
        <w:rPr>
          <w:rFonts w:ascii="Cambria" w:hAnsi="Cambria"/>
          <w:color w:val="auto"/>
          <w:sz w:val="16"/>
          <w:szCs w:val="16"/>
          <w:lang w:val="es-ES"/>
        </w:rPr>
      </w:pPr>
      <w:r w:rsidRPr="005D2619">
        <w:rPr>
          <w:rStyle w:val="FootnoteReference"/>
          <w:rFonts w:ascii="Cambria" w:hAnsi="Cambria"/>
          <w:color w:val="auto"/>
          <w:sz w:val="16"/>
          <w:szCs w:val="16"/>
        </w:rPr>
        <w:footnoteRef/>
      </w:r>
      <w:r w:rsidRPr="005D2619">
        <w:rPr>
          <w:rFonts w:ascii="Cambria" w:hAnsi="Cambria"/>
          <w:color w:val="auto"/>
          <w:sz w:val="16"/>
          <w:szCs w:val="16"/>
          <w:lang w:val="es-ES"/>
        </w:rPr>
        <w:t xml:space="preserve"> </w:t>
      </w:r>
      <w:r w:rsidRPr="005D2619">
        <w:rPr>
          <w:rStyle w:val="Strong"/>
          <w:rFonts w:ascii="Cambria" w:hAnsi="Cambria"/>
          <w:b w:val="0"/>
          <w:color w:val="auto"/>
          <w:sz w:val="16"/>
          <w:szCs w:val="16"/>
          <w:shd w:val="clear" w:color="auto" w:fill="FFFFFF"/>
          <w:lang w:val="es-ES"/>
        </w:rPr>
        <w:t xml:space="preserve">Corte IDH. </w:t>
      </w:r>
      <w:r w:rsidRPr="005D2619">
        <w:rPr>
          <w:rStyle w:val="Strong"/>
          <w:rFonts w:ascii="Cambria" w:hAnsi="Cambria"/>
          <w:b w:val="0"/>
          <w:i/>
          <w:color w:val="auto"/>
          <w:sz w:val="16"/>
          <w:szCs w:val="16"/>
          <w:shd w:val="clear" w:color="auto" w:fill="FFFFFF"/>
          <w:lang w:val="es-ES"/>
        </w:rPr>
        <w:t>Caso Ruano Torres y otros Vs. El Salvador</w:t>
      </w:r>
      <w:r w:rsidRPr="005D2619">
        <w:rPr>
          <w:rStyle w:val="Strong"/>
          <w:rFonts w:ascii="Cambria" w:hAnsi="Cambria"/>
          <w:b w:val="0"/>
          <w:color w:val="auto"/>
          <w:sz w:val="16"/>
          <w:szCs w:val="16"/>
          <w:shd w:val="clear" w:color="auto" w:fill="FFFFFF"/>
          <w:lang w:val="es-ES"/>
        </w:rPr>
        <w:t>. Fondo, Reparaciones y Costas. Sentencia de 5 de octubre de 2015. Serie C No. 303, párr. 126.</w:t>
      </w:r>
    </w:p>
  </w:footnote>
  <w:footnote w:id="104">
    <w:p w14:paraId="2E331390" w14:textId="77777777" w:rsidR="006307FA" w:rsidRPr="00253524" w:rsidRDefault="006307FA" w:rsidP="00CE40F8">
      <w:pPr>
        <w:pStyle w:val="FootnoteText"/>
        <w:jc w:val="both"/>
        <w:rPr>
          <w:rFonts w:ascii="Cambria" w:hAnsi="Cambria"/>
          <w:color w:val="auto"/>
          <w:sz w:val="16"/>
          <w:szCs w:val="16"/>
          <w:lang w:val="es-ES"/>
        </w:rPr>
      </w:pPr>
      <w:r w:rsidRPr="005D2619">
        <w:rPr>
          <w:rStyle w:val="FootnoteReference"/>
          <w:rFonts w:ascii="Cambria" w:hAnsi="Cambria"/>
          <w:color w:val="auto"/>
          <w:sz w:val="16"/>
          <w:szCs w:val="16"/>
          <w:lang w:val="es-ES"/>
        </w:rPr>
        <w:footnoteRef/>
      </w:r>
      <w:r w:rsidRPr="00253524">
        <w:rPr>
          <w:rFonts w:ascii="Cambria" w:hAnsi="Cambria"/>
          <w:color w:val="auto"/>
          <w:sz w:val="16"/>
          <w:szCs w:val="16"/>
          <w:lang w:val="es-ES"/>
        </w:rPr>
        <w:t xml:space="preserve"> Corte IDH. </w:t>
      </w:r>
      <w:r w:rsidRPr="00253524">
        <w:rPr>
          <w:rFonts w:ascii="Cambria" w:hAnsi="Cambria"/>
          <w:i/>
          <w:color w:val="auto"/>
          <w:sz w:val="16"/>
          <w:szCs w:val="16"/>
          <w:lang w:val="es-ES"/>
        </w:rPr>
        <w:t xml:space="preserve">Caso Ricardo Canese Vs. Paraguay. </w:t>
      </w:r>
      <w:r w:rsidRPr="00253524">
        <w:rPr>
          <w:rFonts w:ascii="Cambria" w:hAnsi="Cambria"/>
          <w:color w:val="auto"/>
          <w:sz w:val="16"/>
          <w:szCs w:val="16"/>
          <w:lang w:val="es-ES"/>
        </w:rPr>
        <w:t>Sentencia de 31 de agosto de 2004. Serie C No. 111, párr. 154.</w:t>
      </w:r>
    </w:p>
  </w:footnote>
  <w:footnote w:id="105">
    <w:p w14:paraId="78824616" w14:textId="77777777" w:rsidR="006307FA" w:rsidRPr="00FE02DB" w:rsidRDefault="006307FA" w:rsidP="00CE40F8">
      <w:pPr>
        <w:pStyle w:val="FootnoteText"/>
        <w:jc w:val="both"/>
        <w:rPr>
          <w:rFonts w:ascii="Cambria" w:hAnsi="Cambria"/>
          <w:color w:val="auto"/>
          <w:sz w:val="16"/>
          <w:szCs w:val="16"/>
          <w:lang w:val="pt-BR"/>
        </w:rPr>
      </w:pPr>
      <w:r w:rsidRPr="005D2619">
        <w:rPr>
          <w:rStyle w:val="FootnoteReference"/>
          <w:rFonts w:ascii="Cambria" w:hAnsi="Cambria"/>
          <w:color w:val="auto"/>
          <w:sz w:val="16"/>
          <w:szCs w:val="16"/>
          <w:lang w:val="es-ES"/>
        </w:rPr>
        <w:footnoteRef/>
      </w:r>
      <w:r w:rsidRPr="00253524">
        <w:rPr>
          <w:rFonts w:ascii="Cambria" w:hAnsi="Cambria"/>
          <w:color w:val="auto"/>
          <w:sz w:val="16"/>
          <w:szCs w:val="16"/>
          <w:lang w:val="es-ES"/>
        </w:rPr>
        <w:t xml:space="preserve"> CIDH. Informe No. 82/13. Caso 12.679. Fondo. José Agapito Ruano Torres y familia. El Salvador. 4 de noviembre de 2013, párr. </w:t>
      </w:r>
      <w:r w:rsidRPr="00FE02DB">
        <w:rPr>
          <w:rFonts w:ascii="Cambria" w:hAnsi="Cambria"/>
          <w:color w:val="auto"/>
          <w:sz w:val="16"/>
          <w:szCs w:val="16"/>
          <w:lang w:val="pt-BR"/>
        </w:rPr>
        <w:t>118.</w:t>
      </w:r>
    </w:p>
  </w:footnote>
  <w:footnote w:id="106">
    <w:p w14:paraId="38C7C4D6" w14:textId="77777777" w:rsidR="006307FA" w:rsidRPr="002D4F9C" w:rsidRDefault="006307FA" w:rsidP="00CE40F8">
      <w:pPr>
        <w:pStyle w:val="FootnoteText"/>
        <w:jc w:val="both"/>
        <w:rPr>
          <w:rFonts w:ascii="Cambria" w:hAnsi="Cambria"/>
          <w:color w:val="auto"/>
          <w:sz w:val="16"/>
          <w:szCs w:val="16"/>
          <w:lang w:val="pt-BR"/>
        </w:rPr>
      </w:pPr>
      <w:r w:rsidRPr="005D2619">
        <w:rPr>
          <w:rStyle w:val="FootnoteReference"/>
          <w:rFonts w:ascii="Cambria" w:hAnsi="Cambria"/>
          <w:color w:val="auto"/>
          <w:sz w:val="16"/>
          <w:szCs w:val="16"/>
          <w:lang w:val="es-ES"/>
        </w:rPr>
        <w:footnoteRef/>
      </w:r>
      <w:r w:rsidRPr="00FE02DB">
        <w:rPr>
          <w:rFonts w:ascii="Cambria" w:hAnsi="Cambria"/>
          <w:color w:val="auto"/>
          <w:sz w:val="16"/>
          <w:szCs w:val="16"/>
          <w:lang w:val="pt-BR"/>
        </w:rPr>
        <w:t xml:space="preserve"> Corte IDH. </w:t>
      </w:r>
      <w:r w:rsidRPr="00FE02DB">
        <w:rPr>
          <w:rFonts w:ascii="Cambria" w:hAnsi="Cambria"/>
          <w:i/>
          <w:color w:val="auto"/>
          <w:sz w:val="16"/>
          <w:szCs w:val="16"/>
          <w:lang w:val="pt-BR"/>
        </w:rPr>
        <w:t xml:space="preserve">Caso Cantoral Benavides Vs. </w:t>
      </w:r>
      <w:r w:rsidRPr="002D4F9C">
        <w:rPr>
          <w:rFonts w:ascii="Cambria" w:hAnsi="Cambria"/>
          <w:i/>
          <w:color w:val="auto"/>
          <w:sz w:val="16"/>
          <w:szCs w:val="16"/>
          <w:lang w:val="pt-BR"/>
        </w:rPr>
        <w:t>Peru</w:t>
      </w:r>
      <w:r w:rsidRPr="002D4F9C">
        <w:rPr>
          <w:rFonts w:ascii="Cambria" w:hAnsi="Cambria"/>
          <w:color w:val="auto"/>
          <w:sz w:val="16"/>
          <w:szCs w:val="16"/>
          <w:lang w:val="pt-BR"/>
        </w:rPr>
        <w:t xml:space="preserve">. Sentencia de 18 de agosto de 2000. Serie C No. 69, párr. 120; </w:t>
      </w:r>
      <w:r w:rsidRPr="002D4F9C">
        <w:rPr>
          <w:rFonts w:ascii="Cambria" w:hAnsi="Cambria"/>
          <w:i/>
          <w:color w:val="auto"/>
          <w:sz w:val="16"/>
          <w:szCs w:val="16"/>
          <w:lang w:val="pt-BR"/>
        </w:rPr>
        <w:t>Caso Ricardo Canese vs. Paraguay</w:t>
      </w:r>
      <w:r w:rsidRPr="002D4F9C">
        <w:rPr>
          <w:rFonts w:ascii="Cambria" w:hAnsi="Cambria"/>
          <w:color w:val="auto"/>
          <w:sz w:val="16"/>
          <w:szCs w:val="16"/>
          <w:lang w:val="pt-BR"/>
        </w:rPr>
        <w:t>. Sentencia de 31 de agosto de 2004. Serie C No. 111, párr. 153.</w:t>
      </w:r>
    </w:p>
  </w:footnote>
  <w:footnote w:id="107">
    <w:p w14:paraId="62D70F8B" w14:textId="77777777" w:rsidR="006307FA" w:rsidRPr="005D2619" w:rsidRDefault="006307FA" w:rsidP="00CE40F8">
      <w:pPr>
        <w:pStyle w:val="FootnoteText"/>
        <w:jc w:val="both"/>
        <w:rPr>
          <w:rFonts w:ascii="Cambria" w:hAnsi="Cambria"/>
          <w:color w:val="auto"/>
          <w:sz w:val="16"/>
          <w:szCs w:val="16"/>
          <w:lang w:val="es-ES"/>
        </w:rPr>
      </w:pPr>
      <w:r w:rsidRPr="005D2619">
        <w:rPr>
          <w:rStyle w:val="FootnoteReference"/>
          <w:rFonts w:ascii="Cambria" w:hAnsi="Cambria"/>
          <w:color w:val="auto"/>
          <w:sz w:val="16"/>
          <w:szCs w:val="16"/>
          <w:lang w:val="es-ES"/>
        </w:rPr>
        <w:footnoteRef/>
      </w:r>
      <w:r w:rsidRPr="002D4F9C">
        <w:rPr>
          <w:rFonts w:ascii="Cambria" w:hAnsi="Cambria"/>
          <w:color w:val="auto"/>
          <w:sz w:val="16"/>
          <w:szCs w:val="16"/>
          <w:lang w:val="pt-BR"/>
        </w:rPr>
        <w:t xml:space="preserve"> CIDH. Informe No. 82/13. </w:t>
      </w:r>
      <w:r w:rsidRPr="005D2619">
        <w:rPr>
          <w:rFonts w:ascii="Cambria" w:hAnsi="Cambria"/>
          <w:color w:val="auto"/>
          <w:sz w:val="16"/>
          <w:szCs w:val="16"/>
          <w:lang w:val="es-ES"/>
        </w:rPr>
        <w:t>Caso 12.679. Fondo. José Agapito Ruano Torres y familia. El Salvador. 4 de noviembre de 2013, párr. 130.</w:t>
      </w:r>
    </w:p>
  </w:footnote>
  <w:footnote w:id="108">
    <w:p w14:paraId="6F7C4479" w14:textId="77777777" w:rsidR="006307FA" w:rsidRPr="005D2619" w:rsidRDefault="006307FA" w:rsidP="00CE40F8">
      <w:pPr>
        <w:spacing w:after="0" w:line="240" w:lineRule="auto"/>
        <w:jc w:val="both"/>
        <w:rPr>
          <w:rFonts w:ascii="Cambria" w:eastAsia="Times New Roman" w:hAnsi="Cambria"/>
          <w:sz w:val="16"/>
          <w:szCs w:val="16"/>
          <w:lang w:val="es-VE"/>
        </w:rPr>
      </w:pPr>
      <w:r w:rsidRPr="005D2619">
        <w:rPr>
          <w:rStyle w:val="FootnoteReference"/>
          <w:rFonts w:ascii="Cambria" w:hAnsi="Cambria"/>
          <w:sz w:val="16"/>
          <w:szCs w:val="16"/>
        </w:rPr>
        <w:footnoteRef/>
      </w:r>
      <w:r w:rsidRPr="00253524">
        <w:rPr>
          <w:rFonts w:ascii="Cambria" w:hAnsi="Cambria"/>
          <w:sz w:val="16"/>
          <w:szCs w:val="16"/>
          <w:lang w:val="es-US"/>
        </w:rPr>
        <w:t xml:space="preserve"> </w:t>
      </w:r>
      <w:r w:rsidRPr="00253524">
        <w:rPr>
          <w:rFonts w:ascii="Cambria" w:eastAsia="Times New Roman" w:hAnsi="Cambria"/>
          <w:bCs/>
          <w:sz w:val="16"/>
          <w:szCs w:val="16"/>
          <w:lang w:val="es-US"/>
        </w:rPr>
        <w:t xml:space="preserve">Corte IDH. </w:t>
      </w:r>
      <w:r w:rsidRPr="00253524">
        <w:rPr>
          <w:rFonts w:ascii="Cambria" w:eastAsia="Times New Roman" w:hAnsi="Cambria"/>
          <w:bCs/>
          <w:i/>
          <w:sz w:val="16"/>
          <w:szCs w:val="16"/>
          <w:lang w:val="es-US"/>
        </w:rPr>
        <w:t xml:space="preserve">Caso Zegarra Marín Vs. </w:t>
      </w:r>
      <w:r w:rsidRPr="005D2619">
        <w:rPr>
          <w:rFonts w:ascii="Cambria" w:eastAsia="Times New Roman" w:hAnsi="Cambria"/>
          <w:bCs/>
          <w:i/>
          <w:sz w:val="16"/>
          <w:szCs w:val="16"/>
          <w:lang w:val="es-VE"/>
        </w:rPr>
        <w:t>Perú</w:t>
      </w:r>
      <w:r w:rsidRPr="005D2619">
        <w:rPr>
          <w:rFonts w:ascii="Cambria" w:eastAsia="Times New Roman" w:hAnsi="Cambria"/>
          <w:bCs/>
          <w:sz w:val="16"/>
          <w:szCs w:val="16"/>
          <w:lang w:val="es-VE"/>
        </w:rPr>
        <w:t xml:space="preserve">. Excepciones Preliminares, Fondo, Reparaciones y Costas. Sentencia de 15 de febrero de 2017. Serie C No. 331, párr. 147. </w:t>
      </w:r>
    </w:p>
  </w:footnote>
  <w:footnote w:id="109">
    <w:p w14:paraId="0D5BD543" w14:textId="77777777" w:rsidR="006307FA" w:rsidRPr="005D2619" w:rsidRDefault="006307FA" w:rsidP="00CE40F8">
      <w:pPr>
        <w:pStyle w:val="FootnoteText"/>
        <w:jc w:val="both"/>
        <w:rPr>
          <w:rFonts w:ascii="Cambria" w:hAnsi="Cambria"/>
          <w:color w:val="auto"/>
          <w:sz w:val="16"/>
          <w:szCs w:val="16"/>
          <w:lang w:val="es-ES"/>
        </w:rPr>
      </w:pPr>
      <w:r w:rsidRPr="005D2619">
        <w:rPr>
          <w:rStyle w:val="FootnoteReference"/>
          <w:rFonts w:ascii="Cambria" w:hAnsi="Cambria"/>
          <w:color w:val="auto"/>
          <w:sz w:val="16"/>
          <w:szCs w:val="16"/>
        </w:rPr>
        <w:footnoteRef/>
      </w:r>
      <w:r w:rsidRPr="005D2619">
        <w:rPr>
          <w:rFonts w:ascii="Cambria" w:hAnsi="Cambria"/>
          <w:color w:val="auto"/>
          <w:sz w:val="16"/>
          <w:szCs w:val="16"/>
          <w:lang w:val="es-ES"/>
        </w:rPr>
        <w:t xml:space="preserve"> </w:t>
      </w:r>
      <w:r w:rsidRPr="005D2619">
        <w:rPr>
          <w:rStyle w:val="Strong"/>
          <w:rFonts w:ascii="Cambria" w:hAnsi="Cambria"/>
          <w:b w:val="0"/>
          <w:color w:val="auto"/>
          <w:sz w:val="16"/>
          <w:szCs w:val="16"/>
          <w:shd w:val="clear" w:color="auto" w:fill="FFFFFF"/>
          <w:lang w:val="es-ES"/>
        </w:rPr>
        <w:t xml:space="preserve">Corte IDH. </w:t>
      </w:r>
      <w:r w:rsidRPr="005D2619">
        <w:rPr>
          <w:rStyle w:val="Strong"/>
          <w:rFonts w:ascii="Cambria" w:hAnsi="Cambria"/>
          <w:b w:val="0"/>
          <w:i/>
          <w:color w:val="auto"/>
          <w:sz w:val="16"/>
          <w:szCs w:val="16"/>
          <w:shd w:val="clear" w:color="auto" w:fill="FFFFFF"/>
          <w:lang w:val="es-ES"/>
        </w:rPr>
        <w:t>Caso Norín Catrimán y otros (Dirigentes, miembros y activista del Pueblo Indígena Mapuche) Vs. Chile</w:t>
      </w:r>
      <w:r w:rsidRPr="005D2619">
        <w:rPr>
          <w:rStyle w:val="Strong"/>
          <w:rFonts w:ascii="Cambria" w:hAnsi="Cambria"/>
          <w:b w:val="0"/>
          <w:color w:val="auto"/>
          <w:sz w:val="16"/>
          <w:szCs w:val="16"/>
          <w:shd w:val="clear" w:color="auto" w:fill="FFFFFF"/>
          <w:lang w:val="es-ES"/>
        </w:rPr>
        <w:t xml:space="preserve">. Fondo, Reparaciones y Costas. Sentencia de 29 de mayo de 2014. Serie C No. 279, párr. 247. </w:t>
      </w:r>
      <w:r w:rsidRPr="005D2619">
        <w:rPr>
          <w:rFonts w:ascii="Cambria" w:hAnsi="Cambria"/>
          <w:color w:val="auto"/>
          <w:spacing w:val="-4"/>
          <w:sz w:val="16"/>
          <w:szCs w:val="16"/>
          <w:lang w:val="es-ES"/>
        </w:rPr>
        <w:t xml:space="preserve">CEDH. </w:t>
      </w:r>
      <w:r w:rsidRPr="005D2619">
        <w:rPr>
          <w:rFonts w:ascii="Cambria" w:hAnsi="Cambria"/>
          <w:bCs/>
          <w:i/>
          <w:iCs/>
          <w:color w:val="auto"/>
          <w:spacing w:val="-4"/>
          <w:sz w:val="16"/>
          <w:szCs w:val="16"/>
          <w:lang w:val="es-ES"/>
        </w:rPr>
        <w:t xml:space="preserve">Doorson v. Países Bajos. </w:t>
      </w:r>
      <w:r w:rsidRPr="005D2619">
        <w:rPr>
          <w:rFonts w:ascii="Cambria" w:hAnsi="Cambria"/>
          <w:bCs/>
          <w:iCs/>
          <w:color w:val="auto"/>
          <w:spacing w:val="-4"/>
          <w:sz w:val="16"/>
          <w:szCs w:val="16"/>
          <w:lang w:val="es-ES"/>
        </w:rPr>
        <w:t>Sentencia de 26 de marzo de 1996, párr. 76.</w:t>
      </w:r>
    </w:p>
  </w:footnote>
  <w:footnote w:id="110">
    <w:p w14:paraId="17113632" w14:textId="77777777" w:rsidR="006307FA" w:rsidRPr="005D2619" w:rsidRDefault="006307FA" w:rsidP="00CE40F8">
      <w:pPr>
        <w:pStyle w:val="FootnoteText"/>
        <w:jc w:val="both"/>
        <w:rPr>
          <w:rFonts w:ascii="Cambria" w:hAnsi="Cambria"/>
          <w:color w:val="auto"/>
          <w:sz w:val="16"/>
          <w:szCs w:val="16"/>
          <w:lang w:val="es-ES"/>
        </w:rPr>
      </w:pPr>
      <w:r w:rsidRPr="005D2619">
        <w:rPr>
          <w:rStyle w:val="FootnoteReference"/>
          <w:rFonts w:ascii="Cambria" w:hAnsi="Cambria"/>
          <w:color w:val="auto"/>
          <w:sz w:val="16"/>
          <w:szCs w:val="16"/>
          <w:lang w:val="es-ES"/>
        </w:rPr>
        <w:footnoteRef/>
      </w:r>
      <w:r w:rsidRPr="005D2619">
        <w:rPr>
          <w:rFonts w:ascii="Cambria" w:hAnsi="Cambria"/>
          <w:color w:val="auto"/>
          <w:sz w:val="16"/>
          <w:szCs w:val="16"/>
          <w:lang w:val="es-ES"/>
        </w:rPr>
        <w:t xml:space="preserve"> CEDH. </w:t>
      </w:r>
      <w:r w:rsidRPr="005D2619">
        <w:rPr>
          <w:rFonts w:ascii="Cambria" w:hAnsi="Cambria"/>
          <w:i/>
          <w:color w:val="auto"/>
          <w:sz w:val="16"/>
          <w:szCs w:val="16"/>
          <w:lang w:val="es-ES"/>
        </w:rPr>
        <w:t>Luca v. Italia</w:t>
      </w:r>
      <w:r w:rsidRPr="005D2619">
        <w:rPr>
          <w:rFonts w:ascii="Cambria" w:hAnsi="Cambria"/>
          <w:color w:val="auto"/>
          <w:sz w:val="16"/>
          <w:szCs w:val="16"/>
          <w:lang w:val="es-ES"/>
        </w:rPr>
        <w:t xml:space="preserve">. Sentencia de 27 de febrero de 2001, párr. 40. </w:t>
      </w:r>
    </w:p>
  </w:footnote>
  <w:footnote w:id="111">
    <w:p w14:paraId="0A58E140" w14:textId="77777777" w:rsidR="006307FA" w:rsidRPr="005D2619" w:rsidRDefault="006307FA" w:rsidP="00CE40F8">
      <w:pPr>
        <w:pStyle w:val="FootnoteText"/>
        <w:jc w:val="both"/>
        <w:rPr>
          <w:rFonts w:ascii="Cambria" w:hAnsi="Cambria"/>
          <w:color w:val="auto"/>
          <w:sz w:val="16"/>
          <w:szCs w:val="16"/>
          <w:lang w:val="es-ES"/>
        </w:rPr>
      </w:pPr>
      <w:r w:rsidRPr="005D2619">
        <w:rPr>
          <w:rStyle w:val="FootnoteReference"/>
          <w:rFonts w:ascii="Cambria" w:hAnsi="Cambria"/>
          <w:color w:val="auto"/>
          <w:sz w:val="16"/>
          <w:szCs w:val="16"/>
        </w:rPr>
        <w:footnoteRef/>
      </w:r>
      <w:r w:rsidRPr="005D2619">
        <w:rPr>
          <w:rFonts w:ascii="Cambria" w:hAnsi="Cambria"/>
          <w:color w:val="auto"/>
          <w:sz w:val="16"/>
          <w:szCs w:val="16"/>
          <w:lang w:val="es-ES"/>
        </w:rPr>
        <w:t xml:space="preserve"> CIDH. Informe No. 82/13. Caso 12.679. Fondo. José Agapito Ruano Torres y familia. El Salvador. 4 de noviembre de 2013, párr. 141.</w:t>
      </w:r>
    </w:p>
  </w:footnote>
  <w:footnote w:id="112">
    <w:p w14:paraId="0EC619DD" w14:textId="77777777" w:rsidR="006307FA" w:rsidRPr="00FE02DB" w:rsidRDefault="006307FA" w:rsidP="00CE40F8">
      <w:pPr>
        <w:pStyle w:val="FootnoteText"/>
        <w:jc w:val="both"/>
        <w:rPr>
          <w:rFonts w:ascii="Cambria" w:hAnsi="Cambria"/>
          <w:sz w:val="16"/>
          <w:szCs w:val="16"/>
          <w:lang w:val="pt-BR"/>
        </w:rPr>
      </w:pPr>
      <w:r w:rsidRPr="005D2619">
        <w:rPr>
          <w:rStyle w:val="FootnoteReference"/>
          <w:rFonts w:ascii="Cambria" w:hAnsi="Cambria"/>
          <w:sz w:val="16"/>
          <w:szCs w:val="16"/>
        </w:rPr>
        <w:footnoteRef/>
      </w:r>
      <w:r w:rsidRPr="005D2619">
        <w:rPr>
          <w:rFonts w:ascii="Cambria" w:hAnsi="Cambria" w:cs="Arial"/>
          <w:sz w:val="16"/>
          <w:szCs w:val="16"/>
          <w:lang w:val="es-ES"/>
        </w:rPr>
        <w:t xml:space="preserve"> </w:t>
      </w:r>
      <w:r w:rsidRPr="005D2619">
        <w:rPr>
          <w:rFonts w:ascii="Cambria" w:hAnsi="Cambria"/>
          <w:sz w:val="16"/>
          <w:szCs w:val="16"/>
          <w:lang w:val="es-ES_tradnl"/>
        </w:rPr>
        <w:t xml:space="preserve">Corte IDH. </w:t>
      </w:r>
      <w:r w:rsidRPr="005D2619">
        <w:rPr>
          <w:rFonts w:ascii="Cambria" w:hAnsi="Cambria"/>
          <w:i/>
          <w:sz w:val="16"/>
          <w:szCs w:val="16"/>
          <w:lang w:val="es-ES_tradnl"/>
        </w:rPr>
        <w:t>Caso García Asto y Ramírez Rojas Vs. Perú</w:t>
      </w:r>
      <w:r w:rsidRPr="005D2619">
        <w:rPr>
          <w:rFonts w:ascii="Cambria" w:hAnsi="Cambria"/>
          <w:sz w:val="16"/>
          <w:szCs w:val="16"/>
          <w:lang w:val="es-ES_tradnl"/>
        </w:rPr>
        <w:t>. Sentencia de 25 de noviembre de 2005. Serie C No. 137</w:t>
      </w:r>
      <w:r w:rsidRPr="005D2619">
        <w:rPr>
          <w:rFonts w:ascii="Cambria" w:hAnsi="Cambria" w:cs="Arial"/>
          <w:iCs/>
          <w:sz w:val="16"/>
          <w:szCs w:val="16"/>
          <w:lang w:val="es-ES"/>
        </w:rPr>
        <w:t xml:space="preserve">, párr. </w:t>
      </w:r>
      <w:r w:rsidRPr="00FE02DB">
        <w:rPr>
          <w:rFonts w:ascii="Cambria" w:hAnsi="Cambria" w:cs="Arial"/>
          <w:iCs/>
          <w:sz w:val="16"/>
          <w:szCs w:val="16"/>
          <w:lang w:val="pt-BR"/>
        </w:rPr>
        <w:t>166</w:t>
      </w:r>
      <w:r w:rsidRPr="00FE02DB">
        <w:rPr>
          <w:rFonts w:ascii="Cambria" w:hAnsi="Cambria" w:cs="Arial"/>
          <w:sz w:val="16"/>
          <w:szCs w:val="16"/>
          <w:lang w:val="pt-BR"/>
        </w:rPr>
        <w:t>.</w:t>
      </w:r>
    </w:p>
  </w:footnote>
  <w:footnote w:id="113">
    <w:p w14:paraId="60DADCF2" w14:textId="77777777" w:rsidR="006307FA" w:rsidRPr="00FE02DB" w:rsidRDefault="006307FA" w:rsidP="00CE40F8">
      <w:pPr>
        <w:pStyle w:val="FootnoteText"/>
        <w:jc w:val="both"/>
        <w:rPr>
          <w:rFonts w:ascii="Cambria" w:hAnsi="Cambria"/>
          <w:sz w:val="16"/>
          <w:szCs w:val="16"/>
          <w:lang w:val="pt-BR"/>
        </w:rPr>
      </w:pPr>
      <w:r w:rsidRPr="005D2619">
        <w:rPr>
          <w:rStyle w:val="FootnoteReference"/>
          <w:rFonts w:ascii="Cambria" w:hAnsi="Cambria"/>
          <w:sz w:val="16"/>
          <w:szCs w:val="16"/>
        </w:rPr>
        <w:footnoteRef/>
      </w:r>
      <w:r w:rsidRPr="00FE02DB">
        <w:rPr>
          <w:rFonts w:ascii="Cambria" w:hAnsi="Cambria"/>
          <w:sz w:val="16"/>
          <w:szCs w:val="16"/>
          <w:lang w:val="pt-BR"/>
        </w:rPr>
        <w:t xml:space="preserve"> Corte IDH. </w:t>
      </w:r>
      <w:r w:rsidRPr="00FE02DB">
        <w:rPr>
          <w:rFonts w:ascii="Cambria" w:hAnsi="Cambria"/>
          <w:i/>
          <w:sz w:val="16"/>
          <w:szCs w:val="16"/>
          <w:lang w:val="pt-BR"/>
        </w:rPr>
        <w:t>Caso Ricardo Canese Vs. Paraguay</w:t>
      </w:r>
      <w:r w:rsidRPr="00FE02DB">
        <w:rPr>
          <w:rFonts w:ascii="Cambria" w:hAnsi="Cambria"/>
          <w:sz w:val="16"/>
          <w:szCs w:val="16"/>
          <w:lang w:val="pt-BR"/>
        </w:rPr>
        <w:t>. Sentencia de 31 de agosto de 2004. Serie C No. 111</w:t>
      </w:r>
      <w:r w:rsidRPr="00FE02DB">
        <w:rPr>
          <w:rFonts w:ascii="Cambria" w:hAnsi="Cambria" w:cs="Arial"/>
          <w:sz w:val="16"/>
          <w:szCs w:val="16"/>
          <w:lang w:val="pt-BR"/>
        </w:rPr>
        <w:t xml:space="preserve">, </w:t>
      </w:r>
      <w:r w:rsidRPr="00FE02DB">
        <w:rPr>
          <w:rFonts w:ascii="Cambria" w:hAnsi="Cambria" w:cs="Arial"/>
          <w:sz w:val="16"/>
          <w:szCs w:val="16"/>
          <w:lang w:val="pt-BR"/>
        </w:rPr>
        <w:br/>
        <w:t>párr. 142.</w:t>
      </w:r>
    </w:p>
  </w:footnote>
  <w:footnote w:id="114">
    <w:p w14:paraId="475B0974" w14:textId="77777777" w:rsidR="006307FA" w:rsidRPr="002D4F9C" w:rsidRDefault="006307FA" w:rsidP="00CE40F8">
      <w:pPr>
        <w:pStyle w:val="FootnoteText"/>
        <w:jc w:val="both"/>
        <w:rPr>
          <w:rFonts w:ascii="Cambria" w:hAnsi="Cambria"/>
          <w:sz w:val="16"/>
          <w:szCs w:val="16"/>
          <w:lang w:val="pt-BR"/>
        </w:rPr>
      </w:pPr>
      <w:r w:rsidRPr="005D2619">
        <w:rPr>
          <w:rStyle w:val="FootnoteReference"/>
          <w:rFonts w:ascii="Cambria" w:hAnsi="Cambria"/>
          <w:sz w:val="16"/>
          <w:szCs w:val="16"/>
        </w:rPr>
        <w:footnoteRef/>
      </w:r>
      <w:r w:rsidRPr="00FE02DB">
        <w:rPr>
          <w:rFonts w:ascii="Cambria" w:hAnsi="Cambria" w:cs="Arial"/>
          <w:sz w:val="16"/>
          <w:szCs w:val="16"/>
          <w:lang w:val="pt-BR"/>
        </w:rPr>
        <w:t xml:space="preserve"> CIDH, Informe No. 77/02, Caso 11.506, Fondo, Waldemar Gerónimo Pinheiro y José Víctor dos Santos, Paraguay, 27 de diciembre de 2002, párr. </w:t>
      </w:r>
      <w:r w:rsidRPr="002D4F9C">
        <w:rPr>
          <w:rFonts w:ascii="Cambria" w:hAnsi="Cambria" w:cs="Arial"/>
          <w:sz w:val="16"/>
          <w:szCs w:val="16"/>
          <w:lang w:val="pt-BR"/>
        </w:rPr>
        <w:t>76.</w:t>
      </w:r>
    </w:p>
  </w:footnote>
  <w:footnote w:id="115">
    <w:p w14:paraId="0A86834E" w14:textId="77777777" w:rsidR="006307FA" w:rsidRPr="005D2619" w:rsidRDefault="006307FA" w:rsidP="00CE40F8">
      <w:pPr>
        <w:pStyle w:val="FootnoteText"/>
        <w:jc w:val="both"/>
        <w:rPr>
          <w:rFonts w:ascii="Cambria" w:hAnsi="Cambria"/>
          <w:sz w:val="16"/>
          <w:szCs w:val="16"/>
          <w:lang w:val="es-ES_tradnl"/>
        </w:rPr>
      </w:pPr>
      <w:r w:rsidRPr="005D2619">
        <w:rPr>
          <w:rStyle w:val="FootnoteReference"/>
          <w:rFonts w:ascii="Cambria" w:hAnsi="Cambria"/>
          <w:sz w:val="16"/>
          <w:szCs w:val="16"/>
        </w:rPr>
        <w:footnoteRef/>
      </w:r>
      <w:r w:rsidRPr="002D4F9C">
        <w:rPr>
          <w:rFonts w:ascii="Cambria" w:hAnsi="Cambria" w:cs="Arial"/>
          <w:sz w:val="16"/>
          <w:szCs w:val="16"/>
          <w:lang w:val="pt-BR"/>
        </w:rPr>
        <w:t xml:space="preserve"> Corte IDH</w:t>
      </w:r>
      <w:r w:rsidRPr="002D4F9C">
        <w:rPr>
          <w:rFonts w:ascii="Cambria" w:hAnsi="Cambria" w:cs="Arial"/>
          <w:i/>
          <w:sz w:val="16"/>
          <w:szCs w:val="16"/>
          <w:lang w:val="pt-BR"/>
        </w:rPr>
        <w:t xml:space="preserve">. </w:t>
      </w:r>
      <w:r w:rsidRPr="002D4F9C">
        <w:rPr>
          <w:rFonts w:ascii="Cambria" w:hAnsi="Cambria" w:cs="Arial"/>
          <w:i/>
          <w:sz w:val="16"/>
          <w:szCs w:val="16"/>
          <w:shd w:val="clear" w:color="auto" w:fill="FFFFFF"/>
          <w:lang w:val="pt-BR"/>
        </w:rPr>
        <w:t>Caso Masacre de Santo Domingo Vs. Colombia</w:t>
      </w:r>
      <w:r w:rsidRPr="002D4F9C">
        <w:rPr>
          <w:rFonts w:ascii="Cambria" w:hAnsi="Cambria" w:cs="Arial"/>
          <w:sz w:val="16"/>
          <w:szCs w:val="16"/>
          <w:shd w:val="clear" w:color="auto" w:fill="FFFFFF"/>
          <w:lang w:val="pt-BR"/>
        </w:rPr>
        <w:t xml:space="preserve">. </w:t>
      </w:r>
      <w:r w:rsidRPr="00FE02DB">
        <w:rPr>
          <w:rFonts w:ascii="Cambria" w:hAnsi="Cambria" w:cs="Arial"/>
          <w:sz w:val="16"/>
          <w:szCs w:val="16"/>
          <w:shd w:val="clear" w:color="auto" w:fill="FFFFFF"/>
          <w:lang w:val="pt-BR"/>
        </w:rPr>
        <w:t>Excepciones Preliminares, Fondo y Reparaciones. Sentencia de 30 de noviembre de 2012. Serie C No. 259,</w:t>
      </w:r>
      <w:r w:rsidRPr="00FE02DB">
        <w:rPr>
          <w:rFonts w:ascii="Cambria" w:hAnsi="Cambria" w:cs="Arial"/>
          <w:sz w:val="16"/>
          <w:szCs w:val="16"/>
          <w:lang w:val="pt-BR"/>
        </w:rPr>
        <w:t xml:space="preserve"> párr. </w:t>
      </w:r>
      <w:r w:rsidRPr="005D2619">
        <w:rPr>
          <w:rFonts w:ascii="Cambria" w:hAnsi="Cambria" w:cs="Arial"/>
          <w:sz w:val="16"/>
          <w:szCs w:val="16"/>
          <w:lang w:val="es-ES"/>
        </w:rPr>
        <w:t>164.</w:t>
      </w:r>
    </w:p>
  </w:footnote>
  <w:footnote w:id="116">
    <w:p w14:paraId="65680AD8" w14:textId="77777777" w:rsidR="006307FA" w:rsidRPr="005D2619" w:rsidRDefault="006307FA" w:rsidP="00072EF4">
      <w:pPr>
        <w:pStyle w:val="FootnoteText"/>
        <w:jc w:val="both"/>
        <w:rPr>
          <w:rFonts w:ascii="Cambria" w:hAnsi="Cambria"/>
          <w:color w:val="auto"/>
          <w:sz w:val="16"/>
          <w:szCs w:val="16"/>
          <w:lang w:val="es-ES"/>
        </w:rPr>
      </w:pPr>
      <w:r w:rsidRPr="005D2619">
        <w:rPr>
          <w:rStyle w:val="FootnoteReference"/>
          <w:rFonts w:ascii="Cambria" w:hAnsi="Cambria"/>
          <w:color w:val="auto"/>
          <w:sz w:val="16"/>
          <w:szCs w:val="16"/>
          <w:lang w:val="es-ES"/>
        </w:rPr>
        <w:footnoteRef/>
      </w:r>
      <w:r w:rsidRPr="005D2619">
        <w:rPr>
          <w:rFonts w:ascii="Cambria" w:hAnsi="Cambria"/>
          <w:color w:val="auto"/>
          <w:sz w:val="16"/>
          <w:szCs w:val="16"/>
          <w:lang w:val="es-ES"/>
        </w:rPr>
        <w:t xml:space="preserve"> CIDH. Informe No. 172/10. Caso 12.561. Fondo. César Alberto Mendoza y otros (Prisión y reclusión perpetuas de adolescentes). Argentina. 2 de noviembre de 2000, párr. 175.</w:t>
      </w:r>
    </w:p>
  </w:footnote>
  <w:footnote w:id="117">
    <w:p w14:paraId="6374F38F" w14:textId="77777777" w:rsidR="006307FA" w:rsidRPr="005D2619" w:rsidRDefault="006307FA" w:rsidP="00072EF4">
      <w:pPr>
        <w:pStyle w:val="FootnoteText"/>
        <w:jc w:val="both"/>
        <w:rPr>
          <w:rFonts w:ascii="Cambria" w:hAnsi="Cambria"/>
          <w:color w:val="auto"/>
          <w:sz w:val="16"/>
          <w:szCs w:val="16"/>
          <w:lang w:val="es-ES"/>
        </w:rPr>
      </w:pPr>
      <w:r w:rsidRPr="005D2619">
        <w:rPr>
          <w:rStyle w:val="FootnoteReference"/>
          <w:rFonts w:ascii="Cambria" w:hAnsi="Cambria"/>
          <w:color w:val="auto"/>
          <w:sz w:val="16"/>
          <w:szCs w:val="16"/>
          <w:lang w:val="es-ES"/>
        </w:rPr>
        <w:footnoteRef/>
      </w:r>
      <w:r w:rsidRPr="00253524">
        <w:rPr>
          <w:rFonts w:ascii="Cambria" w:hAnsi="Cambria"/>
          <w:color w:val="auto"/>
          <w:sz w:val="16"/>
          <w:szCs w:val="16"/>
          <w:lang w:val="es-ES"/>
        </w:rPr>
        <w:t xml:space="preserve"> Corte IDH. </w:t>
      </w:r>
      <w:r w:rsidRPr="00253524">
        <w:rPr>
          <w:rFonts w:ascii="Cambria" w:hAnsi="Cambria"/>
          <w:i/>
          <w:color w:val="auto"/>
          <w:sz w:val="16"/>
          <w:szCs w:val="16"/>
          <w:lang w:val="es-ES"/>
        </w:rPr>
        <w:t xml:space="preserve">Caso Usón Ramírez Vs. </w:t>
      </w:r>
      <w:r w:rsidRPr="005D2619">
        <w:rPr>
          <w:rFonts w:ascii="Cambria" w:hAnsi="Cambria"/>
          <w:i/>
          <w:color w:val="auto"/>
          <w:sz w:val="16"/>
          <w:szCs w:val="16"/>
          <w:lang w:val="es-ES"/>
        </w:rPr>
        <w:t>Venezuela</w:t>
      </w:r>
      <w:r w:rsidRPr="005D2619">
        <w:rPr>
          <w:rFonts w:ascii="Cambria" w:hAnsi="Cambria"/>
          <w:color w:val="auto"/>
          <w:sz w:val="16"/>
          <w:szCs w:val="16"/>
          <w:lang w:val="es-ES"/>
        </w:rPr>
        <w:t>. Sentencia de 20 de noviembre de 2009. Serie C No. 207, párr. 148.</w:t>
      </w:r>
    </w:p>
  </w:footnote>
  <w:footnote w:id="118">
    <w:p w14:paraId="18B08ECA" w14:textId="77777777" w:rsidR="006307FA" w:rsidRPr="005D2619" w:rsidRDefault="006307FA" w:rsidP="00072EF4">
      <w:pPr>
        <w:pStyle w:val="FootnoteText"/>
        <w:jc w:val="both"/>
        <w:rPr>
          <w:rFonts w:ascii="Cambria" w:hAnsi="Cambria"/>
          <w:color w:val="auto"/>
          <w:sz w:val="16"/>
          <w:szCs w:val="16"/>
          <w:lang w:val="es-ES"/>
        </w:rPr>
      </w:pPr>
      <w:r w:rsidRPr="005D2619">
        <w:rPr>
          <w:rStyle w:val="FootnoteReference"/>
          <w:rFonts w:ascii="Cambria" w:hAnsi="Cambria"/>
          <w:color w:val="auto"/>
          <w:sz w:val="16"/>
          <w:szCs w:val="16"/>
          <w:lang w:val="es-ES"/>
        </w:rPr>
        <w:footnoteRef/>
      </w:r>
      <w:r w:rsidRPr="005D2619">
        <w:rPr>
          <w:rFonts w:ascii="Cambria" w:hAnsi="Cambria"/>
          <w:color w:val="auto"/>
          <w:sz w:val="16"/>
          <w:szCs w:val="16"/>
          <w:lang w:val="es-ES"/>
        </w:rPr>
        <w:t xml:space="preserve"> Grupo de Trabajo sobre la Detención Arbitraria de la Oficina del Alto Comisionado de las Naciones Unidas para los Derechos Humanos. Folleto informativo No. 26: “Nadie podrá ser arbitrariamente detenido, preso ni desterrado”. </w:t>
      </w:r>
    </w:p>
  </w:footnote>
  <w:footnote w:id="119">
    <w:p w14:paraId="4862AD0E" w14:textId="77777777" w:rsidR="006307FA" w:rsidRPr="005D2619" w:rsidRDefault="006307FA" w:rsidP="00072EF4">
      <w:pPr>
        <w:pStyle w:val="FootnoteText"/>
        <w:jc w:val="both"/>
        <w:rPr>
          <w:rFonts w:ascii="Cambria" w:hAnsi="Cambria"/>
          <w:color w:val="auto"/>
          <w:sz w:val="16"/>
          <w:szCs w:val="16"/>
          <w:lang w:val="es-ES"/>
        </w:rPr>
      </w:pPr>
      <w:r w:rsidRPr="005D2619">
        <w:rPr>
          <w:rStyle w:val="FootnoteReference"/>
          <w:rFonts w:ascii="Cambria" w:hAnsi="Cambria"/>
          <w:color w:val="auto"/>
          <w:sz w:val="16"/>
          <w:szCs w:val="16"/>
          <w:lang w:val="es-ES"/>
        </w:rPr>
        <w:footnoteRef/>
      </w:r>
      <w:r w:rsidRPr="005D2619">
        <w:rPr>
          <w:rFonts w:ascii="Cambria" w:hAnsi="Cambria"/>
          <w:color w:val="auto"/>
          <w:sz w:val="16"/>
          <w:szCs w:val="16"/>
          <w:lang w:val="es-ES"/>
        </w:rPr>
        <w:t xml:space="preserve"> Para mayor información, véase: CIDH. Informe No. 172/10. Caso 12.561. Fondo. César Alberto Mendoza y otros (Prisión y reclusión perpetuas de adolescentes). Argentina. 2 de noviembre de 2000, párr. 179.</w:t>
      </w:r>
    </w:p>
  </w:footnote>
  <w:footnote w:id="120">
    <w:p w14:paraId="0C95CB7B" w14:textId="77777777" w:rsidR="006307FA" w:rsidRPr="005D2619" w:rsidRDefault="006307FA" w:rsidP="00072EF4">
      <w:pPr>
        <w:pStyle w:val="FootnoteText"/>
        <w:jc w:val="both"/>
        <w:rPr>
          <w:rFonts w:ascii="Cambria" w:hAnsi="Cambria"/>
          <w:color w:val="auto"/>
          <w:sz w:val="16"/>
          <w:szCs w:val="16"/>
          <w:lang w:val="es-ES"/>
        </w:rPr>
      </w:pPr>
      <w:r w:rsidRPr="005D2619">
        <w:rPr>
          <w:rStyle w:val="FootnoteReference"/>
          <w:rFonts w:ascii="Cambria" w:hAnsi="Cambria"/>
          <w:color w:val="auto"/>
          <w:sz w:val="16"/>
          <w:szCs w:val="16"/>
          <w:lang w:val="es-ES"/>
        </w:rPr>
        <w:footnoteRef/>
      </w:r>
      <w:r w:rsidRPr="005D2619">
        <w:rPr>
          <w:rFonts w:ascii="Cambria" w:hAnsi="Cambria"/>
          <w:color w:val="auto"/>
          <w:sz w:val="16"/>
          <w:szCs w:val="16"/>
          <w:lang w:val="es-ES"/>
        </w:rPr>
        <w:t xml:space="preserve"> CIDH. Informe No. 64/99. Caso 11.778. Fondo. Ruth del Rosario Garcés Valladares. Ecuador. 13 de abril de 1999, párr. 51.</w:t>
      </w:r>
    </w:p>
  </w:footnote>
  <w:footnote w:id="121">
    <w:p w14:paraId="69ABD58B" w14:textId="77777777" w:rsidR="006307FA" w:rsidRPr="00431D74" w:rsidRDefault="006307FA" w:rsidP="00431D74">
      <w:pPr>
        <w:spacing w:after="0" w:line="240" w:lineRule="auto"/>
        <w:jc w:val="both"/>
        <w:rPr>
          <w:rFonts w:ascii="Cambria" w:eastAsia="Times New Roman" w:hAnsi="Cambria"/>
          <w:sz w:val="16"/>
          <w:szCs w:val="16"/>
          <w:lang w:val="es-ES"/>
        </w:rPr>
      </w:pPr>
      <w:r w:rsidRPr="005D2619">
        <w:rPr>
          <w:rStyle w:val="FootnoteReference"/>
          <w:rFonts w:ascii="Cambria" w:hAnsi="Cambria"/>
          <w:sz w:val="16"/>
          <w:szCs w:val="16"/>
        </w:rPr>
        <w:footnoteRef/>
      </w:r>
      <w:r w:rsidRPr="005D2619">
        <w:rPr>
          <w:rFonts w:ascii="Cambria" w:hAnsi="Cambria"/>
          <w:sz w:val="16"/>
          <w:szCs w:val="16"/>
          <w:lang w:val="es-ES"/>
        </w:rPr>
        <w:t xml:space="preserve"> El artículo 5.1 de la Convención Americana establece: </w:t>
      </w:r>
      <w:r w:rsidRPr="005D2619">
        <w:rPr>
          <w:rFonts w:ascii="Cambria" w:eastAsia="Times New Roman" w:hAnsi="Cambria" w:cs="Tahoma"/>
          <w:color w:val="000000"/>
          <w:sz w:val="16"/>
          <w:szCs w:val="16"/>
          <w:lang w:val="es-ES"/>
        </w:rPr>
        <w:t>“Toda persona tiene derecho a que se respete su integridad física, psíquica y moral”.</w:t>
      </w:r>
    </w:p>
  </w:footnote>
  <w:footnote w:id="122">
    <w:p w14:paraId="626321B3" w14:textId="7F0B362F" w:rsidR="00E71A02" w:rsidRPr="008C2526" w:rsidRDefault="00E71A02" w:rsidP="009959E3">
      <w:pPr>
        <w:pStyle w:val="FootnoteText"/>
        <w:jc w:val="both"/>
        <w:rPr>
          <w:lang w:val="es-US"/>
        </w:rPr>
      </w:pPr>
      <w:r w:rsidRPr="00851193">
        <w:rPr>
          <w:rStyle w:val="FootnoteReference"/>
        </w:rPr>
        <w:footnoteRef/>
      </w:r>
      <w:r w:rsidRPr="00851193">
        <w:rPr>
          <w:rFonts w:asciiTheme="majorHAnsi" w:hAnsiTheme="majorHAnsi" w:cs="Open Sans"/>
          <w:color w:val="auto"/>
          <w:sz w:val="16"/>
          <w:szCs w:val="16"/>
          <w:shd w:val="clear" w:color="auto" w:fill="FFFFFF"/>
          <w:lang w:val="pt-BR"/>
        </w:rPr>
        <w:t xml:space="preserve"> </w:t>
      </w:r>
      <w:r w:rsidR="00F12609" w:rsidRPr="00851193">
        <w:rPr>
          <w:rFonts w:asciiTheme="majorHAnsi" w:hAnsiTheme="majorHAnsi" w:cs="Open Sans"/>
          <w:color w:val="auto"/>
          <w:sz w:val="16"/>
          <w:szCs w:val="16"/>
          <w:shd w:val="clear" w:color="auto" w:fill="FFFFFF"/>
          <w:lang w:val="pt-BR"/>
        </w:rPr>
        <w:t xml:space="preserve">Corte IDH. Caso Petro Urrego Vs. </w:t>
      </w:r>
      <w:r w:rsidR="00F12609" w:rsidRPr="00851193">
        <w:rPr>
          <w:rFonts w:asciiTheme="majorHAnsi" w:hAnsiTheme="majorHAnsi" w:cs="Open Sans"/>
          <w:color w:val="auto"/>
          <w:sz w:val="16"/>
          <w:szCs w:val="16"/>
          <w:shd w:val="clear" w:color="auto" w:fill="FFFFFF"/>
          <w:lang w:val="es-US"/>
        </w:rPr>
        <w:t xml:space="preserve">Colombia. Excepciones Preliminares, Fondo, Reparaciones y Costas. Sentencia de 8 de julio de 2020. Serie C No. 406, párr. </w:t>
      </w:r>
      <w:r w:rsidR="006B71D8" w:rsidRPr="00851193">
        <w:rPr>
          <w:rFonts w:asciiTheme="majorHAnsi" w:hAnsiTheme="majorHAnsi" w:cs="Open Sans"/>
          <w:color w:val="auto"/>
          <w:sz w:val="16"/>
          <w:szCs w:val="16"/>
          <w:shd w:val="clear" w:color="auto" w:fill="FFFFFF"/>
          <w:lang w:val="es-US"/>
        </w:rPr>
        <w:t>113</w:t>
      </w:r>
      <w:r w:rsidR="008C2526" w:rsidRPr="00851193">
        <w:rPr>
          <w:rFonts w:asciiTheme="majorHAnsi" w:hAnsiTheme="majorHAnsi" w:cs="Open Sans"/>
          <w:color w:val="auto"/>
          <w:sz w:val="16"/>
          <w:szCs w:val="16"/>
          <w:shd w:val="clear" w:color="auto" w:fill="FFFFFF"/>
          <w:lang w:val="es-US"/>
        </w:rPr>
        <w:t xml:space="preserve"> y punto dispositivo 8.</w:t>
      </w:r>
    </w:p>
  </w:footnote>
  <w:footnote w:id="123">
    <w:p w14:paraId="6CB05698" w14:textId="6E397166" w:rsidR="00E11364" w:rsidRPr="00E80F18" w:rsidRDefault="00E11364" w:rsidP="00F1633D">
      <w:pPr>
        <w:pStyle w:val="FootnoteText"/>
        <w:jc w:val="both"/>
        <w:rPr>
          <w:lang w:val="es-US"/>
        </w:rPr>
      </w:pPr>
      <w:r>
        <w:rPr>
          <w:rStyle w:val="FootnoteReference"/>
        </w:rPr>
        <w:footnoteRef/>
      </w:r>
      <w:r w:rsidRPr="0000015F">
        <w:rPr>
          <w:rFonts w:asciiTheme="majorHAnsi" w:hAnsiTheme="majorHAnsi"/>
          <w:color w:val="auto"/>
          <w:sz w:val="16"/>
          <w:szCs w:val="16"/>
          <w:lang w:val="pt-BR"/>
        </w:rPr>
        <w:t xml:space="preserve"> </w:t>
      </w:r>
      <w:r w:rsidR="00E80F18" w:rsidRPr="00851193">
        <w:rPr>
          <w:rFonts w:asciiTheme="majorHAnsi" w:hAnsiTheme="majorHAnsi" w:cs="Open Sans"/>
          <w:color w:val="auto"/>
          <w:sz w:val="16"/>
          <w:szCs w:val="16"/>
          <w:shd w:val="clear" w:color="auto" w:fill="FFFFFF"/>
          <w:lang w:val="pt-BR"/>
        </w:rPr>
        <w:t xml:space="preserve">Corte IDH. Caso Petro Urrego Vs. </w:t>
      </w:r>
      <w:r w:rsidR="00E80F18" w:rsidRPr="00851193">
        <w:rPr>
          <w:rFonts w:asciiTheme="majorHAnsi" w:hAnsiTheme="majorHAnsi" w:cs="Open Sans"/>
          <w:color w:val="auto"/>
          <w:sz w:val="16"/>
          <w:szCs w:val="16"/>
          <w:shd w:val="clear" w:color="auto" w:fill="FFFFFF"/>
          <w:lang w:val="es-US"/>
        </w:rPr>
        <w:t>Colombia. Supervisión de Cumplimiento de Sentencia. Resolución de la Corte Interamericana de Derechos Humanos de 25 de noviembre de 2021</w:t>
      </w:r>
      <w:r w:rsidR="00F1633D" w:rsidRPr="00851193">
        <w:rPr>
          <w:rFonts w:asciiTheme="majorHAnsi" w:hAnsiTheme="majorHAnsi" w:cs="Open Sans"/>
          <w:color w:val="auto"/>
          <w:sz w:val="16"/>
          <w:szCs w:val="16"/>
          <w:shd w:val="clear" w:color="auto" w:fill="FFFFFF"/>
          <w:lang w:val="es-US"/>
        </w:rPr>
        <w:t>, párr. 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8A7DD" w14:textId="77777777" w:rsidR="006307FA" w:rsidRDefault="006307FA" w:rsidP="00852AF5">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440C9F14" w14:textId="77777777" w:rsidR="006307FA" w:rsidRDefault="006307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EAE8" w14:textId="77777777" w:rsidR="006307FA" w:rsidRDefault="006307FA" w:rsidP="00852AF5">
    <w:pPr>
      <w:pStyle w:val="Header"/>
      <w:tabs>
        <w:tab w:val="clear" w:pos="4320"/>
        <w:tab w:val="clear" w:pos="8640"/>
      </w:tabs>
      <w:jc w:val="center"/>
      <w:rPr>
        <w:sz w:val="22"/>
        <w:szCs w:val="22"/>
      </w:rPr>
    </w:pPr>
    <w:r>
      <w:rPr>
        <w:noProof/>
        <w:sz w:val="22"/>
        <w:szCs w:val="22"/>
        <w:lang w:val="en-US"/>
      </w:rPr>
      <w:drawing>
        <wp:inline distT="0" distB="0" distL="0" distR="0" wp14:anchorId="75C175C3" wp14:editId="19CFA0F2">
          <wp:extent cx="1974850" cy="107315"/>
          <wp:effectExtent l="0" t="0" r="6350" b="0"/>
          <wp:docPr id="5" name="Picture 6" descr="Description: 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4850" cy="107315"/>
                  </a:xfrm>
                  <a:prstGeom prst="rect">
                    <a:avLst/>
                  </a:prstGeom>
                  <a:noFill/>
                  <a:ln>
                    <a:noFill/>
                  </a:ln>
                </pic:spPr>
              </pic:pic>
            </a:graphicData>
          </a:graphic>
        </wp:inline>
      </w:drawing>
    </w:r>
  </w:p>
  <w:p w14:paraId="4B248047" w14:textId="77777777" w:rsidR="006307FA" w:rsidRPr="00EC7D62" w:rsidRDefault="00250380" w:rsidP="00852AF5">
    <w:pPr>
      <w:pStyle w:val="Header"/>
      <w:tabs>
        <w:tab w:val="clear" w:pos="4320"/>
        <w:tab w:val="clear" w:pos="8640"/>
      </w:tabs>
      <w:jc w:val="center"/>
      <w:rPr>
        <w:sz w:val="22"/>
        <w:szCs w:val="22"/>
      </w:rPr>
    </w:pPr>
    <w:r>
      <w:rPr>
        <w:noProof/>
        <w:sz w:val="22"/>
        <w:szCs w:val="22"/>
      </w:rPr>
      <w:pict w14:anchorId="4DB9116C">
        <v:rect id="_x0000_i1025" alt="" style="width:441.9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mbria"/>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Cambria"/>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mbria"/>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mbria"/>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mbria"/>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mbria"/>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mbria"/>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mbria"/>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mbria"/>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Cambria"/>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mbria"/>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mbria"/>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mbria"/>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mbria"/>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mbria"/>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mbria"/>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mbria"/>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mbria"/>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Cambria"/>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mbria"/>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mbria"/>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mbria"/>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mbria"/>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mbria"/>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mbria"/>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mbria"/>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mbria"/>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Cambria"/>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mbria"/>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mbria"/>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mbria"/>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mbria"/>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mbria"/>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mbria"/>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mbria"/>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mbria"/>
        <w:color w:val="000000"/>
        <w:position w:val="0"/>
        <w:sz w:val="22"/>
        <w:szCs w:val="22"/>
        <w:u w:color="000000"/>
        <w:lang w:val="es-ES_tradnl"/>
      </w:rPr>
    </w:lvl>
  </w:abstractNum>
  <w:abstractNum w:abstractNumId="4"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Cambria"/>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mbria"/>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mbria"/>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mbria"/>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mbria"/>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mbria"/>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mbria"/>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mbria"/>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mbria"/>
        <w:color w:val="000000"/>
        <w:position w:val="0"/>
        <w:sz w:val="22"/>
        <w:szCs w:val="22"/>
        <w:u w:color="000000"/>
        <w:lang w:val="es-ES_tradnl"/>
      </w:rPr>
    </w:lvl>
  </w:abstractNum>
  <w:abstractNum w:abstractNumId="5" w15:restartNumberingAfterBreak="0">
    <w:nsid w:val="16C401F2"/>
    <w:multiLevelType w:val="multilevel"/>
    <w:tmpl w:val="30208C14"/>
    <w:lvl w:ilvl="0">
      <w:start w:val="1"/>
      <w:numFmt w:val="decimal"/>
      <w:pStyle w:val="Heading3"/>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050020"/>
    <w:multiLevelType w:val="hybridMultilevel"/>
    <w:tmpl w:val="14F438A4"/>
    <w:lvl w:ilvl="0" w:tplc="8B944914">
      <w:start w:val="1"/>
      <w:numFmt w:val="decimal"/>
      <w:lvlText w:val="%1."/>
      <w:lvlJc w:val="left"/>
      <w:pPr>
        <w:tabs>
          <w:tab w:val="num" w:pos="1429"/>
        </w:tabs>
        <w:ind w:firstLine="720"/>
      </w:pPr>
      <w:rPr>
        <w:rFonts w:ascii="Cambria" w:hAnsi="Cambria" w:cs="Times New Roman" w:hint="default"/>
        <w:b w:val="0"/>
        <w:i w:val="0"/>
        <w:sz w:val="20"/>
        <w:szCs w:val="20"/>
        <w:lang w:val="es-ES_tradnl"/>
      </w:rPr>
    </w:lvl>
    <w:lvl w:ilvl="1" w:tplc="04090019">
      <w:start w:val="1"/>
      <w:numFmt w:val="lowerLetter"/>
      <w:lvlText w:val="%2."/>
      <w:lvlJc w:val="left"/>
      <w:pPr>
        <w:tabs>
          <w:tab w:val="num" w:pos="1440"/>
        </w:tabs>
        <w:ind w:left="1440" w:hanging="360"/>
      </w:pPr>
      <w:rPr>
        <w:rFonts w:cs="Times New Roman"/>
      </w:rPr>
    </w:lvl>
    <w:lvl w:ilvl="2" w:tplc="C66EDE0C">
      <w:start w:val="3"/>
      <w:numFmt w:val="upperRoman"/>
      <w:lvlText w:val="%3."/>
      <w:lvlJc w:val="left"/>
      <w:pPr>
        <w:tabs>
          <w:tab w:val="num" w:pos="2700"/>
        </w:tabs>
        <w:ind w:left="2700" w:hanging="720"/>
      </w:pPr>
      <w:rPr>
        <w:rFonts w:cs="Times New Roman" w:hint="default"/>
      </w:rPr>
    </w:lvl>
    <w:lvl w:ilvl="3" w:tplc="268AFC70">
      <w:start w:val="1"/>
      <w:numFmt w:val="decimal"/>
      <w:lvlText w:val="%4."/>
      <w:lvlJc w:val="left"/>
      <w:pPr>
        <w:tabs>
          <w:tab w:val="num" w:pos="2880"/>
        </w:tabs>
        <w:ind w:left="2880" w:hanging="360"/>
      </w:pPr>
      <w:rPr>
        <w:rFonts w:hint="default"/>
        <w:b/>
        <w:i w:val="0"/>
        <w:sz w:val="20"/>
        <w:szCs w:val="2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mbria"/>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Cambria"/>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mbria"/>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mbria"/>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mbria"/>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mbria"/>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mbria"/>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mbria"/>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mbria"/>
        <w:color w:val="000000"/>
        <w:position w:val="0"/>
        <w:sz w:val="22"/>
        <w:szCs w:val="22"/>
        <w:u w:color="000000"/>
        <w:lang w:val="es-ES_tradnl"/>
      </w:rPr>
    </w:lvl>
  </w:abstractNum>
  <w:abstractNum w:abstractNumId="8"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Cambria"/>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mbria"/>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mbria"/>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mbria"/>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mbria"/>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mbria"/>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mbria"/>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mbria"/>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mbria"/>
        <w:b/>
        <w:bCs/>
        <w:color w:val="000000"/>
        <w:position w:val="0"/>
        <w:sz w:val="22"/>
        <w:szCs w:val="22"/>
        <w:u w:color="000000"/>
        <w:lang w:val="es-ES_tradnl"/>
      </w:rPr>
    </w:lvl>
  </w:abstractNum>
  <w:abstractNum w:abstractNumId="9"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Cambria"/>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mbria"/>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mbria"/>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mbria"/>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mbria"/>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mbria"/>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mbria"/>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mbria"/>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mbria"/>
        <w:color w:val="000000"/>
        <w:position w:val="0"/>
        <w:sz w:val="22"/>
        <w:szCs w:val="22"/>
        <w:u w:color="000000"/>
        <w:lang w:val="es-ES_tradnl"/>
      </w:rPr>
    </w:lvl>
  </w:abstractNum>
  <w:abstractNum w:abstractNumId="10"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Cambria"/>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mbria"/>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mbria"/>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mbria"/>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mbria"/>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mbria"/>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mbria"/>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mbria"/>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mbria"/>
        <w:color w:val="000000"/>
        <w:position w:val="0"/>
        <w:sz w:val="22"/>
        <w:szCs w:val="22"/>
        <w:u w:color="000000"/>
        <w:lang w:val="es-ES_tradnl"/>
      </w:rPr>
    </w:lvl>
  </w:abstractNum>
  <w:abstractNum w:abstractNumId="11" w15:restartNumberingAfterBreak="0">
    <w:nsid w:val="1EED1D14"/>
    <w:multiLevelType w:val="hybridMultilevel"/>
    <w:tmpl w:val="70D88514"/>
    <w:lvl w:ilvl="0" w:tplc="76CE3914">
      <w:start w:val="2"/>
      <w:numFmt w:val="decimal"/>
      <w:lvlText w:val="%1."/>
      <w:lvlJc w:val="left"/>
      <w:pPr>
        <w:tabs>
          <w:tab w:val="num" w:pos="2880"/>
        </w:tabs>
        <w:ind w:left="2880" w:hanging="360"/>
      </w:pPr>
      <w:rPr>
        <w:rFonts w:hint="default"/>
        <w:b/>
        <w:i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Cambria"/>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mbria"/>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mbria"/>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mbria"/>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mbria"/>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mbria"/>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mbria"/>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mbria"/>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mbria"/>
        <w:b/>
        <w:bCs/>
        <w:color w:val="000000"/>
        <w:position w:val="0"/>
        <w:sz w:val="22"/>
        <w:szCs w:val="22"/>
        <w:u w:color="000000"/>
        <w:lang w:val="es-ES_tradnl"/>
      </w:rPr>
    </w:lvl>
  </w:abstractNum>
  <w:abstractNum w:abstractNumId="13"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Cambria"/>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mbria"/>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mbria"/>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mbria"/>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mbria"/>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mbria"/>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mbria"/>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mbria"/>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mbria"/>
        <w:color w:val="000000"/>
        <w:position w:val="0"/>
        <w:sz w:val="22"/>
        <w:szCs w:val="22"/>
        <w:u w:color="000000"/>
        <w:lang w:val="es-ES_tradnl"/>
      </w:rPr>
    </w:lvl>
  </w:abstractNum>
  <w:abstractNum w:abstractNumId="14"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Cambria"/>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mbria"/>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mbria"/>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mbria"/>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mbria"/>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mbria"/>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mbria"/>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mbria"/>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mbria"/>
        <w:color w:val="000000"/>
        <w:position w:val="0"/>
        <w:sz w:val="22"/>
        <w:szCs w:val="22"/>
        <w:u w:color="000000"/>
        <w:lang w:val="es-ES_tradnl"/>
      </w:rPr>
    </w:lvl>
  </w:abstractNum>
  <w:abstractNum w:abstractNumId="15"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Cambria"/>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mbria"/>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mbria"/>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mbria"/>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mbria"/>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mbria"/>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mbria"/>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mbria"/>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mbria"/>
        <w:b/>
        <w:bCs/>
        <w:color w:val="000000"/>
        <w:position w:val="0"/>
        <w:sz w:val="22"/>
        <w:szCs w:val="22"/>
        <w:u w:color="000000"/>
        <w:lang w:val="es-ES_tradnl"/>
      </w:rPr>
    </w:lvl>
  </w:abstractNum>
  <w:abstractNum w:abstractNumId="16"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Cambria"/>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mbria"/>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mbria"/>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mbria"/>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mbria"/>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mbria"/>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mbria"/>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mbria"/>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mbria"/>
        <w:color w:val="000000"/>
        <w:position w:val="0"/>
        <w:sz w:val="22"/>
        <w:szCs w:val="22"/>
        <w:u w:color="000000"/>
        <w:lang w:val="es-ES_tradnl"/>
      </w:rPr>
    </w:lvl>
  </w:abstractNum>
  <w:abstractNum w:abstractNumId="17"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Cambria"/>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mbria"/>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mbria"/>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mbria"/>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mbria"/>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mbria"/>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mbria"/>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mbria"/>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mbria"/>
        <w:color w:val="000000"/>
        <w:position w:val="0"/>
        <w:sz w:val="22"/>
        <w:szCs w:val="22"/>
        <w:u w:color="000000"/>
        <w:lang w:val="es-ES_tradnl"/>
      </w:rPr>
    </w:lvl>
  </w:abstractNum>
  <w:abstractNum w:abstractNumId="18"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Cambria"/>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mbria"/>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mbria"/>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mbria"/>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mbria"/>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mbria"/>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mbria"/>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mbria"/>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mbria"/>
        <w:color w:val="000000"/>
        <w:position w:val="0"/>
        <w:sz w:val="22"/>
        <w:szCs w:val="22"/>
        <w:u w:color="000000"/>
        <w:lang w:val="es-ES_tradnl"/>
      </w:rPr>
    </w:lvl>
  </w:abstractNum>
  <w:abstractNum w:abstractNumId="19"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Cambria"/>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mbria"/>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mbria"/>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mbria"/>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mbria"/>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mbria"/>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mbria"/>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mbria"/>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mbria"/>
        <w:color w:val="000000"/>
        <w:position w:val="0"/>
        <w:sz w:val="22"/>
        <w:szCs w:val="22"/>
        <w:u w:color="000000"/>
        <w:lang w:val="es-ES_tradnl"/>
      </w:rPr>
    </w:lvl>
  </w:abstractNum>
  <w:abstractNum w:abstractNumId="20"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Cambria"/>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mbria"/>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mbria"/>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mbria"/>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mbria"/>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mbria"/>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mbria"/>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mbria"/>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mbria"/>
        <w:color w:val="000000"/>
        <w:position w:val="0"/>
        <w:sz w:val="22"/>
        <w:szCs w:val="22"/>
        <w:u w:color="000000"/>
        <w:lang w:val="es-ES_tradnl"/>
      </w:rPr>
    </w:lvl>
  </w:abstractNum>
  <w:abstractNum w:abstractNumId="21"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Cambria"/>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mbria"/>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mbria"/>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mbria"/>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mbria"/>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mbria"/>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mbria"/>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mbria"/>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mbria"/>
        <w:b/>
        <w:bCs/>
        <w:color w:val="000000"/>
        <w:position w:val="0"/>
        <w:sz w:val="22"/>
        <w:szCs w:val="22"/>
        <w:u w:color="000000"/>
        <w:lang w:val="es-ES_tradnl"/>
      </w:rPr>
    </w:lvl>
  </w:abstractNum>
  <w:abstractNum w:abstractNumId="22"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Cambria"/>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mbria"/>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mbria"/>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mbria"/>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mbria"/>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mbria"/>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mbria"/>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mbria"/>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mbria"/>
        <w:color w:val="000000"/>
        <w:position w:val="0"/>
        <w:sz w:val="22"/>
        <w:szCs w:val="22"/>
        <w:u w:color="000000"/>
        <w:lang w:val="es-ES_tradnl"/>
      </w:rPr>
    </w:lvl>
  </w:abstractNum>
  <w:abstractNum w:abstractNumId="23"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mbria"/>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Cambria"/>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mbria"/>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mbria"/>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mbria"/>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mbria"/>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mbria"/>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mbria"/>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mbria"/>
        <w:color w:val="000000"/>
        <w:position w:val="0"/>
        <w:sz w:val="22"/>
        <w:szCs w:val="22"/>
        <w:u w:color="000000"/>
        <w:lang w:val="es-ES_tradnl"/>
      </w:rPr>
    </w:lvl>
  </w:abstractNum>
  <w:abstractNum w:abstractNumId="24"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Cambria"/>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mbria"/>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mbria"/>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mbria"/>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mbria"/>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mbria"/>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mbria"/>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mbria"/>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mbria"/>
        <w:color w:val="000000"/>
        <w:position w:val="0"/>
        <w:sz w:val="22"/>
        <w:szCs w:val="22"/>
        <w:u w:color="000000"/>
        <w:lang w:val="es-ES_tradnl"/>
      </w:rPr>
    </w:lvl>
  </w:abstractNum>
  <w:abstractNum w:abstractNumId="25" w15:restartNumberingAfterBreak="0">
    <w:nsid w:val="37795779"/>
    <w:multiLevelType w:val="singleLevel"/>
    <w:tmpl w:val="E752DED6"/>
    <w:lvl w:ilvl="0">
      <w:start w:val="74"/>
      <w:numFmt w:val="decimal"/>
      <w:lvlText w:val="%1."/>
      <w:lvlJc w:val="left"/>
      <w:pPr>
        <w:tabs>
          <w:tab w:val="num" w:pos="720"/>
        </w:tabs>
        <w:ind w:left="0" w:firstLine="720"/>
      </w:pPr>
      <w:rPr>
        <w:rFonts w:ascii="Cambria" w:hAnsi="Cambria" w:hint="default"/>
        <w:b w:val="0"/>
        <w:color w:val="auto"/>
        <w:sz w:val="20"/>
        <w:szCs w:val="20"/>
      </w:rPr>
    </w:lvl>
  </w:abstractNum>
  <w:abstractNum w:abstractNumId="26"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Cambria"/>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mbria"/>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mbria"/>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mbria"/>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mbria"/>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mbria"/>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mbria"/>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mbria"/>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mbria"/>
        <w:color w:val="000000"/>
        <w:position w:val="0"/>
        <w:sz w:val="22"/>
        <w:szCs w:val="22"/>
        <w:u w:color="000000"/>
        <w:lang w:val="es-ES_tradnl"/>
      </w:rPr>
    </w:lvl>
  </w:abstractNum>
  <w:abstractNum w:abstractNumId="27"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Cambria"/>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mbria"/>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mbria"/>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mbria"/>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mbria"/>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mbria"/>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mbria"/>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mbria"/>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mbria"/>
        <w:color w:val="000000"/>
        <w:position w:val="0"/>
        <w:sz w:val="22"/>
        <w:szCs w:val="22"/>
        <w:u w:color="000000"/>
        <w:lang w:val="es-ES_tradnl"/>
      </w:rPr>
    </w:lvl>
  </w:abstractNum>
  <w:abstractNum w:abstractNumId="28"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Cambria"/>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mbria"/>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mbria"/>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mbria"/>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mbria"/>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mbria"/>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mbria"/>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mbria"/>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mbria"/>
        <w:b/>
        <w:bCs/>
        <w:color w:val="000000"/>
        <w:position w:val="0"/>
        <w:sz w:val="22"/>
        <w:szCs w:val="22"/>
        <w:u w:color="000000"/>
        <w:lang w:val="es-ES_tradnl"/>
      </w:rPr>
    </w:lvl>
  </w:abstractNum>
  <w:abstractNum w:abstractNumId="29"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Cambria"/>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mbria"/>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mbria"/>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mbria"/>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mbria"/>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mbria"/>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mbria"/>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mbria"/>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mbria"/>
        <w:color w:val="000000"/>
        <w:position w:val="0"/>
        <w:sz w:val="22"/>
        <w:szCs w:val="22"/>
        <w:u w:color="000000"/>
        <w:lang w:val="es-ES_tradnl"/>
      </w:rPr>
    </w:lvl>
  </w:abstractNum>
  <w:abstractNum w:abstractNumId="30" w15:restartNumberingAfterBreak="0">
    <w:nsid w:val="41077DE8"/>
    <w:multiLevelType w:val="hybridMultilevel"/>
    <w:tmpl w:val="F222CB00"/>
    <w:lvl w:ilvl="0" w:tplc="454277C6">
      <w:start w:val="1"/>
      <w:numFmt w:val="upperLetter"/>
      <w:pStyle w:val="Heading2"/>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3258CAC6">
      <w:start w:val="1"/>
      <w:numFmt w:val="decimal"/>
      <w:lvlText w:val="%4."/>
      <w:lvlJc w:val="left"/>
      <w:pPr>
        <w:ind w:left="3087" w:hanging="360"/>
      </w:pPr>
      <w:rPr>
        <w:b/>
      </w:r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Cambria"/>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mbria"/>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mbria"/>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mbria"/>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mbria"/>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mbria"/>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mbria"/>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mbria"/>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mbria"/>
        <w:color w:val="000000"/>
        <w:position w:val="0"/>
        <w:sz w:val="22"/>
        <w:szCs w:val="22"/>
        <w:u w:color="000000"/>
        <w:lang w:val="es-ES_tradnl"/>
      </w:rPr>
    </w:lvl>
  </w:abstractNum>
  <w:abstractNum w:abstractNumId="32" w15:restartNumberingAfterBreak="0">
    <w:nsid w:val="42FB515D"/>
    <w:multiLevelType w:val="hybridMultilevel"/>
    <w:tmpl w:val="9C341800"/>
    <w:lvl w:ilvl="0" w:tplc="F5F2D942">
      <w:start w:val="2"/>
      <w:numFmt w:val="decimal"/>
      <w:lvlText w:val="%1."/>
      <w:lvlJc w:val="left"/>
      <w:pPr>
        <w:tabs>
          <w:tab w:val="num" w:pos="2880"/>
        </w:tabs>
        <w:ind w:left="2880" w:hanging="360"/>
      </w:pPr>
      <w:rPr>
        <w:rFonts w:hint="default"/>
        <w:b/>
        <w:i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Cambria"/>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mbria"/>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mbria"/>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mbria"/>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mbria"/>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mbria"/>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mbria"/>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mbria"/>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mbria"/>
        <w:color w:val="000000"/>
        <w:position w:val="0"/>
        <w:sz w:val="22"/>
        <w:szCs w:val="22"/>
        <w:u w:color="000000"/>
        <w:lang w:val="es-ES_tradnl"/>
      </w:rPr>
    </w:lvl>
  </w:abstractNum>
  <w:abstractNum w:abstractNumId="34"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Cambria"/>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mbria"/>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mbria"/>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mbria"/>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mbria"/>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mbria"/>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mbria"/>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mbria"/>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mbria"/>
        <w:color w:val="000000"/>
        <w:position w:val="0"/>
        <w:sz w:val="22"/>
        <w:szCs w:val="22"/>
        <w:u w:color="000000"/>
        <w:lang w:val="es-ES_tradnl"/>
      </w:rPr>
    </w:lvl>
  </w:abstractNum>
  <w:abstractNum w:abstractNumId="35"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Cambria"/>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mbria"/>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mbria"/>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mbria"/>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mbria"/>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mbria"/>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mbria"/>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mbria"/>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mbria"/>
        <w:color w:val="000000"/>
        <w:position w:val="0"/>
        <w:sz w:val="22"/>
        <w:szCs w:val="22"/>
        <w:u w:color="000000"/>
        <w:lang w:val="es-ES_tradnl"/>
      </w:rPr>
    </w:lvl>
  </w:abstractNum>
  <w:abstractNum w:abstractNumId="36"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Cambria"/>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mbria"/>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mbria"/>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mbria"/>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mbria"/>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mbria"/>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mbria"/>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mbria"/>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mbria"/>
        <w:color w:val="000000"/>
        <w:position w:val="0"/>
        <w:sz w:val="22"/>
        <w:szCs w:val="22"/>
        <w:u w:color="000000"/>
        <w:lang w:val="es-ES_tradnl"/>
      </w:rPr>
    </w:lvl>
  </w:abstractNum>
  <w:abstractNum w:abstractNumId="37"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Cambria"/>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mbria"/>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mbria"/>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mbria"/>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mbria"/>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mbria"/>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mbria"/>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mbria"/>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mbria"/>
        <w:color w:val="000000"/>
        <w:position w:val="0"/>
        <w:sz w:val="22"/>
        <w:szCs w:val="22"/>
        <w:u w:color="000000"/>
        <w:lang w:val="es-ES_tradnl"/>
      </w:rPr>
    </w:lvl>
  </w:abstractNum>
  <w:abstractNum w:abstractNumId="38" w15:restartNumberingAfterBreak="0">
    <w:nsid w:val="4A043847"/>
    <w:multiLevelType w:val="hybridMultilevel"/>
    <w:tmpl w:val="9F8A011E"/>
    <w:lvl w:ilvl="0" w:tplc="31840A8E">
      <w:start w:val="1"/>
      <w:numFmt w:val="decimal"/>
      <w:lvlText w:val="%1."/>
      <w:lvlJc w:val="left"/>
      <w:pPr>
        <w:ind w:left="360" w:hanging="360"/>
      </w:pPr>
      <w:rPr>
        <w:rFonts w:ascii="Cambria" w:eastAsia="Batang" w:hAnsi="Cambria" w:cs="Tahoma"/>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Cambria"/>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mbria"/>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mbria"/>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mbria"/>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mbria"/>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mbria"/>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mbria"/>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mbria"/>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mbria"/>
        <w:b/>
        <w:bCs/>
        <w:color w:val="000000"/>
        <w:position w:val="0"/>
        <w:sz w:val="22"/>
        <w:szCs w:val="22"/>
        <w:u w:val="single" w:color="000000"/>
        <w:lang w:val="es-ES_tradnl"/>
      </w:rPr>
    </w:lvl>
  </w:abstractNum>
  <w:abstractNum w:abstractNumId="40"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mbria"/>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mbria"/>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mbria"/>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Cambria"/>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mbria"/>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mbria"/>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mbria"/>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mbria"/>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mbria"/>
        <w:b/>
        <w:bCs/>
        <w:color w:val="000000"/>
        <w:position w:val="0"/>
        <w:sz w:val="22"/>
        <w:szCs w:val="22"/>
        <w:u w:val="single" w:color="000000"/>
        <w:lang w:val="es-ES_tradnl"/>
      </w:rPr>
    </w:lvl>
  </w:abstractNum>
  <w:abstractNum w:abstractNumId="41"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Cambria"/>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mbria"/>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mbria"/>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mbria"/>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mbria"/>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mbria"/>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mbria"/>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mbria"/>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mbria"/>
        <w:color w:val="000000"/>
        <w:position w:val="0"/>
        <w:sz w:val="22"/>
        <w:szCs w:val="22"/>
        <w:u w:color="000000"/>
        <w:lang w:val="es-ES_tradnl"/>
      </w:rPr>
    </w:lvl>
  </w:abstractNum>
  <w:abstractNum w:abstractNumId="42"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Cambria"/>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mbria"/>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mbria"/>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mbria"/>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mbria"/>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mbria"/>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mbria"/>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mbria"/>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mbria"/>
        <w:color w:val="000000"/>
        <w:position w:val="0"/>
        <w:sz w:val="22"/>
        <w:szCs w:val="22"/>
        <w:u w:color="000000"/>
        <w:lang w:val="es-ES_tradnl"/>
      </w:rPr>
    </w:lvl>
  </w:abstractNum>
  <w:abstractNum w:abstractNumId="43"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Cambria"/>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mbria"/>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mbria"/>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mbria"/>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mbria"/>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mbria"/>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mbria"/>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mbria"/>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mbria"/>
        <w:b/>
        <w:bCs/>
        <w:color w:val="000000"/>
        <w:position w:val="0"/>
        <w:sz w:val="22"/>
        <w:szCs w:val="22"/>
        <w:u w:color="000000"/>
        <w:lang w:val="es-ES_tradnl"/>
      </w:rPr>
    </w:lvl>
  </w:abstractNum>
  <w:abstractNum w:abstractNumId="44"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Cambria"/>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mbria"/>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mbria"/>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mbria"/>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mbria"/>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mbria"/>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mbria"/>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mbria"/>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mbria"/>
        <w:b/>
        <w:bCs/>
        <w:color w:val="000000"/>
        <w:position w:val="0"/>
        <w:sz w:val="22"/>
        <w:szCs w:val="22"/>
        <w:u w:val="single" w:color="000000"/>
        <w:lang w:val="es-ES_tradnl"/>
      </w:rPr>
    </w:lvl>
  </w:abstractNum>
  <w:abstractNum w:abstractNumId="45" w15:restartNumberingAfterBreak="0">
    <w:nsid w:val="5ADF6884"/>
    <w:multiLevelType w:val="hybridMultilevel"/>
    <w:tmpl w:val="6D164814"/>
    <w:lvl w:ilvl="0" w:tplc="BDC85754">
      <w:start w:val="1"/>
      <w:numFmt w:val="upperLetter"/>
      <w:lvlText w:val="%1."/>
      <w:lvlJc w:val="left"/>
      <w:pPr>
        <w:ind w:left="1440" w:hanging="720"/>
      </w:pPr>
      <w:rPr>
        <w:rFonts w:ascii="Cambria" w:hAnsi="Cambria" w:hint="default"/>
        <w:b/>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D7D4B9D"/>
    <w:multiLevelType w:val="hybridMultilevel"/>
    <w:tmpl w:val="57BEAE2E"/>
    <w:lvl w:ilvl="0" w:tplc="9E0CAF0C">
      <w:start w:val="1"/>
      <w:numFmt w:val="decimal"/>
      <w:lvlText w:val="%1."/>
      <w:lvlJc w:val="left"/>
      <w:pPr>
        <w:ind w:left="1080" w:hanging="360"/>
      </w:pPr>
      <w:rPr>
        <w:rFonts w:ascii="Cambria" w:hAnsi="Cambria" w:hint="default"/>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0711D3F"/>
    <w:multiLevelType w:val="hybridMultilevel"/>
    <w:tmpl w:val="68481EBC"/>
    <w:lvl w:ilvl="0" w:tplc="F872C652">
      <w:start w:val="91"/>
      <w:numFmt w:val="decimal"/>
      <w:lvlText w:val="%1."/>
      <w:lvlJc w:val="left"/>
      <w:pPr>
        <w:tabs>
          <w:tab w:val="num" w:pos="1429"/>
        </w:tabs>
        <w:ind w:left="0" w:firstLine="720"/>
      </w:pPr>
      <w:rPr>
        <w:rFonts w:ascii="Cambria" w:hAnsi="Cambria" w:cs="Times New Roman" w:hint="default"/>
        <w:b w:val="0"/>
        <w:i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Cambria"/>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mbria"/>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mbria"/>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mbria"/>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mbria"/>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mbria"/>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mbria"/>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mbria"/>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mbria"/>
        <w:color w:val="000000"/>
        <w:position w:val="0"/>
        <w:sz w:val="22"/>
        <w:szCs w:val="22"/>
        <w:u w:color="000000"/>
        <w:lang w:val="es-ES_tradnl"/>
      </w:rPr>
    </w:lvl>
  </w:abstractNum>
  <w:abstractNum w:abstractNumId="49"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Cambria"/>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mbria"/>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mbria"/>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mbria"/>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mbria"/>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mbria"/>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mbria"/>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mbria"/>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mbria"/>
        <w:b/>
        <w:bCs/>
        <w:color w:val="000000"/>
        <w:position w:val="0"/>
        <w:sz w:val="22"/>
        <w:szCs w:val="22"/>
        <w:u w:color="000000"/>
        <w:lang w:val="es-ES_tradnl"/>
      </w:rPr>
    </w:lvl>
  </w:abstractNum>
  <w:abstractNum w:abstractNumId="50"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mbria"/>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Cambria"/>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mbria"/>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mbria"/>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mbria"/>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mbria"/>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mbria"/>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mbria"/>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mbria"/>
        <w:b/>
        <w:bCs/>
        <w:color w:val="000000"/>
        <w:position w:val="0"/>
        <w:sz w:val="22"/>
        <w:szCs w:val="22"/>
        <w:u w:val="single" w:color="000000"/>
        <w:lang w:val="es-ES_tradnl"/>
      </w:rPr>
    </w:lvl>
  </w:abstractNum>
  <w:abstractNum w:abstractNumId="51"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Cambria"/>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mbria"/>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mbria"/>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mbria"/>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mbria"/>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mbria"/>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mbria"/>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mbria"/>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mbria"/>
        <w:color w:val="000000"/>
        <w:position w:val="0"/>
        <w:sz w:val="22"/>
        <w:szCs w:val="22"/>
        <w:u w:color="000000"/>
        <w:lang w:val="es-ES_tradnl"/>
      </w:rPr>
    </w:lvl>
  </w:abstractNum>
  <w:abstractNum w:abstractNumId="52" w15:restartNumberingAfterBreak="0">
    <w:nsid w:val="70786ED7"/>
    <w:multiLevelType w:val="hybridMultilevel"/>
    <w:tmpl w:val="FF66AEF4"/>
    <w:lvl w:ilvl="0" w:tplc="7C5C7372">
      <w:start w:val="1"/>
      <w:numFmt w:val="upperRoman"/>
      <w:pStyle w:val="Heading1"/>
      <w:lvlText w:val="%1."/>
      <w:lvlJc w:val="left"/>
      <w:pPr>
        <w:ind w:left="6390" w:hanging="360"/>
      </w:pPr>
      <w:rPr>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04090019" w:tentative="1">
      <w:start w:val="1"/>
      <w:numFmt w:val="lowerLetter"/>
      <w:lvlText w:val="%2."/>
      <w:lvlJc w:val="left"/>
      <w:pPr>
        <w:ind w:left="7110" w:hanging="360"/>
      </w:pPr>
    </w:lvl>
    <w:lvl w:ilvl="2" w:tplc="0409001B" w:tentative="1">
      <w:start w:val="1"/>
      <w:numFmt w:val="lowerRoman"/>
      <w:lvlText w:val="%3."/>
      <w:lvlJc w:val="right"/>
      <w:pPr>
        <w:ind w:left="7830" w:hanging="180"/>
      </w:pPr>
    </w:lvl>
    <w:lvl w:ilvl="3" w:tplc="0409000F" w:tentative="1">
      <w:start w:val="1"/>
      <w:numFmt w:val="decimal"/>
      <w:lvlText w:val="%4."/>
      <w:lvlJc w:val="left"/>
      <w:pPr>
        <w:ind w:left="8550" w:hanging="360"/>
      </w:pPr>
    </w:lvl>
    <w:lvl w:ilvl="4" w:tplc="04090019" w:tentative="1">
      <w:start w:val="1"/>
      <w:numFmt w:val="lowerLetter"/>
      <w:lvlText w:val="%5."/>
      <w:lvlJc w:val="left"/>
      <w:pPr>
        <w:ind w:left="9270" w:hanging="360"/>
      </w:pPr>
    </w:lvl>
    <w:lvl w:ilvl="5" w:tplc="0409001B" w:tentative="1">
      <w:start w:val="1"/>
      <w:numFmt w:val="lowerRoman"/>
      <w:lvlText w:val="%6."/>
      <w:lvlJc w:val="right"/>
      <w:pPr>
        <w:ind w:left="9990" w:hanging="180"/>
      </w:pPr>
    </w:lvl>
    <w:lvl w:ilvl="6" w:tplc="0409000F" w:tentative="1">
      <w:start w:val="1"/>
      <w:numFmt w:val="decimal"/>
      <w:lvlText w:val="%7."/>
      <w:lvlJc w:val="left"/>
      <w:pPr>
        <w:ind w:left="10710" w:hanging="360"/>
      </w:pPr>
    </w:lvl>
    <w:lvl w:ilvl="7" w:tplc="04090019" w:tentative="1">
      <w:start w:val="1"/>
      <w:numFmt w:val="lowerLetter"/>
      <w:lvlText w:val="%8."/>
      <w:lvlJc w:val="left"/>
      <w:pPr>
        <w:ind w:left="11430" w:hanging="360"/>
      </w:pPr>
    </w:lvl>
    <w:lvl w:ilvl="8" w:tplc="0409001B" w:tentative="1">
      <w:start w:val="1"/>
      <w:numFmt w:val="lowerRoman"/>
      <w:lvlText w:val="%9."/>
      <w:lvlJc w:val="right"/>
      <w:pPr>
        <w:ind w:left="12150" w:hanging="180"/>
      </w:pPr>
    </w:lvl>
  </w:abstractNum>
  <w:abstractNum w:abstractNumId="53" w15:restartNumberingAfterBreak="0">
    <w:nsid w:val="78C26FCF"/>
    <w:multiLevelType w:val="multilevel"/>
    <w:tmpl w:val="2FCAD168"/>
    <w:styleLink w:val="List31"/>
    <w:lvl w:ilvl="0">
      <w:start w:val="1"/>
      <w:numFmt w:val="lowerLetter"/>
      <w:lvlText w:val="%1."/>
      <w:lvlJc w:val="left"/>
      <w:pPr>
        <w:tabs>
          <w:tab w:val="num" w:pos="720"/>
        </w:tabs>
        <w:ind w:left="720" w:hanging="360"/>
      </w:pPr>
      <w:rPr>
        <w:rFonts w:ascii="Trebuchet MS" w:eastAsia="Trebuchet MS" w:hAnsi="Trebuchet MS" w:cs="Cambria"/>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mbria"/>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mbria"/>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mbria"/>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mbria"/>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mbria"/>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mbria"/>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mbria"/>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mbria"/>
        <w:color w:val="000000"/>
        <w:position w:val="0"/>
        <w:sz w:val="22"/>
        <w:szCs w:val="22"/>
        <w:u w:color="000000"/>
        <w:lang w:val="es-ES_tradnl"/>
      </w:rPr>
    </w:lvl>
  </w:abstractNum>
  <w:abstractNum w:abstractNumId="54"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Cambria"/>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mbria"/>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mbria"/>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mbria"/>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mbria"/>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mbria"/>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mbria"/>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mbria"/>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mbria"/>
        <w:b/>
        <w:bCs/>
        <w:color w:val="000000"/>
        <w:position w:val="0"/>
        <w:sz w:val="22"/>
        <w:szCs w:val="22"/>
        <w:u w:color="000000"/>
        <w:lang w:val="es-ES_tradnl"/>
      </w:rPr>
    </w:lvl>
  </w:abstractNum>
  <w:abstractNum w:abstractNumId="55"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Cambria"/>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mbria"/>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mbria"/>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mbria"/>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mbria"/>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mbria"/>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mbria"/>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mbria"/>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mbria"/>
        <w:color w:val="000000"/>
        <w:position w:val="0"/>
        <w:sz w:val="22"/>
        <w:szCs w:val="22"/>
        <w:u w:color="000000"/>
        <w:lang w:val="es-ES_tradnl"/>
      </w:rPr>
    </w:lvl>
  </w:abstractNum>
  <w:abstractNum w:abstractNumId="56"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Cambria"/>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mbria"/>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mbria"/>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mbria"/>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mbria"/>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mbria"/>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mbria"/>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mbria"/>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mbria"/>
        <w:color w:val="000000"/>
        <w:position w:val="0"/>
        <w:sz w:val="22"/>
        <w:szCs w:val="22"/>
        <w:u w:color="000000"/>
        <w:lang w:val="es-ES_tradnl"/>
      </w:rPr>
    </w:lvl>
  </w:abstractNum>
  <w:abstractNum w:abstractNumId="57"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Cambria"/>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mbria"/>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mbria"/>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mbria"/>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mbria"/>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mbria"/>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mbria"/>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mbria"/>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mbria"/>
        <w:color w:val="000000"/>
        <w:position w:val="0"/>
        <w:sz w:val="22"/>
        <w:szCs w:val="22"/>
        <w:u w:color="000000"/>
        <w:lang w:val="es-ES_tradnl"/>
      </w:rPr>
    </w:lvl>
  </w:abstractNum>
  <w:abstractNum w:abstractNumId="58" w15:restartNumberingAfterBreak="0">
    <w:nsid w:val="7CE64D32"/>
    <w:multiLevelType w:val="hybridMultilevel"/>
    <w:tmpl w:val="9F8AF72C"/>
    <w:lvl w:ilvl="0" w:tplc="B09255D8">
      <w:start w:val="1"/>
      <w:numFmt w:val="decimal"/>
      <w:lvlText w:val="%1."/>
      <w:lvlJc w:val="left"/>
      <w:pPr>
        <w:tabs>
          <w:tab w:val="num" w:pos="0"/>
        </w:tabs>
        <w:ind w:left="0" w:firstLine="0"/>
      </w:pPr>
      <w:rPr>
        <w:rFonts w:ascii="Verdana" w:eastAsia="Times New Roman" w:hAnsi="Verdana" w:cs="Times New Roman" w:hint="default"/>
        <w:b w:val="0"/>
        <w:i w:val="0"/>
        <w:strike w:val="0"/>
        <w:color w:val="auto"/>
        <w:sz w:val="20"/>
        <w:lang w:val="es-CO"/>
      </w:rPr>
    </w:lvl>
    <w:lvl w:ilvl="1" w:tplc="3AAA13E2">
      <w:start w:val="1"/>
      <w:numFmt w:val="decimal"/>
      <w:lvlText w:val="%2."/>
      <w:lvlJc w:val="left"/>
      <w:pPr>
        <w:tabs>
          <w:tab w:val="num" w:pos="0"/>
        </w:tabs>
        <w:ind w:left="0" w:firstLine="0"/>
      </w:pPr>
      <w:rPr>
        <w:rFonts w:ascii="Verdana" w:eastAsia="Times New Roman" w:hAnsi="Verdana" w:cs="Times New Roman" w:hint="default"/>
        <w:b/>
        <w:i w:val="0"/>
        <w:strike w:val="0"/>
        <w:color w:val="auto"/>
        <w:sz w:val="20"/>
        <w:lang w:val="es-CO"/>
      </w:rPr>
    </w:lvl>
    <w:lvl w:ilvl="2" w:tplc="0409001B">
      <w:start w:val="1"/>
      <w:numFmt w:val="lowerRoman"/>
      <w:pStyle w:val="Estilo7"/>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9"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Cambria"/>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mbria"/>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mbria"/>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mbria"/>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mbria"/>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mbria"/>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mbria"/>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mbria"/>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mbria"/>
        <w:color w:val="000000"/>
        <w:position w:val="0"/>
        <w:sz w:val="22"/>
        <w:szCs w:val="22"/>
        <w:u w:color="000000"/>
        <w:lang w:val="es-ES_tradnl"/>
      </w:rPr>
    </w:lvl>
  </w:abstractNum>
  <w:abstractNum w:abstractNumId="60"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Cambria"/>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mbria"/>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mbria"/>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mbria"/>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mbria"/>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mbria"/>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mbria"/>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mbria"/>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mbria"/>
        <w:b/>
        <w:bCs/>
        <w:color w:val="000000"/>
        <w:position w:val="0"/>
        <w:sz w:val="22"/>
        <w:szCs w:val="22"/>
        <w:u w:val="single" w:color="000000"/>
        <w:lang w:val="es-ES_tradnl"/>
      </w:rPr>
    </w:lvl>
  </w:abstractNum>
  <w:num w:numId="1" w16cid:durableId="439884974">
    <w:abstractNumId w:val="3"/>
  </w:num>
  <w:num w:numId="2" w16cid:durableId="1298606722">
    <w:abstractNumId w:val="4"/>
  </w:num>
  <w:num w:numId="3" w16cid:durableId="244729428">
    <w:abstractNumId w:val="54"/>
  </w:num>
  <w:num w:numId="4" w16cid:durableId="1468743114">
    <w:abstractNumId w:val="21"/>
  </w:num>
  <w:num w:numId="5" w16cid:durableId="2092190778">
    <w:abstractNumId w:val="49"/>
  </w:num>
  <w:num w:numId="6" w16cid:durableId="2069646670">
    <w:abstractNumId w:val="27"/>
  </w:num>
  <w:num w:numId="7" w16cid:durableId="1339843699">
    <w:abstractNumId w:val="7"/>
  </w:num>
  <w:num w:numId="8" w16cid:durableId="2100372464">
    <w:abstractNumId w:val="18"/>
  </w:num>
  <w:num w:numId="9" w16cid:durableId="789324205">
    <w:abstractNumId w:val="43"/>
  </w:num>
  <w:num w:numId="10" w16cid:durableId="1614705732">
    <w:abstractNumId w:val="0"/>
  </w:num>
  <w:num w:numId="11" w16cid:durableId="1689335117">
    <w:abstractNumId w:val="39"/>
  </w:num>
  <w:num w:numId="12" w16cid:durableId="818380781">
    <w:abstractNumId w:val="40"/>
  </w:num>
  <w:num w:numId="13" w16cid:durableId="166140104">
    <w:abstractNumId w:val="44"/>
  </w:num>
  <w:num w:numId="14" w16cid:durableId="2080859410">
    <w:abstractNumId w:val="1"/>
  </w:num>
  <w:num w:numId="15" w16cid:durableId="1028456848">
    <w:abstractNumId w:val="2"/>
  </w:num>
  <w:num w:numId="16" w16cid:durableId="1355958888">
    <w:abstractNumId w:val="8"/>
  </w:num>
  <w:num w:numId="17" w16cid:durableId="616059733">
    <w:abstractNumId w:val="9"/>
  </w:num>
  <w:num w:numId="18" w16cid:durableId="1689673344">
    <w:abstractNumId w:val="10"/>
  </w:num>
  <w:num w:numId="19" w16cid:durableId="901216188">
    <w:abstractNumId w:val="12"/>
  </w:num>
  <w:num w:numId="20" w16cid:durableId="482893656">
    <w:abstractNumId w:val="13"/>
  </w:num>
  <w:num w:numId="21" w16cid:durableId="1504979617">
    <w:abstractNumId w:val="14"/>
  </w:num>
  <w:num w:numId="22" w16cid:durableId="75791236">
    <w:abstractNumId w:val="15"/>
  </w:num>
  <w:num w:numId="23" w16cid:durableId="1532769070">
    <w:abstractNumId w:val="16"/>
  </w:num>
  <w:num w:numId="24" w16cid:durableId="1952273060">
    <w:abstractNumId w:val="17"/>
  </w:num>
  <w:num w:numId="25" w16cid:durableId="1137450530">
    <w:abstractNumId w:val="19"/>
  </w:num>
  <w:num w:numId="26" w16cid:durableId="1912688778">
    <w:abstractNumId w:val="20"/>
  </w:num>
  <w:num w:numId="27" w16cid:durableId="1633438236">
    <w:abstractNumId w:val="22"/>
  </w:num>
  <w:num w:numId="28" w16cid:durableId="1905681700">
    <w:abstractNumId w:val="23"/>
  </w:num>
  <w:num w:numId="29" w16cid:durableId="522550790">
    <w:abstractNumId w:val="24"/>
  </w:num>
  <w:num w:numId="30" w16cid:durableId="1002703593">
    <w:abstractNumId w:val="26"/>
  </w:num>
  <w:num w:numId="31" w16cid:durableId="1959530189">
    <w:abstractNumId w:val="28"/>
  </w:num>
  <w:num w:numId="32" w16cid:durableId="1938908427">
    <w:abstractNumId w:val="29"/>
  </w:num>
  <w:num w:numId="33" w16cid:durableId="1229194113">
    <w:abstractNumId w:val="31"/>
  </w:num>
  <w:num w:numId="34" w16cid:durableId="155999949">
    <w:abstractNumId w:val="33"/>
  </w:num>
  <w:num w:numId="35" w16cid:durableId="484667736">
    <w:abstractNumId w:val="34"/>
  </w:num>
  <w:num w:numId="36" w16cid:durableId="1251937328">
    <w:abstractNumId w:val="35"/>
  </w:num>
  <w:num w:numId="37" w16cid:durableId="608240453">
    <w:abstractNumId w:val="36"/>
  </w:num>
  <w:num w:numId="38" w16cid:durableId="1839926225">
    <w:abstractNumId w:val="37"/>
  </w:num>
  <w:num w:numId="39" w16cid:durableId="1613825382">
    <w:abstractNumId w:val="41"/>
  </w:num>
  <w:num w:numId="40" w16cid:durableId="661280551">
    <w:abstractNumId w:val="42"/>
  </w:num>
  <w:num w:numId="41" w16cid:durableId="1432625646">
    <w:abstractNumId w:val="48"/>
  </w:num>
  <w:num w:numId="42" w16cid:durableId="781068940">
    <w:abstractNumId w:val="50"/>
  </w:num>
  <w:num w:numId="43" w16cid:durableId="2137675013">
    <w:abstractNumId w:val="51"/>
  </w:num>
  <w:num w:numId="44" w16cid:durableId="1726903592">
    <w:abstractNumId w:val="53"/>
  </w:num>
  <w:num w:numId="45" w16cid:durableId="1077290800">
    <w:abstractNumId w:val="55"/>
  </w:num>
  <w:num w:numId="46" w16cid:durableId="481849750">
    <w:abstractNumId w:val="56"/>
  </w:num>
  <w:num w:numId="47" w16cid:durableId="2012365117">
    <w:abstractNumId w:val="57"/>
  </w:num>
  <w:num w:numId="48" w16cid:durableId="174999095">
    <w:abstractNumId w:val="59"/>
  </w:num>
  <w:num w:numId="49" w16cid:durableId="1447772456">
    <w:abstractNumId w:val="60"/>
  </w:num>
  <w:num w:numId="50" w16cid:durableId="1443378665">
    <w:abstractNumId w:val="52"/>
  </w:num>
  <w:num w:numId="51" w16cid:durableId="602307243">
    <w:abstractNumId w:val="58"/>
  </w:num>
  <w:num w:numId="52" w16cid:durableId="278799846">
    <w:abstractNumId w:val="5"/>
  </w:num>
  <w:num w:numId="53" w16cid:durableId="1830364155">
    <w:abstractNumId w:val="6"/>
  </w:num>
  <w:num w:numId="54" w16cid:durableId="1819111869">
    <w:abstractNumId w:val="30"/>
  </w:num>
  <w:num w:numId="55" w16cid:durableId="1352881579">
    <w:abstractNumId w:val="45"/>
  </w:num>
  <w:num w:numId="56" w16cid:durableId="1081677608">
    <w:abstractNumId w:val="38"/>
  </w:num>
  <w:num w:numId="57" w16cid:durableId="413673152">
    <w:abstractNumId w:val="25"/>
  </w:num>
  <w:num w:numId="58" w16cid:durableId="1338576871">
    <w:abstractNumId w:val="11"/>
  </w:num>
  <w:num w:numId="59" w16cid:durableId="1007750098">
    <w:abstractNumId w:val="32"/>
  </w:num>
  <w:num w:numId="60" w16cid:durableId="1951426247">
    <w:abstractNumId w:val="47"/>
  </w:num>
  <w:num w:numId="61" w16cid:durableId="1949701059">
    <w:abstractNumId w:val="46"/>
  </w:num>
  <w:num w:numId="62" w16cid:durableId="520360777">
    <w:abstractNumId w:val="5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677"/>
    <w:rsid w:val="0000015F"/>
    <w:rsid w:val="000014C2"/>
    <w:rsid w:val="00001657"/>
    <w:rsid w:val="00001D2C"/>
    <w:rsid w:val="000025DA"/>
    <w:rsid w:val="00002C2D"/>
    <w:rsid w:val="00003703"/>
    <w:rsid w:val="00003C80"/>
    <w:rsid w:val="00007A6A"/>
    <w:rsid w:val="000105B5"/>
    <w:rsid w:val="00010B01"/>
    <w:rsid w:val="00010BDC"/>
    <w:rsid w:val="00011738"/>
    <w:rsid w:val="00011D9C"/>
    <w:rsid w:val="00014722"/>
    <w:rsid w:val="000156AF"/>
    <w:rsid w:val="00016759"/>
    <w:rsid w:val="00023BA1"/>
    <w:rsid w:val="00025BF0"/>
    <w:rsid w:val="000271E1"/>
    <w:rsid w:val="00027A71"/>
    <w:rsid w:val="00030565"/>
    <w:rsid w:val="00032034"/>
    <w:rsid w:val="00034A94"/>
    <w:rsid w:val="00035D02"/>
    <w:rsid w:val="00036C7E"/>
    <w:rsid w:val="00037128"/>
    <w:rsid w:val="00040703"/>
    <w:rsid w:val="000410FD"/>
    <w:rsid w:val="00041BE3"/>
    <w:rsid w:val="00043A26"/>
    <w:rsid w:val="00045386"/>
    <w:rsid w:val="0004599A"/>
    <w:rsid w:val="0004731A"/>
    <w:rsid w:val="00047656"/>
    <w:rsid w:val="000477E7"/>
    <w:rsid w:val="00050256"/>
    <w:rsid w:val="0005073E"/>
    <w:rsid w:val="000512A1"/>
    <w:rsid w:val="000512DD"/>
    <w:rsid w:val="0005171C"/>
    <w:rsid w:val="000517DD"/>
    <w:rsid w:val="00052213"/>
    <w:rsid w:val="000554D3"/>
    <w:rsid w:val="00055A12"/>
    <w:rsid w:val="00055C36"/>
    <w:rsid w:val="0006047C"/>
    <w:rsid w:val="00060839"/>
    <w:rsid w:val="00062EB6"/>
    <w:rsid w:val="000636E7"/>
    <w:rsid w:val="0006495D"/>
    <w:rsid w:val="00065A9F"/>
    <w:rsid w:val="00065EF6"/>
    <w:rsid w:val="00066E4B"/>
    <w:rsid w:val="000672F0"/>
    <w:rsid w:val="0007222D"/>
    <w:rsid w:val="00072EF4"/>
    <w:rsid w:val="000746C4"/>
    <w:rsid w:val="00074ECF"/>
    <w:rsid w:val="00081EA8"/>
    <w:rsid w:val="0008286A"/>
    <w:rsid w:val="00082B48"/>
    <w:rsid w:val="00082D31"/>
    <w:rsid w:val="00084154"/>
    <w:rsid w:val="000841B4"/>
    <w:rsid w:val="0008422C"/>
    <w:rsid w:val="000843E5"/>
    <w:rsid w:val="000845C8"/>
    <w:rsid w:val="00084B81"/>
    <w:rsid w:val="00084B91"/>
    <w:rsid w:val="000859AA"/>
    <w:rsid w:val="0008694A"/>
    <w:rsid w:val="0009255C"/>
    <w:rsid w:val="0009316D"/>
    <w:rsid w:val="0009353C"/>
    <w:rsid w:val="000935F9"/>
    <w:rsid w:val="000950D1"/>
    <w:rsid w:val="000963A2"/>
    <w:rsid w:val="00096D0B"/>
    <w:rsid w:val="0009701B"/>
    <w:rsid w:val="000970CF"/>
    <w:rsid w:val="00097C1C"/>
    <w:rsid w:val="000A0660"/>
    <w:rsid w:val="000A0C89"/>
    <w:rsid w:val="000A11BB"/>
    <w:rsid w:val="000A1D03"/>
    <w:rsid w:val="000A56BA"/>
    <w:rsid w:val="000A57F0"/>
    <w:rsid w:val="000A601A"/>
    <w:rsid w:val="000A6B72"/>
    <w:rsid w:val="000A7CD5"/>
    <w:rsid w:val="000B1926"/>
    <w:rsid w:val="000B2A6D"/>
    <w:rsid w:val="000B5E54"/>
    <w:rsid w:val="000B6605"/>
    <w:rsid w:val="000C2D0E"/>
    <w:rsid w:val="000C2F66"/>
    <w:rsid w:val="000C482D"/>
    <w:rsid w:val="000C4C9B"/>
    <w:rsid w:val="000C5260"/>
    <w:rsid w:val="000C5890"/>
    <w:rsid w:val="000C7953"/>
    <w:rsid w:val="000C7D8D"/>
    <w:rsid w:val="000D08AB"/>
    <w:rsid w:val="000D0D46"/>
    <w:rsid w:val="000D1E54"/>
    <w:rsid w:val="000D2424"/>
    <w:rsid w:val="000D2B72"/>
    <w:rsid w:val="000D2BEA"/>
    <w:rsid w:val="000D303C"/>
    <w:rsid w:val="000D5367"/>
    <w:rsid w:val="000D64BB"/>
    <w:rsid w:val="000D72B0"/>
    <w:rsid w:val="000D784C"/>
    <w:rsid w:val="000E01C5"/>
    <w:rsid w:val="000E06B9"/>
    <w:rsid w:val="000E222C"/>
    <w:rsid w:val="000E2D05"/>
    <w:rsid w:val="000E3A84"/>
    <w:rsid w:val="000E3ADF"/>
    <w:rsid w:val="000E5527"/>
    <w:rsid w:val="000E6681"/>
    <w:rsid w:val="000F0512"/>
    <w:rsid w:val="000F0E97"/>
    <w:rsid w:val="000F3143"/>
    <w:rsid w:val="000F3507"/>
    <w:rsid w:val="000F3BF4"/>
    <w:rsid w:val="000F481F"/>
    <w:rsid w:val="000F4A2D"/>
    <w:rsid w:val="000F52CC"/>
    <w:rsid w:val="000F6189"/>
    <w:rsid w:val="000F6952"/>
    <w:rsid w:val="000F7E4A"/>
    <w:rsid w:val="000F7FB4"/>
    <w:rsid w:val="00100D6D"/>
    <w:rsid w:val="00101450"/>
    <w:rsid w:val="001021E5"/>
    <w:rsid w:val="001060A2"/>
    <w:rsid w:val="001061DF"/>
    <w:rsid w:val="00106D7A"/>
    <w:rsid w:val="00110612"/>
    <w:rsid w:val="00111139"/>
    <w:rsid w:val="00111226"/>
    <w:rsid w:val="00112CB0"/>
    <w:rsid w:val="0011552C"/>
    <w:rsid w:val="001156AB"/>
    <w:rsid w:val="00116194"/>
    <w:rsid w:val="001165E8"/>
    <w:rsid w:val="00116C77"/>
    <w:rsid w:val="00122D7D"/>
    <w:rsid w:val="001232FA"/>
    <w:rsid w:val="00123D4A"/>
    <w:rsid w:val="00124E84"/>
    <w:rsid w:val="00125A64"/>
    <w:rsid w:val="00125AF9"/>
    <w:rsid w:val="001265E3"/>
    <w:rsid w:val="00126A46"/>
    <w:rsid w:val="00130109"/>
    <w:rsid w:val="00130414"/>
    <w:rsid w:val="001318A8"/>
    <w:rsid w:val="00131E64"/>
    <w:rsid w:val="00132213"/>
    <w:rsid w:val="001348FF"/>
    <w:rsid w:val="00137A63"/>
    <w:rsid w:val="001415B8"/>
    <w:rsid w:val="00141A75"/>
    <w:rsid w:val="00142135"/>
    <w:rsid w:val="0014262F"/>
    <w:rsid w:val="00142C6B"/>
    <w:rsid w:val="00145D5E"/>
    <w:rsid w:val="0014789A"/>
    <w:rsid w:val="001504C5"/>
    <w:rsid w:val="00150D9C"/>
    <w:rsid w:val="0015147B"/>
    <w:rsid w:val="001569EF"/>
    <w:rsid w:val="00161CAC"/>
    <w:rsid w:val="00163F71"/>
    <w:rsid w:val="001656A6"/>
    <w:rsid w:val="00165999"/>
    <w:rsid w:val="00166AEB"/>
    <w:rsid w:val="00166D13"/>
    <w:rsid w:val="00167856"/>
    <w:rsid w:val="0017082B"/>
    <w:rsid w:val="0017085A"/>
    <w:rsid w:val="001730E7"/>
    <w:rsid w:val="0017539D"/>
    <w:rsid w:val="001815C2"/>
    <w:rsid w:val="00181790"/>
    <w:rsid w:val="00184AF4"/>
    <w:rsid w:val="00184C44"/>
    <w:rsid w:val="00184F58"/>
    <w:rsid w:val="00185BEF"/>
    <w:rsid w:val="001863C0"/>
    <w:rsid w:val="001869F5"/>
    <w:rsid w:val="0019185B"/>
    <w:rsid w:val="001924BD"/>
    <w:rsid w:val="00193A05"/>
    <w:rsid w:val="00196AD0"/>
    <w:rsid w:val="00197345"/>
    <w:rsid w:val="00197FD1"/>
    <w:rsid w:val="001A0E2D"/>
    <w:rsid w:val="001A1CB4"/>
    <w:rsid w:val="001A2094"/>
    <w:rsid w:val="001A28B3"/>
    <w:rsid w:val="001A3A38"/>
    <w:rsid w:val="001A4419"/>
    <w:rsid w:val="001A60D7"/>
    <w:rsid w:val="001A6307"/>
    <w:rsid w:val="001A6C79"/>
    <w:rsid w:val="001A744E"/>
    <w:rsid w:val="001B028B"/>
    <w:rsid w:val="001B0760"/>
    <w:rsid w:val="001B2864"/>
    <w:rsid w:val="001B3677"/>
    <w:rsid w:val="001B533E"/>
    <w:rsid w:val="001B5456"/>
    <w:rsid w:val="001B6F56"/>
    <w:rsid w:val="001B7097"/>
    <w:rsid w:val="001B70FB"/>
    <w:rsid w:val="001B7878"/>
    <w:rsid w:val="001C025F"/>
    <w:rsid w:val="001C1179"/>
    <w:rsid w:val="001C32EB"/>
    <w:rsid w:val="001C3494"/>
    <w:rsid w:val="001C4A61"/>
    <w:rsid w:val="001C4EFB"/>
    <w:rsid w:val="001C5E49"/>
    <w:rsid w:val="001C5F22"/>
    <w:rsid w:val="001C7A2B"/>
    <w:rsid w:val="001D1EF8"/>
    <w:rsid w:val="001D2873"/>
    <w:rsid w:val="001D3AC5"/>
    <w:rsid w:val="001D6CFB"/>
    <w:rsid w:val="001D6E6F"/>
    <w:rsid w:val="001D6F69"/>
    <w:rsid w:val="001E0C04"/>
    <w:rsid w:val="001E116D"/>
    <w:rsid w:val="001E1CDC"/>
    <w:rsid w:val="001E22EF"/>
    <w:rsid w:val="001E43B5"/>
    <w:rsid w:val="001E4F73"/>
    <w:rsid w:val="001E529A"/>
    <w:rsid w:val="001E56CF"/>
    <w:rsid w:val="001E5CEC"/>
    <w:rsid w:val="001E66D3"/>
    <w:rsid w:val="001E7B72"/>
    <w:rsid w:val="001E7DE9"/>
    <w:rsid w:val="001F164E"/>
    <w:rsid w:val="001F18B8"/>
    <w:rsid w:val="001F2DFC"/>
    <w:rsid w:val="001F4569"/>
    <w:rsid w:val="001F7418"/>
    <w:rsid w:val="001F7C3F"/>
    <w:rsid w:val="001F7ED2"/>
    <w:rsid w:val="00200B0D"/>
    <w:rsid w:val="00200B8D"/>
    <w:rsid w:val="0020167F"/>
    <w:rsid w:val="0020394B"/>
    <w:rsid w:val="00204597"/>
    <w:rsid w:val="00205B09"/>
    <w:rsid w:val="00205FFD"/>
    <w:rsid w:val="0020636F"/>
    <w:rsid w:val="00206775"/>
    <w:rsid w:val="00206DEA"/>
    <w:rsid w:val="00206F4D"/>
    <w:rsid w:val="00207803"/>
    <w:rsid w:val="002139E5"/>
    <w:rsid w:val="00213FAE"/>
    <w:rsid w:val="00215222"/>
    <w:rsid w:val="00215A42"/>
    <w:rsid w:val="0022063F"/>
    <w:rsid w:val="00220873"/>
    <w:rsid w:val="00220CE0"/>
    <w:rsid w:val="00221364"/>
    <w:rsid w:val="0022409B"/>
    <w:rsid w:val="002250C7"/>
    <w:rsid w:val="00225DD3"/>
    <w:rsid w:val="00225E1C"/>
    <w:rsid w:val="00230726"/>
    <w:rsid w:val="00231D0B"/>
    <w:rsid w:val="0023262C"/>
    <w:rsid w:val="00232A38"/>
    <w:rsid w:val="002337EC"/>
    <w:rsid w:val="00234084"/>
    <w:rsid w:val="002343BD"/>
    <w:rsid w:val="00234427"/>
    <w:rsid w:val="002371C8"/>
    <w:rsid w:val="00240E29"/>
    <w:rsid w:val="0024346B"/>
    <w:rsid w:val="00243987"/>
    <w:rsid w:val="00243D38"/>
    <w:rsid w:val="0024424B"/>
    <w:rsid w:val="00245BCD"/>
    <w:rsid w:val="00245CEF"/>
    <w:rsid w:val="0024715B"/>
    <w:rsid w:val="002474C5"/>
    <w:rsid w:val="0024780C"/>
    <w:rsid w:val="002500A4"/>
    <w:rsid w:val="00250380"/>
    <w:rsid w:val="00250BAD"/>
    <w:rsid w:val="00250D21"/>
    <w:rsid w:val="00250FD4"/>
    <w:rsid w:val="00253524"/>
    <w:rsid w:val="00253668"/>
    <w:rsid w:val="002539D5"/>
    <w:rsid w:val="002541C5"/>
    <w:rsid w:val="00255EB9"/>
    <w:rsid w:val="00256878"/>
    <w:rsid w:val="00260636"/>
    <w:rsid w:val="00260732"/>
    <w:rsid w:val="00260D31"/>
    <w:rsid w:val="002613E9"/>
    <w:rsid w:val="002616A9"/>
    <w:rsid w:val="00261865"/>
    <w:rsid w:val="00261ADE"/>
    <w:rsid w:val="00262114"/>
    <w:rsid w:val="00262FA8"/>
    <w:rsid w:val="002634DC"/>
    <w:rsid w:val="0026361B"/>
    <w:rsid w:val="0026528D"/>
    <w:rsid w:val="00265872"/>
    <w:rsid w:val="00265A8B"/>
    <w:rsid w:val="002662D9"/>
    <w:rsid w:val="00270EFD"/>
    <w:rsid w:val="00271661"/>
    <w:rsid w:val="00273CEF"/>
    <w:rsid w:val="0027679C"/>
    <w:rsid w:val="00280F85"/>
    <w:rsid w:val="00281532"/>
    <w:rsid w:val="00281F94"/>
    <w:rsid w:val="00282EFF"/>
    <w:rsid w:val="00285160"/>
    <w:rsid w:val="00285405"/>
    <w:rsid w:val="00286326"/>
    <w:rsid w:val="00286F51"/>
    <w:rsid w:val="00287986"/>
    <w:rsid w:val="002933BC"/>
    <w:rsid w:val="00293AFF"/>
    <w:rsid w:val="002953ED"/>
    <w:rsid w:val="00295EAE"/>
    <w:rsid w:val="0029680F"/>
    <w:rsid w:val="002976A1"/>
    <w:rsid w:val="002979DC"/>
    <w:rsid w:val="002A0501"/>
    <w:rsid w:val="002A070A"/>
    <w:rsid w:val="002A0BDF"/>
    <w:rsid w:val="002A1E6C"/>
    <w:rsid w:val="002A461B"/>
    <w:rsid w:val="002A5046"/>
    <w:rsid w:val="002A50B6"/>
    <w:rsid w:val="002A536E"/>
    <w:rsid w:val="002A59A7"/>
    <w:rsid w:val="002B0CC6"/>
    <w:rsid w:val="002B181C"/>
    <w:rsid w:val="002B2C33"/>
    <w:rsid w:val="002B3D53"/>
    <w:rsid w:val="002B4031"/>
    <w:rsid w:val="002B417D"/>
    <w:rsid w:val="002B477D"/>
    <w:rsid w:val="002B5366"/>
    <w:rsid w:val="002B5E46"/>
    <w:rsid w:val="002B6BD2"/>
    <w:rsid w:val="002B6BF1"/>
    <w:rsid w:val="002B6C2D"/>
    <w:rsid w:val="002C0AFE"/>
    <w:rsid w:val="002C21BF"/>
    <w:rsid w:val="002C2C5A"/>
    <w:rsid w:val="002C33F9"/>
    <w:rsid w:val="002C3CE7"/>
    <w:rsid w:val="002C4DA4"/>
    <w:rsid w:val="002C526B"/>
    <w:rsid w:val="002C529C"/>
    <w:rsid w:val="002C59B5"/>
    <w:rsid w:val="002C5A2D"/>
    <w:rsid w:val="002C6461"/>
    <w:rsid w:val="002C6572"/>
    <w:rsid w:val="002C6F6B"/>
    <w:rsid w:val="002D20F0"/>
    <w:rsid w:val="002D3281"/>
    <w:rsid w:val="002D3B30"/>
    <w:rsid w:val="002D4484"/>
    <w:rsid w:val="002D4B23"/>
    <w:rsid w:val="002D4F9C"/>
    <w:rsid w:val="002D53EC"/>
    <w:rsid w:val="002D63D4"/>
    <w:rsid w:val="002E0698"/>
    <w:rsid w:val="002E19F9"/>
    <w:rsid w:val="002E6759"/>
    <w:rsid w:val="002F0593"/>
    <w:rsid w:val="002F06EB"/>
    <w:rsid w:val="002F1360"/>
    <w:rsid w:val="002F173C"/>
    <w:rsid w:val="002F1A85"/>
    <w:rsid w:val="002F23C1"/>
    <w:rsid w:val="002F3722"/>
    <w:rsid w:val="002F41DB"/>
    <w:rsid w:val="002F45B6"/>
    <w:rsid w:val="002F630F"/>
    <w:rsid w:val="002F7275"/>
    <w:rsid w:val="002F7A76"/>
    <w:rsid w:val="0030083F"/>
    <w:rsid w:val="0030085E"/>
    <w:rsid w:val="00300940"/>
    <w:rsid w:val="00300CC9"/>
    <w:rsid w:val="00301D26"/>
    <w:rsid w:val="00303571"/>
    <w:rsid w:val="00305F20"/>
    <w:rsid w:val="00306B11"/>
    <w:rsid w:val="003078AD"/>
    <w:rsid w:val="00311B4B"/>
    <w:rsid w:val="00311FA1"/>
    <w:rsid w:val="00313146"/>
    <w:rsid w:val="003133EC"/>
    <w:rsid w:val="00313B59"/>
    <w:rsid w:val="00314BA7"/>
    <w:rsid w:val="0031552E"/>
    <w:rsid w:val="00315D0C"/>
    <w:rsid w:val="003167E2"/>
    <w:rsid w:val="00316B23"/>
    <w:rsid w:val="00317C6B"/>
    <w:rsid w:val="003201A4"/>
    <w:rsid w:val="00320A36"/>
    <w:rsid w:val="00321D6C"/>
    <w:rsid w:val="00321E94"/>
    <w:rsid w:val="0032252D"/>
    <w:rsid w:val="0032297E"/>
    <w:rsid w:val="00322BAF"/>
    <w:rsid w:val="0032340A"/>
    <w:rsid w:val="0032355A"/>
    <w:rsid w:val="00330CD6"/>
    <w:rsid w:val="00330CE2"/>
    <w:rsid w:val="00330E97"/>
    <w:rsid w:val="0033219A"/>
    <w:rsid w:val="00333826"/>
    <w:rsid w:val="00333DE0"/>
    <w:rsid w:val="00336F19"/>
    <w:rsid w:val="00337C8B"/>
    <w:rsid w:val="00340313"/>
    <w:rsid w:val="0034082D"/>
    <w:rsid w:val="00342680"/>
    <w:rsid w:val="003427E0"/>
    <w:rsid w:val="003447F2"/>
    <w:rsid w:val="00345FDB"/>
    <w:rsid w:val="003525D7"/>
    <w:rsid w:val="00353FF6"/>
    <w:rsid w:val="00355512"/>
    <w:rsid w:val="003560E1"/>
    <w:rsid w:val="003600B4"/>
    <w:rsid w:val="00361358"/>
    <w:rsid w:val="003615FE"/>
    <w:rsid w:val="003619FE"/>
    <w:rsid w:val="00361FD5"/>
    <w:rsid w:val="00364C03"/>
    <w:rsid w:val="003717B5"/>
    <w:rsid w:val="0037214F"/>
    <w:rsid w:val="00372C2C"/>
    <w:rsid w:val="00372D3D"/>
    <w:rsid w:val="003739D1"/>
    <w:rsid w:val="00375337"/>
    <w:rsid w:val="00375689"/>
    <w:rsid w:val="00376DAE"/>
    <w:rsid w:val="00377FB5"/>
    <w:rsid w:val="00380905"/>
    <w:rsid w:val="003809D3"/>
    <w:rsid w:val="00384BCA"/>
    <w:rsid w:val="003853A7"/>
    <w:rsid w:val="00386CB5"/>
    <w:rsid w:val="00390D7B"/>
    <w:rsid w:val="00390D8C"/>
    <w:rsid w:val="00391EFA"/>
    <w:rsid w:val="00391F0D"/>
    <w:rsid w:val="00392239"/>
    <w:rsid w:val="003924F4"/>
    <w:rsid w:val="00392B65"/>
    <w:rsid w:val="00393F6C"/>
    <w:rsid w:val="0039516A"/>
    <w:rsid w:val="00396881"/>
    <w:rsid w:val="003970CF"/>
    <w:rsid w:val="0039711F"/>
    <w:rsid w:val="003A228D"/>
    <w:rsid w:val="003A22D7"/>
    <w:rsid w:val="003A2945"/>
    <w:rsid w:val="003A2B78"/>
    <w:rsid w:val="003A3E64"/>
    <w:rsid w:val="003B17D2"/>
    <w:rsid w:val="003B3FC4"/>
    <w:rsid w:val="003B4C6D"/>
    <w:rsid w:val="003B523B"/>
    <w:rsid w:val="003B69BB"/>
    <w:rsid w:val="003B6CED"/>
    <w:rsid w:val="003B7FB2"/>
    <w:rsid w:val="003C02A5"/>
    <w:rsid w:val="003C1013"/>
    <w:rsid w:val="003C3188"/>
    <w:rsid w:val="003C3EA8"/>
    <w:rsid w:val="003C493A"/>
    <w:rsid w:val="003C5D2C"/>
    <w:rsid w:val="003C7A62"/>
    <w:rsid w:val="003C7B7A"/>
    <w:rsid w:val="003D09BA"/>
    <w:rsid w:val="003D0E4E"/>
    <w:rsid w:val="003D1101"/>
    <w:rsid w:val="003D1DF9"/>
    <w:rsid w:val="003D2F61"/>
    <w:rsid w:val="003D42EE"/>
    <w:rsid w:val="003D5415"/>
    <w:rsid w:val="003D641C"/>
    <w:rsid w:val="003D779D"/>
    <w:rsid w:val="003E0744"/>
    <w:rsid w:val="003E1B9B"/>
    <w:rsid w:val="003E2E3C"/>
    <w:rsid w:val="003E45B0"/>
    <w:rsid w:val="003E526A"/>
    <w:rsid w:val="003E5C2C"/>
    <w:rsid w:val="003E61F8"/>
    <w:rsid w:val="003E64B2"/>
    <w:rsid w:val="003F0587"/>
    <w:rsid w:val="003F3B52"/>
    <w:rsid w:val="003F4D5B"/>
    <w:rsid w:val="003F59E1"/>
    <w:rsid w:val="003F5F29"/>
    <w:rsid w:val="003F7292"/>
    <w:rsid w:val="003F7865"/>
    <w:rsid w:val="00400795"/>
    <w:rsid w:val="00400AC6"/>
    <w:rsid w:val="00400D14"/>
    <w:rsid w:val="004017E6"/>
    <w:rsid w:val="00401D95"/>
    <w:rsid w:val="00401F25"/>
    <w:rsid w:val="00402633"/>
    <w:rsid w:val="00402CD6"/>
    <w:rsid w:val="00404B69"/>
    <w:rsid w:val="00405445"/>
    <w:rsid w:val="00405908"/>
    <w:rsid w:val="00406314"/>
    <w:rsid w:val="00407EF4"/>
    <w:rsid w:val="00415346"/>
    <w:rsid w:val="0041660A"/>
    <w:rsid w:val="00421488"/>
    <w:rsid w:val="004256EB"/>
    <w:rsid w:val="00426A5D"/>
    <w:rsid w:val="00427392"/>
    <w:rsid w:val="004273A4"/>
    <w:rsid w:val="004305B1"/>
    <w:rsid w:val="00431A27"/>
    <w:rsid w:val="00431D74"/>
    <w:rsid w:val="00432255"/>
    <w:rsid w:val="0043279B"/>
    <w:rsid w:val="00434B1E"/>
    <w:rsid w:val="0043507F"/>
    <w:rsid w:val="00437DB1"/>
    <w:rsid w:val="00440E49"/>
    <w:rsid w:val="00440EB9"/>
    <w:rsid w:val="00440FAD"/>
    <w:rsid w:val="00441E14"/>
    <w:rsid w:val="00442946"/>
    <w:rsid w:val="00442BD4"/>
    <w:rsid w:val="00442F6F"/>
    <w:rsid w:val="00443A64"/>
    <w:rsid w:val="00446004"/>
    <w:rsid w:val="0044649C"/>
    <w:rsid w:val="00447918"/>
    <w:rsid w:val="00453346"/>
    <w:rsid w:val="00454223"/>
    <w:rsid w:val="00455F20"/>
    <w:rsid w:val="004571CF"/>
    <w:rsid w:val="00462F0B"/>
    <w:rsid w:val="00462FF4"/>
    <w:rsid w:val="00463407"/>
    <w:rsid w:val="00463A59"/>
    <w:rsid w:val="00464ED0"/>
    <w:rsid w:val="004656A6"/>
    <w:rsid w:val="004660D8"/>
    <w:rsid w:val="00466611"/>
    <w:rsid w:val="00466942"/>
    <w:rsid w:val="00467341"/>
    <w:rsid w:val="00471EB4"/>
    <w:rsid w:val="00472F19"/>
    <w:rsid w:val="004763B3"/>
    <w:rsid w:val="004769A4"/>
    <w:rsid w:val="00476B1F"/>
    <w:rsid w:val="00476EA0"/>
    <w:rsid w:val="00477608"/>
    <w:rsid w:val="00477875"/>
    <w:rsid w:val="00477DAA"/>
    <w:rsid w:val="00477E05"/>
    <w:rsid w:val="004808FD"/>
    <w:rsid w:val="004809DE"/>
    <w:rsid w:val="00481200"/>
    <w:rsid w:val="00481781"/>
    <w:rsid w:val="004830D4"/>
    <w:rsid w:val="00483652"/>
    <w:rsid w:val="00484C3B"/>
    <w:rsid w:val="00484C67"/>
    <w:rsid w:val="00484D39"/>
    <w:rsid w:val="004861FF"/>
    <w:rsid w:val="00486624"/>
    <w:rsid w:val="004877F6"/>
    <w:rsid w:val="00487E43"/>
    <w:rsid w:val="00487F66"/>
    <w:rsid w:val="004902A2"/>
    <w:rsid w:val="00491304"/>
    <w:rsid w:val="00492E23"/>
    <w:rsid w:val="00493946"/>
    <w:rsid w:val="004961AA"/>
    <w:rsid w:val="00496277"/>
    <w:rsid w:val="0049753A"/>
    <w:rsid w:val="00497ACD"/>
    <w:rsid w:val="004A02ED"/>
    <w:rsid w:val="004A06EF"/>
    <w:rsid w:val="004A073A"/>
    <w:rsid w:val="004A09B4"/>
    <w:rsid w:val="004A1C17"/>
    <w:rsid w:val="004A4E6D"/>
    <w:rsid w:val="004A507C"/>
    <w:rsid w:val="004A52F0"/>
    <w:rsid w:val="004A5DA7"/>
    <w:rsid w:val="004A7A13"/>
    <w:rsid w:val="004B02CA"/>
    <w:rsid w:val="004B04E5"/>
    <w:rsid w:val="004B07BA"/>
    <w:rsid w:val="004B0B32"/>
    <w:rsid w:val="004B0E31"/>
    <w:rsid w:val="004B1AA4"/>
    <w:rsid w:val="004B2C5B"/>
    <w:rsid w:val="004B38C8"/>
    <w:rsid w:val="004B403E"/>
    <w:rsid w:val="004B61A7"/>
    <w:rsid w:val="004C04DE"/>
    <w:rsid w:val="004C0892"/>
    <w:rsid w:val="004C257F"/>
    <w:rsid w:val="004C2A85"/>
    <w:rsid w:val="004C39D3"/>
    <w:rsid w:val="004C41B3"/>
    <w:rsid w:val="004C4582"/>
    <w:rsid w:val="004C4AA7"/>
    <w:rsid w:val="004C5624"/>
    <w:rsid w:val="004C6C52"/>
    <w:rsid w:val="004C7DE3"/>
    <w:rsid w:val="004D008A"/>
    <w:rsid w:val="004D0263"/>
    <w:rsid w:val="004D6B0B"/>
    <w:rsid w:val="004D7973"/>
    <w:rsid w:val="004E005F"/>
    <w:rsid w:val="004E01E8"/>
    <w:rsid w:val="004E3200"/>
    <w:rsid w:val="004E3A6D"/>
    <w:rsid w:val="004E495B"/>
    <w:rsid w:val="004E4D7A"/>
    <w:rsid w:val="004E5E5A"/>
    <w:rsid w:val="004E652A"/>
    <w:rsid w:val="004E68A8"/>
    <w:rsid w:val="004F09F4"/>
    <w:rsid w:val="004F1BD6"/>
    <w:rsid w:val="004F1FDB"/>
    <w:rsid w:val="004F5B48"/>
    <w:rsid w:val="004F6CB5"/>
    <w:rsid w:val="004F6EC9"/>
    <w:rsid w:val="005005BF"/>
    <w:rsid w:val="0050161B"/>
    <w:rsid w:val="00505420"/>
    <w:rsid w:val="005055C4"/>
    <w:rsid w:val="00505607"/>
    <w:rsid w:val="00506932"/>
    <w:rsid w:val="00507416"/>
    <w:rsid w:val="005101D1"/>
    <w:rsid w:val="0051151C"/>
    <w:rsid w:val="0051157F"/>
    <w:rsid w:val="00511ADD"/>
    <w:rsid w:val="00511ED6"/>
    <w:rsid w:val="00512742"/>
    <w:rsid w:val="005137F9"/>
    <w:rsid w:val="00514666"/>
    <w:rsid w:val="005152BF"/>
    <w:rsid w:val="005155D7"/>
    <w:rsid w:val="005158FB"/>
    <w:rsid w:val="005163FF"/>
    <w:rsid w:val="00520818"/>
    <w:rsid w:val="005208B1"/>
    <w:rsid w:val="00522915"/>
    <w:rsid w:val="00523D79"/>
    <w:rsid w:val="005261BC"/>
    <w:rsid w:val="005264A4"/>
    <w:rsid w:val="00527FD4"/>
    <w:rsid w:val="005314EF"/>
    <w:rsid w:val="00531772"/>
    <w:rsid w:val="00531A49"/>
    <w:rsid w:val="00532248"/>
    <w:rsid w:val="005327F4"/>
    <w:rsid w:val="00532A7D"/>
    <w:rsid w:val="005331B7"/>
    <w:rsid w:val="00533563"/>
    <w:rsid w:val="00534741"/>
    <w:rsid w:val="00534926"/>
    <w:rsid w:val="00534A6C"/>
    <w:rsid w:val="00536502"/>
    <w:rsid w:val="005368A5"/>
    <w:rsid w:val="00537D38"/>
    <w:rsid w:val="00537F24"/>
    <w:rsid w:val="00540B96"/>
    <w:rsid w:val="0054388B"/>
    <w:rsid w:val="005441A3"/>
    <w:rsid w:val="005442CD"/>
    <w:rsid w:val="00544CDF"/>
    <w:rsid w:val="00544DA7"/>
    <w:rsid w:val="00545E7B"/>
    <w:rsid w:val="00547E3F"/>
    <w:rsid w:val="005508DC"/>
    <w:rsid w:val="00550C23"/>
    <w:rsid w:val="00553E1F"/>
    <w:rsid w:val="0055425B"/>
    <w:rsid w:val="0055443F"/>
    <w:rsid w:val="0056045D"/>
    <w:rsid w:val="00561946"/>
    <w:rsid w:val="00562039"/>
    <w:rsid w:val="005623F5"/>
    <w:rsid w:val="0056251D"/>
    <w:rsid w:val="00562779"/>
    <w:rsid w:val="00562C40"/>
    <w:rsid w:val="005632ED"/>
    <w:rsid w:val="00563BE5"/>
    <w:rsid w:val="00564C2C"/>
    <w:rsid w:val="005652C0"/>
    <w:rsid w:val="00566C68"/>
    <w:rsid w:val="005670E7"/>
    <w:rsid w:val="00571011"/>
    <w:rsid w:val="00571625"/>
    <w:rsid w:val="00571646"/>
    <w:rsid w:val="00571B1F"/>
    <w:rsid w:val="00571CAB"/>
    <w:rsid w:val="00573BE1"/>
    <w:rsid w:val="005740E7"/>
    <w:rsid w:val="00574D1A"/>
    <w:rsid w:val="00575348"/>
    <w:rsid w:val="0057640C"/>
    <w:rsid w:val="00576D1F"/>
    <w:rsid w:val="0057715A"/>
    <w:rsid w:val="00580636"/>
    <w:rsid w:val="0058369F"/>
    <w:rsid w:val="00584C04"/>
    <w:rsid w:val="0058536C"/>
    <w:rsid w:val="005857C3"/>
    <w:rsid w:val="00586880"/>
    <w:rsid w:val="00591065"/>
    <w:rsid w:val="0059345F"/>
    <w:rsid w:val="005949D0"/>
    <w:rsid w:val="00594D0B"/>
    <w:rsid w:val="00595BB5"/>
    <w:rsid w:val="005A34E8"/>
    <w:rsid w:val="005A3DDC"/>
    <w:rsid w:val="005A4EBA"/>
    <w:rsid w:val="005A6E82"/>
    <w:rsid w:val="005A7410"/>
    <w:rsid w:val="005A7E29"/>
    <w:rsid w:val="005B039A"/>
    <w:rsid w:val="005B0759"/>
    <w:rsid w:val="005B0C98"/>
    <w:rsid w:val="005B353A"/>
    <w:rsid w:val="005B476F"/>
    <w:rsid w:val="005B556B"/>
    <w:rsid w:val="005B6625"/>
    <w:rsid w:val="005C1D31"/>
    <w:rsid w:val="005C393C"/>
    <w:rsid w:val="005C4792"/>
    <w:rsid w:val="005C4A3C"/>
    <w:rsid w:val="005C638A"/>
    <w:rsid w:val="005C7090"/>
    <w:rsid w:val="005C70A9"/>
    <w:rsid w:val="005C7A65"/>
    <w:rsid w:val="005D1A5B"/>
    <w:rsid w:val="005D22DE"/>
    <w:rsid w:val="005D2619"/>
    <w:rsid w:val="005D2A2D"/>
    <w:rsid w:val="005D2C06"/>
    <w:rsid w:val="005D3094"/>
    <w:rsid w:val="005D56E4"/>
    <w:rsid w:val="005D5F69"/>
    <w:rsid w:val="005D68A6"/>
    <w:rsid w:val="005D7CAD"/>
    <w:rsid w:val="005E0038"/>
    <w:rsid w:val="005E0A24"/>
    <w:rsid w:val="005E0E59"/>
    <w:rsid w:val="005E2124"/>
    <w:rsid w:val="005E2BD9"/>
    <w:rsid w:val="005E36C3"/>
    <w:rsid w:val="005E5DE1"/>
    <w:rsid w:val="005E5E9D"/>
    <w:rsid w:val="005E7299"/>
    <w:rsid w:val="005F0065"/>
    <w:rsid w:val="005F0D42"/>
    <w:rsid w:val="005F3F2A"/>
    <w:rsid w:val="005F437F"/>
    <w:rsid w:val="005F7BB2"/>
    <w:rsid w:val="00601335"/>
    <w:rsid w:val="006026DC"/>
    <w:rsid w:val="00602AF1"/>
    <w:rsid w:val="00604294"/>
    <w:rsid w:val="00605399"/>
    <w:rsid w:val="00605A83"/>
    <w:rsid w:val="00606058"/>
    <w:rsid w:val="006100AA"/>
    <w:rsid w:val="0061049D"/>
    <w:rsid w:val="006107BD"/>
    <w:rsid w:val="00610FA2"/>
    <w:rsid w:val="006136EE"/>
    <w:rsid w:val="0061462C"/>
    <w:rsid w:val="0061537B"/>
    <w:rsid w:val="006179D1"/>
    <w:rsid w:val="00621196"/>
    <w:rsid w:val="00622036"/>
    <w:rsid w:val="0062270F"/>
    <w:rsid w:val="00624366"/>
    <w:rsid w:val="006263A9"/>
    <w:rsid w:val="0062660B"/>
    <w:rsid w:val="006266F6"/>
    <w:rsid w:val="00626F9A"/>
    <w:rsid w:val="00627B2B"/>
    <w:rsid w:val="0063040D"/>
    <w:rsid w:val="006307FA"/>
    <w:rsid w:val="00632617"/>
    <w:rsid w:val="00632A31"/>
    <w:rsid w:val="00633310"/>
    <w:rsid w:val="00636192"/>
    <w:rsid w:val="00636E5C"/>
    <w:rsid w:val="00636EBB"/>
    <w:rsid w:val="006370D9"/>
    <w:rsid w:val="00637DAA"/>
    <w:rsid w:val="00642CC4"/>
    <w:rsid w:val="00643BD7"/>
    <w:rsid w:val="00645A25"/>
    <w:rsid w:val="00645B76"/>
    <w:rsid w:val="006472A6"/>
    <w:rsid w:val="006475F3"/>
    <w:rsid w:val="00650B11"/>
    <w:rsid w:val="00651916"/>
    <w:rsid w:val="0065298E"/>
    <w:rsid w:val="0065375C"/>
    <w:rsid w:val="00653FA9"/>
    <w:rsid w:val="00654512"/>
    <w:rsid w:val="00654597"/>
    <w:rsid w:val="006546C0"/>
    <w:rsid w:val="00654BF1"/>
    <w:rsid w:val="006554DA"/>
    <w:rsid w:val="0065601E"/>
    <w:rsid w:val="006564B7"/>
    <w:rsid w:val="00657382"/>
    <w:rsid w:val="00657BD0"/>
    <w:rsid w:val="00657CF4"/>
    <w:rsid w:val="00660082"/>
    <w:rsid w:val="006626DC"/>
    <w:rsid w:val="00663278"/>
    <w:rsid w:val="006632B4"/>
    <w:rsid w:val="0066453E"/>
    <w:rsid w:val="00665579"/>
    <w:rsid w:val="0066602B"/>
    <w:rsid w:val="006668AC"/>
    <w:rsid w:val="006677EB"/>
    <w:rsid w:val="00667E1B"/>
    <w:rsid w:val="00670AC8"/>
    <w:rsid w:val="00670BC4"/>
    <w:rsid w:val="0067171A"/>
    <w:rsid w:val="00671B79"/>
    <w:rsid w:val="0067218E"/>
    <w:rsid w:val="00672CFB"/>
    <w:rsid w:val="00673959"/>
    <w:rsid w:val="00674C92"/>
    <w:rsid w:val="0067663E"/>
    <w:rsid w:val="0067691F"/>
    <w:rsid w:val="006801C8"/>
    <w:rsid w:val="0068222E"/>
    <w:rsid w:val="0068264F"/>
    <w:rsid w:val="006829B2"/>
    <w:rsid w:val="00682A22"/>
    <w:rsid w:val="00682E07"/>
    <w:rsid w:val="00682F59"/>
    <w:rsid w:val="006836C7"/>
    <w:rsid w:val="00684704"/>
    <w:rsid w:val="00684BA0"/>
    <w:rsid w:val="0068500F"/>
    <w:rsid w:val="006859BC"/>
    <w:rsid w:val="0068620E"/>
    <w:rsid w:val="00691E03"/>
    <w:rsid w:val="0069620F"/>
    <w:rsid w:val="006963F8"/>
    <w:rsid w:val="006A0094"/>
    <w:rsid w:val="006A1C35"/>
    <w:rsid w:val="006A2305"/>
    <w:rsid w:val="006A264E"/>
    <w:rsid w:val="006A322E"/>
    <w:rsid w:val="006B05BD"/>
    <w:rsid w:val="006B0AC4"/>
    <w:rsid w:val="006B1223"/>
    <w:rsid w:val="006B1371"/>
    <w:rsid w:val="006B1DBD"/>
    <w:rsid w:val="006B280C"/>
    <w:rsid w:val="006B3E82"/>
    <w:rsid w:val="006B71D8"/>
    <w:rsid w:val="006C04C5"/>
    <w:rsid w:val="006C14B9"/>
    <w:rsid w:val="006C1626"/>
    <w:rsid w:val="006C288D"/>
    <w:rsid w:val="006C2FB8"/>
    <w:rsid w:val="006C3D69"/>
    <w:rsid w:val="006C4668"/>
    <w:rsid w:val="006C4BAF"/>
    <w:rsid w:val="006C5379"/>
    <w:rsid w:val="006C61EB"/>
    <w:rsid w:val="006C737B"/>
    <w:rsid w:val="006C75AA"/>
    <w:rsid w:val="006D0C96"/>
    <w:rsid w:val="006D2BBE"/>
    <w:rsid w:val="006D4763"/>
    <w:rsid w:val="006D55A1"/>
    <w:rsid w:val="006D6CBE"/>
    <w:rsid w:val="006E04D3"/>
    <w:rsid w:val="006E0FD8"/>
    <w:rsid w:val="006E17FC"/>
    <w:rsid w:val="006E1E73"/>
    <w:rsid w:val="006E4EEC"/>
    <w:rsid w:val="006E59CF"/>
    <w:rsid w:val="006E6BA4"/>
    <w:rsid w:val="006F06CF"/>
    <w:rsid w:val="006F0CBF"/>
    <w:rsid w:val="006F0E5B"/>
    <w:rsid w:val="006F32C9"/>
    <w:rsid w:val="006F36C1"/>
    <w:rsid w:val="006F5707"/>
    <w:rsid w:val="006F6B5C"/>
    <w:rsid w:val="006F72FC"/>
    <w:rsid w:val="006F754D"/>
    <w:rsid w:val="00700410"/>
    <w:rsid w:val="00700CCA"/>
    <w:rsid w:val="007028AE"/>
    <w:rsid w:val="007034CD"/>
    <w:rsid w:val="007118F5"/>
    <w:rsid w:val="00711FE2"/>
    <w:rsid w:val="00712416"/>
    <w:rsid w:val="007131FA"/>
    <w:rsid w:val="00717B38"/>
    <w:rsid w:val="00717BDC"/>
    <w:rsid w:val="0072000A"/>
    <w:rsid w:val="00721A41"/>
    <w:rsid w:val="00721C21"/>
    <w:rsid w:val="00722D45"/>
    <w:rsid w:val="007244BE"/>
    <w:rsid w:val="007269D2"/>
    <w:rsid w:val="00727FF4"/>
    <w:rsid w:val="00730F15"/>
    <w:rsid w:val="00732645"/>
    <w:rsid w:val="0073277A"/>
    <w:rsid w:val="00733378"/>
    <w:rsid w:val="00734BD4"/>
    <w:rsid w:val="007353A0"/>
    <w:rsid w:val="007359C0"/>
    <w:rsid w:val="00737AC2"/>
    <w:rsid w:val="00741E16"/>
    <w:rsid w:val="007435FB"/>
    <w:rsid w:val="00745410"/>
    <w:rsid w:val="00745463"/>
    <w:rsid w:val="0074610A"/>
    <w:rsid w:val="0075111F"/>
    <w:rsid w:val="00751920"/>
    <w:rsid w:val="007519FB"/>
    <w:rsid w:val="007527CE"/>
    <w:rsid w:val="00752A01"/>
    <w:rsid w:val="00753FF1"/>
    <w:rsid w:val="00754C04"/>
    <w:rsid w:val="00755660"/>
    <w:rsid w:val="00761A26"/>
    <w:rsid w:val="00761C01"/>
    <w:rsid w:val="00762B3F"/>
    <w:rsid w:val="00763BFE"/>
    <w:rsid w:val="00764E06"/>
    <w:rsid w:val="007655F6"/>
    <w:rsid w:val="00765933"/>
    <w:rsid w:val="007662F9"/>
    <w:rsid w:val="00766ABF"/>
    <w:rsid w:val="00767A2A"/>
    <w:rsid w:val="00772EFF"/>
    <w:rsid w:val="00775217"/>
    <w:rsid w:val="00775CCA"/>
    <w:rsid w:val="00775E2E"/>
    <w:rsid w:val="00776266"/>
    <w:rsid w:val="007767BA"/>
    <w:rsid w:val="00780530"/>
    <w:rsid w:val="00780D46"/>
    <w:rsid w:val="007813F2"/>
    <w:rsid w:val="00781A89"/>
    <w:rsid w:val="00782227"/>
    <w:rsid w:val="0078284F"/>
    <w:rsid w:val="00782910"/>
    <w:rsid w:val="00782951"/>
    <w:rsid w:val="007829C1"/>
    <w:rsid w:val="00784362"/>
    <w:rsid w:val="00784D0C"/>
    <w:rsid w:val="00784D43"/>
    <w:rsid w:val="00785976"/>
    <w:rsid w:val="0078653C"/>
    <w:rsid w:val="00787A48"/>
    <w:rsid w:val="00790300"/>
    <w:rsid w:val="007935D3"/>
    <w:rsid w:val="00795538"/>
    <w:rsid w:val="00795A6E"/>
    <w:rsid w:val="007A16E1"/>
    <w:rsid w:val="007A26E4"/>
    <w:rsid w:val="007A3C24"/>
    <w:rsid w:val="007A48F2"/>
    <w:rsid w:val="007A58F2"/>
    <w:rsid w:val="007A695D"/>
    <w:rsid w:val="007B1A34"/>
    <w:rsid w:val="007B1DC7"/>
    <w:rsid w:val="007B3F81"/>
    <w:rsid w:val="007B4B89"/>
    <w:rsid w:val="007B5CC0"/>
    <w:rsid w:val="007B7B43"/>
    <w:rsid w:val="007C09D1"/>
    <w:rsid w:val="007C0F36"/>
    <w:rsid w:val="007C25B7"/>
    <w:rsid w:val="007C2B44"/>
    <w:rsid w:val="007C2C76"/>
    <w:rsid w:val="007C3534"/>
    <w:rsid w:val="007C39E9"/>
    <w:rsid w:val="007C3D94"/>
    <w:rsid w:val="007C4794"/>
    <w:rsid w:val="007C5B58"/>
    <w:rsid w:val="007C6540"/>
    <w:rsid w:val="007C6AC2"/>
    <w:rsid w:val="007C6D87"/>
    <w:rsid w:val="007D25C4"/>
    <w:rsid w:val="007D399C"/>
    <w:rsid w:val="007D43A8"/>
    <w:rsid w:val="007D4725"/>
    <w:rsid w:val="007D4FF2"/>
    <w:rsid w:val="007D531B"/>
    <w:rsid w:val="007D6854"/>
    <w:rsid w:val="007D6A65"/>
    <w:rsid w:val="007D7234"/>
    <w:rsid w:val="007E070A"/>
    <w:rsid w:val="007E0E88"/>
    <w:rsid w:val="007E1389"/>
    <w:rsid w:val="007E1399"/>
    <w:rsid w:val="007E18C7"/>
    <w:rsid w:val="007E197E"/>
    <w:rsid w:val="007E1C9C"/>
    <w:rsid w:val="007E34EF"/>
    <w:rsid w:val="007E4010"/>
    <w:rsid w:val="007E4CD4"/>
    <w:rsid w:val="007E6C62"/>
    <w:rsid w:val="007E6DEA"/>
    <w:rsid w:val="007F1E84"/>
    <w:rsid w:val="007F2E21"/>
    <w:rsid w:val="007F3935"/>
    <w:rsid w:val="007F63D8"/>
    <w:rsid w:val="007F678E"/>
    <w:rsid w:val="007F6A75"/>
    <w:rsid w:val="007F72DC"/>
    <w:rsid w:val="00800D2F"/>
    <w:rsid w:val="008017CF"/>
    <w:rsid w:val="00803010"/>
    <w:rsid w:val="00803C6D"/>
    <w:rsid w:val="00803DA7"/>
    <w:rsid w:val="00806303"/>
    <w:rsid w:val="008074C0"/>
    <w:rsid w:val="00807C5F"/>
    <w:rsid w:val="00807C78"/>
    <w:rsid w:val="00810E23"/>
    <w:rsid w:val="0081120F"/>
    <w:rsid w:val="00812318"/>
    <w:rsid w:val="00812370"/>
    <w:rsid w:val="00812731"/>
    <w:rsid w:val="00812826"/>
    <w:rsid w:val="00812A80"/>
    <w:rsid w:val="008136D4"/>
    <w:rsid w:val="008150D0"/>
    <w:rsid w:val="00815155"/>
    <w:rsid w:val="008167E5"/>
    <w:rsid w:val="0081699D"/>
    <w:rsid w:val="00823106"/>
    <w:rsid w:val="00823781"/>
    <w:rsid w:val="00824E46"/>
    <w:rsid w:val="008257BF"/>
    <w:rsid w:val="00825FAA"/>
    <w:rsid w:val="00826717"/>
    <w:rsid w:val="00826EAE"/>
    <w:rsid w:val="00827312"/>
    <w:rsid w:val="008275D3"/>
    <w:rsid w:val="0082792E"/>
    <w:rsid w:val="00830656"/>
    <w:rsid w:val="008319D6"/>
    <w:rsid w:val="00834051"/>
    <w:rsid w:val="00834243"/>
    <w:rsid w:val="00834D7E"/>
    <w:rsid w:val="008352F4"/>
    <w:rsid w:val="00841722"/>
    <w:rsid w:val="008425A9"/>
    <w:rsid w:val="00845401"/>
    <w:rsid w:val="0084619E"/>
    <w:rsid w:val="00847DFB"/>
    <w:rsid w:val="00851193"/>
    <w:rsid w:val="0085171E"/>
    <w:rsid w:val="008517CE"/>
    <w:rsid w:val="00851D59"/>
    <w:rsid w:val="00851F13"/>
    <w:rsid w:val="00852598"/>
    <w:rsid w:val="00852AF5"/>
    <w:rsid w:val="00852D0E"/>
    <w:rsid w:val="0085448D"/>
    <w:rsid w:val="00856E5A"/>
    <w:rsid w:val="008605B5"/>
    <w:rsid w:val="0086070E"/>
    <w:rsid w:val="00860711"/>
    <w:rsid w:val="00860E35"/>
    <w:rsid w:val="008623FF"/>
    <w:rsid w:val="008654AB"/>
    <w:rsid w:val="00865BFA"/>
    <w:rsid w:val="008673E0"/>
    <w:rsid w:val="0086799F"/>
    <w:rsid w:val="008728E0"/>
    <w:rsid w:val="008742C5"/>
    <w:rsid w:val="008745BD"/>
    <w:rsid w:val="008746D0"/>
    <w:rsid w:val="00874AC8"/>
    <w:rsid w:val="00874F2C"/>
    <w:rsid w:val="008751F4"/>
    <w:rsid w:val="00877242"/>
    <w:rsid w:val="008774A1"/>
    <w:rsid w:val="00877BE5"/>
    <w:rsid w:val="00880BBD"/>
    <w:rsid w:val="008823AE"/>
    <w:rsid w:val="00882407"/>
    <w:rsid w:val="00882C5A"/>
    <w:rsid w:val="008851D7"/>
    <w:rsid w:val="00885CC7"/>
    <w:rsid w:val="00886249"/>
    <w:rsid w:val="008862DD"/>
    <w:rsid w:val="00890C94"/>
    <w:rsid w:val="00893E20"/>
    <w:rsid w:val="00894A33"/>
    <w:rsid w:val="008954D5"/>
    <w:rsid w:val="00895AB6"/>
    <w:rsid w:val="00895B30"/>
    <w:rsid w:val="008A0C56"/>
    <w:rsid w:val="008A0CA2"/>
    <w:rsid w:val="008A43FF"/>
    <w:rsid w:val="008A46F1"/>
    <w:rsid w:val="008A547E"/>
    <w:rsid w:val="008A69EC"/>
    <w:rsid w:val="008A785C"/>
    <w:rsid w:val="008B120F"/>
    <w:rsid w:val="008B2300"/>
    <w:rsid w:val="008B2C7F"/>
    <w:rsid w:val="008B4887"/>
    <w:rsid w:val="008B5700"/>
    <w:rsid w:val="008B664E"/>
    <w:rsid w:val="008B6C35"/>
    <w:rsid w:val="008C0300"/>
    <w:rsid w:val="008C07BD"/>
    <w:rsid w:val="008C150E"/>
    <w:rsid w:val="008C1D45"/>
    <w:rsid w:val="008C2526"/>
    <w:rsid w:val="008C377B"/>
    <w:rsid w:val="008C471E"/>
    <w:rsid w:val="008C714F"/>
    <w:rsid w:val="008C780F"/>
    <w:rsid w:val="008D078B"/>
    <w:rsid w:val="008D08BD"/>
    <w:rsid w:val="008D11AB"/>
    <w:rsid w:val="008D3D5C"/>
    <w:rsid w:val="008D3F7A"/>
    <w:rsid w:val="008D51EF"/>
    <w:rsid w:val="008D547D"/>
    <w:rsid w:val="008D5885"/>
    <w:rsid w:val="008D5C45"/>
    <w:rsid w:val="008D6897"/>
    <w:rsid w:val="008D69E6"/>
    <w:rsid w:val="008D6FDD"/>
    <w:rsid w:val="008E01C1"/>
    <w:rsid w:val="008E1246"/>
    <w:rsid w:val="008E1735"/>
    <w:rsid w:val="008E2014"/>
    <w:rsid w:val="008E38F3"/>
    <w:rsid w:val="008E4293"/>
    <w:rsid w:val="008E4400"/>
    <w:rsid w:val="008E459E"/>
    <w:rsid w:val="008E4C00"/>
    <w:rsid w:val="008E533C"/>
    <w:rsid w:val="008E64EB"/>
    <w:rsid w:val="008E6841"/>
    <w:rsid w:val="008E7DF8"/>
    <w:rsid w:val="008F0A72"/>
    <w:rsid w:val="008F17FB"/>
    <w:rsid w:val="008F1FA4"/>
    <w:rsid w:val="008F21F4"/>
    <w:rsid w:val="008F3270"/>
    <w:rsid w:val="008F3496"/>
    <w:rsid w:val="008F4FE1"/>
    <w:rsid w:val="008F53E3"/>
    <w:rsid w:val="009004DB"/>
    <w:rsid w:val="00900AA9"/>
    <w:rsid w:val="00900FC0"/>
    <w:rsid w:val="009014AC"/>
    <w:rsid w:val="009031C6"/>
    <w:rsid w:val="00903346"/>
    <w:rsid w:val="009037A0"/>
    <w:rsid w:val="00906183"/>
    <w:rsid w:val="0090621C"/>
    <w:rsid w:val="009073C3"/>
    <w:rsid w:val="009079F2"/>
    <w:rsid w:val="00907A84"/>
    <w:rsid w:val="00907F17"/>
    <w:rsid w:val="0091206C"/>
    <w:rsid w:val="00914C82"/>
    <w:rsid w:val="0091582F"/>
    <w:rsid w:val="00916EAF"/>
    <w:rsid w:val="009175B4"/>
    <w:rsid w:val="00917BF1"/>
    <w:rsid w:val="00921052"/>
    <w:rsid w:val="009210DE"/>
    <w:rsid w:val="009238BA"/>
    <w:rsid w:val="00925E1D"/>
    <w:rsid w:val="0093184B"/>
    <w:rsid w:val="00931F6B"/>
    <w:rsid w:val="00932139"/>
    <w:rsid w:val="009321B6"/>
    <w:rsid w:val="009325F5"/>
    <w:rsid w:val="00932A3E"/>
    <w:rsid w:val="00932C53"/>
    <w:rsid w:val="0093375C"/>
    <w:rsid w:val="00934396"/>
    <w:rsid w:val="0093471F"/>
    <w:rsid w:val="00934D97"/>
    <w:rsid w:val="00936A1F"/>
    <w:rsid w:val="00937680"/>
    <w:rsid w:val="00940507"/>
    <w:rsid w:val="00942B5D"/>
    <w:rsid w:val="00943500"/>
    <w:rsid w:val="00943F60"/>
    <w:rsid w:val="00944387"/>
    <w:rsid w:val="00944EAD"/>
    <w:rsid w:val="00945069"/>
    <w:rsid w:val="00946BDC"/>
    <w:rsid w:val="0094709E"/>
    <w:rsid w:val="009473FE"/>
    <w:rsid w:val="009501E1"/>
    <w:rsid w:val="009510ED"/>
    <w:rsid w:val="00953979"/>
    <w:rsid w:val="00956462"/>
    <w:rsid w:val="00957AF0"/>
    <w:rsid w:val="009615C1"/>
    <w:rsid w:val="00961A24"/>
    <w:rsid w:val="00963927"/>
    <w:rsid w:val="0096431B"/>
    <w:rsid w:val="00965379"/>
    <w:rsid w:val="00965906"/>
    <w:rsid w:val="00967669"/>
    <w:rsid w:val="009703E3"/>
    <w:rsid w:val="00970B1D"/>
    <w:rsid w:val="00970BCA"/>
    <w:rsid w:val="009720C6"/>
    <w:rsid w:val="0097267C"/>
    <w:rsid w:val="009731EC"/>
    <w:rsid w:val="00973420"/>
    <w:rsid w:val="00974218"/>
    <w:rsid w:val="0097486E"/>
    <w:rsid w:val="00977749"/>
    <w:rsid w:val="00977FAE"/>
    <w:rsid w:val="00980B04"/>
    <w:rsid w:val="00981F9A"/>
    <w:rsid w:val="0098226B"/>
    <w:rsid w:val="0098392A"/>
    <w:rsid w:val="00984146"/>
    <w:rsid w:val="00984601"/>
    <w:rsid w:val="00985725"/>
    <w:rsid w:val="00985A6A"/>
    <w:rsid w:val="00985A79"/>
    <w:rsid w:val="00985C61"/>
    <w:rsid w:val="00985D92"/>
    <w:rsid w:val="00987EBD"/>
    <w:rsid w:val="0099000A"/>
    <w:rsid w:val="00991211"/>
    <w:rsid w:val="00991E4B"/>
    <w:rsid w:val="00992395"/>
    <w:rsid w:val="0099321D"/>
    <w:rsid w:val="009946EB"/>
    <w:rsid w:val="009959E3"/>
    <w:rsid w:val="009960D1"/>
    <w:rsid w:val="009964E3"/>
    <w:rsid w:val="009966F0"/>
    <w:rsid w:val="00996E60"/>
    <w:rsid w:val="00997AE0"/>
    <w:rsid w:val="00997E61"/>
    <w:rsid w:val="009A0941"/>
    <w:rsid w:val="009A1180"/>
    <w:rsid w:val="009A1F77"/>
    <w:rsid w:val="009A2084"/>
    <w:rsid w:val="009A2457"/>
    <w:rsid w:val="009A4132"/>
    <w:rsid w:val="009A4BEE"/>
    <w:rsid w:val="009A58F3"/>
    <w:rsid w:val="009B1808"/>
    <w:rsid w:val="009B3CA0"/>
    <w:rsid w:val="009B4BA1"/>
    <w:rsid w:val="009B4ECB"/>
    <w:rsid w:val="009B5CD8"/>
    <w:rsid w:val="009B719F"/>
    <w:rsid w:val="009B71D9"/>
    <w:rsid w:val="009C0080"/>
    <w:rsid w:val="009C0AE1"/>
    <w:rsid w:val="009C16D6"/>
    <w:rsid w:val="009C17AD"/>
    <w:rsid w:val="009C1BAD"/>
    <w:rsid w:val="009C4421"/>
    <w:rsid w:val="009D08DE"/>
    <w:rsid w:val="009D0A4A"/>
    <w:rsid w:val="009D1F1D"/>
    <w:rsid w:val="009D23B4"/>
    <w:rsid w:val="009D299F"/>
    <w:rsid w:val="009D320D"/>
    <w:rsid w:val="009D3D29"/>
    <w:rsid w:val="009D3D2F"/>
    <w:rsid w:val="009D4CF9"/>
    <w:rsid w:val="009D731E"/>
    <w:rsid w:val="009D7D24"/>
    <w:rsid w:val="009E05D3"/>
    <w:rsid w:val="009E30F3"/>
    <w:rsid w:val="009E4F4B"/>
    <w:rsid w:val="009E4F94"/>
    <w:rsid w:val="009E6C53"/>
    <w:rsid w:val="009E6D64"/>
    <w:rsid w:val="009E74D0"/>
    <w:rsid w:val="009F1F8E"/>
    <w:rsid w:val="009F20EF"/>
    <w:rsid w:val="009F2367"/>
    <w:rsid w:val="009F3B38"/>
    <w:rsid w:val="009F3E66"/>
    <w:rsid w:val="009F59CF"/>
    <w:rsid w:val="009F5FAF"/>
    <w:rsid w:val="009F6F25"/>
    <w:rsid w:val="009F7C9D"/>
    <w:rsid w:val="00A01084"/>
    <w:rsid w:val="00A01A9D"/>
    <w:rsid w:val="00A0308C"/>
    <w:rsid w:val="00A03C0B"/>
    <w:rsid w:val="00A0505B"/>
    <w:rsid w:val="00A06D9A"/>
    <w:rsid w:val="00A071ED"/>
    <w:rsid w:val="00A1054C"/>
    <w:rsid w:val="00A11D5D"/>
    <w:rsid w:val="00A124C2"/>
    <w:rsid w:val="00A12AF3"/>
    <w:rsid w:val="00A152D6"/>
    <w:rsid w:val="00A16AEE"/>
    <w:rsid w:val="00A20101"/>
    <w:rsid w:val="00A20432"/>
    <w:rsid w:val="00A2235C"/>
    <w:rsid w:val="00A227F7"/>
    <w:rsid w:val="00A22B5B"/>
    <w:rsid w:val="00A2328E"/>
    <w:rsid w:val="00A25A95"/>
    <w:rsid w:val="00A268AF"/>
    <w:rsid w:val="00A27C5C"/>
    <w:rsid w:val="00A30403"/>
    <w:rsid w:val="00A31DB8"/>
    <w:rsid w:val="00A334C4"/>
    <w:rsid w:val="00A33F91"/>
    <w:rsid w:val="00A342CB"/>
    <w:rsid w:val="00A342D6"/>
    <w:rsid w:val="00A34F79"/>
    <w:rsid w:val="00A358E0"/>
    <w:rsid w:val="00A35D20"/>
    <w:rsid w:val="00A37547"/>
    <w:rsid w:val="00A40115"/>
    <w:rsid w:val="00A402CF"/>
    <w:rsid w:val="00A40726"/>
    <w:rsid w:val="00A41152"/>
    <w:rsid w:val="00A432C4"/>
    <w:rsid w:val="00A44F96"/>
    <w:rsid w:val="00A44FF9"/>
    <w:rsid w:val="00A462A4"/>
    <w:rsid w:val="00A4665A"/>
    <w:rsid w:val="00A46D91"/>
    <w:rsid w:val="00A51066"/>
    <w:rsid w:val="00A514EC"/>
    <w:rsid w:val="00A53402"/>
    <w:rsid w:val="00A542E3"/>
    <w:rsid w:val="00A54528"/>
    <w:rsid w:val="00A54D49"/>
    <w:rsid w:val="00A54DA0"/>
    <w:rsid w:val="00A54FDD"/>
    <w:rsid w:val="00A57894"/>
    <w:rsid w:val="00A612D5"/>
    <w:rsid w:val="00A615BE"/>
    <w:rsid w:val="00A62844"/>
    <w:rsid w:val="00A65D82"/>
    <w:rsid w:val="00A67E07"/>
    <w:rsid w:val="00A707F1"/>
    <w:rsid w:val="00A71B6C"/>
    <w:rsid w:val="00A71D78"/>
    <w:rsid w:val="00A71FD1"/>
    <w:rsid w:val="00A724B6"/>
    <w:rsid w:val="00A75819"/>
    <w:rsid w:val="00A76879"/>
    <w:rsid w:val="00A769EB"/>
    <w:rsid w:val="00A77086"/>
    <w:rsid w:val="00A7764C"/>
    <w:rsid w:val="00A84ADC"/>
    <w:rsid w:val="00A85E3B"/>
    <w:rsid w:val="00A91D22"/>
    <w:rsid w:val="00A95E7A"/>
    <w:rsid w:val="00A975C4"/>
    <w:rsid w:val="00AA0866"/>
    <w:rsid w:val="00AA0C56"/>
    <w:rsid w:val="00AA145A"/>
    <w:rsid w:val="00AA1926"/>
    <w:rsid w:val="00AA1F46"/>
    <w:rsid w:val="00AA695B"/>
    <w:rsid w:val="00AB0371"/>
    <w:rsid w:val="00AB0818"/>
    <w:rsid w:val="00AB2597"/>
    <w:rsid w:val="00AB2A39"/>
    <w:rsid w:val="00AB33DF"/>
    <w:rsid w:val="00AB45DB"/>
    <w:rsid w:val="00AB5750"/>
    <w:rsid w:val="00AB6039"/>
    <w:rsid w:val="00AB6928"/>
    <w:rsid w:val="00AB7352"/>
    <w:rsid w:val="00AC0F79"/>
    <w:rsid w:val="00AC10FC"/>
    <w:rsid w:val="00AC1AD3"/>
    <w:rsid w:val="00AC2709"/>
    <w:rsid w:val="00AC3762"/>
    <w:rsid w:val="00AC4090"/>
    <w:rsid w:val="00AC6AA4"/>
    <w:rsid w:val="00AD0F93"/>
    <w:rsid w:val="00AD1BB8"/>
    <w:rsid w:val="00AD1D74"/>
    <w:rsid w:val="00AD1DE2"/>
    <w:rsid w:val="00AD217E"/>
    <w:rsid w:val="00AD2DB4"/>
    <w:rsid w:val="00AD3684"/>
    <w:rsid w:val="00AD385B"/>
    <w:rsid w:val="00AD4F59"/>
    <w:rsid w:val="00AD575B"/>
    <w:rsid w:val="00AD5834"/>
    <w:rsid w:val="00AD6C3E"/>
    <w:rsid w:val="00AE002B"/>
    <w:rsid w:val="00AE093D"/>
    <w:rsid w:val="00AE0DDC"/>
    <w:rsid w:val="00AE1D41"/>
    <w:rsid w:val="00AE2B58"/>
    <w:rsid w:val="00AE467E"/>
    <w:rsid w:val="00AE682C"/>
    <w:rsid w:val="00AF0A87"/>
    <w:rsid w:val="00AF12F8"/>
    <w:rsid w:val="00AF24C5"/>
    <w:rsid w:val="00AF25DD"/>
    <w:rsid w:val="00AF2E0A"/>
    <w:rsid w:val="00AF2EDF"/>
    <w:rsid w:val="00AF3C30"/>
    <w:rsid w:val="00AF40A7"/>
    <w:rsid w:val="00AF57C9"/>
    <w:rsid w:val="00AF5D14"/>
    <w:rsid w:val="00B02938"/>
    <w:rsid w:val="00B0379C"/>
    <w:rsid w:val="00B037A1"/>
    <w:rsid w:val="00B039C4"/>
    <w:rsid w:val="00B04829"/>
    <w:rsid w:val="00B05CA1"/>
    <w:rsid w:val="00B0728D"/>
    <w:rsid w:val="00B10475"/>
    <w:rsid w:val="00B1068A"/>
    <w:rsid w:val="00B11E4D"/>
    <w:rsid w:val="00B12E47"/>
    <w:rsid w:val="00B14D2B"/>
    <w:rsid w:val="00B15834"/>
    <w:rsid w:val="00B15FA1"/>
    <w:rsid w:val="00B1785F"/>
    <w:rsid w:val="00B20224"/>
    <w:rsid w:val="00B236CE"/>
    <w:rsid w:val="00B236E8"/>
    <w:rsid w:val="00B23FB8"/>
    <w:rsid w:val="00B2458F"/>
    <w:rsid w:val="00B25D76"/>
    <w:rsid w:val="00B25EF3"/>
    <w:rsid w:val="00B2687F"/>
    <w:rsid w:val="00B27B45"/>
    <w:rsid w:val="00B27DE0"/>
    <w:rsid w:val="00B30288"/>
    <w:rsid w:val="00B310F1"/>
    <w:rsid w:val="00B31ACE"/>
    <w:rsid w:val="00B33FDA"/>
    <w:rsid w:val="00B35C45"/>
    <w:rsid w:val="00B37215"/>
    <w:rsid w:val="00B4029E"/>
    <w:rsid w:val="00B425CD"/>
    <w:rsid w:val="00B44F64"/>
    <w:rsid w:val="00B467A0"/>
    <w:rsid w:val="00B47732"/>
    <w:rsid w:val="00B50083"/>
    <w:rsid w:val="00B50A68"/>
    <w:rsid w:val="00B50E2E"/>
    <w:rsid w:val="00B51EA9"/>
    <w:rsid w:val="00B51FDB"/>
    <w:rsid w:val="00B52427"/>
    <w:rsid w:val="00B52977"/>
    <w:rsid w:val="00B53C16"/>
    <w:rsid w:val="00B53D0A"/>
    <w:rsid w:val="00B54364"/>
    <w:rsid w:val="00B557BF"/>
    <w:rsid w:val="00B56CD9"/>
    <w:rsid w:val="00B616E6"/>
    <w:rsid w:val="00B6439C"/>
    <w:rsid w:val="00B65299"/>
    <w:rsid w:val="00B65423"/>
    <w:rsid w:val="00B6571A"/>
    <w:rsid w:val="00B65AED"/>
    <w:rsid w:val="00B66E4E"/>
    <w:rsid w:val="00B701CE"/>
    <w:rsid w:val="00B746A9"/>
    <w:rsid w:val="00B74A93"/>
    <w:rsid w:val="00B75BE0"/>
    <w:rsid w:val="00B75DC6"/>
    <w:rsid w:val="00B775EA"/>
    <w:rsid w:val="00B80F8E"/>
    <w:rsid w:val="00B82181"/>
    <w:rsid w:val="00B82218"/>
    <w:rsid w:val="00B831F3"/>
    <w:rsid w:val="00B84AAE"/>
    <w:rsid w:val="00B867BD"/>
    <w:rsid w:val="00B875E1"/>
    <w:rsid w:val="00B90438"/>
    <w:rsid w:val="00B93653"/>
    <w:rsid w:val="00B93BF7"/>
    <w:rsid w:val="00BA278A"/>
    <w:rsid w:val="00BA2B24"/>
    <w:rsid w:val="00BA5D38"/>
    <w:rsid w:val="00BA6991"/>
    <w:rsid w:val="00BA69C3"/>
    <w:rsid w:val="00BB0B79"/>
    <w:rsid w:val="00BB11C7"/>
    <w:rsid w:val="00BB1975"/>
    <w:rsid w:val="00BB1C48"/>
    <w:rsid w:val="00BB2AC4"/>
    <w:rsid w:val="00BB302B"/>
    <w:rsid w:val="00BB4D96"/>
    <w:rsid w:val="00BB6D99"/>
    <w:rsid w:val="00BC035F"/>
    <w:rsid w:val="00BC0E2F"/>
    <w:rsid w:val="00BC17E9"/>
    <w:rsid w:val="00BC23CA"/>
    <w:rsid w:val="00BC3FAA"/>
    <w:rsid w:val="00BC4980"/>
    <w:rsid w:val="00BC4B46"/>
    <w:rsid w:val="00BC4D3D"/>
    <w:rsid w:val="00BC6E89"/>
    <w:rsid w:val="00BC6EBE"/>
    <w:rsid w:val="00BC705B"/>
    <w:rsid w:val="00BC7C67"/>
    <w:rsid w:val="00BC7DD9"/>
    <w:rsid w:val="00BD0216"/>
    <w:rsid w:val="00BD3248"/>
    <w:rsid w:val="00BD32CF"/>
    <w:rsid w:val="00BD3F37"/>
    <w:rsid w:val="00BD6C43"/>
    <w:rsid w:val="00BD79E3"/>
    <w:rsid w:val="00BE2F5A"/>
    <w:rsid w:val="00BE624B"/>
    <w:rsid w:val="00BE6D48"/>
    <w:rsid w:val="00BE712B"/>
    <w:rsid w:val="00BE747D"/>
    <w:rsid w:val="00BE7A7D"/>
    <w:rsid w:val="00BF044A"/>
    <w:rsid w:val="00BF0463"/>
    <w:rsid w:val="00BF2B10"/>
    <w:rsid w:val="00BF35E6"/>
    <w:rsid w:val="00BF3B49"/>
    <w:rsid w:val="00BF3DF1"/>
    <w:rsid w:val="00BF4486"/>
    <w:rsid w:val="00BF50D0"/>
    <w:rsid w:val="00BF56BE"/>
    <w:rsid w:val="00BF71DF"/>
    <w:rsid w:val="00C00163"/>
    <w:rsid w:val="00C00D0B"/>
    <w:rsid w:val="00C01EBC"/>
    <w:rsid w:val="00C040C9"/>
    <w:rsid w:val="00C05E8B"/>
    <w:rsid w:val="00C078E7"/>
    <w:rsid w:val="00C1122A"/>
    <w:rsid w:val="00C11640"/>
    <w:rsid w:val="00C11B15"/>
    <w:rsid w:val="00C11B2B"/>
    <w:rsid w:val="00C13FD0"/>
    <w:rsid w:val="00C14044"/>
    <w:rsid w:val="00C14C72"/>
    <w:rsid w:val="00C15058"/>
    <w:rsid w:val="00C169FD"/>
    <w:rsid w:val="00C16BAE"/>
    <w:rsid w:val="00C1759E"/>
    <w:rsid w:val="00C1773A"/>
    <w:rsid w:val="00C1785A"/>
    <w:rsid w:val="00C206BD"/>
    <w:rsid w:val="00C2074B"/>
    <w:rsid w:val="00C2083A"/>
    <w:rsid w:val="00C22822"/>
    <w:rsid w:val="00C232F4"/>
    <w:rsid w:val="00C25D9E"/>
    <w:rsid w:val="00C26135"/>
    <w:rsid w:val="00C26419"/>
    <w:rsid w:val="00C26EDD"/>
    <w:rsid w:val="00C31B74"/>
    <w:rsid w:val="00C31D08"/>
    <w:rsid w:val="00C334CA"/>
    <w:rsid w:val="00C33FE0"/>
    <w:rsid w:val="00C34DBC"/>
    <w:rsid w:val="00C35318"/>
    <w:rsid w:val="00C37750"/>
    <w:rsid w:val="00C40738"/>
    <w:rsid w:val="00C4082B"/>
    <w:rsid w:val="00C422D5"/>
    <w:rsid w:val="00C4276C"/>
    <w:rsid w:val="00C4427B"/>
    <w:rsid w:val="00C45830"/>
    <w:rsid w:val="00C46120"/>
    <w:rsid w:val="00C46924"/>
    <w:rsid w:val="00C46A01"/>
    <w:rsid w:val="00C47085"/>
    <w:rsid w:val="00C47C85"/>
    <w:rsid w:val="00C5215A"/>
    <w:rsid w:val="00C53C11"/>
    <w:rsid w:val="00C54216"/>
    <w:rsid w:val="00C54349"/>
    <w:rsid w:val="00C577C6"/>
    <w:rsid w:val="00C602D3"/>
    <w:rsid w:val="00C6088F"/>
    <w:rsid w:val="00C60969"/>
    <w:rsid w:val="00C60F36"/>
    <w:rsid w:val="00C620EC"/>
    <w:rsid w:val="00C6230C"/>
    <w:rsid w:val="00C6489F"/>
    <w:rsid w:val="00C66098"/>
    <w:rsid w:val="00C70E94"/>
    <w:rsid w:val="00C7378F"/>
    <w:rsid w:val="00C73F99"/>
    <w:rsid w:val="00C74773"/>
    <w:rsid w:val="00C74887"/>
    <w:rsid w:val="00C74C33"/>
    <w:rsid w:val="00C74C4D"/>
    <w:rsid w:val="00C7530B"/>
    <w:rsid w:val="00C75B19"/>
    <w:rsid w:val="00C75B45"/>
    <w:rsid w:val="00C763B5"/>
    <w:rsid w:val="00C76C37"/>
    <w:rsid w:val="00C778DE"/>
    <w:rsid w:val="00C77ED8"/>
    <w:rsid w:val="00C8113A"/>
    <w:rsid w:val="00C830CD"/>
    <w:rsid w:val="00C8392B"/>
    <w:rsid w:val="00C84706"/>
    <w:rsid w:val="00C84AEB"/>
    <w:rsid w:val="00C86030"/>
    <w:rsid w:val="00C87021"/>
    <w:rsid w:val="00C90AE2"/>
    <w:rsid w:val="00C92C3C"/>
    <w:rsid w:val="00C935B5"/>
    <w:rsid w:val="00C9402F"/>
    <w:rsid w:val="00C94DDD"/>
    <w:rsid w:val="00C95AA0"/>
    <w:rsid w:val="00C961D6"/>
    <w:rsid w:val="00CA1C24"/>
    <w:rsid w:val="00CA1D2E"/>
    <w:rsid w:val="00CA3777"/>
    <w:rsid w:val="00CA43B3"/>
    <w:rsid w:val="00CA5E81"/>
    <w:rsid w:val="00CA6B7E"/>
    <w:rsid w:val="00CA78C1"/>
    <w:rsid w:val="00CB2A24"/>
    <w:rsid w:val="00CB2BE7"/>
    <w:rsid w:val="00CB3391"/>
    <w:rsid w:val="00CB3BC1"/>
    <w:rsid w:val="00CB4795"/>
    <w:rsid w:val="00CB59D1"/>
    <w:rsid w:val="00CB6B16"/>
    <w:rsid w:val="00CB7134"/>
    <w:rsid w:val="00CC03DD"/>
    <w:rsid w:val="00CC122A"/>
    <w:rsid w:val="00CC2C18"/>
    <w:rsid w:val="00CC366A"/>
    <w:rsid w:val="00CC47C9"/>
    <w:rsid w:val="00CC6B95"/>
    <w:rsid w:val="00CC7284"/>
    <w:rsid w:val="00CC7417"/>
    <w:rsid w:val="00CD1A40"/>
    <w:rsid w:val="00CD27FF"/>
    <w:rsid w:val="00CD2F2C"/>
    <w:rsid w:val="00CD3D3E"/>
    <w:rsid w:val="00CD46F8"/>
    <w:rsid w:val="00CD623B"/>
    <w:rsid w:val="00CD6637"/>
    <w:rsid w:val="00CD78A6"/>
    <w:rsid w:val="00CE2252"/>
    <w:rsid w:val="00CE2DBD"/>
    <w:rsid w:val="00CE30DD"/>
    <w:rsid w:val="00CE31C7"/>
    <w:rsid w:val="00CE40F8"/>
    <w:rsid w:val="00CE547B"/>
    <w:rsid w:val="00CE6287"/>
    <w:rsid w:val="00CE66F1"/>
    <w:rsid w:val="00CE6934"/>
    <w:rsid w:val="00CE7100"/>
    <w:rsid w:val="00CE74A6"/>
    <w:rsid w:val="00CF06B8"/>
    <w:rsid w:val="00CF11D0"/>
    <w:rsid w:val="00CF161F"/>
    <w:rsid w:val="00CF2708"/>
    <w:rsid w:val="00CF2FA6"/>
    <w:rsid w:val="00CF3E26"/>
    <w:rsid w:val="00CF3F5F"/>
    <w:rsid w:val="00CF54B7"/>
    <w:rsid w:val="00CF727B"/>
    <w:rsid w:val="00D001B0"/>
    <w:rsid w:val="00D00BF8"/>
    <w:rsid w:val="00D014A4"/>
    <w:rsid w:val="00D014FC"/>
    <w:rsid w:val="00D01F6A"/>
    <w:rsid w:val="00D01F70"/>
    <w:rsid w:val="00D020B1"/>
    <w:rsid w:val="00D023BC"/>
    <w:rsid w:val="00D03549"/>
    <w:rsid w:val="00D047D3"/>
    <w:rsid w:val="00D05E7A"/>
    <w:rsid w:val="00D06487"/>
    <w:rsid w:val="00D071B2"/>
    <w:rsid w:val="00D11476"/>
    <w:rsid w:val="00D1160F"/>
    <w:rsid w:val="00D117D9"/>
    <w:rsid w:val="00D11C8B"/>
    <w:rsid w:val="00D11FB0"/>
    <w:rsid w:val="00D12E8B"/>
    <w:rsid w:val="00D14558"/>
    <w:rsid w:val="00D15932"/>
    <w:rsid w:val="00D15C15"/>
    <w:rsid w:val="00D169CD"/>
    <w:rsid w:val="00D23DE0"/>
    <w:rsid w:val="00D242AA"/>
    <w:rsid w:val="00D26C31"/>
    <w:rsid w:val="00D272D1"/>
    <w:rsid w:val="00D3071B"/>
    <w:rsid w:val="00D33152"/>
    <w:rsid w:val="00D3440E"/>
    <w:rsid w:val="00D34CED"/>
    <w:rsid w:val="00D35A99"/>
    <w:rsid w:val="00D36D79"/>
    <w:rsid w:val="00D4011D"/>
    <w:rsid w:val="00D41EA0"/>
    <w:rsid w:val="00D42498"/>
    <w:rsid w:val="00D46DF7"/>
    <w:rsid w:val="00D50065"/>
    <w:rsid w:val="00D50458"/>
    <w:rsid w:val="00D51BD8"/>
    <w:rsid w:val="00D52FE1"/>
    <w:rsid w:val="00D5398E"/>
    <w:rsid w:val="00D56629"/>
    <w:rsid w:val="00D569CE"/>
    <w:rsid w:val="00D56D40"/>
    <w:rsid w:val="00D6043E"/>
    <w:rsid w:val="00D62C9B"/>
    <w:rsid w:val="00D64042"/>
    <w:rsid w:val="00D64BF7"/>
    <w:rsid w:val="00D67ADE"/>
    <w:rsid w:val="00D702F7"/>
    <w:rsid w:val="00D72190"/>
    <w:rsid w:val="00D725FE"/>
    <w:rsid w:val="00D7323F"/>
    <w:rsid w:val="00D7401B"/>
    <w:rsid w:val="00D74634"/>
    <w:rsid w:val="00D75A95"/>
    <w:rsid w:val="00D803CF"/>
    <w:rsid w:val="00D9236C"/>
    <w:rsid w:val="00D92FF1"/>
    <w:rsid w:val="00D932DB"/>
    <w:rsid w:val="00D9380E"/>
    <w:rsid w:val="00D94447"/>
    <w:rsid w:val="00D96763"/>
    <w:rsid w:val="00D96E31"/>
    <w:rsid w:val="00D97F46"/>
    <w:rsid w:val="00DA12ED"/>
    <w:rsid w:val="00DA1D53"/>
    <w:rsid w:val="00DA2B65"/>
    <w:rsid w:val="00DA2F02"/>
    <w:rsid w:val="00DA3477"/>
    <w:rsid w:val="00DA448B"/>
    <w:rsid w:val="00DA4905"/>
    <w:rsid w:val="00DA618B"/>
    <w:rsid w:val="00DA6815"/>
    <w:rsid w:val="00DA7725"/>
    <w:rsid w:val="00DB0B91"/>
    <w:rsid w:val="00DB2CB2"/>
    <w:rsid w:val="00DB2D1A"/>
    <w:rsid w:val="00DB315C"/>
    <w:rsid w:val="00DB64CD"/>
    <w:rsid w:val="00DB796C"/>
    <w:rsid w:val="00DC1EF4"/>
    <w:rsid w:val="00DC3050"/>
    <w:rsid w:val="00DC3517"/>
    <w:rsid w:val="00DC3A94"/>
    <w:rsid w:val="00DC3C84"/>
    <w:rsid w:val="00DC509C"/>
    <w:rsid w:val="00DC51BB"/>
    <w:rsid w:val="00DC6671"/>
    <w:rsid w:val="00DC71B8"/>
    <w:rsid w:val="00DC71DE"/>
    <w:rsid w:val="00DD0707"/>
    <w:rsid w:val="00DD13AE"/>
    <w:rsid w:val="00DD3079"/>
    <w:rsid w:val="00DD3B77"/>
    <w:rsid w:val="00DD6CB8"/>
    <w:rsid w:val="00DD7558"/>
    <w:rsid w:val="00DE014D"/>
    <w:rsid w:val="00DE0D48"/>
    <w:rsid w:val="00DE2012"/>
    <w:rsid w:val="00DE5E4A"/>
    <w:rsid w:val="00DE6AC2"/>
    <w:rsid w:val="00DE6EF9"/>
    <w:rsid w:val="00DF00EF"/>
    <w:rsid w:val="00DF016B"/>
    <w:rsid w:val="00DF0BC6"/>
    <w:rsid w:val="00DF0D1A"/>
    <w:rsid w:val="00DF1096"/>
    <w:rsid w:val="00DF1B45"/>
    <w:rsid w:val="00DF1C44"/>
    <w:rsid w:val="00DF52E1"/>
    <w:rsid w:val="00DF5C57"/>
    <w:rsid w:val="00DF6CDC"/>
    <w:rsid w:val="00E00779"/>
    <w:rsid w:val="00E0148D"/>
    <w:rsid w:val="00E01989"/>
    <w:rsid w:val="00E02291"/>
    <w:rsid w:val="00E02F50"/>
    <w:rsid w:val="00E033F2"/>
    <w:rsid w:val="00E05829"/>
    <w:rsid w:val="00E06A4F"/>
    <w:rsid w:val="00E07211"/>
    <w:rsid w:val="00E072AB"/>
    <w:rsid w:val="00E07E25"/>
    <w:rsid w:val="00E07FAD"/>
    <w:rsid w:val="00E10E19"/>
    <w:rsid w:val="00E10EE8"/>
    <w:rsid w:val="00E11364"/>
    <w:rsid w:val="00E1288D"/>
    <w:rsid w:val="00E1406D"/>
    <w:rsid w:val="00E153E8"/>
    <w:rsid w:val="00E15550"/>
    <w:rsid w:val="00E1606B"/>
    <w:rsid w:val="00E16F8B"/>
    <w:rsid w:val="00E2013F"/>
    <w:rsid w:val="00E20501"/>
    <w:rsid w:val="00E2054F"/>
    <w:rsid w:val="00E2198C"/>
    <w:rsid w:val="00E22038"/>
    <w:rsid w:val="00E24122"/>
    <w:rsid w:val="00E24A47"/>
    <w:rsid w:val="00E24A8D"/>
    <w:rsid w:val="00E24B59"/>
    <w:rsid w:val="00E25059"/>
    <w:rsid w:val="00E25790"/>
    <w:rsid w:val="00E302E3"/>
    <w:rsid w:val="00E30EF5"/>
    <w:rsid w:val="00E32651"/>
    <w:rsid w:val="00E32A4B"/>
    <w:rsid w:val="00E32BE9"/>
    <w:rsid w:val="00E34AFB"/>
    <w:rsid w:val="00E36078"/>
    <w:rsid w:val="00E3609A"/>
    <w:rsid w:val="00E36558"/>
    <w:rsid w:val="00E3725C"/>
    <w:rsid w:val="00E4046C"/>
    <w:rsid w:val="00E41F56"/>
    <w:rsid w:val="00E44BCC"/>
    <w:rsid w:val="00E45A40"/>
    <w:rsid w:val="00E45F05"/>
    <w:rsid w:val="00E4663B"/>
    <w:rsid w:val="00E47063"/>
    <w:rsid w:val="00E51D74"/>
    <w:rsid w:val="00E52D09"/>
    <w:rsid w:val="00E5478D"/>
    <w:rsid w:val="00E55287"/>
    <w:rsid w:val="00E577C5"/>
    <w:rsid w:val="00E60692"/>
    <w:rsid w:val="00E60843"/>
    <w:rsid w:val="00E63656"/>
    <w:rsid w:val="00E643BA"/>
    <w:rsid w:val="00E648F5"/>
    <w:rsid w:val="00E64B5E"/>
    <w:rsid w:val="00E657EF"/>
    <w:rsid w:val="00E65919"/>
    <w:rsid w:val="00E66084"/>
    <w:rsid w:val="00E6730A"/>
    <w:rsid w:val="00E67EAE"/>
    <w:rsid w:val="00E70AD8"/>
    <w:rsid w:val="00E71A02"/>
    <w:rsid w:val="00E720CF"/>
    <w:rsid w:val="00E7287A"/>
    <w:rsid w:val="00E7306A"/>
    <w:rsid w:val="00E73B21"/>
    <w:rsid w:val="00E73E77"/>
    <w:rsid w:val="00E743C0"/>
    <w:rsid w:val="00E7740C"/>
    <w:rsid w:val="00E77460"/>
    <w:rsid w:val="00E77774"/>
    <w:rsid w:val="00E777DC"/>
    <w:rsid w:val="00E80F18"/>
    <w:rsid w:val="00E81672"/>
    <w:rsid w:val="00E85516"/>
    <w:rsid w:val="00E8581F"/>
    <w:rsid w:val="00E8727D"/>
    <w:rsid w:val="00E87AFF"/>
    <w:rsid w:val="00E87FB6"/>
    <w:rsid w:val="00E91791"/>
    <w:rsid w:val="00E92124"/>
    <w:rsid w:val="00E928BF"/>
    <w:rsid w:val="00E92B92"/>
    <w:rsid w:val="00E9436C"/>
    <w:rsid w:val="00E94B83"/>
    <w:rsid w:val="00E95825"/>
    <w:rsid w:val="00E9590B"/>
    <w:rsid w:val="00E95A87"/>
    <w:rsid w:val="00E960F0"/>
    <w:rsid w:val="00E96336"/>
    <w:rsid w:val="00E97335"/>
    <w:rsid w:val="00EA20A5"/>
    <w:rsid w:val="00EA2CBE"/>
    <w:rsid w:val="00EA342C"/>
    <w:rsid w:val="00EA61F1"/>
    <w:rsid w:val="00EA681B"/>
    <w:rsid w:val="00EA7E89"/>
    <w:rsid w:val="00EB0B61"/>
    <w:rsid w:val="00EB19C5"/>
    <w:rsid w:val="00EB20B6"/>
    <w:rsid w:val="00EB3777"/>
    <w:rsid w:val="00EB50FB"/>
    <w:rsid w:val="00EB57EF"/>
    <w:rsid w:val="00EB6169"/>
    <w:rsid w:val="00EB6C77"/>
    <w:rsid w:val="00EB73CA"/>
    <w:rsid w:val="00EC1C1C"/>
    <w:rsid w:val="00EC1F9D"/>
    <w:rsid w:val="00EC251C"/>
    <w:rsid w:val="00EC291A"/>
    <w:rsid w:val="00EC3853"/>
    <w:rsid w:val="00EC425C"/>
    <w:rsid w:val="00EC4F54"/>
    <w:rsid w:val="00ED0B08"/>
    <w:rsid w:val="00ED2147"/>
    <w:rsid w:val="00ED4DD5"/>
    <w:rsid w:val="00ED6E4C"/>
    <w:rsid w:val="00EE02F3"/>
    <w:rsid w:val="00EE5B84"/>
    <w:rsid w:val="00EE5FE8"/>
    <w:rsid w:val="00EE61E7"/>
    <w:rsid w:val="00EE6CA0"/>
    <w:rsid w:val="00EE70E8"/>
    <w:rsid w:val="00EF1911"/>
    <w:rsid w:val="00EF1A6C"/>
    <w:rsid w:val="00EF2655"/>
    <w:rsid w:val="00EF3223"/>
    <w:rsid w:val="00EF324F"/>
    <w:rsid w:val="00EF3543"/>
    <w:rsid w:val="00EF5344"/>
    <w:rsid w:val="00F007ED"/>
    <w:rsid w:val="00F00C93"/>
    <w:rsid w:val="00F03C9A"/>
    <w:rsid w:val="00F05504"/>
    <w:rsid w:val="00F06302"/>
    <w:rsid w:val="00F067FA"/>
    <w:rsid w:val="00F068E9"/>
    <w:rsid w:val="00F073DA"/>
    <w:rsid w:val="00F117F9"/>
    <w:rsid w:val="00F12609"/>
    <w:rsid w:val="00F12722"/>
    <w:rsid w:val="00F12F86"/>
    <w:rsid w:val="00F15C3D"/>
    <w:rsid w:val="00F1633D"/>
    <w:rsid w:val="00F16583"/>
    <w:rsid w:val="00F20477"/>
    <w:rsid w:val="00F2219A"/>
    <w:rsid w:val="00F22B2C"/>
    <w:rsid w:val="00F24DBD"/>
    <w:rsid w:val="00F2598D"/>
    <w:rsid w:val="00F25C51"/>
    <w:rsid w:val="00F2675A"/>
    <w:rsid w:val="00F26F0A"/>
    <w:rsid w:val="00F32AB7"/>
    <w:rsid w:val="00F32ED7"/>
    <w:rsid w:val="00F34024"/>
    <w:rsid w:val="00F35870"/>
    <w:rsid w:val="00F35A74"/>
    <w:rsid w:val="00F36730"/>
    <w:rsid w:val="00F36F00"/>
    <w:rsid w:val="00F4022E"/>
    <w:rsid w:val="00F41690"/>
    <w:rsid w:val="00F41C9E"/>
    <w:rsid w:val="00F43702"/>
    <w:rsid w:val="00F4414D"/>
    <w:rsid w:val="00F445A7"/>
    <w:rsid w:val="00F451FD"/>
    <w:rsid w:val="00F451FE"/>
    <w:rsid w:val="00F4573C"/>
    <w:rsid w:val="00F4605C"/>
    <w:rsid w:val="00F47E86"/>
    <w:rsid w:val="00F47FF6"/>
    <w:rsid w:val="00F51509"/>
    <w:rsid w:val="00F528DE"/>
    <w:rsid w:val="00F53D6E"/>
    <w:rsid w:val="00F54928"/>
    <w:rsid w:val="00F54C21"/>
    <w:rsid w:val="00F55918"/>
    <w:rsid w:val="00F56196"/>
    <w:rsid w:val="00F56991"/>
    <w:rsid w:val="00F57A5D"/>
    <w:rsid w:val="00F64A9E"/>
    <w:rsid w:val="00F64CB8"/>
    <w:rsid w:val="00F65800"/>
    <w:rsid w:val="00F65839"/>
    <w:rsid w:val="00F663D6"/>
    <w:rsid w:val="00F67B64"/>
    <w:rsid w:val="00F70907"/>
    <w:rsid w:val="00F718D7"/>
    <w:rsid w:val="00F71D2C"/>
    <w:rsid w:val="00F7376D"/>
    <w:rsid w:val="00F739F3"/>
    <w:rsid w:val="00F76E13"/>
    <w:rsid w:val="00F77414"/>
    <w:rsid w:val="00F77FCC"/>
    <w:rsid w:val="00F804E9"/>
    <w:rsid w:val="00F80603"/>
    <w:rsid w:val="00F80D80"/>
    <w:rsid w:val="00F81E6E"/>
    <w:rsid w:val="00F83193"/>
    <w:rsid w:val="00F84AFC"/>
    <w:rsid w:val="00F86F2E"/>
    <w:rsid w:val="00F90929"/>
    <w:rsid w:val="00F90D14"/>
    <w:rsid w:val="00F910C0"/>
    <w:rsid w:val="00F918F8"/>
    <w:rsid w:val="00F9561F"/>
    <w:rsid w:val="00F96671"/>
    <w:rsid w:val="00F96DCA"/>
    <w:rsid w:val="00F970AF"/>
    <w:rsid w:val="00FA05B5"/>
    <w:rsid w:val="00FA5AE7"/>
    <w:rsid w:val="00FA6738"/>
    <w:rsid w:val="00FA713D"/>
    <w:rsid w:val="00FB0D8D"/>
    <w:rsid w:val="00FB1FCD"/>
    <w:rsid w:val="00FB2B2B"/>
    <w:rsid w:val="00FB4AB0"/>
    <w:rsid w:val="00FB4EFD"/>
    <w:rsid w:val="00FB5243"/>
    <w:rsid w:val="00FB562B"/>
    <w:rsid w:val="00FB5849"/>
    <w:rsid w:val="00FB5E2C"/>
    <w:rsid w:val="00FC3FDA"/>
    <w:rsid w:val="00FC43A8"/>
    <w:rsid w:val="00FC5496"/>
    <w:rsid w:val="00FC7B54"/>
    <w:rsid w:val="00FC7FDC"/>
    <w:rsid w:val="00FD0523"/>
    <w:rsid w:val="00FD05FC"/>
    <w:rsid w:val="00FD1DFE"/>
    <w:rsid w:val="00FD2BB0"/>
    <w:rsid w:val="00FD36CB"/>
    <w:rsid w:val="00FD6D12"/>
    <w:rsid w:val="00FE02DB"/>
    <w:rsid w:val="00FE271C"/>
    <w:rsid w:val="00FE392E"/>
    <w:rsid w:val="00FE3A68"/>
    <w:rsid w:val="00FE4FCD"/>
    <w:rsid w:val="00FE5BF3"/>
    <w:rsid w:val="00FE663B"/>
    <w:rsid w:val="00FE6B4A"/>
    <w:rsid w:val="00FE74BF"/>
    <w:rsid w:val="00FE7D70"/>
    <w:rsid w:val="00FF12A2"/>
    <w:rsid w:val="00FF1469"/>
    <w:rsid w:val="00FF26E4"/>
    <w:rsid w:val="00FF37E2"/>
    <w:rsid w:val="00FF3A42"/>
    <w:rsid w:val="00FF3AAE"/>
    <w:rsid w:val="00FF3CD3"/>
    <w:rsid w:val="00FF592D"/>
    <w:rsid w:val="00FF7273"/>
    <w:rsid w:val="00FF72B7"/>
    <w:rsid w:val="00FF73EE"/>
    <w:rsid w:val="00FF78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17D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B2"/>
    <w:pPr>
      <w:spacing w:after="200" w:line="276" w:lineRule="auto"/>
    </w:pPr>
    <w:rPr>
      <w:rFonts w:eastAsia="Batang"/>
      <w:sz w:val="22"/>
      <w:szCs w:val="22"/>
    </w:rPr>
  </w:style>
  <w:style w:type="paragraph" w:styleId="Heading1">
    <w:name w:val="heading 1"/>
    <w:basedOn w:val="Normal"/>
    <w:next w:val="Normal"/>
    <w:link w:val="Heading1Char"/>
    <w:qFormat/>
    <w:rsid w:val="001B3677"/>
    <w:pPr>
      <w:keepNext/>
      <w:keepLines/>
      <w:numPr>
        <w:numId w:val="50"/>
      </w:numPr>
      <w:pBdr>
        <w:top w:val="nil"/>
        <w:left w:val="nil"/>
        <w:bottom w:val="nil"/>
        <w:right w:val="nil"/>
        <w:between w:val="nil"/>
        <w:bar w:val="nil"/>
      </w:pBdr>
      <w:spacing w:after="0" w:line="240" w:lineRule="auto"/>
      <w:outlineLvl w:val="0"/>
    </w:pPr>
    <w:rPr>
      <w:rFonts w:ascii="Cambria" w:eastAsia="MS Gothic" w:hAnsi="Cambria"/>
      <w:b/>
      <w:bCs/>
      <w:sz w:val="20"/>
      <w:szCs w:val="20"/>
      <w:bdr w:val="nil"/>
      <w:lang w:val="es-PE"/>
    </w:rPr>
  </w:style>
  <w:style w:type="paragraph" w:styleId="Heading2">
    <w:name w:val="heading 2"/>
    <w:basedOn w:val="Normal"/>
    <w:next w:val="Normal"/>
    <w:link w:val="Heading2Char"/>
    <w:qFormat/>
    <w:rsid w:val="001B3677"/>
    <w:pPr>
      <w:numPr>
        <w:numId w:val="54"/>
      </w:numPr>
      <w:spacing w:after="0" w:line="240" w:lineRule="auto"/>
      <w:jc w:val="both"/>
      <w:outlineLvl w:val="1"/>
    </w:pPr>
    <w:rPr>
      <w:rFonts w:ascii="Cambria" w:hAnsi="Cambria"/>
      <w:b/>
      <w:sz w:val="20"/>
      <w:szCs w:val="20"/>
      <w:lang w:val="es-CO"/>
    </w:rPr>
  </w:style>
  <w:style w:type="paragraph" w:styleId="Heading3">
    <w:name w:val="heading 3"/>
    <w:basedOn w:val="Normal"/>
    <w:next w:val="Normal"/>
    <w:link w:val="Heading3Char"/>
    <w:qFormat/>
    <w:rsid w:val="001B3677"/>
    <w:pPr>
      <w:numPr>
        <w:numId w:val="52"/>
      </w:numPr>
      <w:spacing w:after="0" w:line="240" w:lineRule="auto"/>
      <w:jc w:val="both"/>
      <w:outlineLvl w:val="2"/>
    </w:pPr>
    <w:rPr>
      <w:rFonts w:ascii="Cambria" w:hAnsi="Cambria"/>
      <w:b/>
      <w:sz w:val="20"/>
      <w:szCs w:val="20"/>
      <w:lang w:val="es-MX"/>
    </w:rPr>
  </w:style>
  <w:style w:type="paragraph" w:styleId="Heading6">
    <w:name w:val="heading 6"/>
    <w:basedOn w:val="Normal"/>
    <w:next w:val="Normal"/>
    <w:link w:val="Heading6Char"/>
    <w:uiPriority w:val="9"/>
    <w:qFormat/>
    <w:rsid w:val="001B3677"/>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B3677"/>
    <w:rPr>
      <w:rFonts w:ascii="Cambria" w:eastAsia="MS Gothic" w:hAnsi="Cambria"/>
      <w:b/>
      <w:bCs/>
      <w:bdr w:val="nil"/>
      <w:lang w:val="es-PE" w:eastAsia="en-US"/>
    </w:rPr>
  </w:style>
  <w:style w:type="character" w:customStyle="1" w:styleId="Heading2Char">
    <w:name w:val="Heading 2 Char"/>
    <w:link w:val="Heading2"/>
    <w:rsid w:val="001B3677"/>
    <w:rPr>
      <w:rFonts w:ascii="Cambria" w:eastAsia="Batang" w:hAnsi="Cambria"/>
      <w:b/>
      <w:lang w:val="es-CO" w:eastAsia="en-US"/>
    </w:rPr>
  </w:style>
  <w:style w:type="character" w:customStyle="1" w:styleId="Heading3Char">
    <w:name w:val="Heading 3 Char"/>
    <w:link w:val="Heading3"/>
    <w:rsid w:val="001B3677"/>
    <w:rPr>
      <w:rFonts w:ascii="Cambria" w:eastAsia="Batang" w:hAnsi="Cambria"/>
      <w:b/>
      <w:lang w:val="es-MX" w:eastAsia="en-US"/>
    </w:rPr>
  </w:style>
  <w:style w:type="character" w:customStyle="1" w:styleId="Heading6Char">
    <w:name w:val="Heading 6 Char"/>
    <w:link w:val="Heading6"/>
    <w:uiPriority w:val="9"/>
    <w:rsid w:val="001B3677"/>
    <w:rPr>
      <w:rFonts w:ascii="Calibri" w:eastAsia="Times New Roman" w:hAnsi="Calibri" w:cs="Times New Roman"/>
      <w:b/>
      <w:bCs/>
      <w:sz w:val="22"/>
      <w:szCs w:val="22"/>
    </w:rPr>
  </w:style>
  <w:style w:type="character" w:styleId="Hyperlink">
    <w:name w:val="Hyperlink"/>
    <w:uiPriority w:val="99"/>
    <w:rsid w:val="001B3677"/>
    <w:rPr>
      <w:u w:val="single"/>
    </w:rPr>
  </w:style>
  <w:style w:type="paragraph" w:customStyle="1" w:styleId="Cabeceraypie">
    <w:name w:val="Cabecera y pie"/>
    <w:rsid w:val="001B3677"/>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es-ES" w:eastAsia="es-ES"/>
    </w:rPr>
  </w:style>
  <w:style w:type="paragraph" w:styleId="Footer">
    <w:name w:val="footer"/>
    <w:link w:val="FooterChar"/>
    <w:uiPriority w:val="99"/>
    <w:rsid w:val="001B3677"/>
    <w:pPr>
      <w:pBdr>
        <w:top w:val="nil"/>
        <w:left w:val="nil"/>
        <w:bottom w:val="nil"/>
        <w:right w:val="nil"/>
        <w:between w:val="nil"/>
        <w:bar w:val="nil"/>
      </w:pBdr>
      <w:tabs>
        <w:tab w:val="center" w:pos="4513"/>
        <w:tab w:val="right" w:pos="9026"/>
      </w:tabs>
    </w:pPr>
    <w:rPr>
      <w:rFonts w:ascii="Cambria" w:eastAsia="Cambria" w:hAnsi="Cambria" w:cs="Cambria"/>
      <w:color w:val="000000"/>
      <w:sz w:val="24"/>
      <w:szCs w:val="24"/>
      <w:u w:color="000000"/>
      <w:bdr w:val="nil"/>
      <w:lang w:eastAsia="es-ES"/>
    </w:rPr>
  </w:style>
  <w:style w:type="character" w:customStyle="1" w:styleId="FooterChar">
    <w:name w:val="Footer Char"/>
    <w:link w:val="Footer"/>
    <w:uiPriority w:val="99"/>
    <w:rsid w:val="001B3677"/>
    <w:rPr>
      <w:rFonts w:ascii="Cambria" w:eastAsia="Cambria" w:hAnsi="Cambria" w:cs="Cambria"/>
      <w:color w:val="000000"/>
      <w:u w:color="000000"/>
      <w:bdr w:val="nil"/>
      <w:lang w:eastAsia="es-ES"/>
    </w:rPr>
  </w:style>
  <w:style w:type="paragraph" w:customStyle="1" w:styleId="Cuerpo">
    <w:name w:val="Cuerpo"/>
    <w:rsid w:val="001B3677"/>
    <w:pPr>
      <w:pBdr>
        <w:top w:val="nil"/>
        <w:left w:val="nil"/>
        <w:bottom w:val="nil"/>
        <w:right w:val="nil"/>
        <w:between w:val="nil"/>
        <w:bar w:val="nil"/>
      </w:pBdr>
    </w:pPr>
    <w:rPr>
      <w:rFonts w:ascii="Cambria" w:eastAsia="Cambria" w:hAnsi="Cambria" w:cs="Cambria"/>
      <w:color w:val="000000"/>
      <w:sz w:val="24"/>
      <w:szCs w:val="24"/>
      <w:u w:color="000000"/>
      <w:bdr w:val="nil"/>
      <w:lang w:val="es-ES" w:eastAsia="es-ES"/>
    </w:rPr>
  </w:style>
  <w:style w:type="paragraph" w:styleId="BodyTextIndent">
    <w:name w:val="Body Text Indent"/>
    <w:link w:val="BodyTextIndentChar"/>
    <w:rsid w:val="001B3677"/>
    <w:pPr>
      <w:pBdr>
        <w:top w:val="nil"/>
        <w:left w:val="nil"/>
        <w:bottom w:val="nil"/>
        <w:right w:val="nil"/>
        <w:between w:val="nil"/>
        <w:bar w:val="nil"/>
      </w:pBdr>
      <w:ind w:left="2160" w:hanging="720"/>
    </w:pPr>
    <w:rPr>
      <w:rFonts w:ascii="Times New Roman" w:eastAsia="Times New Roman" w:hAnsi="Times New Roman"/>
      <w:color w:val="000000"/>
      <w:sz w:val="24"/>
      <w:szCs w:val="24"/>
      <w:u w:color="000000"/>
      <w:bdr w:val="nil"/>
      <w:lang w:val="es-ES_tradnl" w:eastAsia="es-ES"/>
    </w:rPr>
  </w:style>
  <w:style w:type="character" w:customStyle="1" w:styleId="BodyTextIndentChar">
    <w:name w:val="Body Text Indent Char"/>
    <w:link w:val="BodyTextIndent"/>
    <w:rsid w:val="001B3677"/>
    <w:rPr>
      <w:rFonts w:ascii="Times New Roman" w:eastAsia="Times New Roman" w:hAnsi="Times New Roman" w:cs="Times New Roman"/>
      <w:color w:val="000000"/>
      <w:u w:color="000000"/>
      <w:bdr w:val="nil"/>
      <w:lang w:val="es-ES_tradnl" w:eastAsia="es-ES"/>
    </w:rPr>
  </w:style>
  <w:style w:type="paragraph" w:customStyle="1" w:styleId="ColorfulList-Accent11">
    <w:name w:val="Colorful List - Accent 11"/>
    <w:link w:val="ColorfulList-Accent1Char"/>
    <w:uiPriority w:val="34"/>
    <w:qFormat/>
    <w:rsid w:val="001B3677"/>
    <w:pPr>
      <w:pBdr>
        <w:top w:val="nil"/>
        <w:left w:val="nil"/>
        <w:bottom w:val="nil"/>
        <w:right w:val="nil"/>
        <w:between w:val="nil"/>
        <w:bar w:val="nil"/>
      </w:pBdr>
      <w:ind w:left="720"/>
    </w:pPr>
    <w:rPr>
      <w:rFonts w:ascii="Cambria" w:eastAsia="Cambria" w:hAnsi="Cambria" w:cs="Cambria"/>
      <w:color w:val="000000"/>
      <w:sz w:val="24"/>
      <w:szCs w:val="24"/>
      <w:u w:color="000000"/>
      <w:bdr w:val="nil"/>
      <w:lang w:eastAsia="es-ES"/>
    </w:rPr>
  </w:style>
  <w:style w:type="numbering" w:customStyle="1" w:styleId="List0">
    <w:name w:val="List 0"/>
    <w:basedOn w:val="Estiloimportado1"/>
    <w:rsid w:val="001B3677"/>
    <w:pPr>
      <w:numPr>
        <w:numId w:val="31"/>
      </w:numPr>
    </w:pPr>
  </w:style>
  <w:style w:type="numbering" w:customStyle="1" w:styleId="Estiloimportado1">
    <w:name w:val="Estilo importado 1"/>
    <w:rsid w:val="001B3677"/>
  </w:style>
  <w:style w:type="numbering" w:customStyle="1" w:styleId="List1">
    <w:name w:val="List 1"/>
    <w:basedOn w:val="Estiloimportado2"/>
    <w:rsid w:val="001B3677"/>
    <w:pPr>
      <w:numPr>
        <w:numId w:val="1"/>
      </w:numPr>
    </w:pPr>
  </w:style>
  <w:style w:type="numbering" w:customStyle="1" w:styleId="Estiloimportado2">
    <w:name w:val="Estilo importado 2"/>
    <w:rsid w:val="001B3677"/>
  </w:style>
  <w:style w:type="numbering" w:customStyle="1" w:styleId="List21">
    <w:name w:val="List 21"/>
    <w:basedOn w:val="Estiloimportado3"/>
    <w:rsid w:val="001B3677"/>
    <w:pPr>
      <w:numPr>
        <w:numId w:val="38"/>
      </w:numPr>
    </w:pPr>
  </w:style>
  <w:style w:type="numbering" w:customStyle="1" w:styleId="Estiloimportado3">
    <w:name w:val="Estilo importado 3"/>
    <w:rsid w:val="001B3677"/>
  </w:style>
  <w:style w:type="numbering" w:customStyle="1" w:styleId="List31">
    <w:name w:val="List 31"/>
    <w:basedOn w:val="Estiloimportado4"/>
    <w:rsid w:val="001B3677"/>
    <w:pPr>
      <w:numPr>
        <w:numId w:val="44"/>
      </w:numPr>
    </w:pPr>
  </w:style>
  <w:style w:type="numbering" w:customStyle="1" w:styleId="Estiloimportado4">
    <w:name w:val="Estilo importado 4"/>
    <w:rsid w:val="001B3677"/>
  </w:style>
  <w:style w:type="numbering" w:customStyle="1" w:styleId="List41">
    <w:name w:val="List 41"/>
    <w:basedOn w:val="Estiloimportado5"/>
    <w:rsid w:val="001B3677"/>
    <w:pPr>
      <w:numPr>
        <w:numId w:val="2"/>
      </w:numPr>
    </w:pPr>
  </w:style>
  <w:style w:type="numbering" w:customStyle="1" w:styleId="Estiloimportado5">
    <w:name w:val="Estilo importado 5"/>
    <w:rsid w:val="001B3677"/>
  </w:style>
  <w:style w:type="numbering" w:customStyle="1" w:styleId="List51">
    <w:name w:val="List 51"/>
    <w:basedOn w:val="Estiloimportado6"/>
    <w:rsid w:val="001B3677"/>
    <w:pPr>
      <w:numPr>
        <w:numId w:val="33"/>
      </w:numPr>
    </w:pPr>
  </w:style>
  <w:style w:type="numbering" w:customStyle="1" w:styleId="Estiloimportado6">
    <w:name w:val="Estilo importado 6"/>
    <w:rsid w:val="001B3677"/>
  </w:style>
  <w:style w:type="numbering" w:customStyle="1" w:styleId="List6">
    <w:name w:val="List 6"/>
    <w:basedOn w:val="Estiloimportado7"/>
    <w:rsid w:val="001B3677"/>
    <w:pPr>
      <w:numPr>
        <w:numId w:val="3"/>
      </w:numPr>
    </w:pPr>
  </w:style>
  <w:style w:type="numbering" w:customStyle="1" w:styleId="Estiloimportado7">
    <w:name w:val="Estilo importado 7"/>
    <w:rsid w:val="001B3677"/>
  </w:style>
  <w:style w:type="numbering" w:customStyle="1" w:styleId="List7">
    <w:name w:val="List 7"/>
    <w:basedOn w:val="Estiloimportado8"/>
    <w:rsid w:val="001B3677"/>
    <w:pPr>
      <w:numPr>
        <w:numId w:val="4"/>
      </w:numPr>
    </w:pPr>
  </w:style>
  <w:style w:type="numbering" w:customStyle="1" w:styleId="Estiloimportado8">
    <w:name w:val="Estilo importado 8"/>
    <w:rsid w:val="001B3677"/>
  </w:style>
  <w:style w:type="numbering" w:customStyle="1" w:styleId="List8">
    <w:name w:val="List 8"/>
    <w:basedOn w:val="Estiloimportado9"/>
    <w:rsid w:val="001B3677"/>
    <w:pPr>
      <w:numPr>
        <w:numId w:val="5"/>
      </w:numPr>
    </w:pPr>
  </w:style>
  <w:style w:type="numbering" w:customStyle="1" w:styleId="Estiloimportado9">
    <w:name w:val="Estilo importado 9"/>
    <w:rsid w:val="001B3677"/>
  </w:style>
  <w:style w:type="numbering" w:customStyle="1" w:styleId="List9">
    <w:name w:val="List 9"/>
    <w:basedOn w:val="Estiloimportado10"/>
    <w:rsid w:val="001B3677"/>
    <w:pPr>
      <w:numPr>
        <w:numId w:val="22"/>
      </w:numPr>
    </w:pPr>
  </w:style>
  <w:style w:type="numbering" w:customStyle="1" w:styleId="Estiloimportado10">
    <w:name w:val="Estilo importado 10"/>
    <w:rsid w:val="001B3677"/>
  </w:style>
  <w:style w:type="numbering" w:customStyle="1" w:styleId="List10">
    <w:name w:val="List 10"/>
    <w:basedOn w:val="Estiloimportado11"/>
    <w:rsid w:val="001B3677"/>
    <w:pPr>
      <w:numPr>
        <w:numId w:val="6"/>
      </w:numPr>
    </w:pPr>
  </w:style>
  <w:style w:type="numbering" w:customStyle="1" w:styleId="Estiloimportado11">
    <w:name w:val="Estilo importado 11"/>
    <w:rsid w:val="001B3677"/>
  </w:style>
  <w:style w:type="numbering" w:customStyle="1" w:styleId="List11">
    <w:name w:val="List 11"/>
    <w:basedOn w:val="Estiloimportado12"/>
    <w:rsid w:val="001B3677"/>
    <w:pPr>
      <w:numPr>
        <w:numId w:val="7"/>
      </w:numPr>
    </w:pPr>
  </w:style>
  <w:style w:type="numbering" w:customStyle="1" w:styleId="Estiloimportado12">
    <w:name w:val="Estilo importado 12"/>
    <w:rsid w:val="001B3677"/>
  </w:style>
  <w:style w:type="numbering" w:customStyle="1" w:styleId="List12">
    <w:name w:val="List 12"/>
    <w:basedOn w:val="Estiloimportado13"/>
    <w:rsid w:val="001B3677"/>
    <w:pPr>
      <w:numPr>
        <w:numId w:val="36"/>
      </w:numPr>
    </w:pPr>
  </w:style>
  <w:style w:type="numbering" w:customStyle="1" w:styleId="Estiloimportado13">
    <w:name w:val="Estilo importado 13"/>
    <w:rsid w:val="001B3677"/>
  </w:style>
  <w:style w:type="numbering" w:customStyle="1" w:styleId="List13">
    <w:name w:val="List 13"/>
    <w:basedOn w:val="Estiloimportado14"/>
    <w:rsid w:val="001B3677"/>
    <w:pPr>
      <w:numPr>
        <w:numId w:val="42"/>
      </w:numPr>
    </w:pPr>
  </w:style>
  <w:style w:type="numbering" w:customStyle="1" w:styleId="Estiloimportado14">
    <w:name w:val="Estilo importado 14"/>
    <w:rsid w:val="001B3677"/>
  </w:style>
  <w:style w:type="numbering" w:customStyle="1" w:styleId="List14">
    <w:name w:val="List 14"/>
    <w:basedOn w:val="Estiloimportado15"/>
    <w:rsid w:val="001B3677"/>
    <w:pPr>
      <w:numPr>
        <w:numId w:val="17"/>
      </w:numPr>
    </w:pPr>
  </w:style>
  <w:style w:type="numbering" w:customStyle="1" w:styleId="Estiloimportado15">
    <w:name w:val="Estilo importado 15"/>
    <w:rsid w:val="001B3677"/>
  </w:style>
  <w:style w:type="numbering" w:customStyle="1" w:styleId="List15">
    <w:name w:val="List 15"/>
    <w:basedOn w:val="Estiloimportado16"/>
    <w:rsid w:val="001B3677"/>
    <w:pPr>
      <w:numPr>
        <w:numId w:val="16"/>
      </w:numPr>
    </w:pPr>
  </w:style>
  <w:style w:type="numbering" w:customStyle="1" w:styleId="Estiloimportado16">
    <w:name w:val="Estilo importado 16"/>
    <w:rsid w:val="001B3677"/>
  </w:style>
  <w:style w:type="numbering" w:customStyle="1" w:styleId="List16">
    <w:name w:val="List 16"/>
    <w:basedOn w:val="Estiloimportado16"/>
    <w:rsid w:val="001B3677"/>
    <w:pPr>
      <w:numPr>
        <w:numId w:val="10"/>
      </w:numPr>
    </w:pPr>
  </w:style>
  <w:style w:type="numbering" w:customStyle="1" w:styleId="List17">
    <w:name w:val="List 17"/>
    <w:basedOn w:val="Estiloimportado17"/>
    <w:rsid w:val="001B3677"/>
    <w:pPr>
      <w:numPr>
        <w:numId w:val="25"/>
      </w:numPr>
    </w:pPr>
  </w:style>
  <w:style w:type="numbering" w:customStyle="1" w:styleId="Estiloimportado17">
    <w:name w:val="Estilo importado 17"/>
    <w:rsid w:val="001B3677"/>
  </w:style>
  <w:style w:type="numbering" w:customStyle="1" w:styleId="List18">
    <w:name w:val="List 18"/>
    <w:basedOn w:val="Estiloimportado18"/>
    <w:rsid w:val="001B3677"/>
    <w:pPr>
      <w:numPr>
        <w:numId w:val="27"/>
      </w:numPr>
    </w:pPr>
  </w:style>
  <w:style w:type="numbering" w:customStyle="1" w:styleId="Estiloimportado18">
    <w:name w:val="Estilo importado 18"/>
    <w:rsid w:val="001B3677"/>
  </w:style>
  <w:style w:type="numbering" w:customStyle="1" w:styleId="List19">
    <w:name w:val="List 19"/>
    <w:basedOn w:val="Estiloimportado10"/>
    <w:rsid w:val="001B3677"/>
    <w:pPr>
      <w:numPr>
        <w:numId w:val="19"/>
      </w:numPr>
    </w:pPr>
  </w:style>
  <w:style w:type="numbering" w:customStyle="1" w:styleId="List20">
    <w:name w:val="List 20"/>
    <w:basedOn w:val="Estiloimportado12"/>
    <w:rsid w:val="001B3677"/>
    <w:pPr>
      <w:numPr>
        <w:numId w:val="43"/>
      </w:numPr>
    </w:pPr>
  </w:style>
  <w:style w:type="numbering" w:customStyle="1" w:styleId="Estiloimportado19">
    <w:name w:val="Estilo importado 19"/>
    <w:rsid w:val="001B3677"/>
  </w:style>
  <w:style w:type="numbering" w:customStyle="1" w:styleId="List22">
    <w:name w:val="List 22"/>
    <w:basedOn w:val="Estiloimportado19"/>
    <w:rsid w:val="001B3677"/>
    <w:pPr>
      <w:numPr>
        <w:numId w:val="28"/>
      </w:numPr>
    </w:pPr>
  </w:style>
  <w:style w:type="numbering" w:customStyle="1" w:styleId="List23">
    <w:name w:val="List 23"/>
    <w:basedOn w:val="Estiloimportado19"/>
    <w:rsid w:val="001B3677"/>
    <w:pPr>
      <w:numPr>
        <w:numId w:val="18"/>
      </w:numPr>
    </w:pPr>
  </w:style>
  <w:style w:type="numbering" w:customStyle="1" w:styleId="List24">
    <w:name w:val="List 24"/>
    <w:basedOn w:val="Estiloimportado20"/>
    <w:rsid w:val="001B3677"/>
    <w:pPr>
      <w:numPr>
        <w:numId w:val="13"/>
      </w:numPr>
    </w:pPr>
  </w:style>
  <w:style w:type="numbering" w:customStyle="1" w:styleId="Estiloimportado20">
    <w:name w:val="Estilo importado 20"/>
    <w:rsid w:val="001B3677"/>
  </w:style>
  <w:style w:type="numbering" w:customStyle="1" w:styleId="List25">
    <w:name w:val="List 25"/>
    <w:basedOn w:val="Estiloimportado21"/>
    <w:rsid w:val="001B3677"/>
    <w:pPr>
      <w:numPr>
        <w:numId w:val="15"/>
      </w:numPr>
    </w:pPr>
  </w:style>
  <w:style w:type="numbering" w:customStyle="1" w:styleId="Estiloimportado21">
    <w:name w:val="Estilo importado 21"/>
    <w:rsid w:val="001B3677"/>
  </w:style>
  <w:style w:type="numbering" w:customStyle="1" w:styleId="List26">
    <w:name w:val="List 26"/>
    <w:basedOn w:val="Estiloimportado22"/>
    <w:rsid w:val="001B3677"/>
    <w:pPr>
      <w:numPr>
        <w:numId w:val="48"/>
      </w:numPr>
    </w:pPr>
  </w:style>
  <w:style w:type="numbering" w:customStyle="1" w:styleId="Estiloimportado22">
    <w:name w:val="Estilo importado 22"/>
    <w:rsid w:val="001B3677"/>
  </w:style>
  <w:style w:type="numbering" w:customStyle="1" w:styleId="List27">
    <w:name w:val="List 27"/>
    <w:basedOn w:val="Estiloimportado23"/>
    <w:rsid w:val="001B3677"/>
    <w:pPr>
      <w:numPr>
        <w:numId w:val="41"/>
      </w:numPr>
    </w:pPr>
  </w:style>
  <w:style w:type="numbering" w:customStyle="1" w:styleId="Estiloimportado23">
    <w:name w:val="Estilo importado 23"/>
    <w:rsid w:val="001B3677"/>
  </w:style>
  <w:style w:type="numbering" w:customStyle="1" w:styleId="List28">
    <w:name w:val="List 28"/>
    <w:basedOn w:val="Estiloimportado24"/>
    <w:rsid w:val="001B3677"/>
    <w:pPr>
      <w:numPr>
        <w:numId w:val="30"/>
      </w:numPr>
    </w:pPr>
  </w:style>
  <w:style w:type="numbering" w:customStyle="1" w:styleId="Estiloimportado24">
    <w:name w:val="Estilo importado 24"/>
    <w:rsid w:val="001B3677"/>
  </w:style>
  <w:style w:type="numbering" w:customStyle="1" w:styleId="List29">
    <w:name w:val="List 29"/>
    <w:basedOn w:val="Estiloimportado25"/>
    <w:rsid w:val="001B3677"/>
    <w:pPr>
      <w:numPr>
        <w:numId w:val="34"/>
      </w:numPr>
    </w:pPr>
  </w:style>
  <w:style w:type="numbering" w:customStyle="1" w:styleId="Estiloimportado25">
    <w:name w:val="Estilo importado 25"/>
    <w:rsid w:val="001B3677"/>
  </w:style>
  <w:style w:type="numbering" w:customStyle="1" w:styleId="List30">
    <w:name w:val="List 30"/>
    <w:basedOn w:val="Estiloimportado26"/>
    <w:rsid w:val="001B3677"/>
    <w:pPr>
      <w:numPr>
        <w:numId w:val="32"/>
      </w:numPr>
    </w:pPr>
  </w:style>
  <w:style w:type="numbering" w:customStyle="1" w:styleId="Estiloimportado26">
    <w:name w:val="Estilo importado 26"/>
    <w:rsid w:val="001B3677"/>
  </w:style>
  <w:style w:type="numbering" w:customStyle="1" w:styleId="Estiloimportado27">
    <w:name w:val="Estilo importado 27"/>
    <w:rsid w:val="001B3677"/>
  </w:style>
  <w:style w:type="numbering" w:customStyle="1" w:styleId="List32">
    <w:name w:val="List 32"/>
    <w:basedOn w:val="Estiloimportado28"/>
    <w:rsid w:val="001B3677"/>
    <w:pPr>
      <w:numPr>
        <w:numId w:val="47"/>
      </w:numPr>
    </w:pPr>
  </w:style>
  <w:style w:type="numbering" w:customStyle="1" w:styleId="Estiloimportado28">
    <w:name w:val="Estilo importado 28"/>
    <w:rsid w:val="001B3677"/>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f"/>
    <w:link w:val="FootnoteTextChar"/>
    <w:qFormat/>
    <w:rsid w:val="001B3677"/>
    <w:pPr>
      <w:pBdr>
        <w:top w:val="nil"/>
        <w:left w:val="nil"/>
        <w:bottom w:val="nil"/>
        <w:right w:val="nil"/>
        <w:between w:val="nil"/>
        <w:bar w:val="nil"/>
      </w:pBdr>
    </w:pPr>
    <w:rPr>
      <w:rFonts w:eastAsia="Batang" w:cs="Calibri"/>
      <w:color w:val="000000"/>
      <w:u w:color="000000"/>
      <w:bdr w:val="nil"/>
      <w:lang w:eastAsia="es-E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 Char"/>
    <w:link w:val="FootnoteText"/>
    <w:qFormat/>
    <w:rsid w:val="001B3677"/>
    <w:rPr>
      <w:rFonts w:ascii="Calibri" w:eastAsia="Batang" w:hAnsi="Calibri" w:cs="Calibri"/>
      <w:color w:val="000000"/>
      <w:sz w:val="20"/>
      <w:szCs w:val="20"/>
      <w:u w:color="000000"/>
      <w:bdr w:val="nil"/>
      <w:lang w:eastAsia="es-ES"/>
    </w:rPr>
  </w:style>
  <w:style w:type="numbering" w:customStyle="1" w:styleId="List33">
    <w:name w:val="List 33"/>
    <w:basedOn w:val="Estiloimportado29"/>
    <w:rsid w:val="001B3677"/>
    <w:pPr>
      <w:numPr>
        <w:numId w:val="26"/>
      </w:numPr>
    </w:pPr>
  </w:style>
  <w:style w:type="numbering" w:customStyle="1" w:styleId="Estiloimportado29">
    <w:name w:val="Estilo importado 29"/>
    <w:rsid w:val="001B3677"/>
  </w:style>
  <w:style w:type="numbering" w:customStyle="1" w:styleId="List34">
    <w:name w:val="List 34"/>
    <w:basedOn w:val="Estiloimportado30"/>
    <w:rsid w:val="001B3677"/>
    <w:pPr>
      <w:numPr>
        <w:numId w:val="11"/>
      </w:numPr>
    </w:pPr>
  </w:style>
  <w:style w:type="numbering" w:customStyle="1" w:styleId="Estiloimportado30">
    <w:name w:val="Estilo importado 30"/>
    <w:rsid w:val="001B3677"/>
  </w:style>
  <w:style w:type="numbering" w:customStyle="1" w:styleId="List35">
    <w:name w:val="List 35"/>
    <w:basedOn w:val="Estiloimportado31"/>
    <w:rsid w:val="001B3677"/>
    <w:pPr>
      <w:numPr>
        <w:numId w:val="8"/>
      </w:numPr>
    </w:pPr>
  </w:style>
  <w:style w:type="numbering" w:customStyle="1" w:styleId="Estiloimportado31">
    <w:name w:val="Estilo importado 31"/>
    <w:rsid w:val="001B3677"/>
  </w:style>
  <w:style w:type="numbering" w:customStyle="1" w:styleId="List36">
    <w:name w:val="List 36"/>
    <w:basedOn w:val="Estiloimportado32"/>
    <w:rsid w:val="001B3677"/>
    <w:pPr>
      <w:numPr>
        <w:numId w:val="14"/>
      </w:numPr>
    </w:pPr>
  </w:style>
  <w:style w:type="numbering" w:customStyle="1" w:styleId="Estiloimportado32">
    <w:name w:val="Estilo importado 32"/>
    <w:rsid w:val="001B3677"/>
  </w:style>
  <w:style w:type="numbering" w:customStyle="1" w:styleId="List37">
    <w:name w:val="List 37"/>
    <w:basedOn w:val="Estiloimportado33"/>
    <w:rsid w:val="001B3677"/>
    <w:pPr>
      <w:numPr>
        <w:numId w:val="46"/>
      </w:numPr>
    </w:pPr>
  </w:style>
  <w:style w:type="numbering" w:customStyle="1" w:styleId="Estiloimportado33">
    <w:name w:val="Estilo importado 33"/>
    <w:rsid w:val="001B3677"/>
  </w:style>
  <w:style w:type="numbering" w:customStyle="1" w:styleId="List38">
    <w:name w:val="List 38"/>
    <w:basedOn w:val="Estiloimportado34"/>
    <w:rsid w:val="001B3677"/>
    <w:pPr>
      <w:numPr>
        <w:numId w:val="35"/>
      </w:numPr>
    </w:pPr>
  </w:style>
  <w:style w:type="numbering" w:customStyle="1" w:styleId="Estiloimportado34">
    <w:name w:val="Estilo importado 34"/>
    <w:rsid w:val="001B3677"/>
  </w:style>
  <w:style w:type="numbering" w:customStyle="1" w:styleId="List39">
    <w:name w:val="List 39"/>
    <w:basedOn w:val="Estiloimportado35"/>
    <w:rsid w:val="001B3677"/>
    <w:pPr>
      <w:numPr>
        <w:numId w:val="45"/>
      </w:numPr>
    </w:pPr>
  </w:style>
  <w:style w:type="numbering" w:customStyle="1" w:styleId="Estiloimportado35">
    <w:name w:val="Estilo importado 35"/>
    <w:rsid w:val="001B3677"/>
  </w:style>
  <w:style w:type="numbering" w:customStyle="1" w:styleId="List40">
    <w:name w:val="List 40"/>
    <w:basedOn w:val="Estiloimportado36"/>
    <w:rsid w:val="001B3677"/>
    <w:pPr>
      <w:numPr>
        <w:numId w:val="21"/>
      </w:numPr>
    </w:pPr>
  </w:style>
  <w:style w:type="numbering" w:customStyle="1" w:styleId="Estiloimportado36">
    <w:name w:val="Estilo importado 36"/>
    <w:rsid w:val="001B3677"/>
  </w:style>
  <w:style w:type="numbering" w:customStyle="1" w:styleId="Estiloimportado37">
    <w:name w:val="Estilo importado 37"/>
    <w:rsid w:val="001B3677"/>
  </w:style>
  <w:style w:type="numbering" w:customStyle="1" w:styleId="List42">
    <w:name w:val="List 42"/>
    <w:basedOn w:val="Estiloimportado12"/>
    <w:rsid w:val="001B3677"/>
    <w:pPr>
      <w:numPr>
        <w:numId w:val="12"/>
      </w:numPr>
    </w:pPr>
  </w:style>
  <w:style w:type="numbering" w:customStyle="1" w:styleId="List43">
    <w:name w:val="List 43"/>
    <w:basedOn w:val="Estiloimportado38"/>
    <w:rsid w:val="001B3677"/>
    <w:pPr>
      <w:numPr>
        <w:numId w:val="23"/>
      </w:numPr>
    </w:pPr>
  </w:style>
  <w:style w:type="numbering" w:customStyle="1" w:styleId="Estiloimportado38">
    <w:name w:val="Estilo importado 38"/>
    <w:rsid w:val="001B3677"/>
  </w:style>
  <w:style w:type="numbering" w:customStyle="1" w:styleId="List44">
    <w:name w:val="List 44"/>
    <w:basedOn w:val="Estiloimportado39"/>
    <w:rsid w:val="001B3677"/>
    <w:pPr>
      <w:numPr>
        <w:numId w:val="40"/>
      </w:numPr>
    </w:pPr>
  </w:style>
  <w:style w:type="numbering" w:customStyle="1" w:styleId="Estiloimportado39">
    <w:name w:val="Estilo importado 39"/>
    <w:rsid w:val="001B3677"/>
  </w:style>
  <w:style w:type="numbering" w:customStyle="1" w:styleId="List45">
    <w:name w:val="List 45"/>
    <w:basedOn w:val="Estiloimportado40"/>
    <w:rsid w:val="001B3677"/>
    <w:pPr>
      <w:numPr>
        <w:numId w:val="20"/>
      </w:numPr>
    </w:pPr>
  </w:style>
  <w:style w:type="numbering" w:customStyle="1" w:styleId="Estiloimportado40">
    <w:name w:val="Estilo importado 40"/>
    <w:rsid w:val="001B3677"/>
  </w:style>
  <w:style w:type="numbering" w:customStyle="1" w:styleId="List46">
    <w:name w:val="List 46"/>
    <w:basedOn w:val="Estiloimportado41"/>
    <w:rsid w:val="001B3677"/>
    <w:pPr>
      <w:numPr>
        <w:numId w:val="24"/>
      </w:numPr>
    </w:pPr>
  </w:style>
  <w:style w:type="numbering" w:customStyle="1" w:styleId="Estiloimportado41">
    <w:name w:val="Estilo importado 41"/>
    <w:rsid w:val="001B3677"/>
  </w:style>
  <w:style w:type="numbering" w:customStyle="1" w:styleId="List47">
    <w:name w:val="List 47"/>
    <w:basedOn w:val="Estiloimportado42"/>
    <w:rsid w:val="001B3677"/>
    <w:pPr>
      <w:numPr>
        <w:numId w:val="29"/>
      </w:numPr>
    </w:pPr>
  </w:style>
  <w:style w:type="numbering" w:customStyle="1" w:styleId="Estiloimportado42">
    <w:name w:val="Estilo importado 42"/>
    <w:rsid w:val="001B3677"/>
  </w:style>
  <w:style w:type="numbering" w:customStyle="1" w:styleId="List48">
    <w:name w:val="List 48"/>
    <w:basedOn w:val="Estiloimportado43"/>
    <w:rsid w:val="001B3677"/>
    <w:pPr>
      <w:numPr>
        <w:numId w:val="49"/>
      </w:numPr>
    </w:pPr>
  </w:style>
  <w:style w:type="numbering" w:customStyle="1" w:styleId="Estiloimportado43">
    <w:name w:val="Estilo importado 43"/>
    <w:rsid w:val="001B3677"/>
  </w:style>
  <w:style w:type="numbering" w:customStyle="1" w:styleId="List49">
    <w:name w:val="List 49"/>
    <w:basedOn w:val="Estiloimportado44"/>
    <w:rsid w:val="001B3677"/>
    <w:pPr>
      <w:numPr>
        <w:numId w:val="39"/>
      </w:numPr>
    </w:pPr>
  </w:style>
  <w:style w:type="numbering" w:customStyle="1" w:styleId="Estiloimportado44">
    <w:name w:val="Estilo importado 44"/>
    <w:rsid w:val="001B3677"/>
  </w:style>
  <w:style w:type="numbering" w:customStyle="1" w:styleId="List50">
    <w:name w:val="List 50"/>
    <w:basedOn w:val="Estiloimportado45"/>
    <w:rsid w:val="001B3677"/>
    <w:pPr>
      <w:numPr>
        <w:numId w:val="37"/>
      </w:numPr>
    </w:pPr>
  </w:style>
  <w:style w:type="numbering" w:customStyle="1" w:styleId="Estiloimportado45">
    <w:name w:val="Estilo importado 45"/>
    <w:rsid w:val="001B3677"/>
  </w:style>
  <w:style w:type="numbering" w:customStyle="1" w:styleId="Estiloimportado46">
    <w:name w:val="Estilo importado 46"/>
    <w:rsid w:val="001B3677"/>
  </w:style>
  <w:style w:type="numbering" w:customStyle="1" w:styleId="List52">
    <w:name w:val="List 52"/>
    <w:basedOn w:val="Estiloimportado1"/>
    <w:rsid w:val="001B3677"/>
    <w:pPr>
      <w:numPr>
        <w:numId w:val="9"/>
      </w:numPr>
    </w:pPr>
  </w:style>
  <w:style w:type="paragraph" w:styleId="BalloonText">
    <w:name w:val="Balloon Text"/>
    <w:basedOn w:val="Normal"/>
    <w:link w:val="BalloonTextChar"/>
    <w:unhideWhenUsed/>
    <w:rsid w:val="001B3677"/>
    <w:pPr>
      <w:pBdr>
        <w:top w:val="nil"/>
        <w:left w:val="nil"/>
        <w:bottom w:val="nil"/>
        <w:right w:val="nil"/>
        <w:between w:val="nil"/>
        <w:bar w:val="nil"/>
      </w:pBdr>
      <w:spacing w:after="0" w:line="240" w:lineRule="auto"/>
    </w:pPr>
    <w:rPr>
      <w:rFonts w:ascii="Tahoma" w:eastAsia="Arial Unicode MS" w:hAnsi="Tahoma" w:cs="Tahoma"/>
      <w:sz w:val="16"/>
      <w:szCs w:val="16"/>
      <w:bdr w:val="nil"/>
      <w:lang w:val="es-ES_tradnl"/>
    </w:rPr>
  </w:style>
  <w:style w:type="character" w:customStyle="1" w:styleId="BalloonTextChar">
    <w:name w:val="Balloon Text Char"/>
    <w:link w:val="BalloonText"/>
    <w:rsid w:val="001B3677"/>
    <w:rPr>
      <w:rFonts w:ascii="Tahoma" w:eastAsia="Arial Unicode MS" w:hAnsi="Tahoma" w:cs="Tahoma"/>
      <w:sz w:val="16"/>
      <w:szCs w:val="16"/>
      <w:bdr w:val="nil"/>
      <w:lang w:val="es-ES_tradnl"/>
    </w:rPr>
  </w:style>
  <w:style w:type="paragraph" w:styleId="Header">
    <w:name w:val="header"/>
    <w:aliases w:val="encabezado"/>
    <w:basedOn w:val="Normal"/>
    <w:link w:val="HeaderChar"/>
    <w:rsid w:val="001B3677"/>
    <w:pPr>
      <w:widowControl w:val="0"/>
      <w:tabs>
        <w:tab w:val="center" w:pos="4320"/>
        <w:tab w:val="right" w:pos="8640"/>
      </w:tabs>
      <w:snapToGrid w:val="0"/>
      <w:spacing w:after="0" w:line="240" w:lineRule="auto"/>
    </w:pPr>
    <w:rPr>
      <w:rFonts w:ascii="Univers" w:eastAsia="Times New Roman" w:hAnsi="Univers" w:cs="Univers"/>
      <w:sz w:val="24"/>
      <w:szCs w:val="24"/>
      <w:lang w:val="es-ES_tradnl"/>
    </w:rPr>
  </w:style>
  <w:style w:type="character" w:customStyle="1" w:styleId="HeaderChar">
    <w:name w:val="Header Char"/>
    <w:aliases w:val="encabezado Char"/>
    <w:link w:val="Header"/>
    <w:rsid w:val="001B3677"/>
    <w:rPr>
      <w:rFonts w:ascii="Univers" w:eastAsia="Times New Roman" w:hAnsi="Univers" w:cs="Univers"/>
      <w:lang w:val="es-ES_tradnl"/>
    </w:rPr>
  </w:style>
  <w:style w:type="table" w:styleId="ColorfulShading-Accent4">
    <w:name w:val="Colorful Shading Accent 4"/>
    <w:basedOn w:val="TableNormal"/>
    <w:uiPriority w:val="63"/>
    <w:rsid w:val="001B3677"/>
    <w:rPr>
      <w:rFonts w:ascii="Times New Roman" w:eastAsia="Arial Unicode MS"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4D7973"/>
    <w:pPr>
      <w:pBdr>
        <w:top w:val="nil"/>
        <w:left w:val="nil"/>
        <w:bottom w:val="nil"/>
        <w:right w:val="nil"/>
        <w:between w:val="nil"/>
        <w:bar w:val="nil"/>
      </w:pBdr>
      <w:tabs>
        <w:tab w:val="left" w:pos="1170"/>
        <w:tab w:val="right" w:leader="dot" w:pos="9350"/>
      </w:tabs>
      <w:spacing w:after="100" w:line="240" w:lineRule="auto"/>
      <w:ind w:left="1170" w:hanging="450"/>
      <w:jc w:val="both"/>
    </w:pPr>
    <w:rPr>
      <w:rFonts w:ascii="Times New Roman" w:eastAsia="Arial Unicode MS" w:hAnsi="Times New Roman"/>
      <w:sz w:val="24"/>
      <w:szCs w:val="24"/>
      <w:bdr w:val="nil"/>
      <w:lang w:val="es-ES_tradnl"/>
    </w:rPr>
  </w:style>
  <w:style w:type="paragraph" w:styleId="TOC1">
    <w:name w:val="toc 1"/>
    <w:basedOn w:val="Normal"/>
    <w:next w:val="Normal"/>
    <w:autoRedefine/>
    <w:uiPriority w:val="39"/>
    <w:unhideWhenUsed/>
    <w:rsid w:val="001B3677"/>
    <w:pPr>
      <w:pBdr>
        <w:top w:val="nil"/>
        <w:left w:val="nil"/>
        <w:bottom w:val="nil"/>
        <w:right w:val="nil"/>
        <w:between w:val="nil"/>
        <w:bar w:val="nil"/>
      </w:pBdr>
      <w:tabs>
        <w:tab w:val="left" w:pos="720"/>
        <w:tab w:val="right" w:leader="dot" w:pos="9350"/>
      </w:tabs>
      <w:spacing w:after="100" w:line="240" w:lineRule="auto"/>
    </w:pPr>
    <w:rPr>
      <w:rFonts w:ascii="Cambria" w:eastAsia="Arial Unicode MS" w:hAnsi="Cambria"/>
      <w:b/>
      <w:noProof/>
      <w:sz w:val="20"/>
      <w:szCs w:val="20"/>
      <w:bdr w:val="nil"/>
      <w:lang w:val="es-PE"/>
    </w:rPr>
  </w:style>
  <w:style w:type="paragraph" w:styleId="TOC3">
    <w:name w:val="toc 3"/>
    <w:basedOn w:val="Normal"/>
    <w:next w:val="Normal"/>
    <w:autoRedefine/>
    <w:uiPriority w:val="39"/>
    <w:unhideWhenUsed/>
    <w:rsid w:val="001B3677"/>
    <w:pPr>
      <w:pBdr>
        <w:top w:val="nil"/>
        <w:left w:val="nil"/>
        <w:bottom w:val="nil"/>
        <w:right w:val="nil"/>
        <w:between w:val="nil"/>
        <w:bar w:val="nil"/>
      </w:pBdr>
      <w:tabs>
        <w:tab w:val="left" w:pos="880"/>
        <w:tab w:val="right" w:leader="dot" w:pos="9350"/>
      </w:tabs>
      <w:spacing w:after="100" w:line="240" w:lineRule="auto"/>
      <w:ind w:left="2160" w:hanging="720"/>
    </w:pPr>
    <w:rPr>
      <w:rFonts w:ascii="Times New Roman" w:eastAsia="Arial Unicode MS" w:hAnsi="Times New Roman"/>
      <w:sz w:val="24"/>
      <w:szCs w:val="24"/>
      <w:bdr w:val="nil"/>
      <w:lang w:val="es-ES_tradnl"/>
    </w:rPr>
  </w:style>
  <w:style w:type="paragraph" w:styleId="TOC4">
    <w:name w:val="toc 4"/>
    <w:basedOn w:val="Normal"/>
    <w:next w:val="Normal"/>
    <w:autoRedefine/>
    <w:unhideWhenUsed/>
    <w:rsid w:val="001B3677"/>
    <w:pPr>
      <w:pBdr>
        <w:top w:val="nil"/>
        <w:left w:val="nil"/>
        <w:bottom w:val="nil"/>
        <w:right w:val="nil"/>
        <w:between w:val="nil"/>
        <w:bar w:val="nil"/>
      </w:pBdr>
      <w:spacing w:after="100" w:line="240" w:lineRule="auto"/>
      <w:ind w:left="720"/>
    </w:pPr>
    <w:rPr>
      <w:rFonts w:ascii="Times New Roman" w:eastAsia="Arial Unicode MS" w:hAnsi="Times New Roman"/>
      <w:sz w:val="24"/>
      <w:szCs w:val="24"/>
      <w:bdr w:val="nil"/>
      <w:lang w:val="es-ES_tradnl"/>
    </w:rPr>
  </w:style>
  <w:style w:type="character" w:styleId="PageNumber">
    <w:name w:val="page number"/>
    <w:basedOn w:val="DefaultParagraphFont"/>
    <w:rsid w:val="001B3677"/>
  </w:style>
  <w:style w:type="character" w:styleId="FootnoteReference">
    <w:name w:val="footnote reference"/>
    <w:aliases w:val="Footnotes refss,Ref. de nota al pie.,Texto de nota al pie,Appel note de bas de page,referencia nota al pie,BVI fnr,Footnote number,f1,4_G,16 Point,Superscript 6 Point,Texto nota al pie,Footnote Reference Char3,f11,Footnote symbol"/>
    <w:link w:val="4GChar"/>
    <w:unhideWhenUsed/>
    <w:qFormat/>
    <w:rsid w:val="001B3677"/>
    <w:rPr>
      <w:vertAlign w:val="superscript"/>
    </w:rPr>
  </w:style>
  <w:style w:type="paragraph" w:styleId="BodyTextIndent2">
    <w:name w:val="Body Text Indent 2"/>
    <w:basedOn w:val="Normal"/>
    <w:link w:val="BodyTextIndent2Char"/>
    <w:unhideWhenUsed/>
    <w:rsid w:val="001B3677"/>
    <w:pPr>
      <w:pBdr>
        <w:top w:val="nil"/>
        <w:left w:val="nil"/>
        <w:bottom w:val="nil"/>
        <w:right w:val="nil"/>
        <w:between w:val="nil"/>
        <w:bar w:val="nil"/>
      </w:pBdr>
      <w:spacing w:after="120" w:line="480" w:lineRule="auto"/>
      <w:ind w:left="360"/>
    </w:pPr>
    <w:rPr>
      <w:rFonts w:ascii="Times New Roman" w:eastAsia="Arial Unicode MS" w:hAnsi="Times New Roman"/>
      <w:sz w:val="24"/>
      <w:szCs w:val="24"/>
      <w:bdr w:val="nil"/>
      <w:lang w:val="es-ES_tradnl"/>
    </w:rPr>
  </w:style>
  <w:style w:type="character" w:customStyle="1" w:styleId="BodyTextIndent2Char">
    <w:name w:val="Body Text Indent 2 Char"/>
    <w:link w:val="BodyTextIndent2"/>
    <w:rsid w:val="001B3677"/>
    <w:rPr>
      <w:rFonts w:ascii="Times New Roman" w:eastAsia="Arial Unicode MS" w:hAnsi="Times New Roman" w:cs="Times New Roman"/>
      <w:bdr w:val="nil"/>
      <w:lang w:val="es-ES_tradnl"/>
    </w:rPr>
  </w:style>
  <w:style w:type="paragraph" w:styleId="BodyText">
    <w:name w:val="Body Text"/>
    <w:basedOn w:val="Normal"/>
    <w:link w:val="BodyTextChar"/>
    <w:semiHidden/>
    <w:unhideWhenUsed/>
    <w:rsid w:val="001B3677"/>
    <w:pPr>
      <w:pBdr>
        <w:top w:val="nil"/>
        <w:left w:val="nil"/>
        <w:bottom w:val="nil"/>
        <w:right w:val="nil"/>
        <w:between w:val="nil"/>
        <w:bar w:val="nil"/>
      </w:pBdr>
      <w:spacing w:after="120" w:line="240" w:lineRule="auto"/>
    </w:pPr>
    <w:rPr>
      <w:rFonts w:ascii="Times New Roman" w:eastAsia="Arial Unicode MS" w:hAnsi="Times New Roman"/>
      <w:sz w:val="24"/>
      <w:szCs w:val="24"/>
      <w:bdr w:val="nil"/>
      <w:lang w:val="es-ES_tradnl"/>
    </w:rPr>
  </w:style>
  <w:style w:type="character" w:customStyle="1" w:styleId="BodyTextChar">
    <w:name w:val="Body Text Char"/>
    <w:link w:val="BodyText"/>
    <w:semiHidden/>
    <w:rsid w:val="001B3677"/>
    <w:rPr>
      <w:rFonts w:ascii="Times New Roman" w:eastAsia="Arial Unicode MS" w:hAnsi="Times New Roman" w:cs="Times New Roman"/>
      <w:bdr w:val="nil"/>
      <w:lang w:val="es-ES_tradnl"/>
    </w:rPr>
  </w:style>
  <w:style w:type="paragraph" w:customStyle="1" w:styleId="Default">
    <w:name w:val="Default"/>
    <w:link w:val="DefaultChar"/>
    <w:rsid w:val="001B3677"/>
    <w:pPr>
      <w:autoSpaceDE w:val="0"/>
      <w:autoSpaceDN w:val="0"/>
      <w:adjustRightInd w:val="0"/>
    </w:pPr>
    <w:rPr>
      <w:rFonts w:ascii="Times New Roman" w:eastAsia="Times New Roman" w:hAnsi="Times New Roman"/>
      <w:color w:val="000000"/>
      <w:sz w:val="24"/>
      <w:szCs w:val="24"/>
    </w:rPr>
  </w:style>
  <w:style w:type="paragraph" w:styleId="EndnoteText">
    <w:name w:val="endnote text"/>
    <w:basedOn w:val="Normal"/>
    <w:link w:val="EndnoteTextChar"/>
    <w:rsid w:val="001B3677"/>
    <w:pPr>
      <w:spacing w:before="100" w:beforeAutospacing="1" w:after="100" w:afterAutospacing="1" w:line="240" w:lineRule="auto"/>
    </w:pPr>
    <w:rPr>
      <w:rFonts w:ascii="Times New Roman" w:eastAsia="Times New Roman" w:hAnsi="Times New Roman"/>
      <w:sz w:val="24"/>
      <w:szCs w:val="24"/>
      <w:lang w:val="es-ES_tradnl"/>
    </w:rPr>
  </w:style>
  <w:style w:type="character" w:customStyle="1" w:styleId="EndnoteTextChar">
    <w:name w:val="Endnote Text Char"/>
    <w:link w:val="EndnoteText"/>
    <w:rsid w:val="001B3677"/>
    <w:rPr>
      <w:rFonts w:ascii="Times New Roman" w:eastAsia="Times New Roman" w:hAnsi="Times New Roman" w:cs="Times New Roman"/>
      <w:lang w:val="es-ES_tradnl"/>
    </w:rPr>
  </w:style>
  <w:style w:type="character" w:customStyle="1" w:styleId="DefaultChar">
    <w:name w:val="Default Char"/>
    <w:link w:val="Default"/>
    <w:rsid w:val="001B3677"/>
    <w:rPr>
      <w:rFonts w:ascii="Times New Roman" w:eastAsia="Times New Roman" w:hAnsi="Times New Roman" w:cs="Times New Roman"/>
      <w:color w:val="000000"/>
    </w:rPr>
  </w:style>
  <w:style w:type="paragraph" w:styleId="Title">
    <w:name w:val="Title"/>
    <w:basedOn w:val="Normal"/>
    <w:next w:val="Subtitle"/>
    <w:link w:val="TitleChar"/>
    <w:qFormat/>
    <w:rsid w:val="001B3677"/>
    <w:pPr>
      <w:suppressAutoHyphens/>
      <w:spacing w:after="0" w:line="240" w:lineRule="auto"/>
      <w:ind w:firstLine="720"/>
      <w:jc w:val="center"/>
    </w:pPr>
    <w:rPr>
      <w:rFonts w:ascii="Univers" w:eastAsia="MS Mincho" w:hAnsi="Univers"/>
      <w:b/>
      <w:szCs w:val="20"/>
      <w:lang w:val="es-ES_tradnl" w:eastAsia="ar-SA"/>
    </w:rPr>
  </w:style>
  <w:style w:type="character" w:customStyle="1" w:styleId="TitleChar">
    <w:name w:val="Title Char"/>
    <w:link w:val="Title"/>
    <w:rsid w:val="001B3677"/>
    <w:rPr>
      <w:rFonts w:ascii="Univers" w:eastAsia="MS Mincho" w:hAnsi="Univers" w:cs="Times New Roman"/>
      <w:b/>
      <w:sz w:val="22"/>
      <w:szCs w:val="20"/>
      <w:lang w:val="es-ES_tradnl" w:eastAsia="ar-SA"/>
    </w:rPr>
  </w:style>
  <w:style w:type="paragraph" w:styleId="Subtitle">
    <w:name w:val="Subtitle"/>
    <w:basedOn w:val="Normal"/>
    <w:link w:val="SubtitleChar"/>
    <w:qFormat/>
    <w:rsid w:val="001B3677"/>
    <w:pPr>
      <w:suppressAutoHyphens/>
      <w:spacing w:after="60" w:line="240" w:lineRule="auto"/>
      <w:jc w:val="center"/>
      <w:outlineLvl w:val="1"/>
    </w:pPr>
    <w:rPr>
      <w:rFonts w:ascii="Arial" w:eastAsia="MS Mincho" w:hAnsi="Arial" w:cs="Arial"/>
      <w:sz w:val="24"/>
      <w:szCs w:val="24"/>
      <w:lang w:val="es-ES_tradnl" w:eastAsia="ar-SA"/>
    </w:rPr>
  </w:style>
  <w:style w:type="character" w:customStyle="1" w:styleId="SubtitleChar">
    <w:name w:val="Subtitle Char"/>
    <w:link w:val="Subtitle"/>
    <w:rsid w:val="001B3677"/>
    <w:rPr>
      <w:rFonts w:ascii="Arial" w:eastAsia="MS Mincho" w:hAnsi="Arial" w:cs="Arial"/>
      <w:lang w:val="es-ES_tradnl" w:eastAsia="ar-SA"/>
    </w:rPr>
  </w:style>
  <w:style w:type="paragraph" w:styleId="NormalWeb">
    <w:name w:val="Normal (Web)"/>
    <w:aliases w:val="Normal (Web) Char1,Normal (Web) Char Char,Normal (Web) Char1 Char,Normal (Web) Char Char Char"/>
    <w:basedOn w:val="Normal"/>
    <w:uiPriority w:val="99"/>
    <w:unhideWhenUsed/>
    <w:rsid w:val="001B3677"/>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BodyTextIndent3">
    <w:name w:val="Body Text Indent 3"/>
    <w:basedOn w:val="Normal"/>
    <w:link w:val="BodyTextIndent3Char"/>
    <w:rsid w:val="001B3677"/>
    <w:pPr>
      <w:suppressAutoHyphens/>
      <w:spacing w:after="120" w:line="240" w:lineRule="auto"/>
      <w:ind w:left="360"/>
    </w:pPr>
    <w:rPr>
      <w:rFonts w:ascii="Times New Roman" w:eastAsia="MS Mincho" w:hAnsi="Times New Roman"/>
      <w:sz w:val="16"/>
      <w:szCs w:val="16"/>
      <w:lang w:val="es-ES_tradnl" w:eastAsia="ar-SA"/>
    </w:rPr>
  </w:style>
  <w:style w:type="character" w:customStyle="1" w:styleId="BodyTextIndent3Char">
    <w:name w:val="Body Text Indent 3 Char"/>
    <w:link w:val="BodyTextIndent3"/>
    <w:rsid w:val="001B3677"/>
    <w:rPr>
      <w:rFonts w:ascii="Times New Roman" w:eastAsia="MS Mincho" w:hAnsi="Times New Roman" w:cs="Times New Roman"/>
      <w:sz w:val="16"/>
      <w:szCs w:val="16"/>
      <w:lang w:val="es-ES_tradnl" w:eastAsia="ar-SA"/>
    </w:rPr>
  </w:style>
  <w:style w:type="paragraph" w:styleId="HTMLPreformatted">
    <w:name w:val="HTML Preformatted"/>
    <w:basedOn w:val="Normal"/>
    <w:link w:val="HTMLPreformattedChar"/>
    <w:rsid w:val="001B3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_tradnl"/>
    </w:rPr>
  </w:style>
  <w:style w:type="character" w:customStyle="1" w:styleId="HTMLPreformattedChar">
    <w:name w:val="HTML Preformatted Char"/>
    <w:link w:val="HTMLPreformatted"/>
    <w:rsid w:val="001B3677"/>
    <w:rPr>
      <w:rFonts w:ascii="Courier New" w:eastAsia="Times New Roman" w:hAnsi="Courier New" w:cs="Courier New"/>
      <w:sz w:val="20"/>
      <w:szCs w:val="20"/>
      <w:lang w:val="es-ES_tradnl"/>
    </w:rPr>
  </w:style>
  <w:style w:type="paragraph" w:styleId="BlockText">
    <w:name w:val="Block Text"/>
    <w:basedOn w:val="Normal"/>
    <w:rsid w:val="001B3677"/>
    <w:pPr>
      <w:spacing w:after="0" w:line="240" w:lineRule="auto"/>
      <w:ind w:left="720" w:right="720"/>
      <w:jc w:val="both"/>
    </w:pPr>
    <w:rPr>
      <w:rFonts w:ascii="Univers" w:eastAsia="Times New Roman" w:hAnsi="Univers"/>
      <w:sz w:val="18"/>
      <w:szCs w:val="20"/>
      <w:lang w:val="es-ES_tradnl"/>
    </w:rPr>
  </w:style>
  <w:style w:type="paragraph" w:customStyle="1" w:styleId="Textonotapie1">
    <w:name w:val="Texto nota pie1"/>
    <w:basedOn w:val="Normal"/>
    <w:semiHidden/>
    <w:rsid w:val="001B3677"/>
    <w:pPr>
      <w:spacing w:after="0" w:line="240" w:lineRule="auto"/>
    </w:pPr>
    <w:rPr>
      <w:rFonts w:ascii="Times New Roman" w:eastAsia="Times New Roman" w:hAnsi="Times New Roman"/>
      <w:sz w:val="20"/>
      <w:szCs w:val="20"/>
      <w:lang w:val="es-ES_tradnl" w:eastAsia="es-ES"/>
    </w:rPr>
  </w:style>
  <w:style w:type="character" w:styleId="FollowedHyperlink">
    <w:name w:val="FollowedHyperlink"/>
    <w:rsid w:val="001B3677"/>
    <w:rPr>
      <w:color w:val="800080"/>
      <w:u w:val="single"/>
    </w:rPr>
  </w:style>
  <w:style w:type="character" w:customStyle="1" w:styleId="apple-converted-space">
    <w:name w:val="apple-converted-space"/>
    <w:basedOn w:val="DefaultParagraphFont"/>
    <w:rsid w:val="001B3677"/>
  </w:style>
  <w:style w:type="paragraph" w:styleId="BodyText2">
    <w:name w:val="Body Text 2"/>
    <w:basedOn w:val="Normal"/>
    <w:link w:val="BodyText2Char"/>
    <w:uiPriority w:val="99"/>
    <w:semiHidden/>
    <w:unhideWhenUsed/>
    <w:rsid w:val="001B3677"/>
    <w:pPr>
      <w:pBdr>
        <w:top w:val="nil"/>
        <w:left w:val="nil"/>
        <w:bottom w:val="nil"/>
        <w:right w:val="nil"/>
        <w:between w:val="nil"/>
        <w:bar w:val="nil"/>
      </w:pBdr>
      <w:spacing w:after="120" w:line="480" w:lineRule="auto"/>
    </w:pPr>
    <w:rPr>
      <w:rFonts w:ascii="Times New Roman" w:eastAsia="Arial Unicode MS" w:hAnsi="Times New Roman"/>
      <w:sz w:val="24"/>
      <w:szCs w:val="24"/>
      <w:bdr w:val="nil"/>
      <w:lang w:val="es-ES_tradnl"/>
    </w:rPr>
  </w:style>
  <w:style w:type="character" w:customStyle="1" w:styleId="BodyText2Char">
    <w:name w:val="Body Text 2 Char"/>
    <w:link w:val="BodyText2"/>
    <w:uiPriority w:val="99"/>
    <w:semiHidden/>
    <w:rsid w:val="001B3677"/>
    <w:rPr>
      <w:rFonts w:ascii="Times New Roman" w:eastAsia="Arial Unicode MS" w:hAnsi="Times New Roman" w:cs="Times New Roman"/>
      <w:bdr w:val="nil"/>
      <w:lang w:val="es-ES_tradnl"/>
    </w:rPr>
  </w:style>
  <w:style w:type="paragraph" w:customStyle="1" w:styleId="yiv1126921495msonormal">
    <w:name w:val="yiv1126921495msonormal"/>
    <w:basedOn w:val="Normal"/>
    <w:rsid w:val="001B3677"/>
    <w:pPr>
      <w:spacing w:before="100" w:beforeAutospacing="1" w:after="100" w:afterAutospacing="1" w:line="240" w:lineRule="auto"/>
    </w:pPr>
    <w:rPr>
      <w:rFonts w:ascii="Times New Roman" w:eastAsia="Times New Roman" w:hAnsi="Times New Roman"/>
      <w:sz w:val="24"/>
      <w:szCs w:val="24"/>
      <w:lang w:val="es-ES_tradnl"/>
    </w:rPr>
  </w:style>
  <w:style w:type="character" w:customStyle="1" w:styleId="ColorfulList-Accent1Char">
    <w:name w:val="Colorful List - Accent 1 Char"/>
    <w:link w:val="ColorfulList-Accent11"/>
    <w:uiPriority w:val="99"/>
    <w:rsid w:val="001B3677"/>
    <w:rPr>
      <w:rFonts w:ascii="Cambria" w:eastAsia="Cambria" w:hAnsi="Cambria" w:cs="Cambria"/>
      <w:color w:val="000000"/>
      <w:u w:color="000000"/>
      <w:bdr w:val="nil"/>
      <w:lang w:eastAsia="es-ES"/>
    </w:rPr>
  </w:style>
  <w:style w:type="character" w:customStyle="1" w:styleId="GridTable1Light1">
    <w:name w:val="Grid Table 1 Light1"/>
    <w:uiPriority w:val="33"/>
    <w:qFormat/>
    <w:rsid w:val="001B3677"/>
    <w:rPr>
      <w:b/>
      <w:bCs/>
      <w:smallCaps/>
      <w:spacing w:val="5"/>
    </w:rPr>
  </w:style>
  <w:style w:type="character" w:customStyle="1" w:styleId="FootnoteTextChar3">
    <w:name w:val="Footnote Text Char3"/>
    <w:aliases w:val="Footnote Text Char Char Char Char Char Char1,Footnote Text Char Char Char Char Char2,FA Fu Char1,Footnote reference Char1,Footnote Text Char Char Char Char2,Footnote Text Cha Char1,FA Fußnotentext Char1,FA Fuﬂnotentext Char1,Ca Char2"/>
    <w:semiHidden/>
    <w:locked/>
    <w:rsid w:val="001B3677"/>
    <w:rPr>
      <w:rFonts w:ascii="Univers" w:hAnsi="Univers" w:cs="Times New Roman"/>
      <w:lang w:val="en-US" w:eastAsia="en-US" w:bidi="ar-SA"/>
    </w:rPr>
  </w:style>
  <w:style w:type="character" w:styleId="CommentReference">
    <w:name w:val="annotation reference"/>
    <w:uiPriority w:val="99"/>
    <w:semiHidden/>
    <w:unhideWhenUsed/>
    <w:rsid w:val="001B3677"/>
    <w:rPr>
      <w:sz w:val="18"/>
      <w:szCs w:val="18"/>
    </w:rPr>
  </w:style>
  <w:style w:type="paragraph" w:styleId="CommentText">
    <w:name w:val="annotation text"/>
    <w:basedOn w:val="Normal"/>
    <w:link w:val="CommentTextChar"/>
    <w:uiPriority w:val="99"/>
    <w:unhideWhenUsed/>
    <w:rsid w:val="001B3677"/>
    <w:pPr>
      <w:pBdr>
        <w:top w:val="nil"/>
        <w:left w:val="nil"/>
        <w:bottom w:val="nil"/>
        <w:right w:val="nil"/>
        <w:between w:val="nil"/>
        <w:bar w:val="nil"/>
      </w:pBdr>
      <w:spacing w:after="0" w:line="240" w:lineRule="auto"/>
    </w:pPr>
    <w:rPr>
      <w:rFonts w:ascii="Times New Roman" w:eastAsia="Arial Unicode MS" w:hAnsi="Times New Roman"/>
      <w:sz w:val="24"/>
      <w:szCs w:val="24"/>
      <w:bdr w:val="nil"/>
      <w:lang w:val="es-ES_tradnl"/>
    </w:rPr>
  </w:style>
  <w:style w:type="character" w:customStyle="1" w:styleId="CommentTextChar">
    <w:name w:val="Comment Text Char"/>
    <w:link w:val="CommentText"/>
    <w:uiPriority w:val="99"/>
    <w:rsid w:val="001B3677"/>
    <w:rPr>
      <w:rFonts w:ascii="Times New Roman" w:eastAsia="Arial Unicode MS" w:hAnsi="Times New Roman" w:cs="Times New Roman"/>
      <w:bdr w:val="nil"/>
      <w:lang w:val="es-ES_tradnl"/>
    </w:rPr>
  </w:style>
  <w:style w:type="paragraph" w:styleId="CommentSubject">
    <w:name w:val="annotation subject"/>
    <w:basedOn w:val="CommentText"/>
    <w:next w:val="CommentText"/>
    <w:link w:val="CommentSubjectChar"/>
    <w:uiPriority w:val="99"/>
    <w:semiHidden/>
    <w:unhideWhenUsed/>
    <w:rsid w:val="001B3677"/>
    <w:rPr>
      <w:b/>
      <w:bCs/>
      <w:sz w:val="20"/>
      <w:szCs w:val="20"/>
    </w:rPr>
  </w:style>
  <w:style w:type="character" w:customStyle="1" w:styleId="CommentSubjectChar">
    <w:name w:val="Comment Subject Char"/>
    <w:link w:val="CommentSubject"/>
    <w:uiPriority w:val="99"/>
    <w:semiHidden/>
    <w:rsid w:val="001B3677"/>
    <w:rPr>
      <w:rFonts w:ascii="Times New Roman" w:eastAsia="Arial Unicode MS" w:hAnsi="Times New Roman" w:cs="Times New Roman"/>
      <w:b/>
      <w:bCs/>
      <w:sz w:val="20"/>
      <w:szCs w:val="20"/>
      <w:bdr w:val="nil"/>
      <w:lang w:val="es-ES_tradnl"/>
    </w:rPr>
  </w:style>
  <w:style w:type="character" w:styleId="Strong">
    <w:name w:val="Strong"/>
    <w:uiPriority w:val="22"/>
    <w:qFormat/>
    <w:rsid w:val="001B3677"/>
    <w:rPr>
      <w:b/>
      <w:bCs/>
    </w:rPr>
  </w:style>
  <w:style w:type="paragraph" w:styleId="PlainText">
    <w:name w:val="Plain Text"/>
    <w:basedOn w:val="Normal"/>
    <w:link w:val="PlainTextChar"/>
    <w:uiPriority w:val="99"/>
    <w:semiHidden/>
    <w:unhideWhenUsed/>
    <w:rsid w:val="001B3677"/>
    <w:pPr>
      <w:spacing w:after="0" w:line="240" w:lineRule="auto"/>
    </w:pPr>
    <w:rPr>
      <w:rFonts w:eastAsia="Calibri"/>
      <w:szCs w:val="21"/>
    </w:rPr>
  </w:style>
  <w:style w:type="character" w:customStyle="1" w:styleId="PlainTextChar">
    <w:name w:val="Plain Text Char"/>
    <w:link w:val="PlainText"/>
    <w:uiPriority w:val="99"/>
    <w:semiHidden/>
    <w:rsid w:val="001B3677"/>
    <w:rPr>
      <w:rFonts w:ascii="Calibri" w:eastAsia="Calibri" w:hAnsi="Calibri" w:cs="Times New Roman"/>
      <w:sz w:val="22"/>
      <w:szCs w:val="21"/>
    </w:rPr>
  </w:style>
  <w:style w:type="paragraph" w:customStyle="1" w:styleId="Estilo7">
    <w:name w:val="Estilo7"/>
    <w:basedOn w:val="Normal"/>
    <w:qFormat/>
    <w:rsid w:val="001B3677"/>
    <w:pPr>
      <w:numPr>
        <w:ilvl w:val="2"/>
        <w:numId w:val="51"/>
      </w:numPr>
      <w:tabs>
        <w:tab w:val="left" w:pos="567"/>
        <w:tab w:val="left" w:pos="851"/>
      </w:tabs>
      <w:spacing w:before="120" w:after="120" w:line="240" w:lineRule="auto"/>
      <w:jc w:val="both"/>
    </w:pPr>
    <w:rPr>
      <w:rFonts w:ascii="Verdana" w:hAnsi="Verdana"/>
      <w:b/>
      <w:i/>
      <w:sz w:val="20"/>
      <w:szCs w:val="20"/>
      <w:lang w:val="es-ES_tradnl" w:eastAsia="es-MX"/>
    </w:rPr>
  </w:style>
  <w:style w:type="character" w:customStyle="1" w:styleId="ColorfulGrid-Accent1Char">
    <w:name w:val="Colorful Grid - Accent 1 Char"/>
    <w:link w:val="MediumGrid1-Accent4"/>
    <w:uiPriority w:val="29"/>
    <w:rsid w:val="001B3677"/>
    <w:rPr>
      <w:rFonts w:ascii="Calibri" w:eastAsia="Times New Roman" w:hAnsi="Calibri" w:cs="Times New Roman"/>
      <w:sz w:val="20"/>
      <w:szCs w:val="22"/>
      <w:lang w:val="es-ES" w:eastAsia="x-none"/>
    </w:rPr>
  </w:style>
  <w:style w:type="character" w:customStyle="1" w:styleId="skypepnhprintcontainer">
    <w:name w:val="skype_pnh_print_container"/>
    <w:rsid w:val="001B3677"/>
    <w:rPr>
      <w:rFonts w:cs="Times New Roman"/>
    </w:rPr>
  </w:style>
  <w:style w:type="character" w:customStyle="1" w:styleId="skypepnhcontainer">
    <w:name w:val="skype_pnh_container"/>
    <w:rsid w:val="001B3677"/>
    <w:rPr>
      <w:rFonts w:cs="Times New Roman"/>
    </w:rPr>
  </w:style>
  <w:style w:type="character" w:customStyle="1" w:styleId="s6b621b36">
    <w:name w:val="s6b621b36"/>
    <w:rsid w:val="001B3677"/>
    <w:rPr>
      <w:rFonts w:cs="Times New Roman"/>
    </w:rPr>
  </w:style>
  <w:style w:type="paragraph" w:customStyle="1" w:styleId="Footnotes">
    <w:name w:val="Footnotes"/>
    <w:basedOn w:val="FootnoteText"/>
    <w:autoRedefine/>
    <w:qFormat/>
    <w:rsid w:val="001B3677"/>
    <w:pPr>
      <w:pBdr>
        <w:top w:val="none" w:sz="0" w:space="0" w:color="auto"/>
        <w:left w:val="none" w:sz="0" w:space="0" w:color="auto"/>
        <w:bottom w:val="none" w:sz="0" w:space="0" w:color="auto"/>
        <w:right w:val="none" w:sz="0" w:space="0" w:color="auto"/>
        <w:between w:val="none" w:sz="0" w:space="0" w:color="auto"/>
        <w:bar w:val="none" w:sz="0" w:color="auto"/>
      </w:pBdr>
      <w:spacing w:after="120"/>
      <w:ind w:firstLine="709"/>
      <w:jc w:val="both"/>
    </w:pPr>
    <w:rPr>
      <w:rFonts w:ascii="Cambria" w:eastAsia="Times New Roman" w:hAnsi="Cambria" w:cs="Times New Roman"/>
      <w:color w:val="auto"/>
      <w:sz w:val="16"/>
      <w:szCs w:val="18"/>
      <w:bdr w:val="none" w:sz="0" w:space="0" w:color="auto"/>
      <w:lang w:val="es-ES_tradnl" w:eastAsia="x-none"/>
    </w:rPr>
  </w:style>
  <w:style w:type="character" w:customStyle="1" w:styleId="apple-style-span">
    <w:name w:val="apple-style-span"/>
    <w:rsid w:val="001B3677"/>
  </w:style>
  <w:style w:type="character" w:customStyle="1" w:styleId="BodyTextIndentChar1">
    <w:name w:val="Body Text Indent Char1"/>
    <w:locked/>
    <w:rsid w:val="001B3677"/>
    <w:rPr>
      <w:rFonts w:eastAsia="Times New Roman"/>
      <w:color w:val="000000"/>
      <w:sz w:val="24"/>
      <w:szCs w:val="24"/>
      <w:u w:color="000000"/>
      <w:lang w:val="es-ES_tradnl"/>
    </w:rPr>
  </w:style>
  <w:style w:type="table" w:styleId="TableGrid">
    <w:name w:val="Table Grid"/>
    <w:basedOn w:val="TableNormal"/>
    <w:uiPriority w:val="59"/>
    <w:rsid w:val="001B3677"/>
    <w:pPr>
      <w:pBdr>
        <w:top w:val="nil"/>
        <w:left w:val="nil"/>
        <w:bottom w:val="nil"/>
        <w:right w:val="nil"/>
        <w:between w:val="nil"/>
        <w:bar w:val="nil"/>
      </w:pBdr>
    </w:pPr>
    <w:rPr>
      <w:rFonts w:ascii="Times New Roman" w:eastAsia="Arial Unicode MS" w:hAnsi="Times New Roman"/>
      <w:bdr w:val="nil"/>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1B3677"/>
    <w:pPr>
      <w:widowControl w:val="0"/>
      <w:autoSpaceDE w:val="0"/>
      <w:autoSpaceDN w:val="0"/>
      <w:adjustRightInd w:val="0"/>
      <w:spacing w:after="0" w:line="240" w:lineRule="auto"/>
      <w:ind w:left="283" w:hanging="283"/>
    </w:pPr>
    <w:rPr>
      <w:rFonts w:ascii="Times New Roman" w:eastAsia="Times New Roman" w:hAnsi="Times New Roman"/>
      <w:sz w:val="24"/>
      <w:szCs w:val="24"/>
      <w:lang w:val="es-ES" w:eastAsia="es-CO"/>
    </w:rPr>
  </w:style>
  <w:style w:type="paragraph" w:customStyle="1" w:styleId="MediumGrid1-Accent21">
    <w:name w:val="Medium Grid 1 - Accent 21"/>
    <w:aliases w:val="Párrafo de lista1,List Paragraph1,List Paragraph11,List Paragraph2,Colorful List - Accent 12"/>
    <w:basedOn w:val="Normal"/>
    <w:link w:val="MediumGrid1-Accent2Char"/>
    <w:uiPriority w:val="99"/>
    <w:qFormat/>
    <w:rsid w:val="001B3677"/>
    <w:pPr>
      <w:ind w:left="708"/>
    </w:pPr>
  </w:style>
  <w:style w:type="table" w:styleId="MediumGrid1-Accent4">
    <w:name w:val="Medium Grid 1 Accent 4"/>
    <w:basedOn w:val="TableNormal"/>
    <w:link w:val="ColorfulGrid-Accent1Char"/>
    <w:uiPriority w:val="29"/>
    <w:semiHidden/>
    <w:unhideWhenUsed/>
    <w:rsid w:val="001B3677"/>
    <w:rPr>
      <w:rFonts w:eastAsia="Times New Roman"/>
      <w:szCs w:val="22"/>
      <w:lang w:val="es-ES" w:eastAsia="x-none"/>
    </w:rPr>
    <w:tblPr>
      <w:tblStyleRowBandSize w:val="1"/>
      <w:tblStyleColBandSize w:val="1"/>
      <w:tblBorders>
        <w:insideH w:val="single" w:sz="4" w:space="0" w:color="FFFFFF"/>
      </w:tblBorders>
    </w:tblPr>
    <w:tcPr>
      <w:shd w:val="clear" w:color="auto" w:fill="DEEAF6"/>
    </w:tcPr>
    <w:tblStylePr w:type="firstRow">
      <w:tblPr/>
      <w:tcPr>
        <w:shd w:val="clear" w:color="auto" w:fill="BDD6EE"/>
      </w:tcPr>
    </w:tblStylePr>
    <w:tblStylePr w:type="lastRow">
      <w:tblPr/>
      <w:tcPr>
        <w:shd w:val="clear" w:color="auto" w:fill="BDD6EE"/>
      </w:tcPr>
    </w:tblStylePr>
    <w:tblStylePr w:type="firstCol">
      <w:tblPr/>
      <w:tcPr>
        <w:shd w:val="clear" w:color="auto" w:fill="2E74B5"/>
      </w:tcPr>
    </w:tblStylePr>
    <w:tblStylePr w:type="lastCol">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paragraph" w:styleId="BodyText3">
    <w:name w:val="Body Text 3"/>
    <w:basedOn w:val="Normal"/>
    <w:link w:val="BodyText3Char"/>
    <w:rsid w:val="00874F2C"/>
    <w:pPr>
      <w:spacing w:after="120" w:line="240" w:lineRule="auto"/>
    </w:pPr>
    <w:rPr>
      <w:rFonts w:ascii="Univers" w:eastAsia="Times New Roman" w:hAnsi="Univers"/>
      <w:sz w:val="16"/>
      <w:szCs w:val="16"/>
      <w:lang w:val="es-ES_tradnl"/>
    </w:rPr>
  </w:style>
  <w:style w:type="character" w:customStyle="1" w:styleId="BodyText3Char">
    <w:name w:val="Body Text 3 Char"/>
    <w:link w:val="BodyText3"/>
    <w:rsid w:val="00874F2C"/>
    <w:rPr>
      <w:rFonts w:ascii="Univers" w:eastAsia="Times New Roman" w:hAnsi="Univers" w:cs="Times New Roman"/>
      <w:sz w:val="16"/>
      <w:szCs w:val="16"/>
      <w:lang w:val="es-ES_tradnl"/>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rsid w:val="007028AE"/>
    <w:pPr>
      <w:spacing w:after="0" w:line="240" w:lineRule="auto"/>
      <w:jc w:val="both"/>
    </w:pPr>
    <w:rPr>
      <w:rFonts w:eastAsia="Calibri"/>
      <w:sz w:val="24"/>
      <w:szCs w:val="24"/>
      <w:vertAlign w:val="superscript"/>
    </w:rPr>
  </w:style>
  <w:style w:type="paragraph" w:customStyle="1" w:styleId="BVIfnrCar1CarCarCarCar">
    <w:name w:val="BVI fnr Car1 Car Car Car Car"/>
    <w:aliases w:val="ftref Car Car Car Car Car Car Car Car Car Car,BVI fnr Char Car Car Car Car Car Car Car Car Car Car Car,BVI fnr Char Car Car Car Car Car Car Car Car Car Car Car Car Car"/>
    <w:basedOn w:val="Normal"/>
    <w:rsid w:val="009F3E66"/>
    <w:pPr>
      <w:spacing w:before="200" w:after="160" w:line="240" w:lineRule="exact"/>
    </w:pPr>
    <w:rPr>
      <w:rFonts w:ascii="Verdana" w:eastAsia="Arial Unicode MS" w:hAnsi="Verdana"/>
      <w:szCs w:val="20"/>
      <w:bdr w:val="nil"/>
      <w:vertAlign w:val="superscript"/>
      <w:lang w:val="es-ES" w:eastAsia="es-ES"/>
    </w:rPr>
  </w:style>
  <w:style w:type="character" w:customStyle="1" w:styleId="MediumGrid1-Accent2Char">
    <w:name w:val="Medium Grid 1 - Accent 2 Char"/>
    <w:aliases w:val="Párrafo de lista1 Char,List Paragraph1 Char,List Paragraph11 Char,List Paragraph2 Char,List Paragraph Char,Colorful List - Accent 11 Char,Lista vistosa - Énfasis 11 Char"/>
    <w:link w:val="MediumGrid1-Accent21"/>
    <w:locked/>
    <w:rsid w:val="005442CD"/>
    <w:rPr>
      <w:rFonts w:ascii="Calibri" w:eastAsia="Batang" w:hAnsi="Calibri" w:cs="Times New Roman"/>
      <w:sz w:val="22"/>
      <w:szCs w:val="22"/>
    </w:rPr>
  </w:style>
  <w:style w:type="paragraph" w:customStyle="1" w:styleId="1">
    <w:name w:val="1"/>
    <w:basedOn w:val="Normal"/>
    <w:rsid w:val="00651916"/>
    <w:pPr>
      <w:spacing w:after="160" w:line="240" w:lineRule="exact"/>
    </w:pPr>
    <w:rPr>
      <w:rFonts w:ascii="Times New Roman" w:eastAsia="Arial Unicode MS" w:hAnsi="Times New Roman"/>
      <w:sz w:val="20"/>
      <w:szCs w:val="20"/>
      <w:bdr w:val="nil"/>
      <w:vertAlign w:val="superscript"/>
      <w:lang w:val="es-ES" w:eastAsia="es-ES"/>
    </w:rPr>
  </w:style>
  <w:style w:type="character" w:customStyle="1" w:styleId="LightGrid-Accent11">
    <w:name w:val="Light Grid - Accent 11"/>
    <w:uiPriority w:val="99"/>
    <w:semiHidden/>
    <w:rsid w:val="00512742"/>
    <w:rPr>
      <w:color w:val="808080"/>
    </w:rPr>
  </w:style>
  <w:style w:type="paragraph" w:customStyle="1" w:styleId="MediumGrid1-Accent22">
    <w:name w:val="Medium Grid 1 - Accent 22"/>
    <w:basedOn w:val="Normal"/>
    <w:qFormat/>
    <w:rsid w:val="0069620F"/>
    <w:pPr>
      <w:ind w:left="708"/>
    </w:pPr>
  </w:style>
  <w:style w:type="paragraph" w:customStyle="1" w:styleId="Body1">
    <w:name w:val="Body 1"/>
    <w:link w:val="Body1Char"/>
    <w:uiPriority w:val="99"/>
    <w:rsid w:val="00F910C0"/>
    <w:pPr>
      <w:widowControl w:val="0"/>
      <w:adjustRightInd w:val="0"/>
      <w:jc w:val="both"/>
      <w:textAlignment w:val="baseline"/>
      <w:outlineLvl w:val="0"/>
    </w:pPr>
    <w:rPr>
      <w:rFonts w:ascii="Helvetica" w:eastAsia="ヒラギノ角ゴ Pro W3" w:hAnsi="Helvetica"/>
      <w:color w:val="000000"/>
      <w:sz w:val="22"/>
      <w:szCs w:val="22"/>
      <w:lang w:eastAsia="es-CR"/>
    </w:rPr>
  </w:style>
  <w:style w:type="character" w:customStyle="1" w:styleId="Body1Char">
    <w:name w:val="Body 1 Char"/>
    <w:link w:val="Body1"/>
    <w:uiPriority w:val="99"/>
    <w:locked/>
    <w:rsid w:val="00F910C0"/>
    <w:rPr>
      <w:rFonts w:ascii="Helvetica" w:eastAsia="ヒラギノ角ゴ Pro W3" w:hAnsi="Helvetica"/>
      <w:color w:val="000000"/>
      <w:sz w:val="22"/>
      <w:szCs w:val="22"/>
      <w:lang w:val="en-US" w:eastAsia="es-CR"/>
    </w:rPr>
  </w:style>
  <w:style w:type="paragraph" w:customStyle="1" w:styleId="MediumList2-Accent21">
    <w:name w:val="Medium List 2 - Accent 21"/>
    <w:hidden/>
    <w:uiPriority w:val="71"/>
    <w:rsid w:val="001B5456"/>
    <w:rPr>
      <w:rFonts w:eastAsia="Batang"/>
      <w:sz w:val="22"/>
      <w:szCs w:val="22"/>
    </w:rPr>
  </w:style>
  <w:style w:type="paragraph" w:customStyle="1" w:styleId="ColorfulList-Accent13">
    <w:name w:val="Colorful List - Accent 13"/>
    <w:basedOn w:val="Normal"/>
    <w:qFormat/>
    <w:rsid w:val="0050161B"/>
    <w:pPr>
      <w:ind w:left="708"/>
    </w:pPr>
  </w:style>
  <w:style w:type="paragraph" w:customStyle="1" w:styleId="FootnotesrefssChar1Char">
    <w:name w:val="Footnotes refss Char1 Char"/>
    <w:aliases w:val="Texto de nota al pie Char1 Char,Appel note de bas de page Char1 Char,Footnote number Char1 Char,referencia nota al pie Char1 Char,BVI fnr Char1 Char,f Char1 Char,4_G Char1 Char,16 Point Char1 Char"/>
    <w:basedOn w:val="Normal"/>
    <w:qFormat/>
    <w:rsid w:val="00D071B2"/>
    <w:pPr>
      <w:spacing w:after="160" w:line="240" w:lineRule="exact"/>
    </w:pPr>
    <w:rPr>
      <w:rFonts w:ascii="Times New Roman" w:eastAsia="Arial Unicode MS" w:hAnsi="Times New Roman"/>
      <w:sz w:val="20"/>
      <w:szCs w:val="20"/>
      <w:bdr w:val="nil"/>
      <w:vertAlign w:val="superscript"/>
      <w:lang w:val="es-ES" w:eastAsia="es-ES"/>
    </w:rPr>
  </w:style>
  <w:style w:type="paragraph" w:styleId="ListParagraph">
    <w:name w:val="List Paragraph"/>
    <w:aliases w:val="Lista vistosa - Énfasis 11"/>
    <w:basedOn w:val="Normal"/>
    <w:qFormat/>
    <w:rsid w:val="00674C92"/>
    <w:pPr>
      <w:ind w:left="708"/>
    </w:pPr>
  </w:style>
  <w:style w:type="paragraph" w:styleId="TOC5">
    <w:name w:val="toc 5"/>
    <w:basedOn w:val="Normal"/>
    <w:next w:val="Normal"/>
    <w:autoRedefine/>
    <w:uiPriority w:val="39"/>
    <w:unhideWhenUsed/>
    <w:rsid w:val="004D7973"/>
    <w:pPr>
      <w:ind w:left="880"/>
    </w:pPr>
  </w:style>
  <w:style w:type="paragraph" w:styleId="TOC6">
    <w:name w:val="toc 6"/>
    <w:basedOn w:val="Normal"/>
    <w:next w:val="Normal"/>
    <w:autoRedefine/>
    <w:uiPriority w:val="39"/>
    <w:unhideWhenUsed/>
    <w:rsid w:val="004D7973"/>
    <w:pPr>
      <w:ind w:left="1100"/>
    </w:pPr>
  </w:style>
  <w:style w:type="paragraph" w:styleId="TOC7">
    <w:name w:val="toc 7"/>
    <w:basedOn w:val="Normal"/>
    <w:next w:val="Normal"/>
    <w:autoRedefine/>
    <w:uiPriority w:val="39"/>
    <w:unhideWhenUsed/>
    <w:rsid w:val="004D7973"/>
    <w:pPr>
      <w:ind w:left="1320"/>
    </w:pPr>
  </w:style>
  <w:style w:type="paragraph" w:styleId="TOC8">
    <w:name w:val="toc 8"/>
    <w:basedOn w:val="Normal"/>
    <w:next w:val="Normal"/>
    <w:autoRedefine/>
    <w:uiPriority w:val="39"/>
    <w:unhideWhenUsed/>
    <w:rsid w:val="004D7973"/>
    <w:pPr>
      <w:ind w:left="1540"/>
    </w:pPr>
  </w:style>
  <w:style w:type="paragraph" w:styleId="TOC9">
    <w:name w:val="toc 9"/>
    <w:basedOn w:val="Normal"/>
    <w:next w:val="Normal"/>
    <w:autoRedefine/>
    <w:uiPriority w:val="39"/>
    <w:unhideWhenUsed/>
    <w:rsid w:val="004D7973"/>
    <w:pPr>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42041">
      <w:bodyDiv w:val="1"/>
      <w:marLeft w:val="0"/>
      <w:marRight w:val="0"/>
      <w:marTop w:val="0"/>
      <w:marBottom w:val="0"/>
      <w:divBdr>
        <w:top w:val="none" w:sz="0" w:space="0" w:color="auto"/>
        <w:left w:val="none" w:sz="0" w:space="0" w:color="auto"/>
        <w:bottom w:val="none" w:sz="0" w:space="0" w:color="auto"/>
        <w:right w:val="none" w:sz="0" w:space="0" w:color="auto"/>
      </w:divBdr>
    </w:div>
    <w:div w:id="69933877">
      <w:bodyDiv w:val="1"/>
      <w:marLeft w:val="0"/>
      <w:marRight w:val="0"/>
      <w:marTop w:val="0"/>
      <w:marBottom w:val="0"/>
      <w:divBdr>
        <w:top w:val="none" w:sz="0" w:space="0" w:color="auto"/>
        <w:left w:val="none" w:sz="0" w:space="0" w:color="auto"/>
        <w:bottom w:val="none" w:sz="0" w:space="0" w:color="auto"/>
        <w:right w:val="none" w:sz="0" w:space="0" w:color="auto"/>
      </w:divBdr>
    </w:div>
    <w:div w:id="217671867">
      <w:bodyDiv w:val="1"/>
      <w:marLeft w:val="0"/>
      <w:marRight w:val="0"/>
      <w:marTop w:val="0"/>
      <w:marBottom w:val="0"/>
      <w:divBdr>
        <w:top w:val="none" w:sz="0" w:space="0" w:color="auto"/>
        <w:left w:val="none" w:sz="0" w:space="0" w:color="auto"/>
        <w:bottom w:val="none" w:sz="0" w:space="0" w:color="auto"/>
        <w:right w:val="none" w:sz="0" w:space="0" w:color="auto"/>
      </w:divBdr>
    </w:div>
    <w:div w:id="219942649">
      <w:bodyDiv w:val="1"/>
      <w:marLeft w:val="0"/>
      <w:marRight w:val="0"/>
      <w:marTop w:val="0"/>
      <w:marBottom w:val="0"/>
      <w:divBdr>
        <w:top w:val="none" w:sz="0" w:space="0" w:color="auto"/>
        <w:left w:val="none" w:sz="0" w:space="0" w:color="auto"/>
        <w:bottom w:val="none" w:sz="0" w:space="0" w:color="auto"/>
        <w:right w:val="none" w:sz="0" w:space="0" w:color="auto"/>
      </w:divBdr>
    </w:div>
    <w:div w:id="237178717">
      <w:bodyDiv w:val="1"/>
      <w:marLeft w:val="0"/>
      <w:marRight w:val="0"/>
      <w:marTop w:val="0"/>
      <w:marBottom w:val="0"/>
      <w:divBdr>
        <w:top w:val="none" w:sz="0" w:space="0" w:color="auto"/>
        <w:left w:val="none" w:sz="0" w:space="0" w:color="auto"/>
        <w:bottom w:val="none" w:sz="0" w:space="0" w:color="auto"/>
        <w:right w:val="none" w:sz="0" w:space="0" w:color="auto"/>
      </w:divBdr>
    </w:div>
    <w:div w:id="367990141">
      <w:bodyDiv w:val="1"/>
      <w:marLeft w:val="0"/>
      <w:marRight w:val="0"/>
      <w:marTop w:val="0"/>
      <w:marBottom w:val="0"/>
      <w:divBdr>
        <w:top w:val="none" w:sz="0" w:space="0" w:color="auto"/>
        <w:left w:val="none" w:sz="0" w:space="0" w:color="auto"/>
        <w:bottom w:val="none" w:sz="0" w:space="0" w:color="auto"/>
        <w:right w:val="none" w:sz="0" w:space="0" w:color="auto"/>
      </w:divBdr>
    </w:div>
    <w:div w:id="905145595">
      <w:bodyDiv w:val="1"/>
      <w:marLeft w:val="0"/>
      <w:marRight w:val="0"/>
      <w:marTop w:val="0"/>
      <w:marBottom w:val="0"/>
      <w:divBdr>
        <w:top w:val="none" w:sz="0" w:space="0" w:color="auto"/>
        <w:left w:val="none" w:sz="0" w:space="0" w:color="auto"/>
        <w:bottom w:val="none" w:sz="0" w:space="0" w:color="auto"/>
        <w:right w:val="none" w:sz="0" w:space="0" w:color="auto"/>
      </w:divBdr>
    </w:div>
    <w:div w:id="922300614">
      <w:bodyDiv w:val="1"/>
      <w:marLeft w:val="0"/>
      <w:marRight w:val="0"/>
      <w:marTop w:val="0"/>
      <w:marBottom w:val="0"/>
      <w:divBdr>
        <w:top w:val="none" w:sz="0" w:space="0" w:color="auto"/>
        <w:left w:val="none" w:sz="0" w:space="0" w:color="auto"/>
        <w:bottom w:val="none" w:sz="0" w:space="0" w:color="auto"/>
        <w:right w:val="none" w:sz="0" w:space="0" w:color="auto"/>
      </w:divBdr>
      <w:divsChild>
        <w:div w:id="537473152">
          <w:marLeft w:val="0"/>
          <w:marRight w:val="0"/>
          <w:marTop w:val="0"/>
          <w:marBottom w:val="0"/>
          <w:divBdr>
            <w:top w:val="none" w:sz="0" w:space="0" w:color="auto"/>
            <w:left w:val="none" w:sz="0" w:space="0" w:color="auto"/>
            <w:bottom w:val="none" w:sz="0" w:space="0" w:color="auto"/>
            <w:right w:val="none" w:sz="0" w:space="0" w:color="auto"/>
          </w:divBdr>
          <w:divsChild>
            <w:div w:id="333340509">
              <w:marLeft w:val="0"/>
              <w:marRight w:val="0"/>
              <w:marTop w:val="0"/>
              <w:marBottom w:val="0"/>
              <w:divBdr>
                <w:top w:val="none" w:sz="0" w:space="0" w:color="auto"/>
                <w:left w:val="none" w:sz="0" w:space="0" w:color="auto"/>
                <w:bottom w:val="none" w:sz="0" w:space="0" w:color="auto"/>
                <w:right w:val="none" w:sz="0" w:space="0" w:color="auto"/>
              </w:divBdr>
              <w:divsChild>
                <w:div w:id="135295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100727">
      <w:bodyDiv w:val="1"/>
      <w:marLeft w:val="0"/>
      <w:marRight w:val="0"/>
      <w:marTop w:val="0"/>
      <w:marBottom w:val="0"/>
      <w:divBdr>
        <w:top w:val="none" w:sz="0" w:space="0" w:color="auto"/>
        <w:left w:val="none" w:sz="0" w:space="0" w:color="auto"/>
        <w:bottom w:val="none" w:sz="0" w:space="0" w:color="auto"/>
        <w:right w:val="none" w:sz="0" w:space="0" w:color="auto"/>
      </w:divBdr>
    </w:div>
    <w:div w:id="954948357">
      <w:bodyDiv w:val="1"/>
      <w:marLeft w:val="0"/>
      <w:marRight w:val="0"/>
      <w:marTop w:val="0"/>
      <w:marBottom w:val="0"/>
      <w:divBdr>
        <w:top w:val="none" w:sz="0" w:space="0" w:color="auto"/>
        <w:left w:val="none" w:sz="0" w:space="0" w:color="auto"/>
        <w:bottom w:val="none" w:sz="0" w:space="0" w:color="auto"/>
        <w:right w:val="none" w:sz="0" w:space="0" w:color="auto"/>
      </w:divBdr>
    </w:div>
    <w:div w:id="1110589665">
      <w:bodyDiv w:val="1"/>
      <w:marLeft w:val="0"/>
      <w:marRight w:val="0"/>
      <w:marTop w:val="0"/>
      <w:marBottom w:val="0"/>
      <w:divBdr>
        <w:top w:val="none" w:sz="0" w:space="0" w:color="auto"/>
        <w:left w:val="none" w:sz="0" w:space="0" w:color="auto"/>
        <w:bottom w:val="none" w:sz="0" w:space="0" w:color="auto"/>
        <w:right w:val="none" w:sz="0" w:space="0" w:color="auto"/>
      </w:divBdr>
    </w:div>
    <w:div w:id="1211721999">
      <w:bodyDiv w:val="1"/>
      <w:marLeft w:val="0"/>
      <w:marRight w:val="0"/>
      <w:marTop w:val="0"/>
      <w:marBottom w:val="0"/>
      <w:divBdr>
        <w:top w:val="none" w:sz="0" w:space="0" w:color="auto"/>
        <w:left w:val="none" w:sz="0" w:space="0" w:color="auto"/>
        <w:bottom w:val="none" w:sz="0" w:space="0" w:color="auto"/>
        <w:right w:val="none" w:sz="0" w:space="0" w:color="auto"/>
      </w:divBdr>
    </w:div>
    <w:div w:id="1264800109">
      <w:bodyDiv w:val="1"/>
      <w:marLeft w:val="0"/>
      <w:marRight w:val="0"/>
      <w:marTop w:val="0"/>
      <w:marBottom w:val="0"/>
      <w:divBdr>
        <w:top w:val="none" w:sz="0" w:space="0" w:color="auto"/>
        <w:left w:val="none" w:sz="0" w:space="0" w:color="auto"/>
        <w:bottom w:val="none" w:sz="0" w:space="0" w:color="auto"/>
        <w:right w:val="none" w:sz="0" w:space="0" w:color="auto"/>
      </w:divBdr>
    </w:div>
    <w:div w:id="1278020920">
      <w:bodyDiv w:val="1"/>
      <w:marLeft w:val="0"/>
      <w:marRight w:val="0"/>
      <w:marTop w:val="0"/>
      <w:marBottom w:val="0"/>
      <w:divBdr>
        <w:top w:val="none" w:sz="0" w:space="0" w:color="auto"/>
        <w:left w:val="none" w:sz="0" w:space="0" w:color="auto"/>
        <w:bottom w:val="none" w:sz="0" w:space="0" w:color="auto"/>
        <w:right w:val="none" w:sz="0" w:space="0" w:color="auto"/>
      </w:divBdr>
    </w:div>
    <w:div w:id="1360741202">
      <w:bodyDiv w:val="1"/>
      <w:marLeft w:val="0"/>
      <w:marRight w:val="0"/>
      <w:marTop w:val="0"/>
      <w:marBottom w:val="0"/>
      <w:divBdr>
        <w:top w:val="none" w:sz="0" w:space="0" w:color="auto"/>
        <w:left w:val="none" w:sz="0" w:space="0" w:color="auto"/>
        <w:bottom w:val="none" w:sz="0" w:space="0" w:color="auto"/>
        <w:right w:val="none" w:sz="0" w:space="0" w:color="auto"/>
      </w:divBdr>
    </w:div>
    <w:div w:id="1502811411">
      <w:bodyDiv w:val="1"/>
      <w:marLeft w:val="0"/>
      <w:marRight w:val="0"/>
      <w:marTop w:val="0"/>
      <w:marBottom w:val="0"/>
      <w:divBdr>
        <w:top w:val="none" w:sz="0" w:space="0" w:color="auto"/>
        <w:left w:val="none" w:sz="0" w:space="0" w:color="auto"/>
        <w:bottom w:val="none" w:sz="0" w:space="0" w:color="auto"/>
        <w:right w:val="none" w:sz="0" w:space="0" w:color="auto"/>
      </w:divBdr>
    </w:div>
    <w:div w:id="1616593187">
      <w:bodyDiv w:val="1"/>
      <w:marLeft w:val="0"/>
      <w:marRight w:val="0"/>
      <w:marTop w:val="0"/>
      <w:marBottom w:val="0"/>
      <w:divBdr>
        <w:top w:val="none" w:sz="0" w:space="0" w:color="auto"/>
        <w:left w:val="none" w:sz="0" w:space="0" w:color="auto"/>
        <w:bottom w:val="none" w:sz="0" w:space="0" w:color="auto"/>
        <w:right w:val="none" w:sz="0" w:space="0" w:color="auto"/>
      </w:divBdr>
    </w:div>
    <w:div w:id="1700743198">
      <w:bodyDiv w:val="1"/>
      <w:marLeft w:val="0"/>
      <w:marRight w:val="0"/>
      <w:marTop w:val="0"/>
      <w:marBottom w:val="0"/>
      <w:divBdr>
        <w:top w:val="none" w:sz="0" w:space="0" w:color="auto"/>
        <w:left w:val="none" w:sz="0" w:space="0" w:color="auto"/>
        <w:bottom w:val="none" w:sz="0" w:space="0" w:color="auto"/>
        <w:right w:val="none" w:sz="0" w:space="0" w:color="auto"/>
      </w:divBdr>
    </w:div>
    <w:div w:id="1776246232">
      <w:bodyDiv w:val="1"/>
      <w:marLeft w:val="0"/>
      <w:marRight w:val="0"/>
      <w:marTop w:val="0"/>
      <w:marBottom w:val="0"/>
      <w:divBdr>
        <w:top w:val="none" w:sz="0" w:space="0" w:color="auto"/>
        <w:left w:val="none" w:sz="0" w:space="0" w:color="auto"/>
        <w:bottom w:val="none" w:sz="0" w:space="0" w:color="auto"/>
        <w:right w:val="none" w:sz="0" w:space="0" w:color="auto"/>
      </w:divBdr>
    </w:div>
    <w:div w:id="1806579001">
      <w:bodyDiv w:val="1"/>
      <w:marLeft w:val="0"/>
      <w:marRight w:val="0"/>
      <w:marTop w:val="0"/>
      <w:marBottom w:val="0"/>
      <w:divBdr>
        <w:top w:val="none" w:sz="0" w:space="0" w:color="auto"/>
        <w:left w:val="none" w:sz="0" w:space="0" w:color="auto"/>
        <w:bottom w:val="none" w:sz="0" w:space="0" w:color="auto"/>
        <w:right w:val="none" w:sz="0" w:space="0" w:color="auto"/>
      </w:divBdr>
    </w:div>
    <w:div w:id="1922327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oas.org/es/cidh/ppl/informes/pdfs/Informe-PP-2013-es.pdf" TargetMode="External"/><Relationship Id="rId2" Type="http://schemas.openxmlformats.org/officeDocument/2006/relationships/hyperlink" Target="http://www.oas.org/es/cidh/ppl/informes/pdfs/Informe-PP-2013-es.pdf" TargetMode="External"/><Relationship Id="rId1" Type="http://schemas.openxmlformats.org/officeDocument/2006/relationships/hyperlink" Target="http://www.oas.org/es/cidh/docs/pdfs/SEGURIDAD%20CIUDADANA%202009%20ESP.pdf" TargetMode="External"/><Relationship Id="rId6" Type="http://schemas.openxmlformats.org/officeDocument/2006/relationships/hyperlink" Target="http://www.oas.org/es/cidh/ppl/informes/pdfs/Informe-PP-2013-es.pdf" TargetMode="External"/><Relationship Id="rId5" Type="http://schemas.openxmlformats.org/officeDocument/2006/relationships/hyperlink" Target="http://www.oas.org/es/cidh/ppl/informes/pdfs/Informe-PP-2013-es.pdf" TargetMode="External"/><Relationship Id="rId4" Type="http://schemas.openxmlformats.org/officeDocument/2006/relationships/hyperlink" Target="http://www.oas.org/es/cidh/ppl/informes/pdfs/Informe-PP-2013-e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8" ma:contentTypeDescription="Create a new document." ma:contentTypeScope="" ma:versionID="2f04fed201ecf924f5e5f0c570ae3e85">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2088b6f29b0ecff0e1f61368e818cefb"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447883-9113-451C-8A96-AC9DBD91D57C}">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2.xml><?xml version="1.0" encoding="utf-8"?>
<ds:datastoreItem xmlns:ds="http://schemas.openxmlformats.org/officeDocument/2006/customXml" ds:itemID="{6E95907E-2B91-4BBA-9228-539E29A70F08}">
  <ds:schemaRefs>
    <ds:schemaRef ds:uri="http://schemas.microsoft.com/sharepoint/v3/contenttype/forms"/>
  </ds:schemaRefs>
</ds:datastoreItem>
</file>

<file path=customXml/itemProps3.xml><?xml version="1.0" encoding="utf-8"?>
<ds:datastoreItem xmlns:ds="http://schemas.openxmlformats.org/officeDocument/2006/customXml" ds:itemID="{AB4DD9CF-0731-4129-8F23-C6BEA86DBA77}">
  <ds:schemaRefs>
    <ds:schemaRef ds:uri="http://schemas.openxmlformats.org/officeDocument/2006/bibliography"/>
  </ds:schemaRefs>
</ds:datastoreItem>
</file>

<file path=customXml/itemProps4.xml><?xml version="1.0" encoding="utf-8"?>
<ds:datastoreItem xmlns:ds="http://schemas.openxmlformats.org/officeDocument/2006/customXml" ds:itemID="{99C7E4E0-93E8-4ADD-830A-6FDD0F433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20147</Words>
  <Characters>114842</Characters>
  <Application>Microsoft Office Word</Application>
  <DocSecurity>0</DocSecurity>
  <Lines>957</Lines>
  <Paragraphs>269</Paragraphs>
  <ScaleCrop>false</ScaleCrop>
  <Company/>
  <LinksUpToDate>false</LinksUpToDate>
  <CharactersWithSpaces>134720</CharactersWithSpaces>
  <SharedDoc>false</SharedDoc>
  <HLinks>
    <vt:vector size="126" baseType="variant">
      <vt:variant>
        <vt:i4>2031669</vt:i4>
      </vt:variant>
      <vt:variant>
        <vt:i4>86</vt:i4>
      </vt:variant>
      <vt:variant>
        <vt:i4>0</vt:i4>
      </vt:variant>
      <vt:variant>
        <vt:i4>5</vt:i4>
      </vt:variant>
      <vt:variant>
        <vt:lpwstr/>
      </vt:variant>
      <vt:variant>
        <vt:lpwstr>_Toc511818094</vt:lpwstr>
      </vt:variant>
      <vt:variant>
        <vt:i4>2031669</vt:i4>
      </vt:variant>
      <vt:variant>
        <vt:i4>80</vt:i4>
      </vt:variant>
      <vt:variant>
        <vt:i4>0</vt:i4>
      </vt:variant>
      <vt:variant>
        <vt:i4>5</vt:i4>
      </vt:variant>
      <vt:variant>
        <vt:lpwstr/>
      </vt:variant>
      <vt:variant>
        <vt:lpwstr>_Toc511818093</vt:lpwstr>
      </vt:variant>
      <vt:variant>
        <vt:i4>2031669</vt:i4>
      </vt:variant>
      <vt:variant>
        <vt:i4>74</vt:i4>
      </vt:variant>
      <vt:variant>
        <vt:i4>0</vt:i4>
      </vt:variant>
      <vt:variant>
        <vt:i4>5</vt:i4>
      </vt:variant>
      <vt:variant>
        <vt:lpwstr/>
      </vt:variant>
      <vt:variant>
        <vt:lpwstr>_Toc511818092</vt:lpwstr>
      </vt:variant>
      <vt:variant>
        <vt:i4>2031669</vt:i4>
      </vt:variant>
      <vt:variant>
        <vt:i4>68</vt:i4>
      </vt:variant>
      <vt:variant>
        <vt:i4>0</vt:i4>
      </vt:variant>
      <vt:variant>
        <vt:i4>5</vt:i4>
      </vt:variant>
      <vt:variant>
        <vt:lpwstr/>
      </vt:variant>
      <vt:variant>
        <vt:lpwstr>_Toc511818091</vt:lpwstr>
      </vt:variant>
      <vt:variant>
        <vt:i4>2031669</vt:i4>
      </vt:variant>
      <vt:variant>
        <vt:i4>62</vt:i4>
      </vt:variant>
      <vt:variant>
        <vt:i4>0</vt:i4>
      </vt:variant>
      <vt:variant>
        <vt:i4>5</vt:i4>
      </vt:variant>
      <vt:variant>
        <vt:lpwstr/>
      </vt:variant>
      <vt:variant>
        <vt:lpwstr>_Toc511818090</vt:lpwstr>
      </vt:variant>
      <vt:variant>
        <vt:i4>1966133</vt:i4>
      </vt:variant>
      <vt:variant>
        <vt:i4>56</vt:i4>
      </vt:variant>
      <vt:variant>
        <vt:i4>0</vt:i4>
      </vt:variant>
      <vt:variant>
        <vt:i4>5</vt:i4>
      </vt:variant>
      <vt:variant>
        <vt:lpwstr/>
      </vt:variant>
      <vt:variant>
        <vt:lpwstr>_Toc511818089</vt:lpwstr>
      </vt:variant>
      <vt:variant>
        <vt:i4>1966133</vt:i4>
      </vt:variant>
      <vt:variant>
        <vt:i4>50</vt:i4>
      </vt:variant>
      <vt:variant>
        <vt:i4>0</vt:i4>
      </vt:variant>
      <vt:variant>
        <vt:i4>5</vt:i4>
      </vt:variant>
      <vt:variant>
        <vt:lpwstr/>
      </vt:variant>
      <vt:variant>
        <vt:lpwstr>_Toc511818088</vt:lpwstr>
      </vt:variant>
      <vt:variant>
        <vt:i4>1966133</vt:i4>
      </vt:variant>
      <vt:variant>
        <vt:i4>44</vt:i4>
      </vt:variant>
      <vt:variant>
        <vt:i4>0</vt:i4>
      </vt:variant>
      <vt:variant>
        <vt:i4>5</vt:i4>
      </vt:variant>
      <vt:variant>
        <vt:lpwstr/>
      </vt:variant>
      <vt:variant>
        <vt:lpwstr>_Toc511818087</vt:lpwstr>
      </vt:variant>
      <vt:variant>
        <vt:i4>1966133</vt:i4>
      </vt:variant>
      <vt:variant>
        <vt:i4>38</vt:i4>
      </vt:variant>
      <vt:variant>
        <vt:i4>0</vt:i4>
      </vt:variant>
      <vt:variant>
        <vt:i4>5</vt:i4>
      </vt:variant>
      <vt:variant>
        <vt:lpwstr/>
      </vt:variant>
      <vt:variant>
        <vt:lpwstr>_Toc511818086</vt:lpwstr>
      </vt:variant>
      <vt:variant>
        <vt:i4>1966133</vt:i4>
      </vt:variant>
      <vt:variant>
        <vt:i4>32</vt:i4>
      </vt:variant>
      <vt:variant>
        <vt:i4>0</vt:i4>
      </vt:variant>
      <vt:variant>
        <vt:i4>5</vt:i4>
      </vt:variant>
      <vt:variant>
        <vt:lpwstr/>
      </vt:variant>
      <vt:variant>
        <vt:lpwstr>_Toc511818085</vt:lpwstr>
      </vt:variant>
      <vt:variant>
        <vt:i4>1966133</vt:i4>
      </vt:variant>
      <vt:variant>
        <vt:i4>26</vt:i4>
      </vt:variant>
      <vt:variant>
        <vt:i4>0</vt:i4>
      </vt:variant>
      <vt:variant>
        <vt:i4>5</vt:i4>
      </vt:variant>
      <vt:variant>
        <vt:lpwstr/>
      </vt:variant>
      <vt:variant>
        <vt:lpwstr>_Toc511818084</vt:lpwstr>
      </vt:variant>
      <vt:variant>
        <vt:i4>1966133</vt:i4>
      </vt:variant>
      <vt:variant>
        <vt:i4>20</vt:i4>
      </vt:variant>
      <vt:variant>
        <vt:i4>0</vt:i4>
      </vt:variant>
      <vt:variant>
        <vt:i4>5</vt:i4>
      </vt:variant>
      <vt:variant>
        <vt:lpwstr/>
      </vt:variant>
      <vt:variant>
        <vt:lpwstr>_Toc511818083</vt:lpwstr>
      </vt:variant>
      <vt:variant>
        <vt:i4>1966133</vt:i4>
      </vt:variant>
      <vt:variant>
        <vt:i4>14</vt:i4>
      </vt:variant>
      <vt:variant>
        <vt:i4>0</vt:i4>
      </vt:variant>
      <vt:variant>
        <vt:i4>5</vt:i4>
      </vt:variant>
      <vt:variant>
        <vt:lpwstr/>
      </vt:variant>
      <vt:variant>
        <vt:lpwstr>_Toc511818082</vt:lpwstr>
      </vt:variant>
      <vt:variant>
        <vt:i4>1966133</vt:i4>
      </vt:variant>
      <vt:variant>
        <vt:i4>8</vt:i4>
      </vt:variant>
      <vt:variant>
        <vt:i4>0</vt:i4>
      </vt:variant>
      <vt:variant>
        <vt:i4>5</vt:i4>
      </vt:variant>
      <vt:variant>
        <vt:lpwstr/>
      </vt:variant>
      <vt:variant>
        <vt:lpwstr>_Toc511818081</vt:lpwstr>
      </vt:variant>
      <vt:variant>
        <vt:i4>1966133</vt:i4>
      </vt:variant>
      <vt:variant>
        <vt:i4>2</vt:i4>
      </vt:variant>
      <vt:variant>
        <vt:i4>0</vt:i4>
      </vt:variant>
      <vt:variant>
        <vt:i4>5</vt:i4>
      </vt:variant>
      <vt:variant>
        <vt:lpwstr/>
      </vt:variant>
      <vt:variant>
        <vt:lpwstr>_Toc511818080</vt:lpwstr>
      </vt:variant>
      <vt:variant>
        <vt:i4>2162812</vt:i4>
      </vt:variant>
      <vt:variant>
        <vt:i4>15</vt:i4>
      </vt:variant>
      <vt:variant>
        <vt:i4>0</vt:i4>
      </vt:variant>
      <vt:variant>
        <vt:i4>5</vt:i4>
      </vt:variant>
      <vt:variant>
        <vt:lpwstr>http://www.oas.org/es/cidh/ppl/informes/pdfs/Informe-PP-2013-es.pdf</vt:lpwstr>
      </vt:variant>
      <vt:variant>
        <vt:lpwstr/>
      </vt:variant>
      <vt:variant>
        <vt:i4>2162812</vt:i4>
      </vt:variant>
      <vt:variant>
        <vt:i4>12</vt:i4>
      </vt:variant>
      <vt:variant>
        <vt:i4>0</vt:i4>
      </vt:variant>
      <vt:variant>
        <vt:i4>5</vt:i4>
      </vt:variant>
      <vt:variant>
        <vt:lpwstr>http://www.oas.org/es/cidh/ppl/informes/pdfs/Informe-PP-2013-es.pdf</vt:lpwstr>
      </vt:variant>
      <vt:variant>
        <vt:lpwstr/>
      </vt:variant>
      <vt:variant>
        <vt:i4>2162812</vt:i4>
      </vt:variant>
      <vt:variant>
        <vt:i4>9</vt:i4>
      </vt:variant>
      <vt:variant>
        <vt:i4>0</vt:i4>
      </vt:variant>
      <vt:variant>
        <vt:i4>5</vt:i4>
      </vt:variant>
      <vt:variant>
        <vt:lpwstr>http://www.oas.org/es/cidh/ppl/informes/pdfs/Informe-PP-2013-es.pdf</vt:lpwstr>
      </vt:variant>
      <vt:variant>
        <vt:lpwstr/>
      </vt:variant>
      <vt:variant>
        <vt:i4>2162812</vt:i4>
      </vt:variant>
      <vt:variant>
        <vt:i4>6</vt:i4>
      </vt:variant>
      <vt:variant>
        <vt:i4>0</vt:i4>
      </vt:variant>
      <vt:variant>
        <vt:i4>5</vt:i4>
      </vt:variant>
      <vt:variant>
        <vt:lpwstr>http://www.oas.org/es/cidh/ppl/informes/pdfs/Informe-PP-2013-es.pdf</vt:lpwstr>
      </vt:variant>
      <vt:variant>
        <vt:lpwstr/>
      </vt:variant>
      <vt:variant>
        <vt:i4>2162812</vt:i4>
      </vt:variant>
      <vt:variant>
        <vt:i4>3</vt:i4>
      </vt:variant>
      <vt:variant>
        <vt:i4>0</vt:i4>
      </vt:variant>
      <vt:variant>
        <vt:i4>5</vt:i4>
      </vt:variant>
      <vt:variant>
        <vt:lpwstr>http://www.oas.org/es/cidh/ppl/informes/pdfs/Informe-PP-2013-es.pdf</vt:lpwstr>
      </vt:variant>
      <vt:variant>
        <vt:lpwstr/>
      </vt:variant>
      <vt:variant>
        <vt:i4>4259919</vt:i4>
      </vt:variant>
      <vt:variant>
        <vt:i4>0</vt:i4>
      </vt:variant>
      <vt:variant>
        <vt:i4>0</vt:i4>
      </vt:variant>
      <vt:variant>
        <vt:i4>5</vt:i4>
      </vt:variant>
      <vt:variant>
        <vt:lpwstr>http://www.oas.org/es/cidh/docs/pdfs/SEGURIDAD CIUDADANA 2009 ESP.pdf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2025-12-03T19:10:00Z</dcterms:created>
  <dcterms:modified xsi:type="dcterms:W3CDTF">2025-12-03T19:11:00Z</dcterms:modified>
</cp:coreProperties>
</file>