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904B" w14:textId="77777777" w:rsidR="00040C3A" w:rsidRPr="00AD78EA" w:rsidRDefault="00D306D1" w:rsidP="00627C9F">
      <w:pPr>
        <w:jc w:val="both"/>
        <w:rPr>
          <w:rFonts w:asciiTheme="majorHAnsi" w:hAnsiTheme="majorHAnsi" w:cs="Univers"/>
          <w:b/>
          <w:bCs/>
          <w:sz w:val="20"/>
          <w:szCs w:val="20"/>
          <w:lang w:val="es-ES_tradnl"/>
        </w:rPr>
      </w:pPr>
      <w:r w:rsidRPr="00AD78E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DDF517E" wp14:editId="6B4628D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6AA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D78E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D998051" wp14:editId="04DC96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61D5F" w14:textId="77777777" w:rsidR="003F7533" w:rsidRDefault="003F7533" w:rsidP="00AE5488">
                            <w:r>
                              <w:rPr>
                                <w:noProof/>
                              </w:rPr>
                              <w:drawing>
                                <wp:inline distT="0" distB="0" distL="0" distR="0" wp14:anchorId="7BABF770" wp14:editId="0F40905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9805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9861D5F" w14:textId="77777777" w:rsidR="003F7533" w:rsidRDefault="003F7533" w:rsidP="00AE5488">
                      <w:r>
                        <w:rPr>
                          <w:noProof/>
                        </w:rPr>
                        <w:drawing>
                          <wp:inline distT="0" distB="0" distL="0" distR="0" wp14:anchorId="7BABF770" wp14:editId="0F40905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01C5D58" w14:textId="77777777" w:rsidR="00040C3A" w:rsidRPr="00AD78EA" w:rsidRDefault="00040C3A" w:rsidP="00040C3A">
      <w:pPr>
        <w:tabs>
          <w:tab w:val="center" w:pos="5400"/>
        </w:tabs>
        <w:suppressAutoHyphens/>
        <w:jc w:val="both"/>
        <w:rPr>
          <w:rFonts w:asciiTheme="majorHAnsi" w:hAnsiTheme="majorHAnsi"/>
          <w:sz w:val="20"/>
          <w:szCs w:val="20"/>
          <w:lang w:val="es-ES"/>
        </w:rPr>
      </w:pPr>
    </w:p>
    <w:p w14:paraId="6B35D979" w14:textId="77777777" w:rsidR="00040C3A" w:rsidRPr="00AD78EA" w:rsidRDefault="00040C3A" w:rsidP="00040C3A">
      <w:pPr>
        <w:tabs>
          <w:tab w:val="center" w:pos="5400"/>
        </w:tabs>
        <w:suppressAutoHyphens/>
        <w:jc w:val="both"/>
        <w:rPr>
          <w:rFonts w:asciiTheme="majorHAnsi" w:hAnsiTheme="majorHAnsi"/>
          <w:sz w:val="20"/>
          <w:szCs w:val="20"/>
          <w:lang w:val="es-ES"/>
        </w:rPr>
      </w:pPr>
    </w:p>
    <w:p w14:paraId="0BE4F55D" w14:textId="77777777" w:rsidR="005128E4" w:rsidRPr="00AD78EA" w:rsidRDefault="005128E4" w:rsidP="00040C3A">
      <w:pPr>
        <w:tabs>
          <w:tab w:val="center" w:pos="5400"/>
        </w:tabs>
        <w:suppressAutoHyphens/>
        <w:rPr>
          <w:rFonts w:asciiTheme="majorHAnsi" w:hAnsiTheme="majorHAnsi"/>
          <w:sz w:val="20"/>
          <w:szCs w:val="20"/>
          <w:lang w:val="es-ES_tradnl"/>
        </w:rPr>
      </w:pPr>
    </w:p>
    <w:p w14:paraId="69A5B4BE" w14:textId="77777777" w:rsidR="005128E4" w:rsidRPr="00AD78EA" w:rsidRDefault="005128E4" w:rsidP="00040C3A">
      <w:pPr>
        <w:tabs>
          <w:tab w:val="center" w:pos="5400"/>
        </w:tabs>
        <w:suppressAutoHyphens/>
        <w:rPr>
          <w:rFonts w:asciiTheme="majorHAnsi" w:hAnsiTheme="majorHAnsi"/>
          <w:sz w:val="20"/>
          <w:szCs w:val="20"/>
          <w:lang w:val="es-ES_tradnl"/>
        </w:rPr>
      </w:pPr>
    </w:p>
    <w:p w14:paraId="1513D390" w14:textId="77777777" w:rsidR="005128E4" w:rsidRPr="00AD78EA" w:rsidRDefault="005128E4" w:rsidP="00040C3A">
      <w:pPr>
        <w:tabs>
          <w:tab w:val="center" w:pos="5400"/>
        </w:tabs>
        <w:suppressAutoHyphens/>
        <w:rPr>
          <w:rFonts w:asciiTheme="majorHAnsi" w:hAnsiTheme="majorHAnsi"/>
          <w:sz w:val="20"/>
          <w:szCs w:val="20"/>
          <w:lang w:val="es-ES_tradnl"/>
        </w:rPr>
      </w:pPr>
    </w:p>
    <w:p w14:paraId="34A7FC6D" w14:textId="77777777" w:rsidR="00040C3A" w:rsidRPr="00AD78EA" w:rsidRDefault="00040C3A" w:rsidP="005128E4">
      <w:pPr>
        <w:tabs>
          <w:tab w:val="center" w:pos="5400"/>
        </w:tabs>
        <w:suppressAutoHyphens/>
        <w:jc w:val="center"/>
        <w:rPr>
          <w:rFonts w:asciiTheme="majorHAnsi" w:hAnsiTheme="majorHAnsi"/>
          <w:sz w:val="20"/>
          <w:szCs w:val="20"/>
          <w:lang w:val="es-ES_tradnl"/>
        </w:rPr>
      </w:pPr>
    </w:p>
    <w:p w14:paraId="2B8BB585" w14:textId="77777777" w:rsidR="00040C3A" w:rsidRPr="00AD78EA" w:rsidRDefault="00040C3A" w:rsidP="005128E4">
      <w:pPr>
        <w:tabs>
          <w:tab w:val="center" w:pos="5400"/>
        </w:tabs>
        <w:suppressAutoHyphens/>
        <w:jc w:val="center"/>
        <w:rPr>
          <w:rFonts w:asciiTheme="majorHAnsi" w:hAnsiTheme="majorHAnsi"/>
          <w:sz w:val="20"/>
          <w:szCs w:val="20"/>
          <w:lang w:val="es-ES_tradnl"/>
        </w:rPr>
      </w:pPr>
    </w:p>
    <w:p w14:paraId="29BF7394" w14:textId="77777777" w:rsidR="005B52B0" w:rsidRPr="00AD78EA" w:rsidRDefault="005B52B0" w:rsidP="005128E4">
      <w:pPr>
        <w:tabs>
          <w:tab w:val="center" w:pos="5400"/>
        </w:tabs>
        <w:suppressAutoHyphens/>
        <w:jc w:val="center"/>
        <w:rPr>
          <w:rFonts w:asciiTheme="majorHAnsi" w:hAnsiTheme="majorHAnsi"/>
          <w:sz w:val="20"/>
          <w:szCs w:val="20"/>
          <w:lang w:val="es-ES_tradnl"/>
        </w:rPr>
      </w:pPr>
    </w:p>
    <w:p w14:paraId="30C1BA73" w14:textId="77777777" w:rsidR="005B52B0" w:rsidRPr="00AD78EA" w:rsidRDefault="005B52B0" w:rsidP="005128E4">
      <w:pPr>
        <w:tabs>
          <w:tab w:val="center" w:pos="5400"/>
        </w:tabs>
        <w:suppressAutoHyphens/>
        <w:jc w:val="center"/>
        <w:rPr>
          <w:rFonts w:asciiTheme="majorHAnsi" w:hAnsiTheme="majorHAnsi"/>
          <w:sz w:val="20"/>
          <w:szCs w:val="20"/>
          <w:lang w:val="es-ES_tradnl"/>
        </w:rPr>
      </w:pPr>
    </w:p>
    <w:p w14:paraId="131AA4C6" w14:textId="77777777" w:rsidR="005B52B0" w:rsidRPr="00AD78EA" w:rsidRDefault="005B52B0" w:rsidP="005128E4">
      <w:pPr>
        <w:tabs>
          <w:tab w:val="center" w:pos="5400"/>
        </w:tabs>
        <w:suppressAutoHyphens/>
        <w:jc w:val="center"/>
        <w:rPr>
          <w:rFonts w:asciiTheme="majorHAnsi" w:hAnsiTheme="majorHAnsi"/>
          <w:sz w:val="20"/>
          <w:szCs w:val="20"/>
          <w:lang w:val="es-ES_tradnl"/>
        </w:rPr>
      </w:pPr>
    </w:p>
    <w:p w14:paraId="002FEEFD"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49F01615"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1A8C09FC" w14:textId="77777777" w:rsidR="00040C3A" w:rsidRPr="00AD78EA" w:rsidRDefault="003D3BC2" w:rsidP="00040C3A">
      <w:pPr>
        <w:tabs>
          <w:tab w:val="center" w:pos="5400"/>
        </w:tabs>
        <w:suppressAutoHyphens/>
        <w:jc w:val="center"/>
        <w:rPr>
          <w:rFonts w:asciiTheme="majorHAnsi" w:hAnsiTheme="majorHAnsi"/>
          <w:sz w:val="20"/>
          <w:szCs w:val="20"/>
          <w:lang w:val="es-ES_tradnl"/>
        </w:rPr>
      </w:pPr>
      <w:r w:rsidRPr="00AD78E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D957F39" wp14:editId="0B3E7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5D2F" w14:textId="6497DE93" w:rsidR="003F7533" w:rsidRPr="00BD1793" w:rsidRDefault="003F7533" w:rsidP="00997BC5">
                            <w:pPr>
                              <w:spacing w:line="276" w:lineRule="auto"/>
                              <w:rPr>
                                <w:rFonts w:asciiTheme="majorHAnsi" w:hAnsiTheme="majorHAnsi" w:cs="Arial"/>
                                <w:b/>
                                <w:bCs/>
                                <w:color w:val="0D0D0D" w:themeColor="text1" w:themeTint="F2"/>
                                <w:sz w:val="36"/>
                                <w:szCs w:val="22"/>
                                <w:lang w:val="es-CO"/>
                              </w:rPr>
                            </w:pPr>
                            <w:r w:rsidRPr="00BD1793">
                              <w:rPr>
                                <w:rFonts w:asciiTheme="majorHAnsi" w:hAnsiTheme="majorHAnsi" w:cs="Arial"/>
                                <w:b/>
                                <w:bCs/>
                                <w:color w:val="0D0D0D" w:themeColor="text1" w:themeTint="F2"/>
                                <w:sz w:val="36"/>
                                <w:szCs w:val="22"/>
                                <w:lang w:val="es-CO"/>
                              </w:rPr>
                              <w:t xml:space="preserve">INFORME </w:t>
                            </w:r>
                            <w:r w:rsidRPr="00BD1793">
                              <w:rPr>
                                <w:rFonts w:asciiTheme="majorHAnsi" w:hAnsiTheme="majorHAnsi" w:cs="Arial"/>
                                <w:b/>
                                <w:bCs/>
                                <w:color w:val="0D0D0D" w:themeColor="text1" w:themeTint="F2"/>
                                <w:sz w:val="36"/>
                                <w:szCs w:val="40"/>
                                <w:lang w:val="es-CO"/>
                              </w:rPr>
                              <w:t>No.</w:t>
                            </w:r>
                            <w:r>
                              <w:rPr>
                                <w:rFonts w:asciiTheme="majorHAnsi" w:hAnsiTheme="majorHAnsi" w:cs="Arial"/>
                                <w:b/>
                                <w:bCs/>
                                <w:color w:val="0D0D0D" w:themeColor="text1" w:themeTint="F2"/>
                                <w:sz w:val="36"/>
                                <w:szCs w:val="22"/>
                                <w:lang w:val="es-CO"/>
                              </w:rPr>
                              <w:t xml:space="preserve"> </w:t>
                            </w:r>
                            <w:r w:rsidR="0080156A">
                              <w:rPr>
                                <w:rFonts w:asciiTheme="majorHAnsi" w:hAnsiTheme="majorHAnsi" w:cs="Arial"/>
                                <w:b/>
                                <w:bCs/>
                                <w:color w:val="0D0D0D" w:themeColor="text1" w:themeTint="F2"/>
                                <w:sz w:val="36"/>
                                <w:szCs w:val="22"/>
                                <w:lang w:val="es-CO"/>
                              </w:rPr>
                              <w:t>89</w:t>
                            </w:r>
                            <w:r w:rsidRPr="00BD1793">
                              <w:rPr>
                                <w:rFonts w:asciiTheme="majorHAnsi" w:hAnsiTheme="majorHAnsi" w:cs="Arial"/>
                                <w:b/>
                                <w:bCs/>
                                <w:color w:val="0D0D0D" w:themeColor="text1" w:themeTint="F2"/>
                                <w:sz w:val="36"/>
                                <w:szCs w:val="22"/>
                                <w:lang w:val="es-CO"/>
                              </w:rPr>
                              <w:t>/</w:t>
                            </w:r>
                            <w:r>
                              <w:rPr>
                                <w:rFonts w:asciiTheme="majorHAnsi" w:hAnsiTheme="majorHAnsi" w:cs="Arial"/>
                                <w:b/>
                                <w:bCs/>
                                <w:color w:val="0D0D0D" w:themeColor="text1" w:themeTint="F2"/>
                                <w:sz w:val="36"/>
                                <w:szCs w:val="22"/>
                                <w:lang w:val="es-CO"/>
                              </w:rPr>
                              <w:t>2</w:t>
                            </w:r>
                            <w:r w:rsidR="00090874">
                              <w:rPr>
                                <w:rFonts w:asciiTheme="majorHAnsi" w:hAnsiTheme="majorHAnsi" w:cs="Arial"/>
                                <w:b/>
                                <w:bCs/>
                                <w:color w:val="0D0D0D" w:themeColor="text1" w:themeTint="F2"/>
                                <w:sz w:val="36"/>
                                <w:szCs w:val="22"/>
                                <w:lang w:val="es-CO"/>
                              </w:rPr>
                              <w:t>5</w:t>
                            </w:r>
                          </w:p>
                          <w:p w14:paraId="041EBDCD" w14:textId="77777777" w:rsidR="003F7533" w:rsidRPr="00BD1793" w:rsidRDefault="003F7533" w:rsidP="00997BC5">
                            <w:pPr>
                              <w:spacing w:line="276" w:lineRule="auto"/>
                              <w:rPr>
                                <w:rFonts w:asciiTheme="majorHAnsi" w:hAnsiTheme="majorHAnsi" w:cs="Arial"/>
                                <w:b/>
                                <w:color w:val="0D0D0D" w:themeColor="text1" w:themeTint="F2"/>
                                <w:sz w:val="36"/>
                                <w:szCs w:val="22"/>
                                <w:lang w:val="es-CO"/>
                              </w:rPr>
                            </w:pPr>
                            <w:r w:rsidRPr="00BD1793">
                              <w:rPr>
                                <w:rFonts w:asciiTheme="majorHAnsi" w:hAnsiTheme="majorHAnsi" w:cs="Arial"/>
                                <w:b/>
                                <w:color w:val="0D0D0D" w:themeColor="text1" w:themeTint="F2"/>
                                <w:sz w:val="36"/>
                                <w:szCs w:val="22"/>
                                <w:lang w:val="es-CO"/>
                              </w:rPr>
                              <w:t>CASO 12.936</w:t>
                            </w:r>
                          </w:p>
                          <w:p w14:paraId="2A642057" w14:textId="38D88B30" w:rsidR="003F7533" w:rsidRPr="0010736F" w:rsidRDefault="003F7533" w:rsidP="00935C7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FONDO </w:t>
                            </w:r>
                            <w:r w:rsidR="00AA654A">
                              <w:rPr>
                                <w:rFonts w:asciiTheme="majorHAnsi" w:hAnsiTheme="majorHAnsi" w:cs="Arial"/>
                                <w:color w:val="0D0D0D" w:themeColor="text1" w:themeTint="F2"/>
                                <w:szCs w:val="22"/>
                                <w:lang w:val="es-ES_tradnl"/>
                              </w:rPr>
                              <w:t>(</w:t>
                            </w:r>
                            <w:r w:rsidR="001E061E">
                              <w:rPr>
                                <w:rFonts w:asciiTheme="majorHAnsi" w:hAnsiTheme="majorHAnsi" w:cs="Arial"/>
                                <w:color w:val="0D0D0D" w:themeColor="text1" w:themeTint="F2"/>
                                <w:szCs w:val="22"/>
                                <w:lang w:val="es-ES_tradnl"/>
                              </w:rPr>
                              <w:t>PUBLICACI</w:t>
                            </w:r>
                            <w:r w:rsidR="002D6D4F">
                              <w:rPr>
                                <w:rFonts w:asciiTheme="majorHAnsi" w:hAnsiTheme="majorHAnsi" w:cs="Arial"/>
                                <w:color w:val="0D0D0D" w:themeColor="text1" w:themeTint="F2"/>
                                <w:szCs w:val="22"/>
                                <w:lang w:val="es-ES_tradnl"/>
                              </w:rPr>
                              <w:t>Ó</w:t>
                            </w:r>
                            <w:r w:rsidR="001E061E">
                              <w:rPr>
                                <w:rFonts w:asciiTheme="majorHAnsi" w:hAnsiTheme="majorHAnsi" w:cs="Arial"/>
                                <w:color w:val="0D0D0D" w:themeColor="text1" w:themeTint="F2"/>
                                <w:szCs w:val="22"/>
                                <w:lang w:val="es-ES_tradnl"/>
                              </w:rPr>
                              <w:t>N</w:t>
                            </w:r>
                            <w:r w:rsidR="00AA654A">
                              <w:rPr>
                                <w:rFonts w:asciiTheme="majorHAnsi" w:hAnsiTheme="majorHAnsi" w:cs="Arial"/>
                                <w:color w:val="0D0D0D" w:themeColor="text1" w:themeTint="F2"/>
                                <w:szCs w:val="22"/>
                                <w:lang w:val="es-ES_tradnl"/>
                              </w:rPr>
                              <w:t>)</w:t>
                            </w:r>
                          </w:p>
                          <w:p w14:paraId="5E396C4A" w14:textId="77777777" w:rsidR="003F7533" w:rsidRPr="0010736F" w:rsidRDefault="003F7533" w:rsidP="00997BC5">
                            <w:pPr>
                              <w:spacing w:line="276" w:lineRule="auto"/>
                              <w:rPr>
                                <w:rFonts w:asciiTheme="majorHAnsi" w:hAnsiTheme="majorHAnsi" w:cs="Arial"/>
                                <w:color w:val="0D0D0D" w:themeColor="text1" w:themeTint="F2"/>
                                <w:szCs w:val="22"/>
                                <w:lang w:val="es-ES_tradnl"/>
                              </w:rPr>
                            </w:pPr>
                            <w:bookmarkStart w:id="0" w:name="_ftnref1"/>
                          </w:p>
                          <w:p w14:paraId="5BFC460C" w14:textId="77777777" w:rsidR="003F7533" w:rsidRPr="0010736F" w:rsidRDefault="003F75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OSCAR ALFONSO MORALES DÍAZ </w:t>
                            </w:r>
                          </w:p>
                          <w:bookmarkEnd w:id="0"/>
                          <w:p w14:paraId="78181B2A" w14:textId="77777777" w:rsidR="003F7533" w:rsidRPr="0010736F" w:rsidRDefault="003F75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4FD70E2C" w14:textId="77777777" w:rsidR="003F7533" w:rsidRPr="00AE5488" w:rsidRDefault="003F753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57F3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FD75D2F" w14:textId="6497DE93" w:rsidR="003F7533" w:rsidRPr="00BD1793" w:rsidRDefault="003F7533" w:rsidP="00997BC5">
                      <w:pPr>
                        <w:spacing w:line="276" w:lineRule="auto"/>
                        <w:rPr>
                          <w:rFonts w:asciiTheme="majorHAnsi" w:hAnsiTheme="majorHAnsi" w:cs="Arial"/>
                          <w:b/>
                          <w:bCs/>
                          <w:color w:val="0D0D0D" w:themeColor="text1" w:themeTint="F2"/>
                          <w:sz w:val="36"/>
                          <w:szCs w:val="22"/>
                          <w:lang w:val="es-CO"/>
                        </w:rPr>
                      </w:pPr>
                      <w:r w:rsidRPr="00BD1793">
                        <w:rPr>
                          <w:rFonts w:asciiTheme="majorHAnsi" w:hAnsiTheme="majorHAnsi" w:cs="Arial"/>
                          <w:b/>
                          <w:bCs/>
                          <w:color w:val="0D0D0D" w:themeColor="text1" w:themeTint="F2"/>
                          <w:sz w:val="36"/>
                          <w:szCs w:val="22"/>
                          <w:lang w:val="es-CO"/>
                        </w:rPr>
                        <w:t xml:space="preserve">INFORME </w:t>
                      </w:r>
                      <w:r w:rsidRPr="00BD1793">
                        <w:rPr>
                          <w:rFonts w:asciiTheme="majorHAnsi" w:hAnsiTheme="majorHAnsi" w:cs="Arial"/>
                          <w:b/>
                          <w:bCs/>
                          <w:color w:val="0D0D0D" w:themeColor="text1" w:themeTint="F2"/>
                          <w:sz w:val="36"/>
                          <w:szCs w:val="40"/>
                          <w:lang w:val="es-CO"/>
                        </w:rPr>
                        <w:t>No.</w:t>
                      </w:r>
                      <w:r>
                        <w:rPr>
                          <w:rFonts w:asciiTheme="majorHAnsi" w:hAnsiTheme="majorHAnsi" w:cs="Arial"/>
                          <w:b/>
                          <w:bCs/>
                          <w:color w:val="0D0D0D" w:themeColor="text1" w:themeTint="F2"/>
                          <w:sz w:val="36"/>
                          <w:szCs w:val="22"/>
                          <w:lang w:val="es-CO"/>
                        </w:rPr>
                        <w:t xml:space="preserve"> </w:t>
                      </w:r>
                      <w:r w:rsidR="0080156A">
                        <w:rPr>
                          <w:rFonts w:asciiTheme="majorHAnsi" w:hAnsiTheme="majorHAnsi" w:cs="Arial"/>
                          <w:b/>
                          <w:bCs/>
                          <w:color w:val="0D0D0D" w:themeColor="text1" w:themeTint="F2"/>
                          <w:sz w:val="36"/>
                          <w:szCs w:val="22"/>
                          <w:lang w:val="es-CO"/>
                        </w:rPr>
                        <w:t>89</w:t>
                      </w:r>
                      <w:r w:rsidRPr="00BD1793">
                        <w:rPr>
                          <w:rFonts w:asciiTheme="majorHAnsi" w:hAnsiTheme="majorHAnsi" w:cs="Arial"/>
                          <w:b/>
                          <w:bCs/>
                          <w:color w:val="0D0D0D" w:themeColor="text1" w:themeTint="F2"/>
                          <w:sz w:val="36"/>
                          <w:szCs w:val="22"/>
                          <w:lang w:val="es-CO"/>
                        </w:rPr>
                        <w:t>/</w:t>
                      </w:r>
                      <w:r>
                        <w:rPr>
                          <w:rFonts w:asciiTheme="majorHAnsi" w:hAnsiTheme="majorHAnsi" w:cs="Arial"/>
                          <w:b/>
                          <w:bCs/>
                          <w:color w:val="0D0D0D" w:themeColor="text1" w:themeTint="F2"/>
                          <w:sz w:val="36"/>
                          <w:szCs w:val="22"/>
                          <w:lang w:val="es-CO"/>
                        </w:rPr>
                        <w:t>2</w:t>
                      </w:r>
                      <w:r w:rsidR="00090874">
                        <w:rPr>
                          <w:rFonts w:asciiTheme="majorHAnsi" w:hAnsiTheme="majorHAnsi" w:cs="Arial"/>
                          <w:b/>
                          <w:bCs/>
                          <w:color w:val="0D0D0D" w:themeColor="text1" w:themeTint="F2"/>
                          <w:sz w:val="36"/>
                          <w:szCs w:val="22"/>
                          <w:lang w:val="es-CO"/>
                        </w:rPr>
                        <w:t>5</w:t>
                      </w:r>
                    </w:p>
                    <w:p w14:paraId="041EBDCD" w14:textId="77777777" w:rsidR="003F7533" w:rsidRPr="00BD1793" w:rsidRDefault="003F7533" w:rsidP="00997BC5">
                      <w:pPr>
                        <w:spacing w:line="276" w:lineRule="auto"/>
                        <w:rPr>
                          <w:rFonts w:asciiTheme="majorHAnsi" w:hAnsiTheme="majorHAnsi" w:cs="Arial"/>
                          <w:b/>
                          <w:color w:val="0D0D0D" w:themeColor="text1" w:themeTint="F2"/>
                          <w:sz w:val="36"/>
                          <w:szCs w:val="22"/>
                          <w:lang w:val="es-CO"/>
                        </w:rPr>
                      </w:pPr>
                      <w:r w:rsidRPr="00BD1793">
                        <w:rPr>
                          <w:rFonts w:asciiTheme="majorHAnsi" w:hAnsiTheme="majorHAnsi" w:cs="Arial"/>
                          <w:b/>
                          <w:color w:val="0D0D0D" w:themeColor="text1" w:themeTint="F2"/>
                          <w:sz w:val="36"/>
                          <w:szCs w:val="22"/>
                          <w:lang w:val="es-CO"/>
                        </w:rPr>
                        <w:t>CASO 12.936</w:t>
                      </w:r>
                    </w:p>
                    <w:p w14:paraId="2A642057" w14:textId="38D88B30" w:rsidR="003F7533" w:rsidRPr="0010736F" w:rsidRDefault="003F7533" w:rsidP="00935C7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FONDO </w:t>
                      </w:r>
                      <w:r w:rsidR="00AA654A">
                        <w:rPr>
                          <w:rFonts w:asciiTheme="majorHAnsi" w:hAnsiTheme="majorHAnsi" w:cs="Arial"/>
                          <w:color w:val="0D0D0D" w:themeColor="text1" w:themeTint="F2"/>
                          <w:szCs w:val="22"/>
                          <w:lang w:val="es-ES_tradnl"/>
                        </w:rPr>
                        <w:t>(</w:t>
                      </w:r>
                      <w:r w:rsidR="001E061E">
                        <w:rPr>
                          <w:rFonts w:asciiTheme="majorHAnsi" w:hAnsiTheme="majorHAnsi" w:cs="Arial"/>
                          <w:color w:val="0D0D0D" w:themeColor="text1" w:themeTint="F2"/>
                          <w:szCs w:val="22"/>
                          <w:lang w:val="es-ES_tradnl"/>
                        </w:rPr>
                        <w:t>PUBLICACI</w:t>
                      </w:r>
                      <w:r w:rsidR="002D6D4F">
                        <w:rPr>
                          <w:rFonts w:asciiTheme="majorHAnsi" w:hAnsiTheme="majorHAnsi" w:cs="Arial"/>
                          <w:color w:val="0D0D0D" w:themeColor="text1" w:themeTint="F2"/>
                          <w:szCs w:val="22"/>
                          <w:lang w:val="es-ES_tradnl"/>
                        </w:rPr>
                        <w:t>Ó</w:t>
                      </w:r>
                      <w:r w:rsidR="001E061E">
                        <w:rPr>
                          <w:rFonts w:asciiTheme="majorHAnsi" w:hAnsiTheme="majorHAnsi" w:cs="Arial"/>
                          <w:color w:val="0D0D0D" w:themeColor="text1" w:themeTint="F2"/>
                          <w:szCs w:val="22"/>
                          <w:lang w:val="es-ES_tradnl"/>
                        </w:rPr>
                        <w:t>N</w:t>
                      </w:r>
                      <w:r w:rsidR="00AA654A">
                        <w:rPr>
                          <w:rFonts w:asciiTheme="majorHAnsi" w:hAnsiTheme="majorHAnsi" w:cs="Arial"/>
                          <w:color w:val="0D0D0D" w:themeColor="text1" w:themeTint="F2"/>
                          <w:szCs w:val="22"/>
                          <w:lang w:val="es-ES_tradnl"/>
                        </w:rPr>
                        <w:t>)</w:t>
                      </w:r>
                    </w:p>
                    <w:p w14:paraId="5E396C4A" w14:textId="77777777" w:rsidR="003F7533" w:rsidRPr="0010736F" w:rsidRDefault="003F7533" w:rsidP="00997BC5">
                      <w:pPr>
                        <w:spacing w:line="276" w:lineRule="auto"/>
                        <w:rPr>
                          <w:rFonts w:asciiTheme="majorHAnsi" w:hAnsiTheme="majorHAnsi" w:cs="Arial"/>
                          <w:color w:val="0D0D0D" w:themeColor="text1" w:themeTint="F2"/>
                          <w:szCs w:val="22"/>
                          <w:lang w:val="es-ES_tradnl"/>
                        </w:rPr>
                      </w:pPr>
                      <w:bookmarkStart w:id="1" w:name="_ftnref1"/>
                    </w:p>
                    <w:p w14:paraId="5BFC460C" w14:textId="77777777" w:rsidR="003F7533" w:rsidRPr="0010736F" w:rsidRDefault="003F75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OSCAR ALFONSO MORALES DÍAZ </w:t>
                      </w:r>
                    </w:p>
                    <w:bookmarkEnd w:id="1"/>
                    <w:p w14:paraId="78181B2A" w14:textId="77777777" w:rsidR="003F7533" w:rsidRPr="0010736F" w:rsidRDefault="003F75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4FD70E2C" w14:textId="77777777" w:rsidR="003F7533" w:rsidRPr="00AE5488" w:rsidRDefault="003F7533" w:rsidP="007A5817">
                      <w:pPr>
                        <w:rPr>
                          <w:color w:val="0D0D0D" w:themeColor="text1" w:themeTint="F2"/>
                          <w:lang w:val="es-ES_tradnl"/>
                        </w:rPr>
                      </w:pPr>
                    </w:p>
                  </w:txbxContent>
                </v:textbox>
              </v:shape>
            </w:pict>
          </mc:Fallback>
        </mc:AlternateContent>
      </w:r>
      <w:r w:rsidR="004E2649" w:rsidRPr="00AD78E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59E5D29" wp14:editId="5768F7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27B53" w14:textId="70E2AEB4"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OEA/Ser.L/V/</w:t>
                            </w:r>
                            <w:r w:rsidR="00ED1545">
                              <w:rPr>
                                <w:rFonts w:asciiTheme="minorHAnsi" w:hAnsiTheme="minorHAnsi"/>
                                <w:color w:val="FFFFFF" w:themeColor="background1"/>
                                <w:sz w:val="22"/>
                                <w:lang w:val="es-US"/>
                              </w:rPr>
                              <w:t>II</w:t>
                            </w:r>
                          </w:p>
                          <w:p w14:paraId="1AB1F88B" w14:textId="7F094947"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Doc.</w:t>
                            </w:r>
                            <w:r w:rsidR="00ED1545">
                              <w:rPr>
                                <w:rFonts w:asciiTheme="minorHAnsi" w:hAnsiTheme="minorHAnsi"/>
                                <w:color w:val="FFFFFF" w:themeColor="background1"/>
                                <w:sz w:val="22"/>
                                <w:lang w:val="es-US"/>
                              </w:rPr>
                              <w:t xml:space="preserve"> </w:t>
                            </w:r>
                            <w:r w:rsidR="00FE699D">
                              <w:rPr>
                                <w:rFonts w:asciiTheme="minorHAnsi" w:hAnsiTheme="minorHAnsi"/>
                                <w:color w:val="FFFFFF" w:themeColor="background1"/>
                                <w:sz w:val="22"/>
                                <w:lang w:val="es-US"/>
                              </w:rPr>
                              <w:t>94</w:t>
                            </w:r>
                          </w:p>
                          <w:p w14:paraId="3898BAB9" w14:textId="2FFAEC85" w:rsidR="003F7533" w:rsidRPr="005E4E9F" w:rsidRDefault="00FE699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26 junio </w:t>
                            </w:r>
                            <w:r w:rsidR="003F7533" w:rsidRPr="005E4E9F">
                              <w:rPr>
                                <w:rFonts w:asciiTheme="minorHAnsi" w:hAnsiTheme="minorHAnsi"/>
                                <w:color w:val="FFFFFF" w:themeColor="background1"/>
                                <w:sz w:val="22"/>
                                <w:lang w:val="es-US"/>
                              </w:rPr>
                              <w:t>20</w:t>
                            </w:r>
                            <w:r w:rsidR="003F7533">
                              <w:rPr>
                                <w:rFonts w:asciiTheme="minorHAnsi" w:hAnsiTheme="minorHAnsi"/>
                                <w:color w:val="FFFFFF" w:themeColor="background1"/>
                                <w:sz w:val="22"/>
                                <w:lang w:val="es-US"/>
                              </w:rPr>
                              <w:t>2</w:t>
                            </w:r>
                            <w:r w:rsidR="00090874">
                              <w:rPr>
                                <w:rFonts w:asciiTheme="minorHAnsi" w:hAnsiTheme="minorHAnsi"/>
                                <w:color w:val="FFFFFF" w:themeColor="background1"/>
                                <w:sz w:val="22"/>
                                <w:lang w:val="es-US"/>
                              </w:rPr>
                              <w:t>5</w:t>
                            </w:r>
                          </w:p>
                          <w:p w14:paraId="564016F5" w14:textId="77777777"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5D2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B327B53" w14:textId="70E2AEB4"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OEA/Ser.L/V/</w:t>
                      </w:r>
                      <w:r w:rsidR="00ED1545">
                        <w:rPr>
                          <w:rFonts w:asciiTheme="minorHAnsi" w:hAnsiTheme="minorHAnsi"/>
                          <w:color w:val="FFFFFF" w:themeColor="background1"/>
                          <w:sz w:val="22"/>
                          <w:lang w:val="es-US"/>
                        </w:rPr>
                        <w:t>II</w:t>
                      </w:r>
                    </w:p>
                    <w:p w14:paraId="1AB1F88B" w14:textId="7F094947"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Doc.</w:t>
                      </w:r>
                      <w:r w:rsidR="00ED1545">
                        <w:rPr>
                          <w:rFonts w:asciiTheme="minorHAnsi" w:hAnsiTheme="minorHAnsi"/>
                          <w:color w:val="FFFFFF" w:themeColor="background1"/>
                          <w:sz w:val="22"/>
                          <w:lang w:val="es-US"/>
                        </w:rPr>
                        <w:t xml:space="preserve"> </w:t>
                      </w:r>
                      <w:r w:rsidR="00FE699D">
                        <w:rPr>
                          <w:rFonts w:asciiTheme="minorHAnsi" w:hAnsiTheme="minorHAnsi"/>
                          <w:color w:val="FFFFFF" w:themeColor="background1"/>
                          <w:sz w:val="22"/>
                          <w:lang w:val="es-US"/>
                        </w:rPr>
                        <w:t>94</w:t>
                      </w:r>
                    </w:p>
                    <w:p w14:paraId="3898BAB9" w14:textId="2FFAEC85" w:rsidR="003F7533" w:rsidRPr="005E4E9F" w:rsidRDefault="00FE699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26 junio </w:t>
                      </w:r>
                      <w:r w:rsidR="003F7533" w:rsidRPr="005E4E9F">
                        <w:rPr>
                          <w:rFonts w:asciiTheme="minorHAnsi" w:hAnsiTheme="minorHAnsi"/>
                          <w:color w:val="FFFFFF" w:themeColor="background1"/>
                          <w:sz w:val="22"/>
                          <w:lang w:val="es-US"/>
                        </w:rPr>
                        <w:t>20</w:t>
                      </w:r>
                      <w:r w:rsidR="003F7533">
                        <w:rPr>
                          <w:rFonts w:asciiTheme="minorHAnsi" w:hAnsiTheme="minorHAnsi"/>
                          <w:color w:val="FFFFFF" w:themeColor="background1"/>
                          <w:sz w:val="22"/>
                          <w:lang w:val="es-US"/>
                        </w:rPr>
                        <w:t>2</w:t>
                      </w:r>
                      <w:r w:rsidR="00090874">
                        <w:rPr>
                          <w:rFonts w:asciiTheme="minorHAnsi" w:hAnsiTheme="minorHAnsi"/>
                          <w:color w:val="FFFFFF" w:themeColor="background1"/>
                          <w:sz w:val="22"/>
                          <w:lang w:val="es-US"/>
                        </w:rPr>
                        <w:t>5</w:t>
                      </w:r>
                    </w:p>
                    <w:p w14:paraId="564016F5" w14:textId="77777777" w:rsidR="003F7533" w:rsidRPr="005E4E9F" w:rsidRDefault="003F7533" w:rsidP="007A5817">
                      <w:pPr>
                        <w:spacing w:line="276" w:lineRule="auto"/>
                        <w:jc w:val="right"/>
                        <w:rPr>
                          <w:rFonts w:asciiTheme="minorHAnsi" w:hAnsiTheme="minorHAnsi"/>
                          <w:color w:val="FFFFFF" w:themeColor="background1"/>
                          <w:sz w:val="22"/>
                          <w:lang w:val="es-US"/>
                        </w:rPr>
                      </w:pPr>
                      <w:r w:rsidRPr="005E4E9F">
                        <w:rPr>
                          <w:rFonts w:asciiTheme="minorHAnsi" w:hAnsiTheme="minorHAnsi"/>
                          <w:color w:val="FFFFFF" w:themeColor="background1"/>
                          <w:sz w:val="22"/>
                          <w:lang w:val="es-US"/>
                        </w:rPr>
                        <w:t>Original: español</w:t>
                      </w:r>
                    </w:p>
                  </w:txbxContent>
                </v:textbox>
              </v:shape>
            </w:pict>
          </mc:Fallback>
        </mc:AlternateContent>
      </w:r>
    </w:p>
    <w:p w14:paraId="0967CF0F"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6E7F2300"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1E6EABD1" w14:textId="77777777" w:rsidR="00040C3A" w:rsidRPr="00AD78EA" w:rsidRDefault="00040C3A" w:rsidP="00040C3A">
      <w:pPr>
        <w:tabs>
          <w:tab w:val="center" w:pos="5400"/>
        </w:tabs>
        <w:suppressAutoHyphens/>
        <w:jc w:val="center"/>
        <w:rPr>
          <w:rFonts w:asciiTheme="majorHAnsi" w:hAnsiTheme="majorHAnsi" w:cs="Arial"/>
          <w:sz w:val="20"/>
          <w:szCs w:val="20"/>
          <w:lang w:val="es-ES_tradnl"/>
        </w:rPr>
      </w:pPr>
    </w:p>
    <w:p w14:paraId="16C22B4C"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3203C931"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564A3AAF"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78BA3C43"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1BA6DDBD" w14:textId="77777777" w:rsidR="005128E4" w:rsidRPr="00AD78EA" w:rsidRDefault="005128E4" w:rsidP="00040C3A">
      <w:pPr>
        <w:tabs>
          <w:tab w:val="center" w:pos="5400"/>
        </w:tabs>
        <w:suppressAutoHyphens/>
        <w:jc w:val="center"/>
        <w:rPr>
          <w:rFonts w:asciiTheme="majorHAnsi" w:hAnsiTheme="majorHAnsi"/>
          <w:sz w:val="20"/>
          <w:szCs w:val="20"/>
          <w:lang w:val="es-ES_tradnl"/>
        </w:rPr>
      </w:pPr>
    </w:p>
    <w:p w14:paraId="6B9557D3"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5B573462" w14:textId="77777777" w:rsidR="005128E4" w:rsidRPr="00AD78EA" w:rsidRDefault="005128E4" w:rsidP="00040C3A">
      <w:pPr>
        <w:tabs>
          <w:tab w:val="center" w:pos="5400"/>
        </w:tabs>
        <w:suppressAutoHyphens/>
        <w:jc w:val="center"/>
        <w:rPr>
          <w:rFonts w:asciiTheme="majorHAnsi" w:hAnsiTheme="majorHAnsi"/>
          <w:sz w:val="20"/>
          <w:szCs w:val="20"/>
          <w:lang w:val="es-ES_tradnl"/>
        </w:rPr>
      </w:pPr>
    </w:p>
    <w:p w14:paraId="3B8181D2" w14:textId="77777777" w:rsidR="005128E4" w:rsidRPr="00AD78EA" w:rsidRDefault="005128E4" w:rsidP="00040C3A">
      <w:pPr>
        <w:tabs>
          <w:tab w:val="center" w:pos="5400"/>
        </w:tabs>
        <w:suppressAutoHyphens/>
        <w:jc w:val="center"/>
        <w:rPr>
          <w:rFonts w:asciiTheme="majorHAnsi" w:hAnsiTheme="majorHAnsi"/>
          <w:sz w:val="20"/>
          <w:szCs w:val="20"/>
          <w:lang w:val="es-ES_tradnl"/>
        </w:rPr>
      </w:pPr>
    </w:p>
    <w:p w14:paraId="725E368B" w14:textId="77777777" w:rsidR="005128E4" w:rsidRPr="00AD78EA" w:rsidRDefault="005128E4" w:rsidP="00040C3A">
      <w:pPr>
        <w:tabs>
          <w:tab w:val="center" w:pos="5400"/>
        </w:tabs>
        <w:suppressAutoHyphens/>
        <w:jc w:val="center"/>
        <w:rPr>
          <w:rFonts w:asciiTheme="majorHAnsi" w:hAnsiTheme="majorHAnsi"/>
          <w:sz w:val="20"/>
          <w:szCs w:val="20"/>
          <w:lang w:val="es-ES_tradnl"/>
        </w:rPr>
      </w:pPr>
    </w:p>
    <w:p w14:paraId="235F69DC"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1E6CDE09" w14:textId="77777777" w:rsidR="00040C3A" w:rsidRPr="00AD78EA" w:rsidRDefault="00040C3A" w:rsidP="00040C3A">
      <w:pPr>
        <w:tabs>
          <w:tab w:val="center" w:pos="5400"/>
        </w:tabs>
        <w:suppressAutoHyphens/>
        <w:jc w:val="center"/>
        <w:rPr>
          <w:rFonts w:asciiTheme="majorHAnsi" w:hAnsiTheme="majorHAnsi"/>
          <w:sz w:val="20"/>
          <w:szCs w:val="20"/>
          <w:lang w:val="es-ES_tradnl"/>
        </w:rPr>
      </w:pPr>
    </w:p>
    <w:p w14:paraId="518ED330"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6F48C30F"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5570027F"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451C9947"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75311C25"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7811B219"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59EA5042"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0D15D277"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1937D495"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0DE31832"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5C23F541"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6A849634"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7B832FB0"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72C97B3B"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36896FDC" w14:textId="77777777" w:rsidR="00A50FCF" w:rsidRPr="00AD78EA" w:rsidRDefault="0090270B" w:rsidP="00040C3A">
      <w:pPr>
        <w:tabs>
          <w:tab w:val="center" w:pos="5400"/>
        </w:tabs>
        <w:suppressAutoHyphens/>
        <w:jc w:val="center"/>
        <w:rPr>
          <w:rFonts w:asciiTheme="majorHAnsi" w:hAnsiTheme="majorHAnsi"/>
          <w:sz w:val="20"/>
          <w:szCs w:val="20"/>
          <w:lang w:val="es-ES_tradnl"/>
        </w:rPr>
      </w:pPr>
      <w:r w:rsidRPr="00AD78E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0F0167A" wp14:editId="459B3B5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9BBDA" w14:textId="5991688C" w:rsidR="003F7533" w:rsidRPr="00890650" w:rsidRDefault="003F7533"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w:t>
                            </w:r>
                            <w:r w:rsidR="00941E75">
                              <w:rPr>
                                <w:rFonts w:asciiTheme="majorHAnsi" w:hAnsiTheme="majorHAnsi"/>
                                <w:color w:val="0D0D0D" w:themeColor="text1" w:themeTint="F2"/>
                                <w:sz w:val="18"/>
                                <w:szCs w:val="20"/>
                                <w:lang w:val="es-ES"/>
                              </w:rPr>
                              <w:t xml:space="preserve">electrónicamente </w:t>
                            </w:r>
                            <w:r>
                              <w:rPr>
                                <w:rFonts w:asciiTheme="majorHAnsi" w:hAnsiTheme="majorHAnsi"/>
                                <w:color w:val="0D0D0D" w:themeColor="text1" w:themeTint="F2"/>
                                <w:sz w:val="18"/>
                                <w:szCs w:val="20"/>
                                <w:lang w:val="es-ES"/>
                              </w:rPr>
                              <w:t xml:space="preserve">por la Comisión </w:t>
                            </w:r>
                            <w:r w:rsidRPr="000A53D3">
                              <w:rPr>
                                <w:rFonts w:asciiTheme="majorHAnsi" w:hAnsiTheme="majorHAnsi"/>
                                <w:color w:val="0D0D0D" w:themeColor="text1" w:themeTint="F2"/>
                                <w:sz w:val="18"/>
                                <w:szCs w:val="20"/>
                                <w:lang w:val="es-ES"/>
                              </w:rPr>
                              <w:t xml:space="preserve">el </w:t>
                            </w:r>
                            <w:r w:rsidR="00FE699D">
                              <w:rPr>
                                <w:rFonts w:asciiTheme="majorHAnsi" w:hAnsiTheme="majorHAnsi"/>
                                <w:color w:val="0D0D0D" w:themeColor="text1" w:themeTint="F2"/>
                                <w:sz w:val="18"/>
                                <w:szCs w:val="20"/>
                                <w:lang w:val="es-ES"/>
                              </w:rPr>
                              <w:t>26 de junio</w:t>
                            </w:r>
                            <w:r w:rsidRPr="00890650">
                              <w:rPr>
                                <w:rFonts w:asciiTheme="majorHAnsi" w:hAnsiTheme="majorHAnsi"/>
                                <w:color w:val="0D0D0D" w:themeColor="text1" w:themeTint="F2"/>
                                <w:sz w:val="18"/>
                                <w:szCs w:val="20"/>
                                <w:lang w:val="es-ES"/>
                              </w:rPr>
                              <w:t xml:space="preserve"> 20</w:t>
                            </w:r>
                            <w:r>
                              <w:rPr>
                                <w:rFonts w:asciiTheme="majorHAnsi" w:hAnsiTheme="majorHAnsi"/>
                                <w:color w:val="0D0D0D" w:themeColor="text1" w:themeTint="F2"/>
                                <w:sz w:val="18"/>
                                <w:szCs w:val="20"/>
                                <w:lang w:val="es-ES"/>
                              </w:rPr>
                              <w:t>2</w:t>
                            </w:r>
                            <w:r w:rsidR="00090874">
                              <w:rPr>
                                <w:rFonts w:asciiTheme="majorHAnsi" w:hAnsiTheme="majorHAnsi"/>
                                <w:color w:val="0D0D0D" w:themeColor="text1" w:themeTint="F2"/>
                                <w:sz w:val="18"/>
                                <w:szCs w:val="20"/>
                                <w:lang w:val="es-ES"/>
                              </w:rPr>
                              <w:t>5</w:t>
                            </w:r>
                          </w:p>
                          <w:p w14:paraId="4F485898" w14:textId="77777777" w:rsidR="003F7533" w:rsidRPr="00167A34" w:rsidRDefault="003F753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167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DC9BBDA" w14:textId="5991688C" w:rsidR="003F7533" w:rsidRPr="00890650" w:rsidRDefault="003F7533"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 xml:space="preserve">Aprobado </w:t>
                      </w:r>
                      <w:r w:rsidR="00941E75">
                        <w:rPr>
                          <w:rFonts w:asciiTheme="majorHAnsi" w:hAnsiTheme="majorHAnsi"/>
                          <w:color w:val="0D0D0D" w:themeColor="text1" w:themeTint="F2"/>
                          <w:sz w:val="18"/>
                          <w:szCs w:val="20"/>
                          <w:lang w:val="es-ES"/>
                        </w:rPr>
                        <w:t xml:space="preserve">electrónicamente </w:t>
                      </w:r>
                      <w:r>
                        <w:rPr>
                          <w:rFonts w:asciiTheme="majorHAnsi" w:hAnsiTheme="majorHAnsi"/>
                          <w:color w:val="0D0D0D" w:themeColor="text1" w:themeTint="F2"/>
                          <w:sz w:val="18"/>
                          <w:szCs w:val="20"/>
                          <w:lang w:val="es-ES"/>
                        </w:rPr>
                        <w:t xml:space="preserve">por la Comisión </w:t>
                      </w:r>
                      <w:r w:rsidRPr="000A53D3">
                        <w:rPr>
                          <w:rFonts w:asciiTheme="majorHAnsi" w:hAnsiTheme="majorHAnsi"/>
                          <w:color w:val="0D0D0D" w:themeColor="text1" w:themeTint="F2"/>
                          <w:sz w:val="18"/>
                          <w:szCs w:val="20"/>
                          <w:lang w:val="es-ES"/>
                        </w:rPr>
                        <w:t xml:space="preserve">el </w:t>
                      </w:r>
                      <w:r w:rsidR="00FE699D">
                        <w:rPr>
                          <w:rFonts w:asciiTheme="majorHAnsi" w:hAnsiTheme="majorHAnsi"/>
                          <w:color w:val="0D0D0D" w:themeColor="text1" w:themeTint="F2"/>
                          <w:sz w:val="18"/>
                          <w:szCs w:val="20"/>
                          <w:lang w:val="es-ES"/>
                        </w:rPr>
                        <w:t>26 de junio</w:t>
                      </w:r>
                      <w:r w:rsidRPr="00890650">
                        <w:rPr>
                          <w:rFonts w:asciiTheme="majorHAnsi" w:hAnsiTheme="majorHAnsi"/>
                          <w:color w:val="0D0D0D" w:themeColor="text1" w:themeTint="F2"/>
                          <w:sz w:val="18"/>
                          <w:szCs w:val="20"/>
                          <w:lang w:val="es-ES"/>
                        </w:rPr>
                        <w:t xml:space="preserve"> 20</w:t>
                      </w:r>
                      <w:r>
                        <w:rPr>
                          <w:rFonts w:asciiTheme="majorHAnsi" w:hAnsiTheme="majorHAnsi"/>
                          <w:color w:val="0D0D0D" w:themeColor="text1" w:themeTint="F2"/>
                          <w:sz w:val="18"/>
                          <w:szCs w:val="20"/>
                          <w:lang w:val="es-ES"/>
                        </w:rPr>
                        <w:t>2</w:t>
                      </w:r>
                      <w:r w:rsidR="00090874">
                        <w:rPr>
                          <w:rFonts w:asciiTheme="majorHAnsi" w:hAnsiTheme="majorHAnsi"/>
                          <w:color w:val="0D0D0D" w:themeColor="text1" w:themeTint="F2"/>
                          <w:sz w:val="18"/>
                          <w:szCs w:val="20"/>
                          <w:lang w:val="es-ES"/>
                        </w:rPr>
                        <w:t>5</w:t>
                      </w:r>
                    </w:p>
                    <w:p w14:paraId="4F485898" w14:textId="77777777" w:rsidR="003F7533" w:rsidRPr="00167A34" w:rsidRDefault="003F753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1951447"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5F37BAF6"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780C6108"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0DF35ECE"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4C88B1B8" w14:textId="77777777" w:rsidR="00A50FCF" w:rsidRPr="00AD78EA" w:rsidRDefault="0090270B" w:rsidP="00040C3A">
      <w:pPr>
        <w:tabs>
          <w:tab w:val="center" w:pos="5400"/>
        </w:tabs>
        <w:suppressAutoHyphens/>
        <w:jc w:val="center"/>
        <w:rPr>
          <w:rFonts w:asciiTheme="majorHAnsi" w:hAnsiTheme="majorHAnsi"/>
          <w:sz w:val="20"/>
          <w:szCs w:val="20"/>
          <w:lang w:val="es-ES_tradnl"/>
        </w:rPr>
      </w:pPr>
      <w:r w:rsidRPr="00AD78E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F4107C5" wp14:editId="2CD3F81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FC538" w14:textId="2F8E18E3" w:rsidR="003F7533" w:rsidRPr="00D57B9F" w:rsidRDefault="003F753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00FE699D">
                              <w:rPr>
                                <w:rFonts w:asciiTheme="majorHAnsi" w:hAnsiTheme="majorHAnsi"/>
                                <w:color w:val="595959" w:themeColor="text1" w:themeTint="A6"/>
                                <w:sz w:val="18"/>
                                <w:szCs w:val="18"/>
                                <w:lang w:val="pt-BR"/>
                              </w:rPr>
                              <w:t>89</w:t>
                            </w:r>
                            <w:r>
                              <w:rPr>
                                <w:rFonts w:asciiTheme="majorHAnsi" w:hAnsiTheme="majorHAnsi"/>
                                <w:color w:val="595959" w:themeColor="text1" w:themeTint="A6"/>
                                <w:sz w:val="18"/>
                                <w:szCs w:val="18"/>
                                <w:lang w:val="pt-BR"/>
                              </w:rPr>
                              <w:t>/</w:t>
                            </w:r>
                            <w:r w:rsidR="002D6D4F">
                              <w:rPr>
                                <w:rFonts w:asciiTheme="majorHAnsi" w:hAnsiTheme="majorHAnsi"/>
                                <w:color w:val="595959" w:themeColor="text1" w:themeTint="A6"/>
                                <w:sz w:val="18"/>
                                <w:szCs w:val="18"/>
                                <w:lang w:val="pt-BR"/>
                              </w:rPr>
                              <w:t>25</w:t>
                            </w:r>
                            <w:r w:rsidRPr="00F24E5E">
                              <w:rPr>
                                <w:rFonts w:asciiTheme="majorHAnsi" w:hAnsiTheme="majorHAnsi"/>
                                <w:color w:val="595959" w:themeColor="text1" w:themeTint="A6"/>
                                <w:sz w:val="18"/>
                                <w:szCs w:val="18"/>
                                <w:lang w:val="pt-BR"/>
                              </w:rPr>
                              <w:t xml:space="preserve">, Caso 12.936.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t>
                            </w:r>
                            <w:r w:rsidRPr="000A53D3">
                              <w:rPr>
                                <w:rFonts w:asciiTheme="majorHAnsi" w:hAnsiTheme="majorHAnsi"/>
                                <w:color w:val="595959" w:themeColor="text1" w:themeTint="A6"/>
                                <w:sz w:val="18"/>
                                <w:szCs w:val="18"/>
                                <w:lang w:val="es-ES_tradnl"/>
                              </w:rPr>
                              <w:t>(</w:t>
                            </w:r>
                            <w:r w:rsidR="007A4456">
                              <w:rPr>
                                <w:rFonts w:asciiTheme="majorHAnsi" w:hAnsiTheme="majorHAnsi"/>
                                <w:color w:val="595959" w:themeColor="text1" w:themeTint="A6"/>
                                <w:sz w:val="18"/>
                                <w:szCs w:val="18"/>
                                <w:lang w:val="es-ES_tradnl"/>
                              </w:rPr>
                              <w:t>Publicación</w:t>
                            </w:r>
                            <w:r w:rsidRPr="000A53D3">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Oscar Alfonso Morales Díaz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E699D">
                              <w:rPr>
                                <w:rFonts w:asciiTheme="majorHAnsi" w:hAnsiTheme="majorHAnsi"/>
                                <w:color w:val="595959" w:themeColor="text1" w:themeTint="A6"/>
                                <w:sz w:val="18"/>
                                <w:szCs w:val="18"/>
                                <w:lang w:val="es-PE"/>
                              </w:rPr>
                              <w:t xml:space="preserve">26 de junio </w:t>
                            </w:r>
                            <w:r>
                              <w:rPr>
                                <w:rFonts w:asciiTheme="majorHAnsi" w:hAnsiTheme="majorHAnsi"/>
                                <w:color w:val="595959" w:themeColor="text1" w:themeTint="A6"/>
                                <w:sz w:val="18"/>
                                <w:szCs w:val="18"/>
                                <w:lang w:val="es-PE"/>
                              </w:rPr>
                              <w:t>de 202</w:t>
                            </w:r>
                            <w:r w:rsidR="00090874">
                              <w:rPr>
                                <w:rFonts w:asciiTheme="majorHAnsi" w:hAnsiTheme="majorHAnsi"/>
                                <w:color w:val="595959" w:themeColor="text1" w:themeTint="A6"/>
                                <w:sz w:val="18"/>
                                <w:szCs w:val="18"/>
                                <w:lang w:val="es-PE"/>
                              </w:rPr>
                              <w:t>5</w:t>
                            </w:r>
                            <w:r w:rsidRPr="00D57B9F">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07C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1BFC538" w14:textId="2F8E18E3" w:rsidR="003F7533" w:rsidRPr="00D57B9F" w:rsidRDefault="003F753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00FE699D">
                        <w:rPr>
                          <w:rFonts w:asciiTheme="majorHAnsi" w:hAnsiTheme="majorHAnsi"/>
                          <w:color w:val="595959" w:themeColor="text1" w:themeTint="A6"/>
                          <w:sz w:val="18"/>
                          <w:szCs w:val="18"/>
                          <w:lang w:val="pt-BR"/>
                        </w:rPr>
                        <w:t>89</w:t>
                      </w:r>
                      <w:r>
                        <w:rPr>
                          <w:rFonts w:asciiTheme="majorHAnsi" w:hAnsiTheme="majorHAnsi"/>
                          <w:color w:val="595959" w:themeColor="text1" w:themeTint="A6"/>
                          <w:sz w:val="18"/>
                          <w:szCs w:val="18"/>
                          <w:lang w:val="pt-BR"/>
                        </w:rPr>
                        <w:t>/</w:t>
                      </w:r>
                      <w:r w:rsidR="002D6D4F">
                        <w:rPr>
                          <w:rFonts w:asciiTheme="majorHAnsi" w:hAnsiTheme="majorHAnsi"/>
                          <w:color w:val="595959" w:themeColor="text1" w:themeTint="A6"/>
                          <w:sz w:val="18"/>
                          <w:szCs w:val="18"/>
                          <w:lang w:val="pt-BR"/>
                        </w:rPr>
                        <w:t>25</w:t>
                      </w:r>
                      <w:r w:rsidRPr="00F24E5E">
                        <w:rPr>
                          <w:rFonts w:asciiTheme="majorHAnsi" w:hAnsiTheme="majorHAnsi"/>
                          <w:color w:val="595959" w:themeColor="text1" w:themeTint="A6"/>
                          <w:sz w:val="18"/>
                          <w:szCs w:val="18"/>
                          <w:lang w:val="pt-BR"/>
                        </w:rPr>
                        <w:t xml:space="preserve">, Caso 12.936.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t>
                      </w:r>
                      <w:r w:rsidRPr="000A53D3">
                        <w:rPr>
                          <w:rFonts w:asciiTheme="majorHAnsi" w:hAnsiTheme="majorHAnsi"/>
                          <w:color w:val="595959" w:themeColor="text1" w:themeTint="A6"/>
                          <w:sz w:val="18"/>
                          <w:szCs w:val="18"/>
                          <w:lang w:val="es-ES_tradnl"/>
                        </w:rPr>
                        <w:t>(</w:t>
                      </w:r>
                      <w:r w:rsidR="007A4456">
                        <w:rPr>
                          <w:rFonts w:asciiTheme="majorHAnsi" w:hAnsiTheme="majorHAnsi"/>
                          <w:color w:val="595959" w:themeColor="text1" w:themeTint="A6"/>
                          <w:sz w:val="18"/>
                          <w:szCs w:val="18"/>
                          <w:lang w:val="es-ES_tradnl"/>
                        </w:rPr>
                        <w:t>Publicación</w:t>
                      </w:r>
                      <w:r w:rsidRPr="000A53D3">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Oscar Alfonso Morales Díaz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E699D">
                        <w:rPr>
                          <w:rFonts w:asciiTheme="majorHAnsi" w:hAnsiTheme="majorHAnsi"/>
                          <w:color w:val="595959" w:themeColor="text1" w:themeTint="A6"/>
                          <w:sz w:val="18"/>
                          <w:szCs w:val="18"/>
                          <w:lang w:val="es-PE"/>
                        </w:rPr>
                        <w:t xml:space="preserve">26 de junio </w:t>
                      </w:r>
                      <w:r>
                        <w:rPr>
                          <w:rFonts w:asciiTheme="majorHAnsi" w:hAnsiTheme="majorHAnsi"/>
                          <w:color w:val="595959" w:themeColor="text1" w:themeTint="A6"/>
                          <w:sz w:val="18"/>
                          <w:szCs w:val="18"/>
                          <w:lang w:val="es-PE"/>
                        </w:rPr>
                        <w:t>de 202</w:t>
                      </w:r>
                      <w:r w:rsidR="00090874">
                        <w:rPr>
                          <w:rFonts w:asciiTheme="majorHAnsi" w:hAnsiTheme="majorHAnsi"/>
                          <w:color w:val="595959" w:themeColor="text1" w:themeTint="A6"/>
                          <w:sz w:val="18"/>
                          <w:szCs w:val="18"/>
                          <w:lang w:val="es-PE"/>
                        </w:rPr>
                        <w:t>5</w:t>
                      </w:r>
                      <w:r w:rsidRPr="00D57B9F">
                        <w:rPr>
                          <w:rFonts w:asciiTheme="majorHAnsi" w:hAnsiTheme="majorHAnsi"/>
                          <w:color w:val="595959" w:themeColor="text1" w:themeTint="A6"/>
                          <w:sz w:val="18"/>
                          <w:szCs w:val="18"/>
                          <w:lang w:val="es-PE"/>
                        </w:rPr>
                        <w:t>.</w:t>
                      </w:r>
                    </w:p>
                  </w:txbxContent>
                </v:textbox>
              </v:shape>
            </w:pict>
          </mc:Fallback>
        </mc:AlternateContent>
      </w:r>
    </w:p>
    <w:p w14:paraId="3316B21E" w14:textId="77777777" w:rsidR="00A50FCF" w:rsidRPr="00AD78EA" w:rsidRDefault="00A50FCF" w:rsidP="00040C3A">
      <w:pPr>
        <w:tabs>
          <w:tab w:val="center" w:pos="5400"/>
        </w:tabs>
        <w:suppressAutoHyphens/>
        <w:jc w:val="center"/>
        <w:rPr>
          <w:rFonts w:asciiTheme="majorHAnsi" w:hAnsiTheme="majorHAnsi"/>
          <w:sz w:val="20"/>
          <w:szCs w:val="20"/>
          <w:lang w:val="es-ES_tradnl"/>
        </w:rPr>
      </w:pPr>
    </w:p>
    <w:p w14:paraId="08BBED50" w14:textId="77777777" w:rsidR="0090270B" w:rsidRPr="00AD78EA" w:rsidRDefault="00D306D1" w:rsidP="005516A1">
      <w:pPr>
        <w:tabs>
          <w:tab w:val="center" w:pos="5400"/>
        </w:tabs>
        <w:suppressAutoHyphens/>
        <w:jc w:val="center"/>
        <w:rPr>
          <w:rFonts w:asciiTheme="majorHAnsi" w:hAnsiTheme="majorHAnsi"/>
          <w:b/>
          <w:sz w:val="20"/>
          <w:szCs w:val="20"/>
          <w:lang w:val="es-ES_tradnl"/>
        </w:rPr>
      </w:pPr>
      <w:r w:rsidRPr="00AD78E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AE271EF" wp14:editId="3C39D24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E2251" w14:textId="77777777" w:rsidR="003F7533" w:rsidRPr="00D72DC6" w:rsidRDefault="003F753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EDBE1C" wp14:editId="4DA2F8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71E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39E2251" w14:textId="77777777" w:rsidR="003F7533" w:rsidRPr="00D72DC6" w:rsidRDefault="003F753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AEDBE1C" wp14:editId="4DA2F8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D78E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1443886" wp14:editId="01391A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D803D" w14:textId="77777777" w:rsidR="003F7533" w:rsidRPr="004B7EB6" w:rsidRDefault="003F75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388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272D803D" w14:textId="77777777" w:rsidR="003F7533" w:rsidRPr="004B7EB6" w:rsidRDefault="003F75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C8BC352" w14:textId="77777777" w:rsidR="0070697F" w:rsidRPr="00AD78EA" w:rsidRDefault="0070697F" w:rsidP="005516A1">
      <w:pPr>
        <w:tabs>
          <w:tab w:val="center" w:pos="5400"/>
        </w:tabs>
        <w:suppressAutoHyphens/>
        <w:jc w:val="center"/>
        <w:rPr>
          <w:rFonts w:asciiTheme="majorHAnsi" w:hAnsiTheme="majorHAnsi"/>
          <w:b/>
          <w:sz w:val="20"/>
          <w:szCs w:val="20"/>
          <w:lang w:val="es-ES_tradnl"/>
        </w:rPr>
        <w:sectPr w:rsidR="0070697F" w:rsidRPr="00AD78EA" w:rsidSect="00CE401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D871AFB" w14:textId="77777777" w:rsidR="00722C9F" w:rsidRPr="00AD78EA" w:rsidRDefault="00722C9F" w:rsidP="00941E75">
      <w:pPr>
        <w:tabs>
          <w:tab w:val="center" w:pos="5400"/>
        </w:tabs>
        <w:suppressAutoHyphens/>
        <w:spacing w:line="276" w:lineRule="auto"/>
        <w:rPr>
          <w:rFonts w:asciiTheme="majorHAnsi" w:hAnsiTheme="majorHAnsi"/>
          <w:sz w:val="20"/>
          <w:szCs w:val="20"/>
          <w:lang w:val="es-ES_tradnl"/>
        </w:rPr>
      </w:pPr>
    </w:p>
    <w:p w14:paraId="3322DCE3" w14:textId="77777777" w:rsidR="00722C9F" w:rsidRPr="00FD1514" w:rsidRDefault="00722C9F" w:rsidP="00722C9F">
      <w:pPr>
        <w:tabs>
          <w:tab w:val="center" w:pos="5400"/>
        </w:tabs>
        <w:suppressAutoHyphens/>
        <w:spacing w:line="276" w:lineRule="auto"/>
        <w:jc w:val="center"/>
        <w:rPr>
          <w:rFonts w:asciiTheme="majorHAnsi" w:hAnsiTheme="majorHAnsi"/>
          <w:b/>
          <w:sz w:val="22"/>
          <w:szCs w:val="22"/>
          <w:lang w:val="es-ES_tradnl"/>
        </w:rPr>
      </w:pPr>
      <w:r w:rsidRPr="00FD1514">
        <w:rPr>
          <w:rFonts w:asciiTheme="majorHAnsi" w:hAnsiTheme="majorHAnsi"/>
          <w:b/>
          <w:sz w:val="22"/>
          <w:szCs w:val="22"/>
          <w:lang w:val="es-ES_tradnl"/>
        </w:rPr>
        <w:t>ÍNDICE</w:t>
      </w:r>
    </w:p>
    <w:p w14:paraId="5B80B1CD" w14:textId="77777777" w:rsidR="0070697F" w:rsidRPr="00FD1514" w:rsidRDefault="0070697F" w:rsidP="001D65EF">
      <w:pPr>
        <w:tabs>
          <w:tab w:val="center" w:pos="5400"/>
        </w:tabs>
        <w:suppressAutoHyphens/>
        <w:spacing w:line="276" w:lineRule="auto"/>
        <w:rPr>
          <w:rFonts w:asciiTheme="majorHAnsi" w:hAnsiTheme="majorHAnsi"/>
          <w:sz w:val="22"/>
          <w:szCs w:val="22"/>
          <w:lang w:val="es-ES_tradnl"/>
        </w:rPr>
      </w:pPr>
    </w:p>
    <w:p w14:paraId="47475BF5" w14:textId="0605B431" w:rsidR="00FD1514" w:rsidRPr="00FD1514" w:rsidRDefault="003C30CC">
      <w:pPr>
        <w:pStyle w:val="TOC1"/>
        <w:rPr>
          <w:rFonts w:eastAsiaTheme="minorEastAsia" w:cstheme="minorBidi"/>
          <w:kern w:val="2"/>
          <w:sz w:val="22"/>
          <w:szCs w:val="22"/>
          <w:bdr w:val="none" w:sz="0" w:space="0" w:color="auto"/>
          <w:lang w:val="en-US" w:eastAsia="en-US"/>
          <w14:ligatures w14:val="standardContextual"/>
        </w:rPr>
      </w:pPr>
      <w:r w:rsidRPr="00FD1514">
        <w:rPr>
          <w:sz w:val="22"/>
          <w:szCs w:val="22"/>
        </w:rPr>
        <w:fldChar w:fldCharType="begin"/>
      </w:r>
      <w:r w:rsidRPr="00FD1514">
        <w:rPr>
          <w:sz w:val="22"/>
          <w:szCs w:val="22"/>
        </w:rPr>
        <w:instrText xml:space="preserve"> TOC \o "1-3" \h \z \u </w:instrText>
      </w:r>
      <w:r w:rsidRPr="00FD1514">
        <w:rPr>
          <w:sz w:val="22"/>
          <w:szCs w:val="22"/>
        </w:rPr>
        <w:fldChar w:fldCharType="separate"/>
      </w:r>
      <w:hyperlink w:anchor="_Toc202349274" w:history="1">
        <w:r w:rsidR="00FD1514" w:rsidRPr="00FD1514">
          <w:rPr>
            <w:rStyle w:val="Hyperlink"/>
            <w:sz w:val="22"/>
            <w:szCs w:val="22"/>
          </w:rPr>
          <w:t>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RESUMEN</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_Toc202349274 \h </w:instrText>
        </w:r>
        <w:r w:rsidR="00FD1514" w:rsidRPr="00FD1514">
          <w:rPr>
            <w:webHidden/>
            <w:sz w:val="22"/>
            <w:szCs w:val="22"/>
          </w:rPr>
        </w:r>
        <w:r w:rsidR="00FD1514" w:rsidRPr="00FD1514">
          <w:rPr>
            <w:webHidden/>
            <w:sz w:val="22"/>
            <w:szCs w:val="22"/>
          </w:rPr>
          <w:fldChar w:fldCharType="separate"/>
        </w:r>
        <w:r w:rsidR="008D2FC8">
          <w:rPr>
            <w:webHidden/>
            <w:sz w:val="22"/>
            <w:szCs w:val="22"/>
          </w:rPr>
          <w:t>2</w:t>
        </w:r>
        <w:r w:rsidR="00FD1514" w:rsidRPr="00FD1514">
          <w:rPr>
            <w:webHidden/>
            <w:sz w:val="22"/>
            <w:szCs w:val="22"/>
          </w:rPr>
          <w:fldChar w:fldCharType="end"/>
        </w:r>
      </w:hyperlink>
    </w:p>
    <w:p w14:paraId="179F9E59" w14:textId="752F4340"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75" w:history="1">
        <w:r w:rsidR="00FD1514" w:rsidRPr="00FD1514">
          <w:rPr>
            <w:rStyle w:val="Hyperlink"/>
            <w:sz w:val="22"/>
            <w:szCs w:val="22"/>
          </w:rPr>
          <w:t>II.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ALEGATOS DE LAS PARTES</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_Toc202349275 \h </w:instrText>
        </w:r>
        <w:r w:rsidR="00FD1514" w:rsidRPr="00FD1514">
          <w:rPr>
            <w:webHidden/>
            <w:sz w:val="22"/>
            <w:szCs w:val="22"/>
          </w:rPr>
        </w:r>
        <w:r w:rsidR="00FD1514" w:rsidRPr="00FD1514">
          <w:rPr>
            <w:webHidden/>
            <w:sz w:val="22"/>
            <w:szCs w:val="22"/>
          </w:rPr>
          <w:fldChar w:fldCharType="separate"/>
        </w:r>
        <w:r>
          <w:rPr>
            <w:webHidden/>
            <w:sz w:val="22"/>
            <w:szCs w:val="22"/>
          </w:rPr>
          <w:t>2</w:t>
        </w:r>
        <w:r w:rsidR="00FD1514" w:rsidRPr="00FD1514">
          <w:rPr>
            <w:webHidden/>
            <w:sz w:val="22"/>
            <w:szCs w:val="22"/>
          </w:rPr>
          <w:fldChar w:fldCharType="end"/>
        </w:r>
      </w:hyperlink>
    </w:p>
    <w:p w14:paraId="618A75BA" w14:textId="31359F8B"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76" w:history="1">
        <w:r w:rsidR="00FD1514" w:rsidRPr="00FD1514">
          <w:rPr>
            <w:rStyle w:val="Hyperlink"/>
            <w:sz w:val="22"/>
            <w:szCs w:val="22"/>
          </w:rPr>
          <w:t>A.</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Peticionario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_Toc202349276 \h </w:instrText>
        </w:r>
        <w:r w:rsidR="00FD1514" w:rsidRPr="00FD1514">
          <w:rPr>
            <w:webHidden/>
            <w:sz w:val="22"/>
            <w:szCs w:val="22"/>
          </w:rPr>
        </w:r>
        <w:r w:rsidR="00FD1514" w:rsidRPr="00FD1514">
          <w:rPr>
            <w:webHidden/>
            <w:sz w:val="22"/>
            <w:szCs w:val="22"/>
          </w:rPr>
          <w:fldChar w:fldCharType="separate"/>
        </w:r>
        <w:r>
          <w:rPr>
            <w:webHidden/>
            <w:sz w:val="22"/>
            <w:szCs w:val="22"/>
          </w:rPr>
          <w:t>2</w:t>
        </w:r>
        <w:r w:rsidR="00FD1514" w:rsidRPr="00FD1514">
          <w:rPr>
            <w:webHidden/>
            <w:sz w:val="22"/>
            <w:szCs w:val="22"/>
          </w:rPr>
          <w:fldChar w:fldCharType="end"/>
        </w:r>
      </w:hyperlink>
    </w:p>
    <w:p w14:paraId="17D33FA8" w14:textId="4E36FDFA"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77" w:history="1">
        <w:r w:rsidR="00FD1514" w:rsidRPr="00FD1514">
          <w:rPr>
            <w:rStyle w:val="Hyperlink"/>
            <w:sz w:val="22"/>
            <w:szCs w:val="22"/>
          </w:rPr>
          <w:t>B.</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Estado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_Toc202349277 \h </w:instrText>
        </w:r>
        <w:r w:rsidR="00FD1514" w:rsidRPr="00FD1514">
          <w:rPr>
            <w:webHidden/>
            <w:sz w:val="22"/>
            <w:szCs w:val="22"/>
          </w:rPr>
        </w:r>
        <w:r w:rsidR="00FD1514" w:rsidRPr="00FD1514">
          <w:rPr>
            <w:webHidden/>
            <w:sz w:val="22"/>
            <w:szCs w:val="22"/>
          </w:rPr>
          <w:fldChar w:fldCharType="separate"/>
        </w:r>
        <w:r>
          <w:rPr>
            <w:webHidden/>
            <w:sz w:val="22"/>
            <w:szCs w:val="22"/>
          </w:rPr>
          <w:t>4</w:t>
        </w:r>
        <w:r w:rsidR="00FD1514" w:rsidRPr="00FD1514">
          <w:rPr>
            <w:webHidden/>
            <w:sz w:val="22"/>
            <w:szCs w:val="22"/>
          </w:rPr>
          <w:fldChar w:fldCharType="end"/>
        </w:r>
      </w:hyperlink>
    </w:p>
    <w:p w14:paraId="1E3DD6C4" w14:textId="3AFD8627"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78" w:history="1">
        <w:r w:rsidR="00FD1514" w:rsidRPr="00FD1514">
          <w:rPr>
            <w:rStyle w:val="Hyperlink"/>
            <w:sz w:val="22"/>
            <w:szCs w:val="22"/>
          </w:rPr>
          <w:t>III.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DETERMINACIONES DE HECHO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_Toc202349278 \h </w:instrText>
        </w:r>
        <w:r w:rsidR="00FD1514" w:rsidRPr="00FD1514">
          <w:rPr>
            <w:webHidden/>
            <w:sz w:val="22"/>
            <w:szCs w:val="22"/>
          </w:rPr>
        </w:r>
        <w:r w:rsidR="00FD1514" w:rsidRPr="00FD1514">
          <w:rPr>
            <w:webHidden/>
            <w:sz w:val="22"/>
            <w:szCs w:val="22"/>
          </w:rPr>
          <w:fldChar w:fldCharType="separate"/>
        </w:r>
        <w:r>
          <w:rPr>
            <w:webHidden/>
            <w:sz w:val="22"/>
            <w:szCs w:val="22"/>
          </w:rPr>
          <w:t>5</w:t>
        </w:r>
        <w:r w:rsidR="00FD1514" w:rsidRPr="00FD1514">
          <w:rPr>
            <w:webHidden/>
            <w:sz w:val="22"/>
            <w:szCs w:val="22"/>
          </w:rPr>
          <w:fldChar w:fldCharType="end"/>
        </w:r>
      </w:hyperlink>
    </w:p>
    <w:p w14:paraId="4564E2A9" w14:textId="2B0FA321"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79" w:history="1">
        <w:r w:rsidR="00FD1514" w:rsidRPr="00FD1514">
          <w:rPr>
            <w:rStyle w:val="Hyperlink"/>
            <w:sz w:val="22"/>
            <w:szCs w:val="22"/>
          </w:rPr>
          <w:t>A.</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Denuncias por actos de corrupción.</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_Toc202349279 \h </w:instrText>
        </w:r>
        <w:r w:rsidR="00FD1514" w:rsidRPr="00FD1514">
          <w:rPr>
            <w:webHidden/>
            <w:sz w:val="22"/>
            <w:szCs w:val="22"/>
          </w:rPr>
        </w:r>
        <w:r w:rsidR="00FD1514" w:rsidRPr="00FD1514">
          <w:rPr>
            <w:webHidden/>
            <w:sz w:val="22"/>
            <w:szCs w:val="22"/>
          </w:rPr>
          <w:fldChar w:fldCharType="separate"/>
        </w:r>
        <w:r>
          <w:rPr>
            <w:webHidden/>
            <w:sz w:val="22"/>
            <w:szCs w:val="22"/>
          </w:rPr>
          <w:t>5</w:t>
        </w:r>
        <w:r w:rsidR="00FD1514" w:rsidRPr="00FD1514">
          <w:rPr>
            <w:webHidden/>
            <w:sz w:val="22"/>
            <w:szCs w:val="22"/>
          </w:rPr>
          <w:fldChar w:fldCharType="end"/>
        </w:r>
      </w:hyperlink>
    </w:p>
    <w:p w14:paraId="4A5855D8" w14:textId="097DB20F"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80" w:history="1">
        <w:r w:rsidR="00FD1514" w:rsidRPr="00FD1514">
          <w:rPr>
            <w:rStyle w:val="Hyperlink"/>
            <w:rFonts w:cs="Cambria"/>
            <w:sz w:val="22"/>
            <w:szCs w:val="22"/>
          </w:rPr>
          <w:t>B.</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Amenazas y denuncias de las mismas</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_Toc202349280 \h </w:instrText>
        </w:r>
        <w:r w:rsidR="00FD1514" w:rsidRPr="00FD1514">
          <w:rPr>
            <w:webHidden/>
            <w:sz w:val="22"/>
            <w:szCs w:val="22"/>
          </w:rPr>
        </w:r>
        <w:r w:rsidR="00FD1514" w:rsidRPr="00FD1514">
          <w:rPr>
            <w:webHidden/>
            <w:sz w:val="22"/>
            <w:szCs w:val="22"/>
          </w:rPr>
          <w:fldChar w:fldCharType="separate"/>
        </w:r>
        <w:r>
          <w:rPr>
            <w:webHidden/>
            <w:sz w:val="22"/>
            <w:szCs w:val="22"/>
          </w:rPr>
          <w:t>6</w:t>
        </w:r>
        <w:r w:rsidR="00FD1514" w:rsidRPr="00FD1514">
          <w:rPr>
            <w:webHidden/>
            <w:sz w:val="22"/>
            <w:szCs w:val="22"/>
          </w:rPr>
          <w:fldChar w:fldCharType="end"/>
        </w:r>
      </w:hyperlink>
    </w:p>
    <w:p w14:paraId="39E22140" w14:textId="33F0156E"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81" w:history="1">
        <w:r w:rsidR="00FD1514" w:rsidRPr="00FD1514">
          <w:rPr>
            <w:rStyle w:val="Hyperlink"/>
            <w:sz w:val="22"/>
            <w:szCs w:val="22"/>
          </w:rPr>
          <w:t>C.</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Atentado y hechos posteriores</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_Toc202349281 \h </w:instrText>
        </w:r>
        <w:r w:rsidR="00FD1514" w:rsidRPr="00FD1514">
          <w:rPr>
            <w:webHidden/>
            <w:sz w:val="22"/>
            <w:szCs w:val="22"/>
          </w:rPr>
        </w:r>
        <w:r w:rsidR="00FD1514" w:rsidRPr="00FD1514">
          <w:rPr>
            <w:webHidden/>
            <w:sz w:val="22"/>
            <w:szCs w:val="22"/>
          </w:rPr>
          <w:fldChar w:fldCharType="separate"/>
        </w:r>
        <w:r>
          <w:rPr>
            <w:webHidden/>
            <w:sz w:val="22"/>
            <w:szCs w:val="22"/>
          </w:rPr>
          <w:t>7</w:t>
        </w:r>
        <w:r w:rsidR="00FD1514" w:rsidRPr="00FD1514">
          <w:rPr>
            <w:webHidden/>
            <w:sz w:val="22"/>
            <w:szCs w:val="22"/>
          </w:rPr>
          <w:fldChar w:fldCharType="end"/>
        </w:r>
      </w:hyperlink>
    </w:p>
    <w:p w14:paraId="33226FAA" w14:textId="7D84D568"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82" w:history="1">
        <w:r w:rsidR="00FD1514" w:rsidRPr="00FD1514">
          <w:rPr>
            <w:rStyle w:val="Hyperlink"/>
            <w:sz w:val="22"/>
            <w:szCs w:val="22"/>
          </w:rPr>
          <w:t>D.</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Presentación ante la Embajada de Canadá y salida del país.</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_Toc202349282 \h </w:instrText>
        </w:r>
        <w:r w:rsidR="00FD1514" w:rsidRPr="00FD1514">
          <w:rPr>
            <w:webHidden/>
            <w:sz w:val="22"/>
            <w:szCs w:val="22"/>
          </w:rPr>
        </w:r>
        <w:r w:rsidR="00FD1514" w:rsidRPr="00FD1514">
          <w:rPr>
            <w:webHidden/>
            <w:sz w:val="22"/>
            <w:szCs w:val="22"/>
          </w:rPr>
          <w:fldChar w:fldCharType="separate"/>
        </w:r>
        <w:r>
          <w:rPr>
            <w:webHidden/>
            <w:sz w:val="22"/>
            <w:szCs w:val="22"/>
          </w:rPr>
          <w:t>11</w:t>
        </w:r>
        <w:r w:rsidR="00FD1514" w:rsidRPr="00FD1514">
          <w:rPr>
            <w:webHidden/>
            <w:sz w:val="22"/>
            <w:szCs w:val="22"/>
          </w:rPr>
          <w:fldChar w:fldCharType="end"/>
        </w:r>
      </w:hyperlink>
    </w:p>
    <w:p w14:paraId="4B229750" w14:textId="39DD8EB6"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83" w:history="1">
        <w:r w:rsidR="00FD1514" w:rsidRPr="00FD1514">
          <w:rPr>
            <w:rStyle w:val="Hyperlink"/>
            <w:sz w:val="22"/>
            <w:szCs w:val="22"/>
          </w:rPr>
          <w:t>IV.</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ANÁLISIS DE DERECHO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_Toc202349283 \h </w:instrText>
        </w:r>
        <w:r w:rsidR="00FD1514" w:rsidRPr="00FD1514">
          <w:rPr>
            <w:webHidden/>
            <w:sz w:val="22"/>
            <w:szCs w:val="22"/>
          </w:rPr>
        </w:r>
        <w:r w:rsidR="00FD1514" w:rsidRPr="00FD1514">
          <w:rPr>
            <w:webHidden/>
            <w:sz w:val="22"/>
            <w:szCs w:val="22"/>
          </w:rPr>
          <w:fldChar w:fldCharType="separate"/>
        </w:r>
        <w:r>
          <w:rPr>
            <w:webHidden/>
            <w:sz w:val="22"/>
            <w:szCs w:val="22"/>
          </w:rPr>
          <w:t>12</w:t>
        </w:r>
        <w:r w:rsidR="00FD1514" w:rsidRPr="00FD1514">
          <w:rPr>
            <w:webHidden/>
            <w:sz w:val="22"/>
            <w:szCs w:val="22"/>
          </w:rPr>
          <w:fldChar w:fldCharType="end"/>
        </w:r>
      </w:hyperlink>
    </w:p>
    <w:p w14:paraId="0913A7A4" w14:textId="5FD8CD4C"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84" w:history="1">
        <w:r w:rsidR="00FD1514" w:rsidRPr="00FD1514">
          <w:rPr>
            <w:rStyle w:val="Hyperlink"/>
            <w:sz w:val="22"/>
            <w:szCs w:val="22"/>
          </w:rPr>
          <w:t>A.</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Derechos a la vida, integridad personal y libertad de circulación y residencia en relación con el artículo 1.1 de la Convención Americana.</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_Toc202349284 \h </w:instrText>
        </w:r>
        <w:r w:rsidR="00FD1514" w:rsidRPr="00FD1514">
          <w:rPr>
            <w:webHidden/>
            <w:sz w:val="22"/>
            <w:szCs w:val="22"/>
          </w:rPr>
        </w:r>
        <w:r w:rsidR="00FD1514" w:rsidRPr="00FD1514">
          <w:rPr>
            <w:webHidden/>
            <w:sz w:val="22"/>
            <w:szCs w:val="22"/>
          </w:rPr>
          <w:fldChar w:fldCharType="separate"/>
        </w:r>
        <w:r>
          <w:rPr>
            <w:webHidden/>
            <w:sz w:val="22"/>
            <w:szCs w:val="22"/>
          </w:rPr>
          <w:t>12</w:t>
        </w:r>
        <w:r w:rsidR="00FD1514" w:rsidRPr="00FD1514">
          <w:rPr>
            <w:webHidden/>
            <w:sz w:val="22"/>
            <w:szCs w:val="22"/>
          </w:rPr>
          <w:fldChar w:fldCharType="end"/>
        </w:r>
      </w:hyperlink>
    </w:p>
    <w:p w14:paraId="5212EE4F" w14:textId="4F866BB5" w:rsidR="00FD1514" w:rsidRPr="00FD1514" w:rsidRDefault="008D2FC8">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2349285" w:history="1">
        <w:r w:rsidR="00FD1514" w:rsidRPr="00FD1514">
          <w:rPr>
            <w:rStyle w:val="Hyperlink"/>
            <w:rFonts w:asciiTheme="majorHAnsi" w:eastAsia="Cambria" w:hAnsiTheme="majorHAnsi"/>
            <w:noProof/>
            <w:sz w:val="22"/>
            <w:szCs w:val="22"/>
            <w:lang w:val="es-MX"/>
          </w:rPr>
          <w:t>1.</w:t>
        </w:r>
        <w:r w:rsidR="00FD1514" w:rsidRPr="00FD1514">
          <w:rPr>
            <w:rFonts w:asciiTheme="majorHAnsi" w:eastAsiaTheme="minorEastAsia" w:hAnsiTheme="majorHAnsi" w:cstheme="minorBidi"/>
            <w:noProof/>
            <w:kern w:val="2"/>
            <w:sz w:val="22"/>
            <w:szCs w:val="22"/>
            <w:bdr w:val="none" w:sz="0" w:space="0" w:color="auto"/>
            <w14:ligatures w14:val="standardContextual"/>
          </w:rPr>
          <w:tab/>
        </w:r>
        <w:r w:rsidR="00FD1514" w:rsidRPr="00FD1514">
          <w:rPr>
            <w:rStyle w:val="Hyperlink"/>
            <w:rFonts w:asciiTheme="majorHAnsi" w:eastAsia="Cambria" w:hAnsiTheme="majorHAnsi"/>
            <w:noProof/>
            <w:sz w:val="22"/>
            <w:szCs w:val="22"/>
            <w:lang w:val="es-MX"/>
          </w:rPr>
          <w:t>Consideraciones generales.</w:t>
        </w:r>
        <w:r w:rsidR="00FD1514" w:rsidRPr="00FD1514">
          <w:rPr>
            <w:rFonts w:asciiTheme="majorHAnsi" w:hAnsiTheme="majorHAnsi"/>
            <w:noProof/>
            <w:webHidden/>
            <w:sz w:val="22"/>
            <w:szCs w:val="22"/>
          </w:rPr>
          <w:tab/>
        </w:r>
        <w:r w:rsidR="00FD1514" w:rsidRPr="00FD1514">
          <w:rPr>
            <w:rFonts w:asciiTheme="majorHAnsi" w:hAnsiTheme="majorHAnsi"/>
            <w:noProof/>
            <w:webHidden/>
            <w:sz w:val="22"/>
            <w:szCs w:val="22"/>
          </w:rPr>
          <w:fldChar w:fldCharType="begin"/>
        </w:r>
        <w:r w:rsidR="00FD1514" w:rsidRPr="00FD1514">
          <w:rPr>
            <w:rFonts w:asciiTheme="majorHAnsi" w:hAnsiTheme="majorHAnsi"/>
            <w:noProof/>
            <w:webHidden/>
            <w:sz w:val="22"/>
            <w:szCs w:val="22"/>
          </w:rPr>
          <w:instrText xml:space="preserve"> PAGEREF _Toc202349285 \h </w:instrText>
        </w:r>
        <w:r w:rsidR="00FD1514" w:rsidRPr="00FD1514">
          <w:rPr>
            <w:rFonts w:asciiTheme="majorHAnsi" w:hAnsiTheme="majorHAnsi"/>
            <w:noProof/>
            <w:webHidden/>
            <w:sz w:val="22"/>
            <w:szCs w:val="22"/>
          </w:rPr>
        </w:r>
        <w:r w:rsidR="00FD1514" w:rsidRPr="00FD1514">
          <w:rPr>
            <w:rFonts w:asciiTheme="majorHAnsi" w:hAnsiTheme="majorHAnsi"/>
            <w:noProof/>
            <w:webHidden/>
            <w:sz w:val="22"/>
            <w:szCs w:val="22"/>
          </w:rPr>
          <w:fldChar w:fldCharType="separate"/>
        </w:r>
        <w:r>
          <w:rPr>
            <w:rFonts w:asciiTheme="majorHAnsi" w:hAnsiTheme="majorHAnsi"/>
            <w:noProof/>
            <w:webHidden/>
            <w:sz w:val="22"/>
            <w:szCs w:val="22"/>
          </w:rPr>
          <w:t>12</w:t>
        </w:r>
        <w:r w:rsidR="00FD1514" w:rsidRPr="00FD1514">
          <w:rPr>
            <w:rFonts w:asciiTheme="majorHAnsi" w:hAnsiTheme="majorHAnsi"/>
            <w:noProof/>
            <w:webHidden/>
            <w:sz w:val="22"/>
            <w:szCs w:val="22"/>
          </w:rPr>
          <w:fldChar w:fldCharType="end"/>
        </w:r>
      </w:hyperlink>
    </w:p>
    <w:p w14:paraId="3B4D1B3A" w14:textId="6B530370" w:rsidR="00FD1514" w:rsidRPr="00FD1514" w:rsidRDefault="008D2FC8">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2349286" w:history="1">
        <w:r w:rsidR="00FD1514" w:rsidRPr="00FD1514">
          <w:rPr>
            <w:rStyle w:val="Hyperlink"/>
            <w:rFonts w:asciiTheme="majorHAnsi" w:eastAsia="Cambria" w:hAnsiTheme="majorHAnsi"/>
            <w:noProof/>
            <w:sz w:val="22"/>
            <w:szCs w:val="22"/>
            <w:lang w:val="es-MX"/>
          </w:rPr>
          <w:t>2.</w:t>
        </w:r>
        <w:r w:rsidR="00FD1514" w:rsidRPr="00FD1514">
          <w:rPr>
            <w:rFonts w:asciiTheme="majorHAnsi" w:eastAsiaTheme="minorEastAsia" w:hAnsiTheme="majorHAnsi" w:cstheme="minorBidi"/>
            <w:noProof/>
            <w:kern w:val="2"/>
            <w:sz w:val="22"/>
            <w:szCs w:val="22"/>
            <w:bdr w:val="none" w:sz="0" w:space="0" w:color="auto"/>
            <w14:ligatures w14:val="standardContextual"/>
          </w:rPr>
          <w:tab/>
        </w:r>
        <w:r w:rsidR="00FD1514" w:rsidRPr="00FD1514">
          <w:rPr>
            <w:rStyle w:val="Hyperlink"/>
            <w:rFonts w:asciiTheme="majorHAnsi" w:eastAsia="Cambria" w:hAnsiTheme="majorHAnsi"/>
            <w:noProof/>
            <w:sz w:val="22"/>
            <w:szCs w:val="22"/>
            <w:lang w:val="es-MX"/>
          </w:rPr>
          <w:t>Análisis del caso</w:t>
        </w:r>
        <w:r w:rsidR="00FD1514" w:rsidRPr="00FD1514">
          <w:rPr>
            <w:rFonts w:asciiTheme="majorHAnsi" w:hAnsiTheme="majorHAnsi"/>
            <w:noProof/>
            <w:webHidden/>
            <w:sz w:val="22"/>
            <w:szCs w:val="22"/>
          </w:rPr>
          <w:tab/>
        </w:r>
        <w:r w:rsidR="00FD1514" w:rsidRPr="00FD1514">
          <w:rPr>
            <w:rFonts w:asciiTheme="majorHAnsi" w:hAnsiTheme="majorHAnsi"/>
            <w:noProof/>
            <w:webHidden/>
            <w:sz w:val="22"/>
            <w:szCs w:val="22"/>
          </w:rPr>
          <w:fldChar w:fldCharType="begin"/>
        </w:r>
        <w:r w:rsidR="00FD1514" w:rsidRPr="00FD1514">
          <w:rPr>
            <w:rFonts w:asciiTheme="majorHAnsi" w:hAnsiTheme="majorHAnsi"/>
            <w:noProof/>
            <w:webHidden/>
            <w:sz w:val="22"/>
            <w:szCs w:val="22"/>
          </w:rPr>
          <w:instrText xml:space="preserve"> PAGEREF _Toc202349286 \h </w:instrText>
        </w:r>
        <w:r w:rsidR="00FD1514" w:rsidRPr="00FD1514">
          <w:rPr>
            <w:rFonts w:asciiTheme="majorHAnsi" w:hAnsiTheme="majorHAnsi"/>
            <w:noProof/>
            <w:webHidden/>
            <w:sz w:val="22"/>
            <w:szCs w:val="22"/>
          </w:rPr>
        </w:r>
        <w:r w:rsidR="00FD1514" w:rsidRPr="00FD1514">
          <w:rPr>
            <w:rFonts w:asciiTheme="majorHAnsi" w:hAnsiTheme="majorHAnsi"/>
            <w:noProof/>
            <w:webHidden/>
            <w:sz w:val="22"/>
            <w:szCs w:val="22"/>
          </w:rPr>
          <w:fldChar w:fldCharType="separate"/>
        </w:r>
        <w:r>
          <w:rPr>
            <w:rFonts w:asciiTheme="majorHAnsi" w:hAnsiTheme="majorHAnsi"/>
            <w:noProof/>
            <w:webHidden/>
            <w:sz w:val="22"/>
            <w:szCs w:val="22"/>
          </w:rPr>
          <w:t>13</w:t>
        </w:r>
        <w:r w:rsidR="00FD1514" w:rsidRPr="00FD1514">
          <w:rPr>
            <w:rFonts w:asciiTheme="majorHAnsi" w:hAnsiTheme="majorHAnsi"/>
            <w:noProof/>
            <w:webHidden/>
            <w:sz w:val="22"/>
            <w:szCs w:val="22"/>
          </w:rPr>
          <w:fldChar w:fldCharType="end"/>
        </w:r>
      </w:hyperlink>
    </w:p>
    <w:p w14:paraId="181A4156" w14:textId="2A0C8B79" w:rsidR="00FD1514" w:rsidRPr="00FD1514" w:rsidRDefault="008D2FC8">
      <w:pPr>
        <w:pStyle w:val="TOC2"/>
        <w:rPr>
          <w:rFonts w:eastAsiaTheme="minorEastAsia" w:cstheme="minorBidi"/>
          <w:kern w:val="2"/>
          <w:sz w:val="22"/>
          <w:szCs w:val="22"/>
          <w:bdr w:val="none" w:sz="0" w:space="0" w:color="auto"/>
          <w:lang w:val="en-US" w:eastAsia="en-US"/>
          <w14:ligatures w14:val="standardContextual"/>
        </w:rPr>
      </w:pPr>
      <w:hyperlink w:anchor="_Toc202349287" w:history="1">
        <w:r w:rsidR="00FD1514" w:rsidRPr="00FD1514">
          <w:rPr>
            <w:rStyle w:val="Hyperlink"/>
            <w:sz w:val="22"/>
            <w:szCs w:val="22"/>
          </w:rPr>
          <w:t>B.</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Los derechos a las garantías judiciales y protección judicial, en relación con el artículo 1.1 de la Convención Americana.</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_Toc202349287 \h </w:instrText>
        </w:r>
        <w:r w:rsidR="00FD1514" w:rsidRPr="00FD1514">
          <w:rPr>
            <w:webHidden/>
            <w:sz w:val="22"/>
            <w:szCs w:val="22"/>
          </w:rPr>
        </w:r>
        <w:r w:rsidR="00FD1514" w:rsidRPr="00FD1514">
          <w:rPr>
            <w:webHidden/>
            <w:sz w:val="22"/>
            <w:szCs w:val="22"/>
          </w:rPr>
          <w:fldChar w:fldCharType="separate"/>
        </w:r>
        <w:r>
          <w:rPr>
            <w:webHidden/>
            <w:sz w:val="22"/>
            <w:szCs w:val="22"/>
          </w:rPr>
          <w:t>16</w:t>
        </w:r>
        <w:r w:rsidR="00FD1514" w:rsidRPr="00FD1514">
          <w:rPr>
            <w:webHidden/>
            <w:sz w:val="22"/>
            <w:szCs w:val="22"/>
          </w:rPr>
          <w:fldChar w:fldCharType="end"/>
        </w:r>
      </w:hyperlink>
    </w:p>
    <w:p w14:paraId="42493BBC" w14:textId="0A74524B" w:rsidR="00FD1514" w:rsidRPr="00FD1514" w:rsidRDefault="008D2FC8">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2349288" w:history="1">
        <w:r w:rsidR="00FD1514" w:rsidRPr="00FD1514">
          <w:rPr>
            <w:rStyle w:val="Hyperlink"/>
            <w:rFonts w:asciiTheme="majorHAnsi" w:eastAsia="Cambria" w:hAnsiTheme="majorHAnsi"/>
            <w:noProof/>
            <w:sz w:val="22"/>
            <w:szCs w:val="22"/>
            <w:lang w:val="es-MX" w:eastAsia="es-ES"/>
          </w:rPr>
          <w:t>1.</w:t>
        </w:r>
        <w:r w:rsidR="00FD1514" w:rsidRPr="00FD1514">
          <w:rPr>
            <w:rFonts w:asciiTheme="majorHAnsi" w:eastAsiaTheme="minorEastAsia" w:hAnsiTheme="majorHAnsi" w:cstheme="minorBidi"/>
            <w:noProof/>
            <w:kern w:val="2"/>
            <w:sz w:val="22"/>
            <w:szCs w:val="22"/>
            <w:bdr w:val="none" w:sz="0" w:space="0" w:color="auto"/>
            <w14:ligatures w14:val="standardContextual"/>
          </w:rPr>
          <w:tab/>
        </w:r>
        <w:r w:rsidR="00FD1514" w:rsidRPr="00FD1514">
          <w:rPr>
            <w:rStyle w:val="Hyperlink"/>
            <w:rFonts w:asciiTheme="majorHAnsi" w:eastAsia="Cambria" w:hAnsiTheme="majorHAnsi"/>
            <w:noProof/>
            <w:sz w:val="22"/>
            <w:szCs w:val="22"/>
            <w:lang w:val="es-MX" w:eastAsia="es-ES"/>
          </w:rPr>
          <w:t>Consideraciones generales.</w:t>
        </w:r>
        <w:r w:rsidR="00FD1514" w:rsidRPr="00FD1514">
          <w:rPr>
            <w:rFonts w:asciiTheme="majorHAnsi" w:hAnsiTheme="majorHAnsi"/>
            <w:noProof/>
            <w:webHidden/>
            <w:sz w:val="22"/>
            <w:szCs w:val="22"/>
          </w:rPr>
          <w:tab/>
        </w:r>
        <w:r w:rsidR="00FD1514" w:rsidRPr="00FD1514">
          <w:rPr>
            <w:rFonts w:asciiTheme="majorHAnsi" w:hAnsiTheme="majorHAnsi"/>
            <w:noProof/>
            <w:webHidden/>
            <w:sz w:val="22"/>
            <w:szCs w:val="22"/>
          </w:rPr>
          <w:fldChar w:fldCharType="begin"/>
        </w:r>
        <w:r w:rsidR="00FD1514" w:rsidRPr="00FD1514">
          <w:rPr>
            <w:rFonts w:asciiTheme="majorHAnsi" w:hAnsiTheme="majorHAnsi"/>
            <w:noProof/>
            <w:webHidden/>
            <w:sz w:val="22"/>
            <w:szCs w:val="22"/>
          </w:rPr>
          <w:instrText xml:space="preserve"> PAGEREF _Toc202349288 \h </w:instrText>
        </w:r>
        <w:r w:rsidR="00FD1514" w:rsidRPr="00FD1514">
          <w:rPr>
            <w:rFonts w:asciiTheme="majorHAnsi" w:hAnsiTheme="majorHAnsi"/>
            <w:noProof/>
            <w:webHidden/>
            <w:sz w:val="22"/>
            <w:szCs w:val="22"/>
          </w:rPr>
        </w:r>
        <w:r w:rsidR="00FD1514" w:rsidRPr="00FD1514">
          <w:rPr>
            <w:rFonts w:asciiTheme="majorHAnsi" w:hAnsiTheme="majorHAnsi"/>
            <w:noProof/>
            <w:webHidden/>
            <w:sz w:val="22"/>
            <w:szCs w:val="22"/>
          </w:rPr>
          <w:fldChar w:fldCharType="separate"/>
        </w:r>
        <w:r>
          <w:rPr>
            <w:rFonts w:asciiTheme="majorHAnsi" w:hAnsiTheme="majorHAnsi"/>
            <w:noProof/>
            <w:webHidden/>
            <w:sz w:val="22"/>
            <w:szCs w:val="22"/>
          </w:rPr>
          <w:t>16</w:t>
        </w:r>
        <w:r w:rsidR="00FD1514" w:rsidRPr="00FD1514">
          <w:rPr>
            <w:rFonts w:asciiTheme="majorHAnsi" w:hAnsiTheme="majorHAnsi"/>
            <w:noProof/>
            <w:webHidden/>
            <w:sz w:val="22"/>
            <w:szCs w:val="22"/>
          </w:rPr>
          <w:fldChar w:fldCharType="end"/>
        </w:r>
      </w:hyperlink>
    </w:p>
    <w:p w14:paraId="0E857DAE" w14:textId="44DA770F" w:rsidR="00FD1514" w:rsidRPr="00FD1514" w:rsidRDefault="008D2FC8">
      <w:pPr>
        <w:pStyle w:val="TOC3"/>
        <w:tabs>
          <w:tab w:val="left" w:pos="2160"/>
        </w:tabs>
        <w:rPr>
          <w:rFonts w:asciiTheme="majorHAnsi" w:eastAsiaTheme="minorEastAsia" w:hAnsiTheme="majorHAnsi" w:cstheme="minorBidi"/>
          <w:noProof/>
          <w:kern w:val="2"/>
          <w:sz w:val="22"/>
          <w:szCs w:val="22"/>
          <w:bdr w:val="none" w:sz="0" w:space="0" w:color="auto"/>
          <w14:ligatures w14:val="standardContextual"/>
        </w:rPr>
      </w:pPr>
      <w:hyperlink w:anchor="_Toc202349289" w:history="1">
        <w:r w:rsidR="00FD1514" w:rsidRPr="00FD1514">
          <w:rPr>
            <w:rStyle w:val="Hyperlink"/>
            <w:rFonts w:asciiTheme="majorHAnsi" w:eastAsia="Cambria" w:hAnsiTheme="majorHAnsi"/>
            <w:noProof/>
            <w:sz w:val="22"/>
            <w:szCs w:val="22"/>
            <w:lang w:val="es-MX" w:eastAsia="es-ES"/>
          </w:rPr>
          <w:t>2.</w:t>
        </w:r>
        <w:r w:rsidR="00FD1514" w:rsidRPr="00FD1514">
          <w:rPr>
            <w:rFonts w:asciiTheme="majorHAnsi" w:eastAsiaTheme="minorEastAsia" w:hAnsiTheme="majorHAnsi" w:cstheme="minorBidi"/>
            <w:noProof/>
            <w:kern w:val="2"/>
            <w:sz w:val="22"/>
            <w:szCs w:val="22"/>
            <w:bdr w:val="none" w:sz="0" w:space="0" w:color="auto"/>
            <w14:ligatures w14:val="standardContextual"/>
          </w:rPr>
          <w:tab/>
        </w:r>
        <w:r w:rsidR="00FD1514" w:rsidRPr="00FD1514">
          <w:rPr>
            <w:rStyle w:val="Hyperlink"/>
            <w:rFonts w:asciiTheme="majorHAnsi" w:eastAsia="Cambria" w:hAnsiTheme="majorHAnsi"/>
            <w:noProof/>
            <w:sz w:val="22"/>
            <w:szCs w:val="22"/>
            <w:lang w:val="es-MX" w:eastAsia="es-ES"/>
          </w:rPr>
          <w:t>Análisis del caso</w:t>
        </w:r>
        <w:r w:rsidR="00FD1514" w:rsidRPr="00FD1514">
          <w:rPr>
            <w:rFonts w:asciiTheme="majorHAnsi" w:hAnsiTheme="majorHAnsi"/>
            <w:noProof/>
            <w:webHidden/>
            <w:sz w:val="22"/>
            <w:szCs w:val="22"/>
          </w:rPr>
          <w:tab/>
        </w:r>
        <w:r w:rsidR="00FD1514" w:rsidRPr="00FD1514">
          <w:rPr>
            <w:rFonts w:asciiTheme="majorHAnsi" w:hAnsiTheme="majorHAnsi"/>
            <w:noProof/>
            <w:webHidden/>
            <w:sz w:val="22"/>
            <w:szCs w:val="22"/>
          </w:rPr>
          <w:fldChar w:fldCharType="begin"/>
        </w:r>
        <w:r w:rsidR="00FD1514" w:rsidRPr="00FD1514">
          <w:rPr>
            <w:rFonts w:asciiTheme="majorHAnsi" w:hAnsiTheme="majorHAnsi"/>
            <w:noProof/>
            <w:webHidden/>
            <w:sz w:val="22"/>
            <w:szCs w:val="22"/>
          </w:rPr>
          <w:instrText xml:space="preserve"> PAGEREF _Toc202349289 \h </w:instrText>
        </w:r>
        <w:r w:rsidR="00FD1514" w:rsidRPr="00FD1514">
          <w:rPr>
            <w:rFonts w:asciiTheme="majorHAnsi" w:hAnsiTheme="majorHAnsi"/>
            <w:noProof/>
            <w:webHidden/>
            <w:sz w:val="22"/>
            <w:szCs w:val="22"/>
          </w:rPr>
        </w:r>
        <w:r w:rsidR="00FD1514" w:rsidRPr="00FD1514">
          <w:rPr>
            <w:rFonts w:asciiTheme="majorHAnsi" w:hAnsiTheme="majorHAnsi"/>
            <w:noProof/>
            <w:webHidden/>
            <w:sz w:val="22"/>
            <w:szCs w:val="22"/>
          </w:rPr>
          <w:fldChar w:fldCharType="separate"/>
        </w:r>
        <w:r>
          <w:rPr>
            <w:rFonts w:asciiTheme="majorHAnsi" w:hAnsiTheme="majorHAnsi"/>
            <w:noProof/>
            <w:webHidden/>
            <w:sz w:val="22"/>
            <w:szCs w:val="22"/>
          </w:rPr>
          <w:t>17</w:t>
        </w:r>
        <w:r w:rsidR="00FD1514" w:rsidRPr="00FD1514">
          <w:rPr>
            <w:rFonts w:asciiTheme="majorHAnsi" w:hAnsiTheme="majorHAnsi"/>
            <w:noProof/>
            <w:webHidden/>
            <w:sz w:val="22"/>
            <w:szCs w:val="22"/>
          </w:rPr>
          <w:fldChar w:fldCharType="end"/>
        </w:r>
      </w:hyperlink>
    </w:p>
    <w:p w14:paraId="323342A5" w14:textId="508F8256"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90" w:history="1">
        <w:r w:rsidR="00FD1514" w:rsidRPr="00FD1514">
          <w:rPr>
            <w:rStyle w:val="Hyperlink"/>
            <w:sz w:val="22"/>
            <w:szCs w:val="22"/>
            <w:lang w:val="es-VE"/>
          </w:rPr>
          <w:t>V.</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lang w:val="es-VE"/>
          </w:rPr>
          <w:t>INFORME No. 62/18 E INFORMACIÓN SOBRE CUMPLIMIENTO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_Toc202349290 \h </w:instrText>
        </w:r>
        <w:r w:rsidR="00FD1514" w:rsidRPr="00FD1514">
          <w:rPr>
            <w:webHidden/>
            <w:sz w:val="22"/>
            <w:szCs w:val="22"/>
          </w:rPr>
        </w:r>
        <w:r w:rsidR="00FD1514" w:rsidRPr="00FD1514">
          <w:rPr>
            <w:webHidden/>
            <w:sz w:val="22"/>
            <w:szCs w:val="22"/>
          </w:rPr>
          <w:fldChar w:fldCharType="separate"/>
        </w:r>
        <w:r>
          <w:rPr>
            <w:webHidden/>
            <w:sz w:val="22"/>
            <w:szCs w:val="22"/>
          </w:rPr>
          <w:t>18</w:t>
        </w:r>
        <w:r w:rsidR="00FD1514" w:rsidRPr="00FD1514">
          <w:rPr>
            <w:webHidden/>
            <w:sz w:val="22"/>
            <w:szCs w:val="22"/>
          </w:rPr>
          <w:fldChar w:fldCharType="end"/>
        </w:r>
      </w:hyperlink>
    </w:p>
    <w:p w14:paraId="739083E3" w14:textId="7A017110"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91" w:history="1">
        <w:r w:rsidR="00FD1514" w:rsidRPr="00FD1514">
          <w:rPr>
            <w:rStyle w:val="Hyperlink"/>
            <w:sz w:val="22"/>
            <w:szCs w:val="22"/>
            <w:lang w:val="es-US"/>
          </w:rPr>
          <w:t>VI.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lang w:val="es-US"/>
          </w:rPr>
          <w:t>ACTUACIONES POSTERIORES AL INFORME No. 44/25 E INFORMACIÓN SOBRE CUMPLIMIENTO</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_Toc202349291 \h </w:instrText>
        </w:r>
        <w:r w:rsidR="00FD1514" w:rsidRPr="00FD1514">
          <w:rPr>
            <w:webHidden/>
            <w:sz w:val="22"/>
            <w:szCs w:val="22"/>
          </w:rPr>
        </w:r>
        <w:r w:rsidR="00FD1514" w:rsidRPr="00FD1514">
          <w:rPr>
            <w:webHidden/>
            <w:sz w:val="22"/>
            <w:szCs w:val="22"/>
          </w:rPr>
          <w:fldChar w:fldCharType="separate"/>
        </w:r>
        <w:r>
          <w:rPr>
            <w:webHidden/>
            <w:sz w:val="22"/>
            <w:szCs w:val="22"/>
          </w:rPr>
          <w:t>21</w:t>
        </w:r>
        <w:r w:rsidR="00FD1514" w:rsidRPr="00FD1514">
          <w:rPr>
            <w:webHidden/>
            <w:sz w:val="22"/>
            <w:szCs w:val="22"/>
          </w:rPr>
          <w:fldChar w:fldCharType="end"/>
        </w:r>
      </w:hyperlink>
    </w:p>
    <w:p w14:paraId="0A209467" w14:textId="5FC8FB45"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92" w:history="1">
        <w:r w:rsidR="00FD1514" w:rsidRPr="00FD1514">
          <w:rPr>
            <w:rStyle w:val="Hyperlink"/>
            <w:sz w:val="22"/>
            <w:szCs w:val="22"/>
          </w:rPr>
          <w:t>VII.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CONCLUSIONES Y RECOMENDACIÓN FINAL</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_Toc202349292 \h </w:instrText>
        </w:r>
        <w:r w:rsidR="00FD1514" w:rsidRPr="00FD1514">
          <w:rPr>
            <w:webHidden/>
            <w:sz w:val="22"/>
            <w:szCs w:val="22"/>
          </w:rPr>
        </w:r>
        <w:r w:rsidR="00FD1514" w:rsidRPr="00FD1514">
          <w:rPr>
            <w:webHidden/>
            <w:sz w:val="22"/>
            <w:szCs w:val="22"/>
          </w:rPr>
          <w:fldChar w:fldCharType="separate"/>
        </w:r>
        <w:r>
          <w:rPr>
            <w:webHidden/>
            <w:sz w:val="22"/>
            <w:szCs w:val="22"/>
          </w:rPr>
          <w:t>22</w:t>
        </w:r>
        <w:r w:rsidR="00FD1514" w:rsidRPr="00FD1514">
          <w:rPr>
            <w:webHidden/>
            <w:sz w:val="22"/>
            <w:szCs w:val="22"/>
          </w:rPr>
          <w:fldChar w:fldCharType="end"/>
        </w:r>
      </w:hyperlink>
    </w:p>
    <w:p w14:paraId="1EE9ED7D" w14:textId="412B1E2F" w:rsidR="00FD1514" w:rsidRPr="00FD1514" w:rsidRDefault="008D2FC8">
      <w:pPr>
        <w:pStyle w:val="TOC1"/>
        <w:rPr>
          <w:rFonts w:eastAsiaTheme="minorEastAsia" w:cstheme="minorBidi"/>
          <w:kern w:val="2"/>
          <w:sz w:val="22"/>
          <w:szCs w:val="22"/>
          <w:bdr w:val="none" w:sz="0" w:space="0" w:color="auto"/>
          <w:lang w:val="en-US" w:eastAsia="en-US"/>
          <w14:ligatures w14:val="standardContextual"/>
        </w:rPr>
      </w:pPr>
      <w:hyperlink w:anchor="_Toc202349293" w:history="1">
        <w:r w:rsidR="00FD1514" w:rsidRPr="00FD1514">
          <w:rPr>
            <w:rStyle w:val="Hyperlink"/>
            <w:rFonts w:eastAsiaTheme="majorEastAsia"/>
            <w:sz w:val="22"/>
            <w:szCs w:val="22"/>
          </w:rPr>
          <w:t>VIII.</w:t>
        </w:r>
        <w:r w:rsidR="00FD1514" w:rsidRPr="00FD1514">
          <w:rPr>
            <w:rFonts w:eastAsiaTheme="minorEastAsia" w:cstheme="minorBidi"/>
            <w:kern w:val="2"/>
            <w:sz w:val="22"/>
            <w:szCs w:val="22"/>
            <w:bdr w:val="none" w:sz="0" w:space="0" w:color="auto"/>
            <w:lang w:val="en-US" w:eastAsia="en-US"/>
            <w14:ligatures w14:val="standardContextual"/>
          </w:rPr>
          <w:tab/>
        </w:r>
        <w:r w:rsidR="00FD1514" w:rsidRPr="00FD1514">
          <w:rPr>
            <w:rStyle w:val="Hyperlink"/>
            <w:sz w:val="22"/>
            <w:szCs w:val="22"/>
          </w:rPr>
          <w:t>PUBLICACIÓN</w:t>
        </w:r>
        <w:r w:rsidR="00FD1514" w:rsidRPr="00FD1514">
          <w:rPr>
            <w:webHidden/>
            <w:sz w:val="22"/>
            <w:szCs w:val="22"/>
          </w:rPr>
          <w:tab/>
        </w:r>
        <w:r w:rsidR="00FD1514" w:rsidRPr="00FD1514">
          <w:rPr>
            <w:webHidden/>
            <w:sz w:val="22"/>
            <w:szCs w:val="22"/>
          </w:rPr>
          <w:fldChar w:fldCharType="begin"/>
        </w:r>
        <w:r w:rsidR="00FD1514" w:rsidRPr="00FD1514">
          <w:rPr>
            <w:webHidden/>
            <w:sz w:val="22"/>
            <w:szCs w:val="22"/>
          </w:rPr>
          <w:instrText xml:space="preserve"> PAGEREF _Toc202349293 \h </w:instrText>
        </w:r>
        <w:r w:rsidR="00FD1514" w:rsidRPr="00FD1514">
          <w:rPr>
            <w:webHidden/>
            <w:sz w:val="22"/>
            <w:szCs w:val="22"/>
          </w:rPr>
        </w:r>
        <w:r w:rsidR="00FD1514" w:rsidRPr="00FD1514">
          <w:rPr>
            <w:webHidden/>
            <w:sz w:val="22"/>
            <w:szCs w:val="22"/>
          </w:rPr>
          <w:fldChar w:fldCharType="separate"/>
        </w:r>
        <w:r>
          <w:rPr>
            <w:webHidden/>
            <w:sz w:val="22"/>
            <w:szCs w:val="22"/>
          </w:rPr>
          <w:t>22</w:t>
        </w:r>
        <w:r w:rsidR="00FD1514" w:rsidRPr="00FD1514">
          <w:rPr>
            <w:webHidden/>
            <w:sz w:val="22"/>
            <w:szCs w:val="22"/>
          </w:rPr>
          <w:fldChar w:fldCharType="end"/>
        </w:r>
      </w:hyperlink>
    </w:p>
    <w:p w14:paraId="56EEBC8D" w14:textId="0F48A57C" w:rsidR="002936AA" w:rsidRPr="00941E75" w:rsidRDefault="003C30CC" w:rsidP="00941E75">
      <w:pPr>
        <w:tabs>
          <w:tab w:val="left" w:pos="720"/>
        </w:tabs>
        <w:jc w:val="center"/>
      </w:pPr>
      <w:r w:rsidRPr="00FD1514">
        <w:rPr>
          <w:rFonts w:asciiTheme="majorHAnsi" w:hAnsiTheme="majorHAnsi"/>
          <w:sz w:val="22"/>
          <w:szCs w:val="22"/>
        </w:rPr>
        <w:fldChar w:fldCharType="end"/>
      </w:r>
      <w:r w:rsidR="005E49E4" w:rsidRPr="00AD78EA">
        <w:rPr>
          <w:rFonts w:asciiTheme="majorHAnsi" w:hAnsiTheme="majorHAnsi"/>
          <w:sz w:val="20"/>
          <w:szCs w:val="20"/>
          <w:lang w:val="es-ES"/>
        </w:rPr>
        <w:br w:type="page"/>
      </w:r>
    </w:p>
    <w:p w14:paraId="364EFAB0" w14:textId="77777777" w:rsidR="00D57B9F" w:rsidRDefault="00D57B9F" w:rsidP="005E0CC1">
      <w:pPr>
        <w:tabs>
          <w:tab w:val="center" w:pos="5400"/>
        </w:tabs>
        <w:suppressAutoHyphens/>
        <w:jc w:val="center"/>
        <w:rPr>
          <w:rFonts w:asciiTheme="majorHAnsi" w:hAnsiTheme="majorHAnsi"/>
          <w:sz w:val="18"/>
          <w:szCs w:val="20"/>
          <w:lang w:val="es-ES_tradnl"/>
        </w:rPr>
      </w:pPr>
    </w:p>
    <w:p w14:paraId="0EF411ED" w14:textId="77777777" w:rsidR="00D57B9F" w:rsidRPr="00AD78EA" w:rsidRDefault="00D57B9F" w:rsidP="005E0CC1">
      <w:pPr>
        <w:tabs>
          <w:tab w:val="center" w:pos="5400"/>
        </w:tabs>
        <w:suppressAutoHyphens/>
        <w:jc w:val="center"/>
        <w:rPr>
          <w:rFonts w:asciiTheme="majorHAnsi" w:hAnsiTheme="majorHAnsi"/>
          <w:sz w:val="18"/>
          <w:szCs w:val="20"/>
          <w:lang w:val="es-ES_tradnl"/>
        </w:rPr>
      </w:pPr>
    </w:p>
    <w:p w14:paraId="46F34451" w14:textId="69313F6F" w:rsidR="002936AA" w:rsidRPr="00AD78EA" w:rsidRDefault="002936AA" w:rsidP="005E0CC1">
      <w:pPr>
        <w:pStyle w:val="Heading1"/>
      </w:pPr>
      <w:bookmarkStart w:id="2" w:name="_Toc202349274"/>
      <w:r w:rsidRPr="00AD78EA">
        <w:t>RESUMEN</w:t>
      </w:r>
      <w:r w:rsidR="00941E75" w:rsidRPr="00FE699D">
        <w:rPr>
          <w:sz w:val="18"/>
          <w:vertAlign w:val="superscript"/>
        </w:rPr>
        <w:footnoteReference w:id="2"/>
      </w:r>
      <w:bookmarkEnd w:id="2"/>
    </w:p>
    <w:p w14:paraId="7D90C438" w14:textId="77777777" w:rsidR="002936AA" w:rsidRPr="00AD78EA" w:rsidRDefault="002936AA" w:rsidP="002936AA">
      <w:pPr>
        <w:suppressAutoHyphens/>
        <w:ind w:left="360"/>
        <w:rPr>
          <w:rFonts w:asciiTheme="majorHAnsi" w:hAnsiTheme="majorHAnsi"/>
          <w:b/>
          <w:sz w:val="20"/>
          <w:szCs w:val="20"/>
          <w:lang w:val="es-ES_tradnl"/>
        </w:rPr>
      </w:pPr>
    </w:p>
    <w:p w14:paraId="35C48EA8" w14:textId="05CE1C94"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sz w:val="20"/>
          <w:szCs w:val="20"/>
          <w:lang w:val="es-VE"/>
        </w:rPr>
        <w:t>El 10 de octubre de 2000 la Comisión Interamericana de Derechos Humanos (en adelante “la Comisión Interamericana”, “la Comisión” o “la CIDH”) recibió una petición presentada por Oscar Alfonso Morales Díaz (en adelante “el peticionario”) en representación propia y la de su familia, en la cual se aleg</w:t>
      </w:r>
      <w:r w:rsidR="001C7923" w:rsidRPr="00AD78EA">
        <w:rPr>
          <w:rFonts w:asciiTheme="majorHAnsi" w:hAnsiTheme="majorHAnsi"/>
          <w:sz w:val="20"/>
          <w:szCs w:val="20"/>
          <w:lang w:val="es-VE"/>
        </w:rPr>
        <w:t xml:space="preserve">ó </w:t>
      </w:r>
      <w:r w:rsidRPr="00AD78EA">
        <w:rPr>
          <w:rFonts w:asciiTheme="majorHAnsi" w:hAnsiTheme="majorHAnsi"/>
          <w:sz w:val="20"/>
          <w:szCs w:val="20"/>
          <w:lang w:val="es-VE"/>
        </w:rPr>
        <w:t xml:space="preserve">la responsabilidad internacional de la República de Colombia (en adelante “el Estado colombiano”, “el Estado” o “Colombia”) por violaciones a sus derechos humanos.  </w:t>
      </w:r>
    </w:p>
    <w:p w14:paraId="50A195AD"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61F7F519"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sz w:val="20"/>
          <w:szCs w:val="20"/>
          <w:lang w:val="es-VE"/>
        </w:rPr>
        <w:t>El 5 de noviembre de 2013 la Comisión aprobó el informe de admisibilidad No. 105/13</w:t>
      </w:r>
      <w:r w:rsidRPr="00AD78EA">
        <w:rPr>
          <w:rFonts w:asciiTheme="majorHAnsi" w:hAnsiTheme="majorHAnsi"/>
          <w:sz w:val="20"/>
          <w:szCs w:val="20"/>
          <w:vertAlign w:val="superscript"/>
          <w:lang w:val="es-VE"/>
        </w:rPr>
        <w:footnoteReference w:id="3"/>
      </w:r>
      <w:r w:rsidRPr="00AD78EA">
        <w:rPr>
          <w:rFonts w:asciiTheme="majorHAnsi" w:hAnsiTheme="majorHAnsi"/>
          <w:sz w:val="20"/>
          <w:szCs w:val="20"/>
          <w:lang w:val="es-VE"/>
        </w:rPr>
        <w:t>. El 12 de noviembre de 2013 la Comisión notificó dicho informe a las partes y se puso a su disposición a fin de llegar a una solución amistosa</w:t>
      </w:r>
      <w:r w:rsidRPr="00AD78EA">
        <w:rPr>
          <w:rFonts w:asciiTheme="majorHAnsi" w:hAnsiTheme="majorHAnsi"/>
          <w:sz w:val="20"/>
          <w:szCs w:val="20"/>
          <w:vertAlign w:val="superscript"/>
          <w:lang w:val="es-VE"/>
        </w:rPr>
        <w:footnoteReference w:id="4"/>
      </w:r>
      <w:r w:rsidRPr="00AD78EA">
        <w:rPr>
          <w:rFonts w:asciiTheme="majorHAnsi" w:hAnsiTheme="majorHAnsi"/>
          <w:sz w:val="20"/>
          <w:szCs w:val="20"/>
          <w:lang w:val="es-VE"/>
        </w:rPr>
        <w:t xml:space="preserve">. Las partes contaron con los plazos reglamentarios para presentar sus observaciones adicionales sobre el fondo. Toda la información recibida fue debidamente trasladada entre las partes. </w:t>
      </w:r>
    </w:p>
    <w:p w14:paraId="0082A577"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2F12707E"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sz w:val="20"/>
          <w:szCs w:val="20"/>
          <w:lang w:val="es-VE"/>
        </w:rPr>
        <w:t xml:space="preserve">El peticionario alegó que el Estado es responsable por no haber adoptado medidas efectivas de protección para él y su familia. En ese sentido, indicó que fue víctima de amenazas y de un atentado contra su vida el 8 de julio de 2000, como consecuencia de una denuncia de corrupción que interpuso contra funcionarios estatales. El peticionario agregó que denunció tanto las amenazas como el atentado ante las autoridades competentes y que el Estado no ha identificado a los responsables.  </w:t>
      </w:r>
    </w:p>
    <w:p w14:paraId="71725655"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4A66E7F0"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sz w:val="20"/>
          <w:szCs w:val="20"/>
          <w:lang w:val="es-VE"/>
        </w:rPr>
        <w:t xml:space="preserve">El Estado alegó que no es responsable, pues no existen razones ni medios probatorios que señalen a funcionarios estatales como actores de dichos actos de violencia, ni que indiquen que se haya actuado bajo su supervisión o tutela, o con su tolerancia o aquiescencia. Afirma que se hicieron las diligencias e investigaciones correspondientes; y que las obligaciones de protección e investigación son de medio y no de resultado. Así, el Estado afirmó que no puede ser responsable por cualquier violación de derechos humanos cometida por particulares. </w:t>
      </w:r>
    </w:p>
    <w:p w14:paraId="68DCB761"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7673F23B" w14:textId="49786365"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sz w:val="20"/>
          <w:szCs w:val="20"/>
          <w:lang w:val="es-VE"/>
        </w:rPr>
        <w:t>Con base en las determinaciones de hecho y de derecho, la Comisión Interamericana concluyó que el Estado es responsable por la violación de los artículos 4</w:t>
      </w:r>
      <w:r w:rsidR="009B0FC2" w:rsidRPr="00AD78EA">
        <w:rPr>
          <w:rFonts w:asciiTheme="majorHAnsi" w:hAnsiTheme="majorHAnsi"/>
          <w:sz w:val="20"/>
          <w:szCs w:val="20"/>
          <w:lang w:val="es-VE"/>
        </w:rPr>
        <w:t>.1</w:t>
      </w:r>
      <w:r w:rsidRPr="00AD78EA">
        <w:rPr>
          <w:rFonts w:asciiTheme="majorHAnsi" w:hAnsiTheme="majorHAnsi"/>
          <w:sz w:val="20"/>
          <w:szCs w:val="20"/>
          <w:lang w:val="es-VE"/>
        </w:rPr>
        <w:t xml:space="preserve"> (vida), 5</w:t>
      </w:r>
      <w:r w:rsidR="009B0FC2" w:rsidRPr="00AD78EA">
        <w:rPr>
          <w:rFonts w:asciiTheme="majorHAnsi" w:hAnsiTheme="majorHAnsi"/>
          <w:sz w:val="20"/>
          <w:szCs w:val="20"/>
          <w:lang w:val="es-VE"/>
        </w:rPr>
        <w:t>.1</w:t>
      </w:r>
      <w:r w:rsidRPr="00AD78EA">
        <w:rPr>
          <w:rFonts w:asciiTheme="majorHAnsi" w:hAnsiTheme="majorHAnsi"/>
          <w:sz w:val="20"/>
          <w:szCs w:val="20"/>
          <w:lang w:val="es-VE"/>
        </w:rPr>
        <w:t>  (integridad personal), 8</w:t>
      </w:r>
      <w:r w:rsidR="009B0FC2" w:rsidRPr="00AD78EA">
        <w:rPr>
          <w:rFonts w:asciiTheme="majorHAnsi" w:hAnsiTheme="majorHAnsi"/>
          <w:sz w:val="20"/>
          <w:szCs w:val="20"/>
          <w:lang w:val="es-VE"/>
        </w:rPr>
        <w:t>.1</w:t>
      </w:r>
      <w:r w:rsidRPr="00AD78EA">
        <w:rPr>
          <w:rFonts w:asciiTheme="majorHAnsi" w:hAnsiTheme="majorHAnsi"/>
          <w:sz w:val="20"/>
          <w:szCs w:val="20"/>
          <w:lang w:val="es-VE"/>
        </w:rPr>
        <w:t xml:space="preserve"> (garantías judiciales</w:t>
      </w:r>
      <w:r w:rsidR="000F7546" w:rsidRPr="00AD78EA">
        <w:rPr>
          <w:rFonts w:asciiTheme="majorHAnsi" w:hAnsiTheme="majorHAnsi"/>
          <w:sz w:val="20"/>
          <w:szCs w:val="20"/>
          <w:lang w:val="es-VE"/>
        </w:rPr>
        <w:t xml:space="preserve">), </w:t>
      </w:r>
      <w:r w:rsidRPr="00AD78EA">
        <w:rPr>
          <w:rFonts w:asciiTheme="majorHAnsi" w:hAnsiTheme="majorHAnsi"/>
          <w:sz w:val="20"/>
          <w:szCs w:val="20"/>
          <w:lang w:val="es-VE"/>
        </w:rPr>
        <w:t>22</w:t>
      </w:r>
      <w:r w:rsidR="009B0FC2" w:rsidRPr="00AD78EA">
        <w:rPr>
          <w:rFonts w:asciiTheme="majorHAnsi" w:hAnsiTheme="majorHAnsi"/>
          <w:sz w:val="20"/>
          <w:szCs w:val="20"/>
          <w:lang w:val="es-VE"/>
        </w:rPr>
        <w:t>.1</w:t>
      </w:r>
      <w:r w:rsidRPr="00AD78EA">
        <w:rPr>
          <w:rFonts w:asciiTheme="majorHAnsi" w:hAnsiTheme="majorHAnsi"/>
          <w:sz w:val="20"/>
          <w:szCs w:val="20"/>
          <w:lang w:val="es-VE"/>
        </w:rPr>
        <w:t xml:space="preserve"> (circulación y residencia) y 25 (protección judicial) de la Convención Americana sobre Derechos Humanos (en adelante “la Convención Americana” o “la Convención”), en relación con las obligaciones establecidas en el artículo 1.1 del mismo instrumento. La Comisión formuló las recomendaciones respectivas. </w:t>
      </w:r>
    </w:p>
    <w:p w14:paraId="5920B426"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56ABF33D" w14:textId="77777777" w:rsidR="002936AA" w:rsidRPr="00AD78EA" w:rsidRDefault="002936AA" w:rsidP="005E0CC1">
      <w:pPr>
        <w:pStyle w:val="Heading1"/>
      </w:pPr>
      <w:bookmarkStart w:id="4" w:name="_Toc202349275"/>
      <w:r w:rsidRPr="00AD78EA">
        <w:t>ALEGATOS DE LAS PARTES</w:t>
      </w:r>
      <w:bookmarkEnd w:id="4"/>
    </w:p>
    <w:p w14:paraId="1D9F5868" w14:textId="77777777" w:rsidR="002936AA" w:rsidRPr="00AD78EA" w:rsidRDefault="002936AA" w:rsidP="002936AA">
      <w:pPr>
        <w:suppressAutoHyphens/>
        <w:rPr>
          <w:rFonts w:asciiTheme="majorHAnsi" w:hAnsiTheme="majorHAnsi"/>
          <w:b/>
          <w:sz w:val="20"/>
          <w:szCs w:val="20"/>
          <w:lang w:val="es-ES_tradnl"/>
        </w:rPr>
      </w:pPr>
    </w:p>
    <w:p w14:paraId="050F612E" w14:textId="3B72CC2F" w:rsidR="002936AA" w:rsidRPr="00AD78EA" w:rsidRDefault="005E0CC1" w:rsidP="0027242F">
      <w:pPr>
        <w:pStyle w:val="Heading2"/>
      </w:pPr>
      <w:bookmarkStart w:id="5" w:name="_Toc202349276"/>
      <w:r w:rsidRPr="00AD78EA">
        <w:t>Peticionario</w:t>
      </w:r>
      <w:bookmarkEnd w:id="5"/>
    </w:p>
    <w:p w14:paraId="3A0FDB8E" w14:textId="77777777" w:rsidR="002936AA" w:rsidRPr="00AD78EA" w:rsidRDefault="002936AA" w:rsidP="002936AA">
      <w:pPr>
        <w:suppressAutoHyphens/>
        <w:rPr>
          <w:rFonts w:asciiTheme="majorHAnsi" w:hAnsiTheme="majorHAnsi"/>
          <w:sz w:val="20"/>
          <w:szCs w:val="20"/>
          <w:lang w:val="es-ES_tradnl"/>
        </w:rPr>
      </w:pPr>
    </w:p>
    <w:p w14:paraId="0D66B91F" w14:textId="1249DA8D"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VE"/>
        </w:rPr>
      </w:pPr>
      <w:r w:rsidRPr="00AD78EA">
        <w:rPr>
          <w:rFonts w:asciiTheme="majorHAnsi" w:hAnsiTheme="majorHAnsi"/>
          <w:color w:val="000000" w:themeColor="text1"/>
          <w:sz w:val="20"/>
          <w:szCs w:val="20"/>
          <w:lang w:val="es-VE"/>
        </w:rPr>
        <w:t>El peticionario</w:t>
      </w:r>
      <w:r w:rsidRPr="00AD78EA">
        <w:rPr>
          <w:rFonts w:asciiTheme="majorHAnsi" w:hAnsiTheme="majorHAnsi"/>
          <w:sz w:val="20"/>
          <w:szCs w:val="20"/>
          <w:lang w:val="es-VE"/>
        </w:rPr>
        <w:t xml:space="preserve"> alegó que en el mes de mayo de 2000, denunció ante la Fiscalía General de la Nación (en adelante “la FGN”), la Procuraduría General de la Nación (en adelante “la PGN”) y el Tribunal Superior de Cundinamarca, a varios funcionarios públicos del Instituto de Desarrollo Urbano (en adelante “el IDU”), por actos de corrupción. Indicó que puso en conocimiento del Programa Presidencial de Lucha Contra la Corrupción las denuncias realizadas. Agregó que dichas denuncias </w:t>
      </w:r>
      <w:r w:rsidR="00AA602E" w:rsidRPr="00AD78EA">
        <w:rPr>
          <w:rFonts w:asciiTheme="majorHAnsi" w:hAnsiTheme="majorHAnsi"/>
          <w:sz w:val="20"/>
          <w:szCs w:val="20"/>
          <w:lang w:val="es-VE"/>
        </w:rPr>
        <w:t>fueron informadas a</w:t>
      </w:r>
      <w:r w:rsidRPr="00AD78EA">
        <w:rPr>
          <w:rFonts w:asciiTheme="majorHAnsi" w:hAnsiTheme="majorHAnsi"/>
          <w:sz w:val="20"/>
          <w:szCs w:val="20"/>
          <w:lang w:val="es-VE"/>
        </w:rPr>
        <w:t xml:space="preserve"> los medios de comunicación, los cuales realizaron publicaciones en el mes de junio del mismo año, “sacando a la luz más irregularidades”.</w:t>
      </w:r>
    </w:p>
    <w:p w14:paraId="38D88845"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VE"/>
        </w:rPr>
      </w:pPr>
    </w:p>
    <w:p w14:paraId="65F086C5"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sz w:val="20"/>
          <w:szCs w:val="20"/>
          <w:lang w:val="es-VE"/>
        </w:rPr>
        <w:t>Señaló que a finales de junio de 2000 recibió llamadas telefónicas amenazantes ocasionadas por sus denuncias, en las que se le decía que “</w:t>
      </w:r>
      <w:r w:rsidRPr="00AD78EA">
        <w:rPr>
          <w:rFonts w:asciiTheme="majorHAnsi" w:hAnsiTheme="majorHAnsi"/>
          <w:color w:val="000000" w:themeColor="text1"/>
          <w:sz w:val="20"/>
          <w:szCs w:val="20"/>
          <w:lang w:val="es-VE"/>
        </w:rPr>
        <w:t xml:space="preserve">por sapo [se] moría”. Indicó que el 30 de junio de 2000 denunció ante el Programa Presidencial de Lucha Contra la Corrupción y la PGN, las amenazas recibidas. Señaló que el 6 </w:t>
      </w:r>
      <w:r w:rsidRPr="00AD78EA">
        <w:rPr>
          <w:rFonts w:asciiTheme="majorHAnsi" w:hAnsiTheme="majorHAnsi"/>
          <w:color w:val="000000" w:themeColor="text1"/>
          <w:sz w:val="20"/>
          <w:szCs w:val="20"/>
          <w:lang w:val="es-VE"/>
        </w:rPr>
        <w:lastRenderedPageBreak/>
        <w:t>de julio de 2000 fue notificado por parte del Programa Presidencial de Lucha Contra la Corrupción que, en atención a la denuncia por amenazas, se solicitaba al Departamento Administrativo de Seguridad (en adelante “el DAS”) efectuar una evaluación prioritaria y el suministro de medidas de protección. Además, indicó que el 7 de julio de 2000 denunció las amenazas ante la Defensoría del Pueblo.</w:t>
      </w:r>
    </w:p>
    <w:p w14:paraId="576F2D40"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5F27C97D" w14:textId="36520979" w:rsidR="002936AA" w:rsidRPr="00AD78EA" w:rsidRDefault="00440DF1"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Señaló </w:t>
      </w:r>
      <w:r w:rsidR="002936AA" w:rsidRPr="00AD78EA">
        <w:rPr>
          <w:rFonts w:asciiTheme="majorHAnsi" w:hAnsiTheme="majorHAnsi"/>
          <w:color w:val="000000" w:themeColor="text1"/>
          <w:sz w:val="20"/>
          <w:szCs w:val="20"/>
          <w:lang w:val="es-VE"/>
        </w:rPr>
        <w:t xml:space="preserve">que el 8 de julio de 2000 sufrió un atentado con arma de fuego por parte de dos sujetos que se movilizaban en una moto. Indicó que no presentó lesiones físicas pero que en el vehículo en el que se desplazaba se podían observar los rastros, “de frente y en el vidrio panorámico”, de los daños ocasionados por los proyectiles. Agregó que ese mismo día acudió a la Unidad de Reacción Inmediata de la FGN para denunciar el hecho. Afirmó que tuvo que lidiar con la burla de los funcionarios estatales, quienes le manifestaron que eso le ocurría “por pasar en malos negocios”. Alegó que el mismo 8 de julio, después de acudir a la FGN, se dirigió al DAS para presentar su denuncia por el atentado. El peticionario alegó que los agentes no le prestaron la atención debida, pues lo enviaron a su casa y le pidieron que regresara con su vehículo al día siguiente, para realizar las diligencias investigativas correspondientes, lo cual cumplió sin contar con ninguna medida para proteger su vida e integridad. </w:t>
      </w:r>
    </w:p>
    <w:p w14:paraId="1469A711"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343AE4CF"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Añadió que después del atentado, recibió varias amenazas consistentes en notas de condolencias a su nombre, las cuales entregó a la FGN. Señaló que el DAS </w:t>
      </w:r>
      <w:r w:rsidRPr="00AD78EA">
        <w:rPr>
          <w:rFonts w:asciiTheme="majorHAnsi" w:hAnsiTheme="majorHAnsi"/>
          <w:color w:val="000000" w:themeColor="text1"/>
          <w:sz w:val="20"/>
          <w:szCs w:val="20"/>
          <w:lang w:val="es-MX"/>
        </w:rPr>
        <w:t xml:space="preserve">dispuso el diligenciamiento de un Estudio Técnico de Nivel y Grado de Amenaza del entorno profesional, social y familiar del peticionario y que, como resultado de dicho estudio, se estableció que las acciones tenían </w:t>
      </w:r>
      <w:r w:rsidRPr="00AD78EA">
        <w:rPr>
          <w:rFonts w:asciiTheme="majorHAnsi" w:hAnsiTheme="majorHAnsi"/>
          <w:color w:val="000000" w:themeColor="text1"/>
          <w:sz w:val="20"/>
          <w:szCs w:val="20"/>
          <w:lang w:val="es-VE"/>
        </w:rPr>
        <w:t xml:space="preserve">origen en las denuncias presentadas en contra de las directivas del IDU. Agregó que el DAS le brindó asesoría mínima en materia de autoprotección y autoseguridad. </w:t>
      </w:r>
    </w:p>
    <w:p w14:paraId="5268A46D"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1378D187" w14:textId="5EA542D4"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El peticionario alegó que la FGN le entregó una “carta de autoprotección” y lo hizo parte de un programa de Protección y asistencia a testigos, víctimas, intervinientes en el proceso penal y funcionarios de la FGN (en adelante “el Programa de protección y asistencia”), recomendándole salir de la ciudad constantemente. Señaló que los gastos respectivos corrieron por su cuenta. Asimismo, indicó que declinó la propuesta de la FGN de reubicarse en otra ciudad por resultarle desfavorable, al no contar con apoyo en los ámbitos laboral, económico ni de vivienda. Añadió que solicitó a la FGN ayuda sobre información de contacto con universidades del extranjero, para continuar sus estudios y proteger su vida; sin embargo, no recibió respuesta. </w:t>
      </w:r>
    </w:p>
    <w:p w14:paraId="1D0AD90C"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44357342"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Alegó que la Policía Metropolitana de Bogotá (en adelante “la PMB”) le realizó un estudio de seguridad, cuyo resultado fue que tenía un nivel de riesgo “medio”, dando lugar a que se ordenara la realización de patrullajes esporádicos a su residencia y la sugerencia de que aplicara las medidas de seguridad recomendadas. Añadió que acudió a dicha entidad y mantuvo una conversación con un teniente de inteligencia, quién le manifestó que le faltó poco para llegar a un nivel “alto” de riesgo, que debía tener cuidado y que no se le podía informar más. El peticionario agregó que “no se puede considerar una charla y una visita de la policía a [su] casa como una medida que buscaba proteger [su] vida e integridad”.</w:t>
      </w:r>
    </w:p>
    <w:p w14:paraId="519372E8"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20AC1682" w14:textId="09882EAB"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Manifestó que luego de conocer el resultado del estudio de seguridad de la PMB se puso en contacto con la oficina del Alto Comisionado de las Naciones Unidas para Derechos Humanos, donde le </w:t>
      </w:r>
      <w:r w:rsidR="00614EF7" w:rsidRPr="00AD78EA">
        <w:rPr>
          <w:rFonts w:asciiTheme="majorHAnsi" w:hAnsiTheme="majorHAnsi"/>
          <w:color w:val="000000" w:themeColor="text1"/>
          <w:sz w:val="20"/>
          <w:szCs w:val="20"/>
          <w:lang w:val="es-VE"/>
        </w:rPr>
        <w:t xml:space="preserve">plantearon que dado que </w:t>
      </w:r>
      <w:r w:rsidRPr="00AD78EA">
        <w:rPr>
          <w:rFonts w:asciiTheme="majorHAnsi" w:hAnsiTheme="majorHAnsi"/>
          <w:color w:val="000000" w:themeColor="text1"/>
          <w:sz w:val="20"/>
          <w:szCs w:val="20"/>
          <w:lang w:val="es-VE"/>
        </w:rPr>
        <w:t xml:space="preserve">ya había agotado todas las vías a nivel nacional </w:t>
      </w:r>
      <w:r w:rsidR="00614EF7" w:rsidRPr="00AD78EA">
        <w:rPr>
          <w:rFonts w:asciiTheme="majorHAnsi" w:hAnsiTheme="majorHAnsi"/>
          <w:color w:val="000000" w:themeColor="text1"/>
          <w:sz w:val="20"/>
          <w:szCs w:val="20"/>
          <w:lang w:val="es-VE"/>
        </w:rPr>
        <w:t xml:space="preserve">sin respuesta </w:t>
      </w:r>
      <w:r w:rsidRPr="00AD78EA">
        <w:rPr>
          <w:rFonts w:asciiTheme="majorHAnsi" w:hAnsiTheme="majorHAnsi"/>
          <w:color w:val="000000" w:themeColor="text1"/>
          <w:sz w:val="20"/>
          <w:szCs w:val="20"/>
          <w:lang w:val="es-VE"/>
        </w:rPr>
        <w:t>afirmativa</w:t>
      </w:r>
      <w:r w:rsidR="00614EF7" w:rsidRPr="00AD78EA">
        <w:rPr>
          <w:rFonts w:asciiTheme="majorHAnsi" w:hAnsiTheme="majorHAnsi"/>
          <w:color w:val="000000" w:themeColor="text1"/>
          <w:sz w:val="20"/>
          <w:szCs w:val="20"/>
          <w:lang w:val="es-VE"/>
        </w:rPr>
        <w:t>, podría buscar alternativas fuera de</w:t>
      </w:r>
      <w:r w:rsidRPr="00AD78EA">
        <w:rPr>
          <w:rFonts w:asciiTheme="majorHAnsi" w:hAnsiTheme="majorHAnsi"/>
          <w:color w:val="000000" w:themeColor="text1"/>
          <w:sz w:val="20"/>
          <w:szCs w:val="20"/>
          <w:lang w:val="es-VE"/>
        </w:rPr>
        <w:t xml:space="preserve"> Colombia. </w:t>
      </w:r>
    </w:p>
    <w:p w14:paraId="619B9F1D" w14:textId="77777777" w:rsidR="00D57B9F" w:rsidRPr="00AD78EA" w:rsidRDefault="00D57B9F"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5DD63B38"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El peticionario alegó que se vio obligado a abandonar el país ante la falta de protección efectiva por sus denuncias de corrupción. Señaló que el 14 de diciembre de 2000 emigró a Canadá con el apoyo del Estado, luego de verificarse su situación de riesgo. Indicó que Canadá le facilitó créditos, por lo cual adquirió obligaciones financieras que debió sustentar bajo su cuenta.</w:t>
      </w:r>
    </w:p>
    <w:p w14:paraId="7EAAC322"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780CEFDA"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Informó que el proceso de investigación por el atentado contra su vida, que se seguía ante la FGN, se encuentra en archivo provisional, por resolución inhibitoria del 25 de julio de 2001; lo cual, agregó, demuestra la falta de interés del Estado en investigar los hechos.</w:t>
      </w:r>
    </w:p>
    <w:p w14:paraId="235A6BD1"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5EE700DF" w14:textId="5CA947DA"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El peticionario señaló que solicitó a la Presidencia de la República, mediante correo electrónico, que se adjuntara a la investigación la información referente al asesinato</w:t>
      </w:r>
      <w:r w:rsidR="00A00C5F" w:rsidRPr="00AD78EA">
        <w:rPr>
          <w:rFonts w:asciiTheme="majorHAnsi" w:hAnsiTheme="majorHAnsi"/>
          <w:color w:val="000000" w:themeColor="text1"/>
          <w:sz w:val="20"/>
          <w:szCs w:val="20"/>
          <w:lang w:val="es-VE"/>
        </w:rPr>
        <w:t xml:space="preserve"> el 29 de marzo de 2001 </w:t>
      </w:r>
      <w:r w:rsidRPr="00AD78EA">
        <w:rPr>
          <w:rFonts w:asciiTheme="majorHAnsi" w:hAnsiTheme="majorHAnsi"/>
          <w:color w:val="000000" w:themeColor="text1"/>
          <w:sz w:val="20"/>
          <w:szCs w:val="20"/>
          <w:lang w:val="es-VE"/>
        </w:rPr>
        <w:t xml:space="preserve">de </w:t>
      </w:r>
      <w:r w:rsidRPr="00AD78EA">
        <w:rPr>
          <w:rFonts w:asciiTheme="majorHAnsi" w:hAnsiTheme="majorHAnsi"/>
          <w:color w:val="000000" w:themeColor="text1"/>
          <w:sz w:val="20"/>
          <w:szCs w:val="20"/>
          <w:lang w:val="es-VE"/>
        </w:rPr>
        <w:lastRenderedPageBreak/>
        <w:t xml:space="preserve">la jefa de Licitaciones y Contrataciones del IDU, Sonia Ramírez, quien era una de las personas contra las cuales presentó denuncia por corrupción. </w:t>
      </w:r>
    </w:p>
    <w:p w14:paraId="5F1963F2"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6C1C1B32"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Por todo lo anterior, alegó que el Estado colombiano vulneró sus derechos a la vida, </w:t>
      </w:r>
      <w:r w:rsidRPr="00AD78EA">
        <w:rPr>
          <w:rFonts w:asciiTheme="majorHAnsi" w:hAnsiTheme="majorHAnsi"/>
          <w:sz w:val="20"/>
          <w:szCs w:val="20"/>
          <w:lang w:val="es-VE"/>
        </w:rPr>
        <w:t>integridad personal, seguridad, garantías judiciales, propiedad privada, circulación y residencia y protección judicial.</w:t>
      </w:r>
    </w:p>
    <w:p w14:paraId="0D4C36AB"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3FD9E802" w14:textId="0F77BD17" w:rsidR="002936AA" w:rsidRPr="00AD78EA" w:rsidRDefault="005E0CC1" w:rsidP="0027242F">
      <w:pPr>
        <w:pStyle w:val="Heading2"/>
        <w:rPr>
          <w:i/>
        </w:rPr>
      </w:pPr>
      <w:bookmarkStart w:id="6" w:name="_Toc202349277"/>
      <w:r w:rsidRPr="00AD78EA">
        <w:t>Estado</w:t>
      </w:r>
      <w:bookmarkEnd w:id="6"/>
    </w:p>
    <w:p w14:paraId="25A65CCF" w14:textId="4F0665A3" w:rsidR="002936AA" w:rsidRPr="00AD78EA" w:rsidRDefault="002936AA" w:rsidP="002936AA">
      <w:pPr>
        <w:suppressAutoHyphens/>
        <w:ind w:left="1440"/>
        <w:rPr>
          <w:rFonts w:asciiTheme="majorHAnsi" w:eastAsia="Cambria" w:hAnsiTheme="majorHAnsi" w:cs="Cambria"/>
          <w:b/>
          <w:color w:val="000000"/>
          <w:sz w:val="20"/>
          <w:szCs w:val="20"/>
          <w:u w:color="000000"/>
          <w:lang w:val="es-ES_tradnl" w:eastAsia="es-ES"/>
        </w:rPr>
      </w:pPr>
    </w:p>
    <w:p w14:paraId="7A4340FF" w14:textId="6917625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El Estado indicó que no es responsable internacionalmente, dado que no se ha determinado que fueron agentes del Estado quienes propinaron las amenazas y agresiones en contra de la presunta víctima. Alegó que tampoco se puede verificar que quienes cometieron tales hechos hayan actuado bajo la supervisión, tutela, tolerancia o aquiescencia de funcionarios públicos, ni que haya existido falta de diligencia para prevenir un acto particular que vulnere derechos.</w:t>
      </w:r>
    </w:p>
    <w:p w14:paraId="012161A3"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78AB6C60"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Agregó que de acuerdo con la investigación llevada a cabo por el delito de tentativa de homicidio, no se encuentran elementos que permitan advertir la presunta participación de agentes del Estado ni individualizar a los posibles agresores, lo cual derivó en que una vez se realizaron las diligencias necesarias, se dispusiera la suspensión provisional de la investigación. </w:t>
      </w:r>
    </w:p>
    <w:p w14:paraId="636987A0"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6284E7F4"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El Estado alegó que actuó con debida diligencia para prevenir el riesgo, pues las autoridades competentes emprendieron acciones dirigidas a proteger de manera adecuada y oportuna la vida e integridad de la presunta víctima.  Así, indicó que la FGN se encontraba efectuando la evaluación de amenaza y riesgo del señor Morales Díaz, cuando tan solo un día después de haber presentado la información a dicha entidad, tuvo lugar el atentado. </w:t>
      </w:r>
    </w:p>
    <w:p w14:paraId="1FC36BE3"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270E9AB0"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De igual forma, el Estado señaló que la PMB realizó un estudio de seguridad, disponiéndose patrullajes a la residencia de la presunta víctima, además de sugerírsele poner en práctica medidas de seguridad y comunicar de forma inmediata cualquier situación que modificara la evaluación técnica. Añadió que, a petición del Programa Presidencial de Lucha Contra la Corrupción, el DAS realizó de manera prioritaria un Estudio Técnico de Nivel de Riesgo y Grado de Amenaza, brindándosele asesoría en autoprotección y autoseguridad. Afirmó que el Programa de protección y asistencia ordenó la evaluación de amenaza y riesgo, presentándose un informe oportunamente, el 18 de julio de 2000. Agregó que dicho informe concluyó que la presunta víctima cumplía los requisitos para ser incluido en el Programa de protección y asistencia y se le otorgó una carta de autoprotección. El Estado indicó que el peticionario, de manera libre, voluntaria y con información suficiente, se negó a otorgar consentimiento para entrar a formar parte de dicho Programa. Asimismo, el Estado agregó que “no propició ni coartó la decisión del señor Morales Díaz de buscar refugio en un tercer Estado…por el contrario, lo acompañó dando cuenta y certificando su nivel de riesgo ante la Embajada de Canadá”. </w:t>
      </w:r>
    </w:p>
    <w:p w14:paraId="311CF16D" w14:textId="77777777" w:rsidR="00D57B9F" w:rsidRPr="00AD78EA" w:rsidRDefault="00D57B9F"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2248ABA2"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El Estado agregó que su Programa de protección y asistencia tiene más de 20 años de existencia y que recibió una certificación por parte de la multinacional </w:t>
      </w:r>
      <w:r w:rsidRPr="00AD78EA">
        <w:rPr>
          <w:rFonts w:asciiTheme="majorHAnsi" w:hAnsiTheme="majorHAnsi"/>
          <w:iCs/>
          <w:color w:val="000000" w:themeColor="text1"/>
          <w:sz w:val="20"/>
          <w:szCs w:val="20"/>
          <w:lang w:val="es-ES"/>
        </w:rPr>
        <w:t>Société Générale de Surveillance</w:t>
      </w:r>
      <w:r w:rsidRPr="00AD78EA">
        <w:rPr>
          <w:rFonts w:asciiTheme="majorHAnsi" w:hAnsiTheme="majorHAnsi"/>
          <w:color w:val="000000" w:themeColor="text1"/>
          <w:sz w:val="20"/>
          <w:szCs w:val="20"/>
          <w:lang w:val="es-ES"/>
        </w:rPr>
        <w:t>,</w:t>
      </w:r>
      <w:r w:rsidRPr="00AD78EA">
        <w:rPr>
          <w:rFonts w:asciiTheme="majorHAnsi" w:hAnsiTheme="majorHAnsi"/>
          <w:color w:val="000000" w:themeColor="text1"/>
          <w:sz w:val="20"/>
          <w:szCs w:val="20"/>
          <w:lang w:val="es-VE"/>
        </w:rPr>
        <w:t xml:space="preserve"> dado el cumplimiento de estándares de calidad. Colombia señaló que dicho Programa presta atención integral a las personas beneficiarias, alcanzando su cobertura a programas académicos para hijos, así como, beneficios económicos y laborales, dentro del sector agrícola, de la construcción y sistemas de computación.    </w:t>
      </w:r>
    </w:p>
    <w:p w14:paraId="58ED2085" w14:textId="39FDC36C"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1C0570C6"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AD78EA">
        <w:rPr>
          <w:rFonts w:asciiTheme="majorHAnsi" w:hAnsiTheme="majorHAnsi"/>
          <w:color w:val="000000" w:themeColor="text1"/>
          <w:sz w:val="20"/>
          <w:szCs w:val="20"/>
          <w:lang w:val="es-MX"/>
        </w:rPr>
        <w:t>El Estado manifestó que no falló en su deber de respetar y garantizar el derecho a la libertad de circulación y de residencia de la presunta víctima pues su salida del país fue libre y sin ningún tipo de limitación o restricción por parte del Estado. Agregó que, por lo tanto, la salida de la presunta víctima no constituyó un desplazamiento forzado, sino una decisión que tomó con el objeto de mejorar sus condiciones de vida.</w:t>
      </w:r>
    </w:p>
    <w:p w14:paraId="17C42955"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MX"/>
        </w:rPr>
      </w:pPr>
    </w:p>
    <w:p w14:paraId="5B726DB4" w14:textId="6E75BF21"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MX"/>
        </w:rPr>
        <w:t xml:space="preserve">Respecto del derecho a la propiedad privada, el Estado alegó que no existe en el soporte suministrado información sobre bienes </w:t>
      </w:r>
      <w:r w:rsidR="00A00C5F" w:rsidRPr="00AD78EA">
        <w:rPr>
          <w:rFonts w:asciiTheme="majorHAnsi" w:hAnsiTheme="majorHAnsi"/>
          <w:color w:val="000000" w:themeColor="text1"/>
          <w:sz w:val="20"/>
          <w:szCs w:val="20"/>
          <w:lang w:val="es-MX"/>
        </w:rPr>
        <w:t>desagregados</w:t>
      </w:r>
      <w:r w:rsidRPr="00AD78EA">
        <w:rPr>
          <w:rFonts w:asciiTheme="majorHAnsi" w:hAnsiTheme="majorHAnsi"/>
          <w:color w:val="000000" w:themeColor="text1"/>
          <w:sz w:val="20"/>
          <w:szCs w:val="20"/>
          <w:lang w:val="es-MX"/>
        </w:rPr>
        <w:t xml:space="preserve">, </w:t>
      </w:r>
      <w:r w:rsidR="00152CF9" w:rsidRPr="00AD78EA">
        <w:rPr>
          <w:rFonts w:asciiTheme="majorHAnsi" w:hAnsiTheme="majorHAnsi"/>
          <w:color w:val="000000" w:themeColor="text1"/>
          <w:sz w:val="20"/>
          <w:szCs w:val="20"/>
          <w:lang w:val="es-MX"/>
        </w:rPr>
        <w:t>sobre las</w:t>
      </w:r>
      <w:r w:rsidRPr="00AD78EA">
        <w:rPr>
          <w:rFonts w:asciiTheme="majorHAnsi" w:hAnsiTheme="majorHAnsi"/>
          <w:color w:val="000000" w:themeColor="text1"/>
          <w:sz w:val="20"/>
          <w:szCs w:val="20"/>
          <w:lang w:val="es-MX"/>
        </w:rPr>
        <w:t xml:space="preserve"> presuntas obligaciones bancarias adquiridas y gastos en los cuales el peticionario incurriría para formalizar su proyecto de vida en Canadá. Colombia agregó </w:t>
      </w:r>
      <w:r w:rsidRPr="00AD78EA">
        <w:rPr>
          <w:rFonts w:asciiTheme="majorHAnsi" w:hAnsiTheme="majorHAnsi"/>
          <w:color w:val="000000" w:themeColor="text1"/>
          <w:sz w:val="20"/>
          <w:szCs w:val="20"/>
          <w:lang w:val="es-MX"/>
        </w:rPr>
        <w:lastRenderedPageBreak/>
        <w:t>que la presunta víctima al rechazar su ingreso al Programa de protección y asistencia que le ofrecía el Estado, quedó fuera de la asistencia integral de la FGN.</w:t>
      </w:r>
    </w:p>
    <w:p w14:paraId="4FE78BB3"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00E72ECB"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 xml:space="preserve">Colombia alegó que no es responsable por la violación al derecho a las garantías judiciales  y protección judicial. Indicó que las autoridades han adelantado todas las diligencias para el esclarecimiento de los hechos ocurridos el 8 de julio del 2000 y la identificación de los responsables. Así, señaló que el 9 de julio de 2000, se practicó la diligencia de inspección judicial del vehículo de la presunta víctima, con asesoría de un perito balístico y de un fotógrafo, de la cual se obtuvo un álbum fotográfico y se recuperó un proyectil; se entrevistó al padre del señor Morales Díaz; se ofició a la Fiscalía Doscientos Diez de la Unidad de Delitos Contra la Administración Pública para que informara sobre el estado de la investigación que se llevaba adelante en contra de funcionarios del IDU acusados por el peticionario; se pidió también sus números de teléfono y direcciones; se solicitó la ampliación de la denuncia formulada por el señor Morales Díaz y se ofició al DAS para que llevara adelante labores para identificar a los autores del ilícito. </w:t>
      </w:r>
    </w:p>
    <w:p w14:paraId="3FFAD047" w14:textId="77777777" w:rsidR="002936AA" w:rsidRPr="00AD78EA" w:rsidRDefault="002936AA" w:rsidP="002936AA">
      <w:pPr>
        <w:ind w:left="720"/>
        <w:rPr>
          <w:rFonts w:asciiTheme="majorHAnsi" w:eastAsia="Cambria" w:hAnsiTheme="majorHAnsi" w:cs="Cambria"/>
          <w:color w:val="000000" w:themeColor="text1"/>
          <w:sz w:val="20"/>
          <w:szCs w:val="20"/>
          <w:u w:color="000000"/>
          <w:lang w:val="es-VE" w:eastAsia="es-ES"/>
        </w:rPr>
      </w:pPr>
    </w:p>
    <w:p w14:paraId="141505EB"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VE"/>
        </w:rPr>
      </w:pPr>
      <w:r w:rsidRPr="00AD78EA">
        <w:rPr>
          <w:rFonts w:asciiTheme="majorHAnsi" w:hAnsiTheme="majorHAnsi"/>
          <w:color w:val="000000" w:themeColor="text1"/>
          <w:sz w:val="20"/>
          <w:szCs w:val="20"/>
          <w:lang w:val="es-VE"/>
        </w:rPr>
        <w:t>De igual forma, agregó que se solicitó la recepción de la declaración de la presunta víctima, así como de dos funcionarios del IDU; sin embargo, la entrevista a la señora Sonia Ramírez no pudo llevarse a cabo pues falleció el 29 de marzo de 2001. El Estado señaló que no incumplió la obligación de investigar por el solo hecho de no obtener un resultado satisfactorio. Agregó que el 25 de julio de 2001, la FGN decidió suspender la investigación preliminar, transcurrido un año y diecisiete días del atentado sufrido por la presunta víctima, al verificarse el vencimiento del plazo legal respectivo, dada la imposibilidad de identificar e individualizar a los autores del atentado y al no existir elementos de juicio, ni material probatorio para abrir una investigación en contra de las personas denunciadas por el peticionario, en resguardo de la presunción de inocencia como garantía del debido proceso.</w:t>
      </w:r>
    </w:p>
    <w:p w14:paraId="0590CA50"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0125E5FA" w14:textId="671CEC8F"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AD78EA">
        <w:rPr>
          <w:rFonts w:asciiTheme="majorHAnsi" w:hAnsiTheme="majorHAnsi"/>
          <w:color w:val="000000" w:themeColor="text1"/>
          <w:sz w:val="20"/>
          <w:szCs w:val="20"/>
          <w:lang w:val="es-MX"/>
        </w:rPr>
        <w:t>El Estado de Colombia agregó que la complejidad del caso radicaba en: la imposibilidad de individualizar a los autores del atentado aún con el trabajo desplegado por la FGN; la imposibilidad de la presunta víctima de identificar las características del vehículo utilizado para cometer el ilícito; la ausencia de testigos en el lugar de los hechos; la dificultad del peticionario de reconocer la voz de las llamadas amenazantes; y la ausencia de material probatorio que demostrara vínculo entre los funcionario</w:t>
      </w:r>
      <w:r w:rsidR="00152CF9" w:rsidRPr="00AD78EA">
        <w:rPr>
          <w:rFonts w:asciiTheme="majorHAnsi" w:hAnsiTheme="majorHAnsi"/>
          <w:color w:val="000000" w:themeColor="text1"/>
          <w:sz w:val="20"/>
          <w:szCs w:val="20"/>
          <w:lang w:val="es-MX"/>
        </w:rPr>
        <w:t>s</w:t>
      </w:r>
      <w:r w:rsidRPr="00AD78EA">
        <w:rPr>
          <w:rFonts w:asciiTheme="majorHAnsi" w:hAnsiTheme="majorHAnsi"/>
          <w:color w:val="000000" w:themeColor="text1"/>
          <w:sz w:val="20"/>
          <w:szCs w:val="20"/>
          <w:lang w:val="es-MX"/>
        </w:rPr>
        <w:t xml:space="preserve"> del IDU y el atentado. Por lo anterior, el Estado afirmó que el lapso transcurrido entre la decisión de suspensión de la investigación hasta la fecha, no debe entenderse como una violación al plazo razonable en la conducción del proceso penal.</w:t>
      </w:r>
    </w:p>
    <w:p w14:paraId="25F45813" w14:textId="77777777" w:rsidR="002936AA" w:rsidRPr="00AD78EA" w:rsidRDefault="002936AA" w:rsidP="002936AA">
      <w:pPr>
        <w:ind w:left="720"/>
        <w:rPr>
          <w:rFonts w:asciiTheme="majorHAnsi" w:eastAsia="Cambria" w:hAnsiTheme="majorHAnsi" w:cs="Cambria"/>
          <w:color w:val="000000" w:themeColor="text1"/>
          <w:sz w:val="20"/>
          <w:szCs w:val="20"/>
          <w:u w:color="000000"/>
          <w:lang w:val="es-MX" w:eastAsia="es-ES"/>
        </w:rPr>
      </w:pPr>
    </w:p>
    <w:p w14:paraId="29E3A9D8" w14:textId="7F9DD618" w:rsidR="002936AA" w:rsidRPr="00AD78EA" w:rsidRDefault="002936AA" w:rsidP="005E0CC1">
      <w:pPr>
        <w:pStyle w:val="Heading1"/>
      </w:pPr>
      <w:bookmarkStart w:id="7" w:name="_Toc202349278"/>
      <w:r w:rsidRPr="00AD78EA">
        <w:t>DETERMINACIONES DE HECHO</w:t>
      </w:r>
      <w:bookmarkEnd w:id="7"/>
    </w:p>
    <w:p w14:paraId="1DF799C0"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14:paraId="3ED22784" w14:textId="3100A34C" w:rsidR="002936AA" w:rsidRPr="00AD78EA" w:rsidRDefault="002936AA" w:rsidP="0027242F">
      <w:pPr>
        <w:pStyle w:val="Heading2"/>
        <w:numPr>
          <w:ilvl w:val="0"/>
          <w:numId w:val="65"/>
        </w:numPr>
        <w:ind w:firstLine="0"/>
        <w:rPr>
          <w:i/>
        </w:rPr>
      </w:pPr>
      <w:bookmarkStart w:id="8" w:name="_Toc202349279"/>
      <w:r w:rsidRPr="00AD78EA">
        <w:t>D</w:t>
      </w:r>
      <w:r w:rsidR="00133FE2" w:rsidRPr="00AD78EA">
        <w:t>enuncias por actos de corrupción</w:t>
      </w:r>
      <w:r w:rsidR="00521BA4" w:rsidRPr="00AD78EA">
        <w:t>.</w:t>
      </w:r>
      <w:bookmarkEnd w:id="8"/>
    </w:p>
    <w:p w14:paraId="1F42BD19"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lang w:val="es-ES_tradnl"/>
        </w:rPr>
      </w:pPr>
    </w:p>
    <w:p w14:paraId="5E5D2479" w14:textId="3578D98D"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sidRPr="00AD78EA">
        <w:rPr>
          <w:rFonts w:asciiTheme="majorHAnsi" w:hAnsiTheme="majorHAnsi"/>
          <w:sz w:val="20"/>
          <w:szCs w:val="20"/>
          <w:lang w:val="es-ES_tradnl"/>
        </w:rPr>
        <w:t xml:space="preserve">En el mes </w:t>
      </w:r>
      <w:r w:rsidR="00E65786" w:rsidRPr="00AD78EA">
        <w:rPr>
          <w:rFonts w:asciiTheme="majorHAnsi" w:hAnsiTheme="majorHAnsi"/>
          <w:sz w:val="20"/>
          <w:szCs w:val="20"/>
          <w:lang w:val="es-ES_tradnl"/>
        </w:rPr>
        <w:t>mayo</w:t>
      </w:r>
      <w:r w:rsidRPr="00AD78EA">
        <w:rPr>
          <w:rFonts w:asciiTheme="majorHAnsi" w:hAnsiTheme="majorHAnsi"/>
          <w:sz w:val="20"/>
          <w:szCs w:val="20"/>
          <w:lang w:val="es-ES_tradnl"/>
        </w:rPr>
        <w:t xml:space="preserve"> de 2000, el señor Oscar Alfonso Morales Díaz, abogado de 31 años, presentó una denuncia penal por actos de corrupción, contra </w:t>
      </w:r>
      <w:r w:rsidR="00C60450" w:rsidRPr="00AD78EA">
        <w:rPr>
          <w:rFonts w:asciiTheme="majorHAnsi" w:hAnsiTheme="majorHAnsi"/>
          <w:sz w:val="20"/>
          <w:szCs w:val="20"/>
          <w:lang w:val="es-ES_tradnl"/>
        </w:rPr>
        <w:t>tres</w:t>
      </w:r>
      <w:r w:rsidRPr="00AD78EA">
        <w:rPr>
          <w:rFonts w:asciiTheme="majorHAnsi" w:hAnsiTheme="majorHAnsi"/>
          <w:sz w:val="20"/>
          <w:szCs w:val="20"/>
          <w:lang w:val="es-ES_tradnl"/>
        </w:rPr>
        <w:t xml:space="preserve"> servidores públicos del Instituto de Desarrollo Urbano</w:t>
      </w:r>
      <w:r w:rsidRPr="00AD78EA">
        <w:rPr>
          <w:rFonts w:asciiTheme="majorHAnsi" w:hAnsiTheme="majorHAnsi"/>
          <w:sz w:val="20"/>
          <w:szCs w:val="20"/>
          <w:vertAlign w:val="superscript"/>
          <w:lang w:val="es-ES_tradnl"/>
        </w:rPr>
        <w:footnoteReference w:id="5"/>
      </w:r>
      <w:r w:rsidRPr="00AD78EA">
        <w:rPr>
          <w:rFonts w:asciiTheme="majorHAnsi" w:hAnsiTheme="majorHAnsi"/>
          <w:sz w:val="20"/>
          <w:szCs w:val="20"/>
          <w:lang w:val="es-ES_tradnl"/>
        </w:rPr>
        <w:t>. La denuncia fue conocida por la Fiscalía Doscientos Diez Delegada de la Unidad de Delitos contra la Administración Pública de Santafé de Bogotá D.C.</w:t>
      </w:r>
      <w:r w:rsidRPr="00AD78EA">
        <w:rPr>
          <w:rFonts w:asciiTheme="majorHAnsi" w:hAnsiTheme="majorHAnsi"/>
          <w:sz w:val="20"/>
          <w:szCs w:val="20"/>
          <w:vertAlign w:val="superscript"/>
          <w:lang w:val="es-ES_tradnl"/>
        </w:rPr>
        <w:footnoteReference w:id="6"/>
      </w:r>
      <w:r w:rsidRPr="00AD78EA">
        <w:rPr>
          <w:rFonts w:asciiTheme="majorHAnsi" w:hAnsiTheme="majorHAnsi"/>
          <w:sz w:val="20"/>
          <w:szCs w:val="20"/>
          <w:lang w:val="es-ES_tradnl"/>
        </w:rPr>
        <w:t xml:space="preserve">. </w:t>
      </w:r>
    </w:p>
    <w:p w14:paraId="364D1F3B"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lang w:val="es-ES"/>
        </w:rPr>
      </w:pPr>
    </w:p>
    <w:p w14:paraId="47B3FC24"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b/>
          <w:sz w:val="20"/>
          <w:szCs w:val="20"/>
          <w:lang w:val="es-ES_tradnl"/>
        </w:rPr>
      </w:pPr>
      <w:r w:rsidRPr="00AD78EA">
        <w:rPr>
          <w:rFonts w:asciiTheme="majorHAnsi" w:hAnsiTheme="majorHAnsi"/>
          <w:sz w:val="20"/>
          <w:szCs w:val="20"/>
          <w:lang w:val="es-ES_tradnl"/>
        </w:rPr>
        <w:t>Según información provista por el Estado, dicho proceso fue objeto de “resolución inhibitoria por atipicidad de la conducta”</w:t>
      </w:r>
      <w:r w:rsidRPr="00AD78EA">
        <w:rPr>
          <w:rFonts w:asciiTheme="majorHAnsi" w:hAnsiTheme="majorHAnsi"/>
          <w:sz w:val="20"/>
          <w:szCs w:val="20"/>
          <w:vertAlign w:val="superscript"/>
          <w:lang w:val="es-ES_tradnl"/>
        </w:rPr>
        <w:footnoteReference w:id="7"/>
      </w:r>
      <w:r w:rsidRPr="00AD78EA">
        <w:rPr>
          <w:rFonts w:asciiTheme="majorHAnsi" w:hAnsiTheme="majorHAnsi"/>
          <w:sz w:val="20"/>
          <w:szCs w:val="20"/>
          <w:lang w:val="es-ES_tradnl"/>
        </w:rPr>
        <w:t>.</w:t>
      </w:r>
    </w:p>
    <w:p w14:paraId="5EDCC585"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lang w:val="es-ES_tradnl"/>
        </w:rPr>
      </w:pPr>
    </w:p>
    <w:p w14:paraId="5692745A" w14:textId="77777777"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AD78EA">
        <w:rPr>
          <w:rFonts w:asciiTheme="majorHAnsi" w:hAnsiTheme="majorHAnsi"/>
          <w:sz w:val="20"/>
          <w:szCs w:val="20"/>
          <w:lang w:val="es-ES_tradnl"/>
        </w:rPr>
        <w:t>El peticionario afirma haber presentado otras denuncias por corrupción en contra de dichos funcionarios del IDU,  ante el Tribunal Superior de Cundinamarca y la Procuraduría General de la Nación</w:t>
      </w:r>
      <w:r w:rsidRPr="00AD78EA">
        <w:rPr>
          <w:rFonts w:asciiTheme="majorHAnsi" w:hAnsiTheme="majorHAnsi"/>
          <w:sz w:val="20"/>
          <w:szCs w:val="20"/>
          <w:vertAlign w:val="superscript"/>
          <w:lang w:val="es-ES_tradnl"/>
        </w:rPr>
        <w:footnoteReference w:id="8"/>
      </w:r>
      <w:r w:rsidRPr="00AD78EA">
        <w:rPr>
          <w:rFonts w:asciiTheme="majorHAnsi" w:hAnsiTheme="majorHAnsi"/>
          <w:sz w:val="20"/>
          <w:szCs w:val="20"/>
          <w:lang w:val="es-ES_tradnl"/>
        </w:rPr>
        <w:t>. El Estado no controvirtió estos hechos, ni proporcionó información al respecto.</w:t>
      </w:r>
    </w:p>
    <w:p w14:paraId="4B869642"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14:paraId="053F3B98" w14:textId="5A9110E3"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AD78EA">
        <w:rPr>
          <w:rFonts w:asciiTheme="majorHAnsi" w:hAnsiTheme="majorHAnsi"/>
          <w:sz w:val="20"/>
          <w:szCs w:val="20"/>
          <w:lang w:val="es-ES_tradnl"/>
        </w:rPr>
        <w:lastRenderedPageBreak/>
        <w:t>Asimismo, el señor Morales Díaz puso en conocimiento del Programa Presidencial de Lucha Contra la Corrupción, las irregularidades denunciadas</w:t>
      </w:r>
      <w:r w:rsidRPr="00AD78EA">
        <w:rPr>
          <w:rFonts w:asciiTheme="majorHAnsi" w:hAnsiTheme="majorHAnsi"/>
          <w:sz w:val="20"/>
          <w:szCs w:val="20"/>
          <w:vertAlign w:val="superscript"/>
          <w:lang w:val="es-ES_tradnl"/>
        </w:rPr>
        <w:footnoteReference w:id="9"/>
      </w:r>
      <w:r w:rsidRPr="00AD78EA">
        <w:rPr>
          <w:rFonts w:asciiTheme="majorHAnsi" w:hAnsiTheme="majorHAnsi"/>
          <w:sz w:val="20"/>
          <w:szCs w:val="20"/>
          <w:lang w:val="es-ES_tradnl"/>
        </w:rPr>
        <w:t>. Recibió respuesta el 20 de junio de 2000,  en la cual el Director del programa informó que, “en base a la normativa vigente le corresponde a la entidad recibir denuncias en contra de funcionarios públicos de cualquier orden, darles trámite ante la autoridad competente y efectuar el seguimiento de las denuncias presentadas”, y que por tanto, se había oficiado al Fiscal Delegado Doscientos Diez de la Unidad Primera de Delitos Contra la Administración Pública, para obtener información sobre las diligencias realizadas y así darle seguimiento a la causa</w:t>
      </w:r>
      <w:r w:rsidRPr="00AD78EA">
        <w:rPr>
          <w:rFonts w:asciiTheme="majorHAnsi" w:hAnsiTheme="majorHAnsi"/>
          <w:sz w:val="20"/>
          <w:szCs w:val="20"/>
          <w:vertAlign w:val="superscript"/>
          <w:lang w:val="es-ES_tradnl"/>
        </w:rPr>
        <w:footnoteReference w:id="10"/>
      </w:r>
      <w:r w:rsidRPr="00AD78EA">
        <w:rPr>
          <w:rFonts w:asciiTheme="majorHAnsi" w:hAnsiTheme="majorHAnsi"/>
          <w:sz w:val="20"/>
          <w:szCs w:val="20"/>
          <w:lang w:val="es-ES_tradnl"/>
        </w:rPr>
        <w:t>.</w:t>
      </w:r>
    </w:p>
    <w:p w14:paraId="65DDF2FC"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r w:rsidRPr="00AD78EA">
        <w:rPr>
          <w:rFonts w:asciiTheme="majorHAnsi" w:hAnsiTheme="majorHAnsi"/>
          <w:sz w:val="20"/>
          <w:szCs w:val="20"/>
          <w:lang w:val="es-ES_tradnl"/>
        </w:rPr>
        <w:t xml:space="preserve">  </w:t>
      </w:r>
    </w:p>
    <w:p w14:paraId="0EBF934E" w14:textId="156F7083"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AD78EA">
        <w:rPr>
          <w:rFonts w:asciiTheme="majorHAnsi" w:hAnsiTheme="majorHAnsi"/>
          <w:sz w:val="20"/>
          <w:szCs w:val="20"/>
          <w:lang w:val="es-ES_tradnl"/>
        </w:rPr>
        <w:t xml:space="preserve">Constan notas periodísticas en las que se hace mención a múltiples acciones legales </w:t>
      </w:r>
      <w:r w:rsidR="00B45284" w:rsidRPr="00AD78EA">
        <w:rPr>
          <w:rFonts w:asciiTheme="majorHAnsi" w:hAnsiTheme="majorHAnsi"/>
          <w:sz w:val="20"/>
          <w:szCs w:val="20"/>
          <w:lang w:val="es-ES_tradnl"/>
        </w:rPr>
        <w:t>realizadas</w:t>
      </w:r>
      <w:r w:rsidRPr="00AD78EA">
        <w:rPr>
          <w:rFonts w:asciiTheme="majorHAnsi" w:hAnsiTheme="majorHAnsi"/>
          <w:sz w:val="20"/>
          <w:szCs w:val="20"/>
          <w:lang w:val="es-ES_tradnl"/>
        </w:rPr>
        <w:t xml:space="preserve"> por otras personas en contra del IDU, por diversas irregularidades</w:t>
      </w:r>
      <w:r w:rsidRPr="00AD78EA">
        <w:rPr>
          <w:rFonts w:asciiTheme="majorHAnsi" w:hAnsiTheme="majorHAnsi"/>
          <w:sz w:val="20"/>
          <w:szCs w:val="20"/>
          <w:vertAlign w:val="superscript"/>
          <w:lang w:val="es-ES_tradnl"/>
        </w:rPr>
        <w:footnoteReference w:id="11"/>
      </w:r>
      <w:r w:rsidRPr="00AD78EA">
        <w:rPr>
          <w:rFonts w:asciiTheme="majorHAnsi" w:hAnsiTheme="majorHAnsi"/>
          <w:sz w:val="20"/>
          <w:szCs w:val="20"/>
          <w:lang w:val="es-ES_tradnl"/>
        </w:rPr>
        <w:t>. En una de las notas se hace referencia a una acción presentada por el señor Morales Díaz, en representación de la empresa Reimpodiesel, por supuestamente haber favorecido a la empresa Agrofilter en una licitación</w:t>
      </w:r>
      <w:r w:rsidRPr="00AD78EA">
        <w:rPr>
          <w:rFonts w:asciiTheme="majorHAnsi" w:hAnsiTheme="majorHAnsi"/>
          <w:sz w:val="20"/>
          <w:szCs w:val="20"/>
          <w:vertAlign w:val="superscript"/>
          <w:lang w:val="es-ES_tradnl"/>
        </w:rPr>
        <w:footnoteReference w:id="12"/>
      </w:r>
      <w:r w:rsidRPr="00AD78EA">
        <w:rPr>
          <w:rFonts w:asciiTheme="majorHAnsi" w:hAnsiTheme="majorHAnsi"/>
          <w:sz w:val="20"/>
          <w:szCs w:val="20"/>
          <w:lang w:val="es-ES_tradnl"/>
        </w:rPr>
        <w:t>.</w:t>
      </w:r>
    </w:p>
    <w:p w14:paraId="6682BE12"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14:paraId="40C2B538" w14:textId="652B6681" w:rsidR="002936AA" w:rsidRPr="00AD78EA" w:rsidRDefault="002936AA" w:rsidP="0027242F">
      <w:pPr>
        <w:pStyle w:val="Heading2"/>
        <w:rPr>
          <w:rFonts w:cs="Cambria"/>
        </w:rPr>
      </w:pPr>
      <w:bookmarkStart w:id="9" w:name="_Toc202349280"/>
      <w:r w:rsidRPr="00AD78EA">
        <w:t>A</w:t>
      </w:r>
      <w:r w:rsidR="00630B97" w:rsidRPr="00AD78EA">
        <w:t>menazas y denuncias de las mismas</w:t>
      </w:r>
      <w:bookmarkEnd w:id="9"/>
    </w:p>
    <w:p w14:paraId="08AF08C7" w14:textId="77777777" w:rsidR="002936AA" w:rsidRPr="00AD78EA" w:rsidRDefault="002936AA" w:rsidP="002936AA">
      <w:pPr>
        <w:jc w:val="both"/>
        <w:rPr>
          <w:rFonts w:asciiTheme="majorHAnsi" w:hAnsiTheme="majorHAnsi"/>
          <w:sz w:val="20"/>
          <w:szCs w:val="20"/>
          <w:lang w:val="es-ES_tradnl"/>
        </w:rPr>
      </w:pPr>
    </w:p>
    <w:p w14:paraId="3DF06F31" w14:textId="6B36BEE2"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AD78EA">
        <w:rPr>
          <w:rFonts w:asciiTheme="majorHAnsi" w:hAnsiTheme="majorHAnsi"/>
          <w:sz w:val="20"/>
          <w:szCs w:val="20"/>
          <w:lang w:val="es-ES_tradnl"/>
        </w:rPr>
        <w:t>El peticionario afirm</w:t>
      </w:r>
      <w:r w:rsidR="00BD2DC5" w:rsidRPr="00AD78EA">
        <w:rPr>
          <w:rFonts w:asciiTheme="majorHAnsi" w:hAnsiTheme="majorHAnsi"/>
          <w:sz w:val="20"/>
          <w:szCs w:val="20"/>
          <w:lang w:val="es-ES_tradnl"/>
        </w:rPr>
        <w:t>ó</w:t>
      </w:r>
      <w:r w:rsidRPr="00AD78EA">
        <w:rPr>
          <w:rFonts w:asciiTheme="majorHAnsi" w:hAnsiTheme="majorHAnsi"/>
          <w:sz w:val="20"/>
          <w:szCs w:val="20"/>
          <w:lang w:val="es-ES_tradnl"/>
        </w:rPr>
        <w:t xml:space="preserve"> que, a finales del mes de junio de 2000, recibió llamadas telefónicas con amenazas, en las cuales se le señalaba que “por sapo [se] moría”</w:t>
      </w:r>
      <w:r w:rsidRPr="00AD78EA">
        <w:rPr>
          <w:rFonts w:asciiTheme="majorHAnsi" w:hAnsiTheme="majorHAnsi"/>
          <w:sz w:val="20"/>
          <w:szCs w:val="20"/>
          <w:vertAlign w:val="superscript"/>
          <w:lang w:val="es-ES_tradnl"/>
        </w:rPr>
        <w:footnoteReference w:id="13"/>
      </w:r>
      <w:r w:rsidRPr="00AD78EA">
        <w:rPr>
          <w:rFonts w:asciiTheme="majorHAnsi" w:hAnsiTheme="majorHAnsi"/>
          <w:sz w:val="20"/>
          <w:szCs w:val="20"/>
          <w:lang w:val="es-ES_tradnl"/>
        </w:rPr>
        <w:t xml:space="preserve">. </w:t>
      </w:r>
    </w:p>
    <w:p w14:paraId="4BE68DC8"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ES_tradnl"/>
        </w:rPr>
      </w:pPr>
    </w:p>
    <w:p w14:paraId="66DA0978" w14:textId="2E45C9C8"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ES_tradnl"/>
        </w:rPr>
      </w:pPr>
      <w:r w:rsidRPr="00AD78EA">
        <w:rPr>
          <w:rFonts w:asciiTheme="majorHAnsi" w:hAnsiTheme="majorHAnsi"/>
          <w:sz w:val="20"/>
          <w:szCs w:val="20"/>
          <w:lang w:val="es-ES_tradnl"/>
        </w:rPr>
        <w:t>El 30 de junio de 2000 el peticionario denunció ante el Programa Presidencial de Lucha Contra la Corrupción, las llamadas telefónicas amenazantes recibidas a finales de junio:</w:t>
      </w:r>
    </w:p>
    <w:p w14:paraId="55AA3C4D"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7ED82B8A" w14:textId="45480B85" w:rsidR="002936AA" w:rsidRPr="00AD78EA" w:rsidRDefault="002936AA" w:rsidP="005E0C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Con la presente nota me permito informar a ustedes que en días pasados he recibido llamadas amenazadoras contra mi vida, en las cuales manifiestan con palabras soeces que me van a matar, haciendo un detallado estudio de los casos que manejo llego a la conclusión de que las amenazas provienen al parecer de las denuncias presentadas en contra de los funcionarios del INSTITUTO DE DESARROLLO URBANO I.D.U., porque no hay ningún caso que revista peligrosidad para mí y mi familia, llego esta conclusión porque las denuncias presentadas se han hecho sobre la parte de contratación y sobre hechos a todas luces demuestran irregularidades que deben ser atendidas de manera inmediata, igualmente solicito se me preste medidas de protección a mi vida y mi familia, ya que colaborar con el saneamiento del estado no pensé que fuera tan difícil y ya entiendo por qu</w:t>
      </w:r>
      <w:r w:rsidR="00DA5F44" w:rsidRPr="00AD78EA">
        <w:rPr>
          <w:rFonts w:asciiTheme="majorHAnsi" w:hAnsiTheme="majorHAnsi"/>
          <w:sz w:val="20"/>
          <w:szCs w:val="20"/>
          <w:lang w:val="es-ES_tradnl"/>
        </w:rPr>
        <w:t>é</w:t>
      </w:r>
      <w:r w:rsidRPr="00AD78EA">
        <w:rPr>
          <w:rFonts w:asciiTheme="majorHAnsi" w:hAnsiTheme="majorHAnsi"/>
          <w:sz w:val="20"/>
          <w:szCs w:val="20"/>
          <w:lang w:val="es-ES_tradnl"/>
        </w:rPr>
        <w:t xml:space="preserve"> se quedan callados todos </w:t>
      </w:r>
      <w:r w:rsidRPr="00AD78EA">
        <w:rPr>
          <w:rFonts w:asciiTheme="majorHAnsi" w:hAnsiTheme="majorHAnsi"/>
          <w:sz w:val="20"/>
          <w:szCs w:val="20"/>
          <w:vertAlign w:val="superscript"/>
          <w:lang w:val="es-ES_tradnl"/>
        </w:rPr>
        <w:footnoteReference w:id="14"/>
      </w:r>
      <w:r w:rsidRPr="00AD78EA">
        <w:rPr>
          <w:rFonts w:asciiTheme="majorHAnsi" w:hAnsiTheme="majorHAnsi"/>
          <w:sz w:val="20"/>
          <w:szCs w:val="20"/>
          <w:lang w:val="es-ES_tradnl"/>
        </w:rPr>
        <w:t>.</w:t>
      </w:r>
    </w:p>
    <w:p w14:paraId="460B379B"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asciiTheme="majorHAnsi" w:hAnsiTheme="majorHAnsi"/>
          <w:sz w:val="20"/>
          <w:szCs w:val="20"/>
          <w:lang w:val="es-ES_tradnl"/>
        </w:rPr>
      </w:pPr>
    </w:p>
    <w:p w14:paraId="3761137F" w14:textId="48165538" w:rsidR="002936AA" w:rsidRPr="00AD78EA" w:rsidRDefault="002936AA" w:rsidP="00CB71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0" w:right="720" w:firstLine="630"/>
        <w:jc w:val="both"/>
        <w:rPr>
          <w:rFonts w:asciiTheme="majorHAnsi" w:hAnsiTheme="majorHAnsi"/>
          <w:sz w:val="20"/>
          <w:szCs w:val="20"/>
          <w:lang w:val="es-MX"/>
        </w:rPr>
      </w:pPr>
      <w:r w:rsidRPr="00AD78EA">
        <w:rPr>
          <w:rFonts w:asciiTheme="majorHAnsi" w:hAnsiTheme="majorHAnsi"/>
          <w:sz w:val="20"/>
          <w:szCs w:val="20"/>
          <w:lang w:val="es-ES_tradnl"/>
        </w:rPr>
        <w:t xml:space="preserve">El 6 de julio de 2000, </w:t>
      </w:r>
      <w:r w:rsidR="00BA3FD4" w:rsidRPr="00AD78EA">
        <w:rPr>
          <w:rFonts w:asciiTheme="majorHAnsi" w:hAnsiTheme="majorHAnsi"/>
          <w:sz w:val="20"/>
          <w:szCs w:val="20"/>
          <w:lang w:val="es-ES_tradnl"/>
        </w:rPr>
        <w:t xml:space="preserve">el </w:t>
      </w:r>
      <w:r w:rsidRPr="00AD78EA">
        <w:rPr>
          <w:rFonts w:asciiTheme="majorHAnsi" w:hAnsiTheme="majorHAnsi"/>
          <w:sz w:val="20"/>
          <w:szCs w:val="20"/>
          <w:lang w:val="es-ES_tradnl"/>
        </w:rPr>
        <w:t>Director del Programa Presidencial de Lucha Contra la Corrupción</w:t>
      </w:r>
      <w:r w:rsidRPr="00AD78EA">
        <w:rPr>
          <w:rFonts w:asciiTheme="majorHAnsi" w:hAnsiTheme="majorHAnsi"/>
          <w:sz w:val="20"/>
          <w:szCs w:val="20"/>
          <w:lang w:val="es-MX"/>
        </w:rPr>
        <w:t>, en contestación a dicha denuncia de amenazas presentada por el señor Oscar Alfonso Morales Díaz</w:t>
      </w:r>
      <w:r w:rsidR="00BA3FD4" w:rsidRPr="00AD78EA">
        <w:rPr>
          <w:rFonts w:asciiTheme="majorHAnsi" w:hAnsiTheme="majorHAnsi"/>
          <w:sz w:val="20"/>
          <w:szCs w:val="20"/>
          <w:lang w:val="es-MX"/>
        </w:rPr>
        <w:t xml:space="preserve"> le dirigió una comunicación en la que</w:t>
      </w:r>
      <w:r w:rsidRPr="00AD78EA">
        <w:rPr>
          <w:rFonts w:asciiTheme="majorHAnsi" w:hAnsiTheme="majorHAnsi"/>
          <w:sz w:val="20"/>
          <w:szCs w:val="20"/>
          <w:lang w:val="es-MX"/>
        </w:rPr>
        <w:t xml:space="preserve"> señaló: </w:t>
      </w:r>
    </w:p>
    <w:p w14:paraId="2235AEFA" w14:textId="77777777" w:rsidR="002936AA" w:rsidRPr="00AD78EA" w:rsidRDefault="002936AA" w:rsidP="002936AA">
      <w:pPr>
        <w:tabs>
          <w:tab w:val="left" w:pos="0"/>
        </w:tabs>
        <w:ind w:left="1080"/>
        <w:jc w:val="both"/>
        <w:rPr>
          <w:rFonts w:asciiTheme="majorHAnsi" w:eastAsia="Cambria" w:hAnsiTheme="majorHAnsi" w:cs="Cambria"/>
          <w:color w:val="000000"/>
          <w:sz w:val="20"/>
          <w:szCs w:val="20"/>
          <w:u w:color="000000"/>
          <w:lang w:val="es-MX" w:eastAsia="es-ES"/>
        </w:rPr>
      </w:pPr>
    </w:p>
    <w:p w14:paraId="00867D5F" w14:textId="77777777" w:rsidR="002936AA" w:rsidRPr="00AD78EA" w:rsidRDefault="002936AA" w:rsidP="0027242F">
      <w:pPr>
        <w:ind w:left="720" w:right="720"/>
        <w:jc w:val="both"/>
        <w:rPr>
          <w:rFonts w:asciiTheme="majorHAnsi" w:hAnsiTheme="majorHAnsi"/>
          <w:sz w:val="20"/>
          <w:szCs w:val="20"/>
          <w:lang w:val="es-MX"/>
        </w:rPr>
      </w:pPr>
      <w:r w:rsidRPr="00AD78EA">
        <w:rPr>
          <w:rFonts w:asciiTheme="majorHAnsi" w:hAnsiTheme="majorHAnsi"/>
          <w:sz w:val="20"/>
          <w:szCs w:val="20"/>
          <w:lang w:val="es-MX"/>
        </w:rPr>
        <w:t xml:space="preserve">En atención a su comunicación de fecha junio 30 del año en curso, por medio de la cual pone en nuestro conocimiento que ha sido objeto de llamadas amenazadoras y que haciendo un estudio de los casos que en su ejercicio privado adelanta, concluye que las amenazas tienen origen en las denuncias presentadas contra funcionario del INSTITUTO DE DESARROLLO URBANO –IDU-  y por lo tanto solicita medidas de protección para Usted y su familia, muy comedidamente me permito informarle que a la fecha hemos solicitado del señor Teniente Coronel José David Guzmán Patiño, Director de Protección del Departamento Administrativo de Seguridad –DAS- la evaluación prioritaria que el caso amerita y el suministro de las medidas de protección que las situación específica demande. </w:t>
      </w:r>
    </w:p>
    <w:p w14:paraId="4284631A" w14:textId="77777777" w:rsidR="002936AA" w:rsidRPr="00AD78EA" w:rsidRDefault="002936AA" w:rsidP="002936AA">
      <w:pPr>
        <w:ind w:left="630" w:right="720"/>
        <w:jc w:val="both"/>
        <w:rPr>
          <w:rFonts w:asciiTheme="majorHAnsi" w:hAnsiTheme="majorHAnsi"/>
          <w:sz w:val="20"/>
          <w:szCs w:val="20"/>
          <w:lang w:val="es-MX"/>
        </w:rPr>
      </w:pPr>
    </w:p>
    <w:p w14:paraId="6BDAC21F" w14:textId="77777777" w:rsidR="002936AA" w:rsidRPr="00AD78EA" w:rsidRDefault="002936AA" w:rsidP="002936AA">
      <w:pPr>
        <w:ind w:left="630" w:right="720"/>
        <w:jc w:val="both"/>
        <w:rPr>
          <w:rFonts w:asciiTheme="majorHAnsi" w:hAnsiTheme="majorHAnsi"/>
          <w:sz w:val="20"/>
          <w:szCs w:val="20"/>
          <w:lang w:val="es-MX"/>
        </w:rPr>
      </w:pPr>
      <w:r w:rsidRPr="00AD78EA">
        <w:rPr>
          <w:rFonts w:asciiTheme="majorHAnsi" w:hAnsiTheme="majorHAnsi"/>
          <w:sz w:val="20"/>
          <w:szCs w:val="20"/>
          <w:lang w:val="es-MX"/>
        </w:rPr>
        <w:t>Agradecemos su confianza en el Programa y aplaudimos su valor civil al denunciar desde su actividad profesional privada, las presuntas irregularidades que ha detectado en la Administración Pública</w:t>
      </w:r>
      <w:r w:rsidRPr="00AD78EA">
        <w:rPr>
          <w:rFonts w:asciiTheme="majorHAnsi" w:hAnsiTheme="majorHAnsi"/>
          <w:sz w:val="20"/>
          <w:szCs w:val="20"/>
          <w:vertAlign w:val="superscript"/>
          <w:lang w:val="es-MX"/>
        </w:rPr>
        <w:footnoteReference w:id="15"/>
      </w:r>
      <w:r w:rsidRPr="00AD78EA">
        <w:rPr>
          <w:rFonts w:asciiTheme="majorHAnsi" w:hAnsiTheme="majorHAnsi"/>
          <w:sz w:val="20"/>
          <w:szCs w:val="20"/>
          <w:lang w:val="es-MX"/>
        </w:rPr>
        <w:t>.</w:t>
      </w:r>
    </w:p>
    <w:p w14:paraId="42561739" w14:textId="77777777" w:rsidR="002936AA" w:rsidRPr="00AD78EA" w:rsidRDefault="002936AA" w:rsidP="002936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7BC5B833"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El 7 de julio de 2000, el señor Morales Díaz denunció haber recibido llamadas amenazadoras contra su vida, ante la Procuraduría General de la Nación bajo radicado N. 120554: </w:t>
      </w:r>
    </w:p>
    <w:p w14:paraId="6B387C34" w14:textId="77777777" w:rsidR="002936AA" w:rsidRPr="00AD78EA" w:rsidRDefault="002936AA" w:rsidP="002936AA">
      <w:pPr>
        <w:ind w:left="1350"/>
        <w:jc w:val="both"/>
        <w:rPr>
          <w:rFonts w:asciiTheme="majorHAnsi" w:eastAsia="Cambria" w:hAnsiTheme="majorHAnsi" w:cs="Cambria"/>
          <w:color w:val="000000"/>
          <w:sz w:val="20"/>
          <w:szCs w:val="20"/>
          <w:u w:color="000000"/>
          <w:lang w:val="es-MX" w:eastAsia="es-ES"/>
        </w:rPr>
      </w:pPr>
    </w:p>
    <w:p w14:paraId="7101C482" w14:textId="77777777" w:rsidR="002936AA" w:rsidRPr="00AD78EA" w:rsidRDefault="002936AA" w:rsidP="005E0CC1">
      <w:pPr>
        <w:ind w:left="720" w:right="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llego a la conclusión que las amenazas provienen al parecer de las denuncias presentadas en contra de los funcionarios del INSTITUTO DE DESARROLLO URBANO I.DU., ante la Fiscalía General de la Nación y la Procuraduría General de la Nación […] solicito medidas de protección a mi vida y mi familia […] quiero igualmente dejar constancia de que cualquier cosa que me suceda a mí o a mi familia serán responsables los empleados del I.DU., denunciados ante los diferentes entes</w:t>
      </w:r>
      <w:r w:rsidRPr="00AD78EA">
        <w:rPr>
          <w:rFonts w:asciiTheme="majorHAnsi" w:eastAsia="Cambria" w:hAnsiTheme="majorHAnsi" w:cs="Cambria"/>
          <w:color w:val="000000"/>
          <w:sz w:val="20"/>
          <w:szCs w:val="20"/>
          <w:u w:color="000000"/>
          <w:vertAlign w:val="superscript"/>
          <w:lang w:val="es-MX" w:eastAsia="es-ES"/>
        </w:rPr>
        <w:footnoteReference w:id="16"/>
      </w:r>
      <w:r w:rsidRPr="00AD78EA">
        <w:rPr>
          <w:rFonts w:asciiTheme="majorHAnsi" w:eastAsia="Cambria" w:hAnsiTheme="majorHAnsi" w:cs="Cambria"/>
          <w:color w:val="000000"/>
          <w:sz w:val="20"/>
          <w:szCs w:val="20"/>
          <w:u w:color="000000"/>
          <w:lang w:val="es-MX" w:eastAsia="es-ES"/>
        </w:rPr>
        <w:t>.</w:t>
      </w:r>
    </w:p>
    <w:p w14:paraId="6BDCA589" w14:textId="77777777" w:rsidR="002936AA" w:rsidRPr="00AD78EA" w:rsidRDefault="002936AA" w:rsidP="002936AA">
      <w:pPr>
        <w:ind w:left="1350"/>
        <w:jc w:val="both"/>
        <w:rPr>
          <w:rFonts w:asciiTheme="majorHAnsi" w:eastAsia="Cambria" w:hAnsiTheme="majorHAnsi" w:cs="Cambria"/>
          <w:color w:val="000000"/>
          <w:sz w:val="20"/>
          <w:szCs w:val="20"/>
          <w:u w:color="000000"/>
          <w:lang w:val="es-MX" w:eastAsia="es-ES"/>
        </w:rPr>
      </w:pPr>
    </w:p>
    <w:p w14:paraId="0AC771C8" w14:textId="1982C8AC" w:rsidR="002936AA" w:rsidRPr="00AD78EA" w:rsidRDefault="002936AA" w:rsidP="00CB7168">
      <w:pPr>
        <w:numPr>
          <w:ilvl w:val="0"/>
          <w:numId w:val="56"/>
        </w:numPr>
        <w:tabs>
          <w:tab w:val="left" w:pos="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El </w:t>
      </w:r>
      <w:r w:rsidR="00067E2E" w:rsidRPr="00AD78EA">
        <w:rPr>
          <w:rFonts w:asciiTheme="majorHAnsi" w:eastAsia="Cambria" w:hAnsiTheme="majorHAnsi" w:cs="Cambria"/>
          <w:color w:val="000000"/>
          <w:sz w:val="20"/>
          <w:szCs w:val="20"/>
          <w:u w:color="000000"/>
          <w:lang w:val="es-MX" w:eastAsia="es-ES"/>
        </w:rPr>
        <w:t xml:space="preserve">mismo día </w:t>
      </w:r>
      <w:r w:rsidRPr="00AD78EA">
        <w:rPr>
          <w:rFonts w:asciiTheme="majorHAnsi" w:eastAsia="Cambria" w:hAnsiTheme="majorHAnsi" w:cs="Cambria"/>
          <w:color w:val="000000"/>
          <w:sz w:val="20"/>
          <w:szCs w:val="20"/>
          <w:u w:color="000000"/>
          <w:lang w:val="es-MX" w:eastAsia="es-ES"/>
        </w:rPr>
        <w:t>el señor Morales Díaz denunció ante la Fiscalía General de la Nación, las llamadas amenazantes recibidas, ratificando su denuncia el 12 de julio del mismo año, ante el Programa de protección y asistencia. De la información provista por el Estado se observa que el peticionario señaló:</w:t>
      </w:r>
    </w:p>
    <w:p w14:paraId="2064C69F" w14:textId="77777777" w:rsidR="002936AA" w:rsidRPr="00AD78EA" w:rsidRDefault="002936AA" w:rsidP="002936AA">
      <w:pPr>
        <w:tabs>
          <w:tab w:val="left" w:pos="0"/>
        </w:tabs>
        <w:ind w:left="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 </w:t>
      </w:r>
    </w:p>
    <w:p w14:paraId="552487BE" w14:textId="77777777" w:rsidR="002936AA" w:rsidRPr="00AD78EA" w:rsidRDefault="002936AA" w:rsidP="005E0CC1">
      <w:pPr>
        <w:tabs>
          <w:tab w:val="left" w:pos="0"/>
        </w:tabs>
        <w:ind w:left="720" w:right="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[las llamadas amenazantes] presume que obedecen a las denuncias que presentara en contra de funcionarios del Instituto de Desarrollo Urbano (IDU) ante la Fiscalía General de la Nación y la Procuraduría General de la Nación, en el mismo año</w:t>
      </w:r>
      <w:r w:rsidRPr="00AD78EA">
        <w:rPr>
          <w:rFonts w:asciiTheme="majorHAnsi" w:eastAsia="Cambria" w:hAnsiTheme="majorHAnsi" w:cs="Cambria"/>
          <w:color w:val="000000"/>
          <w:sz w:val="20"/>
          <w:szCs w:val="20"/>
          <w:u w:color="000000"/>
          <w:vertAlign w:val="superscript"/>
          <w:lang w:val="es-MX" w:eastAsia="es-ES"/>
        </w:rPr>
        <w:footnoteReference w:id="17"/>
      </w:r>
      <w:r w:rsidRPr="00AD78EA">
        <w:rPr>
          <w:rFonts w:asciiTheme="majorHAnsi" w:eastAsia="Cambria" w:hAnsiTheme="majorHAnsi" w:cs="Cambria"/>
          <w:color w:val="000000"/>
          <w:sz w:val="20"/>
          <w:szCs w:val="20"/>
          <w:u w:color="000000"/>
          <w:lang w:val="es-MX" w:eastAsia="es-ES"/>
        </w:rPr>
        <w:t xml:space="preserve">. </w:t>
      </w:r>
    </w:p>
    <w:p w14:paraId="757876E3" w14:textId="77777777" w:rsidR="002936AA" w:rsidRPr="00AD78EA" w:rsidRDefault="002936AA" w:rsidP="002936AA">
      <w:pPr>
        <w:tabs>
          <w:tab w:val="left" w:pos="0"/>
        </w:tabs>
        <w:jc w:val="both"/>
        <w:rPr>
          <w:rFonts w:asciiTheme="majorHAnsi" w:eastAsia="Cambria" w:hAnsiTheme="majorHAnsi" w:cs="Cambria"/>
          <w:color w:val="000000"/>
          <w:sz w:val="20"/>
          <w:szCs w:val="20"/>
          <w:u w:color="000000"/>
          <w:lang w:val="es-MX" w:eastAsia="es-ES"/>
        </w:rPr>
      </w:pPr>
    </w:p>
    <w:p w14:paraId="2975CDC4" w14:textId="3F014E16" w:rsidR="002936AA" w:rsidRPr="00AD78EA" w:rsidRDefault="002936AA" w:rsidP="00CB7168">
      <w:pPr>
        <w:numPr>
          <w:ilvl w:val="0"/>
          <w:numId w:val="56"/>
        </w:numPr>
        <w:tabs>
          <w:tab w:val="left" w:pos="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ES_tradnl" w:eastAsia="es-ES"/>
        </w:rPr>
        <w:t>El Estado informó que en cuanto la Fiscalía tuvo conocimiento de las amenazas, emprendió acciones dirigidas a proteger la vida e integridad del peticionario, como lo es un estudio de riesgo</w:t>
      </w:r>
      <w:r w:rsidRPr="00AD78EA">
        <w:rPr>
          <w:rFonts w:asciiTheme="majorHAnsi" w:eastAsia="Cambria" w:hAnsiTheme="majorHAnsi" w:cs="Cambria"/>
          <w:color w:val="000000"/>
          <w:sz w:val="20"/>
          <w:szCs w:val="20"/>
          <w:u w:color="000000"/>
          <w:vertAlign w:val="superscript"/>
          <w:lang w:val="es-ES_tradnl" w:eastAsia="es-ES"/>
        </w:rPr>
        <w:footnoteReference w:id="18"/>
      </w:r>
      <w:r w:rsidRPr="00AD78EA">
        <w:rPr>
          <w:rFonts w:asciiTheme="majorHAnsi" w:eastAsia="Cambria" w:hAnsiTheme="majorHAnsi" w:cs="Cambria"/>
          <w:color w:val="000000"/>
          <w:sz w:val="20"/>
          <w:szCs w:val="20"/>
          <w:u w:color="000000"/>
          <w:lang w:val="es-ES_tradnl" w:eastAsia="es-ES"/>
        </w:rPr>
        <w:t xml:space="preserve">. </w:t>
      </w:r>
      <w:r w:rsidR="009B10B4" w:rsidRPr="00AD78EA">
        <w:rPr>
          <w:rFonts w:asciiTheme="majorHAnsi" w:eastAsia="Cambria" w:hAnsiTheme="majorHAnsi" w:cs="Cambria"/>
          <w:color w:val="000000"/>
          <w:sz w:val="20"/>
          <w:szCs w:val="20"/>
          <w:u w:color="000000"/>
          <w:lang w:val="es-ES_tradnl" w:eastAsia="es-ES"/>
        </w:rPr>
        <w:t xml:space="preserve">La realización efectiva de los estudios de riesgo y sus resultados se encuentran referidos más adelante en el presente informe, conforme a la cronología de los hechos. </w:t>
      </w:r>
    </w:p>
    <w:p w14:paraId="61B98EE1" w14:textId="77777777" w:rsidR="00D57B9F" w:rsidRPr="00AD78EA" w:rsidRDefault="00D57B9F" w:rsidP="005E4E9F">
      <w:pPr>
        <w:tabs>
          <w:tab w:val="left" w:pos="0"/>
        </w:tabs>
        <w:jc w:val="both"/>
        <w:rPr>
          <w:rFonts w:asciiTheme="majorHAnsi" w:eastAsia="Cambria" w:hAnsiTheme="majorHAnsi" w:cs="Cambria"/>
          <w:color w:val="000000"/>
          <w:sz w:val="20"/>
          <w:szCs w:val="20"/>
          <w:u w:color="000000"/>
          <w:lang w:val="es-MX" w:eastAsia="es-ES"/>
        </w:rPr>
      </w:pPr>
    </w:p>
    <w:p w14:paraId="31935CA4" w14:textId="3253EC07" w:rsidR="002936AA" w:rsidRPr="00AD78EA" w:rsidRDefault="002936AA" w:rsidP="00CB7168">
      <w:pPr>
        <w:numPr>
          <w:ilvl w:val="0"/>
          <w:numId w:val="56"/>
        </w:numPr>
        <w:tabs>
          <w:tab w:val="left" w:pos="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ES_tradnl" w:eastAsia="es-ES"/>
        </w:rPr>
        <w:t>La Comisión cuenta con copia de una carta dirigida a la Defensoría del Pueblo, en la que el señor Morales Díaz relata las amenazas recibidas</w:t>
      </w:r>
      <w:r w:rsidRPr="00AD78EA">
        <w:rPr>
          <w:rFonts w:asciiTheme="majorHAnsi" w:eastAsia="Cambria" w:hAnsiTheme="majorHAnsi" w:cs="Cambria"/>
          <w:color w:val="000000"/>
          <w:sz w:val="20"/>
          <w:szCs w:val="20"/>
          <w:u w:color="000000"/>
          <w:vertAlign w:val="superscript"/>
          <w:lang w:val="es-ES_tradnl" w:eastAsia="es-ES"/>
        </w:rPr>
        <w:footnoteReference w:id="19"/>
      </w:r>
      <w:r w:rsidR="005E7D91" w:rsidRPr="00AD78EA">
        <w:rPr>
          <w:rFonts w:asciiTheme="majorHAnsi" w:eastAsia="Cambria" w:hAnsiTheme="majorHAnsi" w:cs="Cambria"/>
          <w:color w:val="000000"/>
          <w:sz w:val="20"/>
          <w:szCs w:val="20"/>
          <w:u w:color="000000"/>
          <w:lang w:val="es-ES_tradnl" w:eastAsia="es-ES"/>
        </w:rPr>
        <w:t>. El señor Morales no indicó en qué fecha presentó esta carta ni la respuesta obtenida. Por su parte, e</w:t>
      </w:r>
      <w:r w:rsidRPr="00AD78EA">
        <w:rPr>
          <w:rFonts w:asciiTheme="majorHAnsi" w:eastAsia="Cambria" w:hAnsiTheme="majorHAnsi" w:cs="Cambria"/>
          <w:color w:val="000000"/>
          <w:sz w:val="20"/>
          <w:szCs w:val="20"/>
          <w:u w:color="000000"/>
          <w:lang w:val="es-ES_tradnl" w:eastAsia="es-ES"/>
        </w:rPr>
        <w:t>l Estado afirmó no haber encontrado denuncia o queja interpuesta ante la misma</w:t>
      </w:r>
      <w:r w:rsidRPr="00AD78EA">
        <w:rPr>
          <w:rFonts w:asciiTheme="majorHAnsi" w:eastAsia="Cambria" w:hAnsiTheme="majorHAnsi" w:cs="Cambria"/>
          <w:color w:val="000000"/>
          <w:sz w:val="20"/>
          <w:szCs w:val="20"/>
          <w:u w:color="000000"/>
          <w:vertAlign w:val="superscript"/>
          <w:lang w:val="es-ES_tradnl" w:eastAsia="es-ES"/>
        </w:rPr>
        <w:footnoteReference w:id="20"/>
      </w:r>
      <w:r w:rsidRPr="00AD78EA">
        <w:rPr>
          <w:rFonts w:asciiTheme="majorHAnsi" w:eastAsia="Cambria" w:hAnsiTheme="majorHAnsi" w:cs="Cambria"/>
          <w:color w:val="000000"/>
          <w:sz w:val="20"/>
          <w:szCs w:val="20"/>
          <w:u w:color="000000"/>
          <w:lang w:val="es-ES_tradnl" w:eastAsia="es-ES"/>
        </w:rPr>
        <w:t xml:space="preserve">. </w:t>
      </w:r>
    </w:p>
    <w:p w14:paraId="69103066" w14:textId="77777777" w:rsidR="0027242F" w:rsidRPr="00AD78EA" w:rsidRDefault="0027242F" w:rsidP="0027242F">
      <w:pPr>
        <w:tabs>
          <w:tab w:val="left" w:pos="0"/>
        </w:tabs>
        <w:jc w:val="both"/>
        <w:rPr>
          <w:rFonts w:asciiTheme="majorHAnsi" w:eastAsia="Cambria" w:hAnsiTheme="majorHAnsi" w:cs="Cambria"/>
          <w:color w:val="000000"/>
          <w:sz w:val="20"/>
          <w:szCs w:val="20"/>
          <w:u w:color="000000"/>
          <w:lang w:val="es-MX" w:eastAsia="es-ES"/>
        </w:rPr>
      </w:pPr>
    </w:p>
    <w:p w14:paraId="65BB766A" w14:textId="4C9D5097" w:rsidR="002936AA" w:rsidRPr="00AD78EA" w:rsidRDefault="002936AA" w:rsidP="0027242F">
      <w:pPr>
        <w:pStyle w:val="Heading2"/>
      </w:pPr>
      <w:bookmarkStart w:id="10" w:name="_Toc202349281"/>
      <w:r w:rsidRPr="00AD78EA">
        <w:t>A</w:t>
      </w:r>
      <w:r w:rsidR="00630B97" w:rsidRPr="00AD78EA">
        <w:t>tentado</w:t>
      </w:r>
      <w:r w:rsidR="00E346A7" w:rsidRPr="00AD78EA">
        <w:t xml:space="preserve"> y</w:t>
      </w:r>
      <w:r w:rsidR="00630B97" w:rsidRPr="00AD78EA">
        <w:t xml:space="preserve"> hechos posteriores</w:t>
      </w:r>
      <w:bookmarkEnd w:id="10"/>
    </w:p>
    <w:p w14:paraId="0BF914E4" w14:textId="77777777" w:rsidR="002936AA" w:rsidRPr="00AD78EA" w:rsidRDefault="002936AA" w:rsidP="002936AA">
      <w:pPr>
        <w:ind w:left="720"/>
        <w:jc w:val="both"/>
        <w:rPr>
          <w:rFonts w:asciiTheme="majorHAnsi" w:eastAsia="Cambria" w:hAnsiTheme="majorHAnsi" w:cs="Cambria"/>
          <w:b/>
          <w:sz w:val="20"/>
          <w:szCs w:val="20"/>
          <w:u w:color="000000"/>
          <w:lang w:val="es-ES_tradnl" w:eastAsia="es-ES"/>
        </w:rPr>
      </w:pPr>
    </w:p>
    <w:p w14:paraId="6DA3285F" w14:textId="3C6E5E42"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Alrededor de las 8 pm del 8 de julio de 2000, el </w:t>
      </w:r>
      <w:r w:rsidR="00915FB1" w:rsidRPr="00AD78EA">
        <w:rPr>
          <w:rFonts w:asciiTheme="majorHAnsi" w:eastAsia="Cambria" w:hAnsiTheme="majorHAnsi" w:cs="Cambria"/>
          <w:color w:val="000000"/>
          <w:sz w:val="20"/>
          <w:szCs w:val="20"/>
          <w:u w:color="000000"/>
          <w:lang w:val="es-ES_tradnl" w:eastAsia="es-ES"/>
        </w:rPr>
        <w:t xml:space="preserve">señor Morales Díaz </w:t>
      </w:r>
      <w:r w:rsidRPr="00AD78EA">
        <w:rPr>
          <w:rFonts w:asciiTheme="majorHAnsi" w:eastAsia="Cambria" w:hAnsiTheme="majorHAnsi" w:cs="Cambria"/>
          <w:color w:val="000000"/>
          <w:sz w:val="20"/>
          <w:szCs w:val="20"/>
          <w:u w:color="000000"/>
          <w:lang w:val="es-ES_tradnl" w:eastAsia="es-ES"/>
        </w:rPr>
        <w:t>fue víctima de un atentado contra su vida. Por este motivo, presentó denuncia penal, que se radicó con número 8610, por tentativa de homicidio, ante la Fiscalía General de la Nación, a través de la Unidad de Reacción Inmediata (URI) Kennedy, Fiscal Seccional 310, en la ciudad de Bogotá. Se recibió su declaración a las 11 p.m en la que manifestó</w:t>
      </w:r>
      <w:r w:rsidR="00833EB7" w:rsidRPr="00AD78EA">
        <w:rPr>
          <w:rFonts w:asciiTheme="majorHAnsi" w:eastAsia="Cambria" w:hAnsiTheme="majorHAnsi" w:cs="Cambria"/>
          <w:color w:val="000000"/>
          <w:sz w:val="20"/>
          <w:szCs w:val="20"/>
          <w:u w:color="000000"/>
          <w:lang w:val="es-ES_tradnl" w:eastAsia="es-ES"/>
        </w:rPr>
        <w:t xml:space="preserve"> lo siguiente:</w:t>
      </w:r>
      <w:r w:rsidRPr="00AD78EA">
        <w:rPr>
          <w:rFonts w:asciiTheme="majorHAnsi" w:eastAsia="Cambria" w:hAnsiTheme="majorHAnsi" w:cs="Cambria"/>
          <w:color w:val="000000"/>
          <w:sz w:val="20"/>
          <w:szCs w:val="20"/>
          <w:u w:color="000000"/>
          <w:lang w:val="es-ES_tradnl" w:eastAsia="es-ES"/>
        </w:rPr>
        <w:t xml:space="preserve"> </w:t>
      </w:r>
    </w:p>
    <w:p w14:paraId="2750B189" w14:textId="77777777" w:rsidR="002936AA" w:rsidRPr="00AD78EA" w:rsidRDefault="002936AA" w:rsidP="002936AA">
      <w:pPr>
        <w:jc w:val="both"/>
        <w:rPr>
          <w:rFonts w:asciiTheme="majorHAnsi" w:hAnsiTheme="majorHAnsi"/>
          <w:sz w:val="20"/>
          <w:szCs w:val="20"/>
          <w:lang w:val="es-ES_tradnl"/>
        </w:rPr>
      </w:pPr>
    </w:p>
    <w:p w14:paraId="5DB79355"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xml:space="preserve">Hacia las veinte horas, yo venía de visitar a mi novia en el barrio Modelia y me dirigía a mi casa que queda en el barrio Timiza, y ya en el propio barrio como a cuatro cuadras antes de llegar a mi casa, se me atravesó una motocicleta con dos personas, me llegó la moto por el lado izquierdo y se me atravesó por la parte delantera me cerró y yo tuve que parar, ahí fue cuando me dispararon, me hicieron esos disparos de frente y sobre el vidrio panorámico, quedaron los rastros en el panorámico en la parte inferior del lado derecho. Yo iba solo, y después de </w:t>
      </w:r>
      <w:r w:rsidRPr="00AD78EA">
        <w:rPr>
          <w:rFonts w:asciiTheme="majorHAnsi" w:hAnsiTheme="majorHAnsi"/>
          <w:sz w:val="20"/>
          <w:szCs w:val="20"/>
          <w:lang w:val="es-ES_tradnl"/>
        </w:rPr>
        <w:lastRenderedPageBreak/>
        <w:t xml:space="preserve">esto presumo que la moto huyó con sus ocupantes y no recuerdo que hayan dicho alguna cosa […] </w:t>
      </w:r>
    </w:p>
    <w:p w14:paraId="669C176B" w14:textId="77777777" w:rsidR="002936AA" w:rsidRPr="00AD78EA" w:rsidRDefault="002936AA" w:rsidP="002936AA">
      <w:pPr>
        <w:ind w:left="720" w:right="720"/>
        <w:jc w:val="both"/>
        <w:rPr>
          <w:rFonts w:asciiTheme="majorHAnsi" w:hAnsiTheme="majorHAnsi"/>
          <w:sz w:val="20"/>
          <w:szCs w:val="20"/>
          <w:lang w:val="es-ES_tradnl"/>
        </w:rPr>
      </w:pPr>
    </w:p>
    <w:p w14:paraId="0D3B4129"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yo he recibido llamadas a mi oficina, llamadas anónimas, en las cuales me dicen que me van a matar, y siempre llama un hombre, pero yo no he podido reconocer la voz, esto se viene presentando desde hace dos semanas.</w:t>
      </w:r>
    </w:p>
    <w:p w14:paraId="353F7AD7" w14:textId="77777777" w:rsidR="002936AA" w:rsidRPr="00AD78EA" w:rsidRDefault="002936AA" w:rsidP="002936AA">
      <w:pPr>
        <w:ind w:left="720" w:right="720"/>
        <w:jc w:val="both"/>
        <w:rPr>
          <w:rFonts w:asciiTheme="majorHAnsi" w:hAnsiTheme="majorHAnsi"/>
          <w:sz w:val="20"/>
          <w:szCs w:val="20"/>
          <w:lang w:val="es-ES_tradnl"/>
        </w:rPr>
      </w:pPr>
    </w:p>
    <w:p w14:paraId="5F5865BE" w14:textId="236ED258"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no he recibido ninguna otra clase de amenazas y presumo que el motivo es o radica en una denuncia que yo presenté ante la unidad seccional de fiscalía, el día diecinueve de marzo</w:t>
      </w:r>
      <w:r w:rsidR="00242E6F" w:rsidRPr="00AD78EA">
        <w:rPr>
          <w:rFonts w:asciiTheme="majorHAnsi" w:hAnsiTheme="majorHAnsi"/>
          <w:sz w:val="20"/>
          <w:szCs w:val="20"/>
          <w:lang w:val="es-ES_tradnl"/>
        </w:rPr>
        <w:t xml:space="preserve"> (sic)</w:t>
      </w:r>
      <w:r w:rsidRPr="00AD78EA">
        <w:rPr>
          <w:rFonts w:asciiTheme="majorHAnsi" w:hAnsiTheme="majorHAnsi"/>
          <w:sz w:val="20"/>
          <w:szCs w:val="20"/>
          <w:lang w:val="es-ES_tradnl"/>
        </w:rPr>
        <w:t xml:space="preserve"> del presente año, y lo hice a nombre propio, por hechos ocurridos en una contratación administrativa en contra de los funcionarios del instituto de desarrollo urbano de Bogotá, esta denuncia iba en contra del director que es ANDRÉS CAMARGO ARDILA, CA</w:t>
      </w:r>
      <w:r w:rsidR="001A22E8" w:rsidRPr="00AD78EA">
        <w:rPr>
          <w:rFonts w:asciiTheme="majorHAnsi" w:hAnsiTheme="majorHAnsi"/>
          <w:sz w:val="20"/>
          <w:szCs w:val="20"/>
          <w:lang w:val="es-ES_tradnl"/>
        </w:rPr>
        <w:t>R</w:t>
      </w:r>
      <w:r w:rsidRPr="00AD78EA">
        <w:rPr>
          <w:rFonts w:asciiTheme="majorHAnsi" w:hAnsiTheme="majorHAnsi"/>
          <w:sz w:val="20"/>
          <w:szCs w:val="20"/>
          <w:lang w:val="es-ES_tradnl"/>
        </w:rPr>
        <w:t>LOS ALBERTO TORRES ESCALLO Y SONIA RAMÍREZ DÍAZ.</w:t>
      </w:r>
    </w:p>
    <w:p w14:paraId="5D44097B" w14:textId="77777777" w:rsidR="002936AA" w:rsidRPr="00AD78EA" w:rsidRDefault="002936AA" w:rsidP="002936AA">
      <w:pPr>
        <w:ind w:left="720" w:right="720"/>
        <w:jc w:val="both"/>
        <w:rPr>
          <w:rFonts w:asciiTheme="majorHAnsi" w:hAnsiTheme="majorHAnsi"/>
          <w:sz w:val="20"/>
          <w:szCs w:val="20"/>
          <w:lang w:val="es-ES_tradnl"/>
        </w:rPr>
      </w:pPr>
    </w:p>
    <w:p w14:paraId="00D92DC2" w14:textId="601969B0" w:rsidR="00D57B9F" w:rsidRDefault="002936AA" w:rsidP="005E4E9F">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Yo le comuniqué a ese Fiscal [Fiscal 210 de la Unidad de delitos contra la Administración Pública] de manera verbal sobre las amenazas que estaba recibiendo por teléfono, eso hice, creo que el día treinta y uno de junio del presente año, me dijo el Fiscal que colocara estos hechos en conocimiento de la Fiscalía, y así lo hice mediante carta que dirigí al Fiscal General de la Nación, con fecha julio siete de este año y también puse estos hechos en conocimiento de la Procuraduría, del Programa anticorrupción de la Presidencia de la República, al doctor Hugo Peñafort, el viernes también se colocó en conocimiento del Mayor Moreno de la Dijin y […] me dijeron que debía tener cuidado, que esas llamadas lo único que perseguían era trabajarme psicológicamente, yo pedí que si podían dar alguna protección y me contestaron que iban a estudiar el caso</w:t>
      </w:r>
      <w:r w:rsidRPr="00AD78EA">
        <w:rPr>
          <w:rFonts w:asciiTheme="majorHAnsi" w:hAnsiTheme="majorHAnsi"/>
          <w:sz w:val="20"/>
          <w:szCs w:val="20"/>
          <w:vertAlign w:val="superscript"/>
          <w:lang w:val="es-ES_tradnl"/>
        </w:rPr>
        <w:footnoteReference w:id="21"/>
      </w:r>
      <w:r w:rsidRPr="00AD78EA">
        <w:rPr>
          <w:rFonts w:asciiTheme="majorHAnsi" w:hAnsiTheme="majorHAnsi"/>
          <w:sz w:val="20"/>
          <w:szCs w:val="20"/>
          <w:lang w:val="es-ES_tradnl"/>
        </w:rPr>
        <w:t xml:space="preserve">. </w:t>
      </w:r>
    </w:p>
    <w:p w14:paraId="26BD24E0" w14:textId="77777777" w:rsidR="00D57B9F" w:rsidRPr="00AD78EA" w:rsidRDefault="00D57B9F" w:rsidP="002936AA">
      <w:pPr>
        <w:ind w:firstLine="720"/>
        <w:jc w:val="both"/>
        <w:rPr>
          <w:rFonts w:asciiTheme="majorHAnsi" w:hAnsiTheme="majorHAnsi"/>
          <w:sz w:val="20"/>
          <w:szCs w:val="20"/>
          <w:lang w:val="es-ES_tradnl"/>
        </w:rPr>
      </w:pPr>
    </w:p>
    <w:p w14:paraId="4E087620"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Se solicitó al señor Morales Díaz llevar el vehículo al día siguiente, en horas de la mañana, porque en la noche del atentado “por la falta de luz no se podía determinar con claridad la trayectoria de los proyectiles”</w:t>
      </w:r>
      <w:r w:rsidRPr="00AD78EA">
        <w:rPr>
          <w:rFonts w:asciiTheme="majorHAnsi" w:eastAsia="Cambria" w:hAnsiTheme="majorHAnsi" w:cs="Cambria"/>
          <w:color w:val="000000"/>
          <w:sz w:val="20"/>
          <w:szCs w:val="20"/>
          <w:u w:color="000000"/>
          <w:vertAlign w:val="superscript"/>
          <w:lang w:val="es-ES_tradnl" w:eastAsia="es-ES"/>
        </w:rPr>
        <w:footnoteReference w:id="22"/>
      </w:r>
      <w:r w:rsidRPr="00AD78EA">
        <w:rPr>
          <w:rFonts w:asciiTheme="majorHAnsi" w:eastAsia="Cambria" w:hAnsiTheme="majorHAnsi" w:cs="Cambria"/>
          <w:color w:val="000000"/>
          <w:sz w:val="20"/>
          <w:szCs w:val="20"/>
          <w:u w:color="000000"/>
          <w:lang w:val="es-ES_tradnl" w:eastAsia="es-ES"/>
        </w:rPr>
        <w:t>. El 9 de julio de 2000 se realizó la diligencia de inspección judicial del vehículo del peticionario con la asesoría de un perito balístico y de un fotógrafo</w:t>
      </w:r>
      <w:r w:rsidRPr="00AD78EA">
        <w:rPr>
          <w:rFonts w:asciiTheme="majorHAnsi" w:eastAsia="Cambria" w:hAnsiTheme="majorHAnsi" w:cs="Cambria"/>
          <w:color w:val="000000"/>
          <w:sz w:val="20"/>
          <w:szCs w:val="20"/>
          <w:u w:color="000000"/>
          <w:vertAlign w:val="superscript"/>
          <w:lang w:val="es-ES_tradnl" w:eastAsia="es-ES"/>
        </w:rPr>
        <w:footnoteReference w:id="23"/>
      </w:r>
      <w:r w:rsidRPr="00AD78EA">
        <w:rPr>
          <w:rFonts w:asciiTheme="majorHAnsi" w:eastAsia="Cambria" w:hAnsiTheme="majorHAnsi" w:cs="Cambria"/>
          <w:color w:val="000000"/>
          <w:sz w:val="20"/>
          <w:szCs w:val="20"/>
          <w:u w:color="000000"/>
          <w:lang w:val="es-ES_tradnl" w:eastAsia="es-ES"/>
        </w:rPr>
        <w:t>.</w:t>
      </w:r>
    </w:p>
    <w:p w14:paraId="35A879CD" w14:textId="77777777" w:rsidR="002936AA" w:rsidRPr="00AD78EA" w:rsidRDefault="002936AA" w:rsidP="002936AA">
      <w:pPr>
        <w:jc w:val="both"/>
        <w:rPr>
          <w:rFonts w:asciiTheme="majorHAnsi" w:hAnsiTheme="majorHAnsi"/>
          <w:sz w:val="20"/>
          <w:szCs w:val="20"/>
          <w:lang w:val="es-ES_tradnl"/>
        </w:rPr>
      </w:pPr>
    </w:p>
    <w:p w14:paraId="1B556E97" w14:textId="5EBAC1A3"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peticionario afirma haber recibido varias notas de condolencia a su nombre, las cuales entregó al Programa Presidencial de lucha contra la Corrupción y a la Fiscalía General, para las investigaciones del caso</w:t>
      </w:r>
      <w:r w:rsidRPr="00AD78EA">
        <w:rPr>
          <w:rFonts w:asciiTheme="majorHAnsi" w:eastAsia="Cambria" w:hAnsiTheme="majorHAnsi" w:cs="Cambria"/>
          <w:color w:val="000000"/>
          <w:sz w:val="20"/>
          <w:szCs w:val="20"/>
          <w:u w:color="000000"/>
          <w:vertAlign w:val="superscript"/>
          <w:lang w:val="es-ES_tradnl" w:eastAsia="es-ES"/>
        </w:rPr>
        <w:footnoteReference w:id="24"/>
      </w:r>
      <w:r w:rsidRPr="00AD78EA">
        <w:rPr>
          <w:rFonts w:asciiTheme="majorHAnsi" w:eastAsia="Cambria" w:hAnsiTheme="majorHAnsi" w:cs="Cambria"/>
          <w:color w:val="000000"/>
          <w:sz w:val="20"/>
          <w:szCs w:val="20"/>
          <w:u w:color="000000"/>
          <w:lang w:val="es-ES_tradnl" w:eastAsia="es-ES"/>
        </w:rPr>
        <w:t xml:space="preserve">. </w:t>
      </w:r>
      <w:r w:rsidR="00E346A7" w:rsidRPr="00AD78EA">
        <w:rPr>
          <w:rFonts w:asciiTheme="majorHAnsi" w:eastAsia="Cambria" w:hAnsiTheme="majorHAnsi" w:cs="Cambria"/>
          <w:color w:val="000000"/>
          <w:sz w:val="20"/>
          <w:szCs w:val="20"/>
          <w:u w:color="000000"/>
          <w:lang w:val="es-ES_tradnl" w:eastAsia="es-ES"/>
        </w:rPr>
        <w:t xml:space="preserve">De la descripción del peticionario, se desprende que estas notas de condolencia habrían sido recibidas después del atentado. </w:t>
      </w:r>
      <w:r w:rsidRPr="00AD78EA">
        <w:rPr>
          <w:rFonts w:asciiTheme="majorHAnsi" w:eastAsia="Cambria" w:hAnsiTheme="majorHAnsi" w:cs="Cambria"/>
          <w:color w:val="000000"/>
          <w:sz w:val="20"/>
          <w:szCs w:val="20"/>
          <w:u w:color="000000"/>
          <w:lang w:val="es-ES_tradnl" w:eastAsia="es-ES"/>
        </w:rPr>
        <w:t xml:space="preserve">El Estado no controvirtió este hecho ni proporcionó información al respecto.  </w:t>
      </w:r>
    </w:p>
    <w:p w14:paraId="3780446A"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4ECD5AC4" w14:textId="5150FDBE"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14 de julio de 2000 la Unidad Segunda de Delitos Contra la Vida de la Fiscalía Dieciséis Seccional, avocó conocimiento de las diligencias previas y, según información presentada por el Estado, llevó a cabo las siguientes actuaciones: ofició a la Fiscalía Doscientos Diez de la Unidad de delitos contra la Administración Pública para que informara sobre el estado actual de la investigación sobre corrupción interpuesta contra funcionarios directivos del IDU, acusados por la presunta víctima de ser la causa de dichos actos de violencia</w:t>
      </w:r>
      <w:r w:rsidRPr="00AD78EA">
        <w:rPr>
          <w:rFonts w:asciiTheme="majorHAnsi" w:eastAsia="Cambria" w:hAnsiTheme="majorHAnsi" w:cs="Cambria"/>
          <w:color w:val="000000"/>
          <w:sz w:val="20"/>
          <w:szCs w:val="20"/>
          <w:u w:color="000000"/>
          <w:lang w:val="es-ES" w:eastAsia="es-ES"/>
        </w:rPr>
        <w:t>;</w:t>
      </w:r>
      <w:r w:rsidRPr="00AD78EA">
        <w:rPr>
          <w:rFonts w:asciiTheme="majorHAnsi" w:eastAsia="Cambria" w:hAnsiTheme="majorHAnsi" w:cs="Cambria"/>
          <w:color w:val="000000"/>
          <w:sz w:val="20"/>
          <w:szCs w:val="20"/>
          <w:u w:color="000000"/>
          <w:lang w:val="es-ES_tradnl" w:eastAsia="es-ES"/>
        </w:rPr>
        <w:t xml:space="preserve"> pidió la dirección actual y los teléfonos de dichos servidores públicos; solicitó la ampliación de la denuncia formulada y ordenó continuar con la inspección ocular y técnica del vehículo del peticionario</w:t>
      </w:r>
      <w:r w:rsidRPr="00AD78EA">
        <w:rPr>
          <w:rFonts w:asciiTheme="majorHAnsi" w:eastAsia="Cambria" w:hAnsiTheme="majorHAnsi" w:cs="Cambria"/>
          <w:color w:val="000000"/>
          <w:sz w:val="20"/>
          <w:szCs w:val="20"/>
          <w:u w:color="000000"/>
          <w:vertAlign w:val="superscript"/>
          <w:lang w:val="es-ES_tradnl" w:eastAsia="es-ES"/>
        </w:rPr>
        <w:footnoteReference w:id="25"/>
      </w:r>
      <w:r w:rsidRPr="00AD78EA">
        <w:rPr>
          <w:rFonts w:asciiTheme="majorHAnsi" w:eastAsia="Cambria" w:hAnsiTheme="majorHAnsi" w:cs="Cambria"/>
          <w:color w:val="000000"/>
          <w:sz w:val="20"/>
          <w:szCs w:val="20"/>
          <w:u w:color="000000"/>
          <w:lang w:val="es-ES_tradnl" w:eastAsia="es-ES"/>
        </w:rPr>
        <w:t>. De igual manera, según el Estado, se entrevistó al padre del señor Morales D</w:t>
      </w:r>
      <w:r w:rsidRPr="00AD78EA">
        <w:rPr>
          <w:rFonts w:asciiTheme="majorHAnsi" w:eastAsia="Cambria" w:hAnsiTheme="majorHAnsi" w:cs="Cambria"/>
          <w:color w:val="000000"/>
          <w:sz w:val="20"/>
          <w:szCs w:val="20"/>
          <w:u w:color="000000"/>
          <w:lang w:val="es-ES" w:eastAsia="es-ES"/>
        </w:rPr>
        <w:t>íaz</w:t>
      </w:r>
      <w:r w:rsidRPr="00AD78EA">
        <w:rPr>
          <w:rFonts w:asciiTheme="majorHAnsi" w:eastAsia="Cambria" w:hAnsiTheme="majorHAnsi" w:cs="Cambria"/>
          <w:color w:val="000000"/>
          <w:sz w:val="20"/>
          <w:szCs w:val="20"/>
          <w:u w:color="000000"/>
          <w:vertAlign w:val="superscript"/>
          <w:lang w:val="es-ES_tradnl" w:eastAsia="es-ES"/>
        </w:rPr>
        <w:footnoteReference w:id="26"/>
      </w:r>
      <w:r w:rsidRPr="00AD78EA">
        <w:rPr>
          <w:rFonts w:asciiTheme="majorHAnsi" w:eastAsia="Cambria" w:hAnsiTheme="majorHAnsi" w:cs="Cambria"/>
          <w:color w:val="000000"/>
          <w:sz w:val="20"/>
          <w:szCs w:val="20"/>
          <w:u w:color="000000"/>
          <w:lang w:val="es-ES_tradnl" w:eastAsia="es-ES"/>
        </w:rPr>
        <w:t>.</w:t>
      </w:r>
    </w:p>
    <w:p w14:paraId="371FFD40" w14:textId="77777777" w:rsidR="002936AA" w:rsidRPr="00AD78EA" w:rsidRDefault="002936AA" w:rsidP="002936AA">
      <w:pPr>
        <w:jc w:val="both"/>
        <w:rPr>
          <w:rFonts w:asciiTheme="majorHAnsi" w:hAnsiTheme="majorHAnsi"/>
          <w:sz w:val="20"/>
          <w:szCs w:val="20"/>
          <w:lang w:val="es-ES_tradnl"/>
        </w:rPr>
      </w:pPr>
    </w:p>
    <w:p w14:paraId="6143573D" w14:textId="60C2D83C"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mismo día</w:t>
      </w:r>
      <w:r w:rsidR="003702C3" w:rsidRPr="00AD78EA">
        <w:rPr>
          <w:rFonts w:asciiTheme="majorHAnsi" w:eastAsia="Cambria" w:hAnsiTheme="majorHAnsi" w:cs="Cambria"/>
          <w:color w:val="000000"/>
          <w:sz w:val="20"/>
          <w:szCs w:val="20"/>
          <w:u w:color="000000"/>
          <w:lang w:val="es-ES_tradnl" w:eastAsia="es-ES"/>
        </w:rPr>
        <w:t xml:space="preserve"> la </w:t>
      </w:r>
      <w:r w:rsidRPr="00AD78EA">
        <w:rPr>
          <w:rFonts w:asciiTheme="majorHAnsi" w:eastAsia="Cambria" w:hAnsiTheme="majorHAnsi" w:cs="Cambria"/>
          <w:color w:val="000000"/>
          <w:sz w:val="20"/>
          <w:szCs w:val="20"/>
          <w:u w:color="000000"/>
          <w:lang w:val="es-ES_tradnl" w:eastAsia="es-ES"/>
        </w:rPr>
        <w:t xml:space="preserve">Directora del Programa de protección y asistencia, comunicó al señor Morales Díaz que se había ordenado una evaluación de amenaza y riesgo para determinar si dicha situación se derivaba de su intervención procesal, </w:t>
      </w:r>
      <w:r w:rsidR="006675F0" w:rsidRPr="00AD78EA">
        <w:rPr>
          <w:rFonts w:asciiTheme="majorHAnsi" w:eastAsia="Cambria" w:hAnsiTheme="majorHAnsi" w:cs="Cambria"/>
          <w:color w:val="000000"/>
          <w:sz w:val="20"/>
          <w:szCs w:val="20"/>
          <w:u w:color="000000"/>
          <w:lang w:val="es-ES_tradnl" w:eastAsia="es-ES"/>
        </w:rPr>
        <w:t xml:space="preserve">a fin de </w:t>
      </w:r>
      <w:r w:rsidRPr="00AD78EA">
        <w:rPr>
          <w:rFonts w:asciiTheme="majorHAnsi" w:eastAsia="Cambria" w:hAnsiTheme="majorHAnsi" w:cs="Cambria"/>
          <w:color w:val="000000"/>
          <w:sz w:val="20"/>
          <w:szCs w:val="20"/>
          <w:u w:color="000000"/>
          <w:lang w:val="es-ES_tradnl" w:eastAsia="es-ES"/>
        </w:rPr>
        <w:t>proceder a implementar en su favor una eventual medida de protección</w:t>
      </w:r>
      <w:r w:rsidRPr="00AD78EA">
        <w:rPr>
          <w:rFonts w:asciiTheme="majorHAnsi" w:eastAsia="Cambria" w:hAnsiTheme="majorHAnsi" w:cs="Cambria"/>
          <w:color w:val="000000"/>
          <w:sz w:val="20"/>
          <w:szCs w:val="20"/>
          <w:u w:color="000000"/>
          <w:vertAlign w:val="superscript"/>
          <w:lang w:val="es-ES_tradnl" w:eastAsia="es-ES"/>
        </w:rPr>
        <w:footnoteReference w:id="27"/>
      </w:r>
      <w:r w:rsidRPr="00AD78EA">
        <w:rPr>
          <w:rFonts w:asciiTheme="majorHAnsi" w:eastAsia="Cambria" w:hAnsiTheme="majorHAnsi" w:cs="Cambria"/>
          <w:color w:val="000000"/>
          <w:sz w:val="20"/>
          <w:szCs w:val="20"/>
          <w:u w:color="000000"/>
          <w:lang w:val="es-ES_tradnl" w:eastAsia="es-ES"/>
        </w:rPr>
        <w:t xml:space="preserve">. </w:t>
      </w:r>
      <w:r w:rsidRPr="00AD78EA">
        <w:rPr>
          <w:rFonts w:asciiTheme="majorHAnsi" w:eastAsia="Cambria" w:hAnsiTheme="majorHAnsi" w:cs="Cambria"/>
          <w:color w:val="000000"/>
          <w:sz w:val="20"/>
          <w:szCs w:val="20"/>
          <w:u w:color="000000"/>
          <w:lang w:val="es-ES_tradnl" w:eastAsia="es-ES"/>
        </w:rPr>
        <w:lastRenderedPageBreak/>
        <w:t>Según el Estado, este informe técnico estuvo listo el 18 de julio de 2000</w:t>
      </w:r>
      <w:r w:rsidRPr="00AD78EA">
        <w:rPr>
          <w:rFonts w:asciiTheme="majorHAnsi" w:eastAsia="Cambria" w:hAnsiTheme="majorHAnsi" w:cs="Cambria"/>
          <w:color w:val="000000"/>
          <w:sz w:val="20"/>
          <w:szCs w:val="20"/>
          <w:u w:color="000000"/>
          <w:vertAlign w:val="superscript"/>
          <w:lang w:val="es-ES_tradnl" w:eastAsia="es-ES"/>
        </w:rPr>
        <w:footnoteReference w:id="28"/>
      </w:r>
      <w:r w:rsidRPr="00AD78EA">
        <w:rPr>
          <w:rFonts w:asciiTheme="majorHAnsi" w:eastAsia="Cambria" w:hAnsiTheme="majorHAnsi" w:cs="Cambria"/>
          <w:color w:val="000000"/>
          <w:sz w:val="20"/>
          <w:szCs w:val="20"/>
          <w:u w:color="000000"/>
          <w:lang w:val="es-ES_tradnl" w:eastAsia="es-ES"/>
        </w:rPr>
        <w:t xml:space="preserve">. </w:t>
      </w:r>
      <w:r w:rsidR="006675F0" w:rsidRPr="00AD78EA">
        <w:rPr>
          <w:rFonts w:asciiTheme="majorHAnsi" w:eastAsia="Cambria" w:hAnsiTheme="majorHAnsi" w:cs="Cambria"/>
          <w:color w:val="000000"/>
          <w:sz w:val="20"/>
          <w:szCs w:val="20"/>
          <w:u w:color="000000"/>
          <w:lang w:val="es-ES_tradnl" w:eastAsia="es-ES"/>
        </w:rPr>
        <w:t xml:space="preserve">La Comisión no cuenta con información sobre la notificación de los resultados de este informe al señor Morales. </w:t>
      </w:r>
      <w:r w:rsidRPr="00AD78EA">
        <w:rPr>
          <w:rFonts w:asciiTheme="majorHAnsi" w:eastAsia="Cambria" w:hAnsiTheme="majorHAnsi" w:cs="Cambria"/>
          <w:color w:val="000000"/>
          <w:sz w:val="20"/>
          <w:szCs w:val="20"/>
          <w:u w:color="000000"/>
          <w:lang w:val="es-ES_tradnl" w:eastAsia="es-ES"/>
        </w:rPr>
        <w:t>Conforme a certificado otorgado por la Presidencia de la República a la Embajada de Canadá, de 16 de agosto de 2000, el resultado fue de “Alto Riesgo”</w:t>
      </w:r>
      <w:r w:rsidR="003702C3" w:rsidRPr="00AD78EA">
        <w:rPr>
          <w:rFonts w:asciiTheme="majorHAnsi" w:eastAsia="Cambria" w:hAnsiTheme="majorHAnsi" w:cs="Cambria"/>
          <w:color w:val="000000"/>
          <w:sz w:val="20"/>
          <w:szCs w:val="20"/>
          <w:u w:color="000000"/>
          <w:lang w:val="es-ES_tradnl" w:eastAsia="es-ES"/>
        </w:rPr>
        <w:t>. En este certificado se indica:</w:t>
      </w:r>
    </w:p>
    <w:p w14:paraId="6F76BAF0" w14:textId="77777777" w:rsidR="002936AA" w:rsidRPr="00AD78EA" w:rsidRDefault="002936AA" w:rsidP="002936AA">
      <w:pPr>
        <w:ind w:left="1530"/>
        <w:jc w:val="both"/>
        <w:rPr>
          <w:rFonts w:asciiTheme="majorHAnsi" w:hAnsiTheme="majorHAnsi"/>
          <w:sz w:val="20"/>
          <w:szCs w:val="20"/>
          <w:lang w:val="es-ES_tradnl"/>
        </w:rPr>
      </w:pPr>
    </w:p>
    <w:p w14:paraId="38EE8C17"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el ciudadano acudió a la Oficina de Protección a Víctimas, Testigos e Intervinientes de la Fiscalía General de la Nación, despacho que, después de evaluar el caso, calificó su situación como de “Alto Riesgo” […]</w:t>
      </w:r>
      <w:r w:rsidRPr="00AD78EA">
        <w:rPr>
          <w:rFonts w:asciiTheme="majorHAnsi" w:hAnsiTheme="majorHAnsi"/>
          <w:sz w:val="20"/>
          <w:szCs w:val="20"/>
          <w:vertAlign w:val="superscript"/>
          <w:lang w:val="es-ES_tradnl"/>
        </w:rPr>
        <w:footnoteReference w:id="29"/>
      </w:r>
      <w:r w:rsidRPr="00AD78EA">
        <w:rPr>
          <w:rFonts w:asciiTheme="majorHAnsi" w:hAnsiTheme="majorHAnsi"/>
          <w:sz w:val="20"/>
          <w:szCs w:val="20"/>
          <w:lang w:val="es-ES_tradnl"/>
        </w:rPr>
        <w:t>.</w:t>
      </w:r>
    </w:p>
    <w:p w14:paraId="32810E6C" w14:textId="77777777" w:rsidR="002936AA" w:rsidRPr="00AD78EA" w:rsidRDefault="002936AA" w:rsidP="002936AA">
      <w:pPr>
        <w:jc w:val="both"/>
        <w:rPr>
          <w:rFonts w:asciiTheme="majorHAnsi" w:hAnsiTheme="majorHAnsi"/>
          <w:sz w:val="20"/>
          <w:szCs w:val="20"/>
          <w:lang w:val="es-ES_tradnl"/>
        </w:rPr>
      </w:pPr>
    </w:p>
    <w:p w14:paraId="1C130454"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Según información del Estado, el 24 de julio de 2000, se remitió a la Fiscalía la inspección judicial realizada al vehículo, procedente del DAS. Se recuperó un proyectil en el vehículo y se obtuvo un álbum fotográfico de la diligencia</w:t>
      </w:r>
      <w:r w:rsidRPr="00AD78EA">
        <w:rPr>
          <w:rFonts w:asciiTheme="majorHAnsi" w:eastAsia="Cambria" w:hAnsiTheme="majorHAnsi" w:cs="Cambria"/>
          <w:color w:val="000000"/>
          <w:sz w:val="20"/>
          <w:szCs w:val="20"/>
          <w:u w:color="000000"/>
          <w:vertAlign w:val="superscript"/>
          <w:lang w:val="es-ES_tradnl" w:eastAsia="es-ES"/>
        </w:rPr>
        <w:footnoteReference w:id="30"/>
      </w:r>
      <w:r w:rsidRPr="00AD78EA">
        <w:rPr>
          <w:rFonts w:asciiTheme="majorHAnsi" w:eastAsia="Cambria" w:hAnsiTheme="majorHAnsi" w:cs="Cambria"/>
          <w:color w:val="000000"/>
          <w:sz w:val="20"/>
          <w:szCs w:val="20"/>
          <w:u w:color="000000"/>
          <w:lang w:val="es-ES_tradnl" w:eastAsia="es-ES"/>
        </w:rPr>
        <w:t>.</w:t>
      </w:r>
    </w:p>
    <w:p w14:paraId="2099BBBF"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44C44ED3" w14:textId="6C88349B"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31 de julio de 2000 el Director de Protección del DAS, informó a</w:t>
      </w:r>
      <w:r w:rsidR="003702C3" w:rsidRPr="00AD78EA">
        <w:rPr>
          <w:rFonts w:asciiTheme="majorHAnsi" w:eastAsia="Cambria" w:hAnsiTheme="majorHAnsi" w:cs="Cambria"/>
          <w:color w:val="000000"/>
          <w:sz w:val="20"/>
          <w:szCs w:val="20"/>
          <w:u w:color="000000"/>
          <w:lang w:val="es-ES_tradnl" w:eastAsia="es-ES"/>
        </w:rPr>
        <w:t xml:space="preserve">l </w:t>
      </w:r>
      <w:r w:rsidRPr="00AD78EA">
        <w:rPr>
          <w:rFonts w:asciiTheme="majorHAnsi" w:eastAsia="Cambria" w:hAnsiTheme="majorHAnsi" w:cs="Cambria"/>
          <w:color w:val="000000"/>
          <w:sz w:val="20"/>
          <w:szCs w:val="20"/>
          <w:u w:color="000000"/>
          <w:lang w:val="es-ES_tradnl" w:eastAsia="es-ES"/>
        </w:rPr>
        <w:t>Director del Programa Presidencial de Lucha Contra la Corrupción, que se realizó un Estudio Técnico de Nivel de Riesgo y Grado de Amenaza, por lo cual se brindó al señor Morales Díaz, asesoría en materia de autoprotección y autoseguridad:</w:t>
      </w:r>
    </w:p>
    <w:p w14:paraId="3A10D696" w14:textId="77777777" w:rsidR="002936AA" w:rsidRPr="00AD78EA" w:rsidRDefault="002936AA" w:rsidP="002936AA">
      <w:pPr>
        <w:ind w:firstLine="720"/>
        <w:jc w:val="both"/>
        <w:rPr>
          <w:rFonts w:asciiTheme="majorHAnsi" w:hAnsiTheme="majorHAnsi"/>
          <w:sz w:val="20"/>
          <w:szCs w:val="20"/>
          <w:lang w:val="es-ES_tradnl"/>
        </w:rPr>
      </w:pPr>
    </w:p>
    <w:p w14:paraId="3304FB7B"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El DAS [...] dispuso el diligenciamiento de un Estudio Técnico de Nivel de Riesgo y Grado de Amenaza, en el entorno del Doctor Oscar Alfonso Morales Díaz, en el cual se evidenció que su actual situación de seguridad (acciones directas – seguimientos) tienen su origen en la denuncia penal presentada en contra de algunos directivos del IDU.</w:t>
      </w:r>
    </w:p>
    <w:p w14:paraId="61305FFE" w14:textId="77777777" w:rsidR="002936AA" w:rsidRPr="00AD78EA" w:rsidRDefault="002936AA" w:rsidP="002936AA">
      <w:pPr>
        <w:ind w:left="720" w:right="720"/>
        <w:jc w:val="both"/>
        <w:rPr>
          <w:rFonts w:asciiTheme="majorHAnsi" w:hAnsiTheme="majorHAnsi"/>
          <w:sz w:val="20"/>
          <w:szCs w:val="20"/>
          <w:lang w:val="es-ES_tradnl"/>
        </w:rPr>
      </w:pPr>
    </w:p>
    <w:p w14:paraId="17DF89F6"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Por lo anterior se le brindó asesoría en materia de autoprotección y autoseguridad a fin de mejorar su entorno personal y familiar, adicionalmente y teniendo en cuenta que por el origen de las amenazas se hace parte de la Población Objeto del programa de Protección y Atención de Víctimas y Testigos, se solicitó a esa Dirección de la Fiscalía General de la Nación, estudie su caso a fin de que se adopten las medidas en caso de cumplir los requisitos para ingresar en el mismo</w:t>
      </w:r>
      <w:r w:rsidRPr="00AD78EA">
        <w:rPr>
          <w:rFonts w:asciiTheme="majorHAnsi" w:hAnsiTheme="majorHAnsi"/>
          <w:sz w:val="20"/>
          <w:szCs w:val="20"/>
          <w:vertAlign w:val="superscript"/>
          <w:lang w:val="es-ES_tradnl"/>
        </w:rPr>
        <w:footnoteReference w:id="31"/>
      </w:r>
      <w:r w:rsidRPr="00AD78EA">
        <w:rPr>
          <w:rFonts w:asciiTheme="majorHAnsi" w:hAnsiTheme="majorHAnsi"/>
          <w:sz w:val="20"/>
          <w:szCs w:val="20"/>
          <w:lang w:val="es-ES_tradnl"/>
        </w:rPr>
        <w:t xml:space="preserve">. </w:t>
      </w:r>
    </w:p>
    <w:p w14:paraId="75BC716A"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5957E18C" w14:textId="32D16966" w:rsidR="002936AA" w:rsidRPr="00AD78EA" w:rsidRDefault="00D20272"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En un certificado emitido por la Directora del Programa de protección y asistencia de la FGN, se da cuenta de la evaluación de riesgo que, según el Estado, habría determinado que el señor Morales Díaz cumplía con los requisitos para ser incorporado a dicho programa. De lo indicado por el Estado, se desprende que se trata del mismo estudio referido en el párrafo 43 del presente informe. También indicó el Estado que como consecuencia de este estudio se le otorgó </w:t>
      </w:r>
      <w:r w:rsidR="002936AA" w:rsidRPr="00AD78EA">
        <w:rPr>
          <w:rFonts w:asciiTheme="majorHAnsi" w:eastAsia="Cambria" w:hAnsiTheme="majorHAnsi" w:cs="Cambria"/>
          <w:color w:val="000000"/>
          <w:sz w:val="20"/>
          <w:szCs w:val="20"/>
          <w:u w:color="000000"/>
          <w:lang w:val="es-ES_tradnl" w:eastAsia="es-ES"/>
        </w:rPr>
        <w:t xml:space="preserve">una </w:t>
      </w:r>
      <w:r w:rsidRPr="00AD78EA">
        <w:rPr>
          <w:rFonts w:asciiTheme="majorHAnsi" w:eastAsia="Cambria" w:hAnsiTheme="majorHAnsi" w:cs="Cambria"/>
          <w:color w:val="000000"/>
          <w:sz w:val="20"/>
          <w:szCs w:val="20"/>
          <w:u w:color="000000"/>
          <w:lang w:val="es-ES_tradnl" w:eastAsia="es-ES"/>
        </w:rPr>
        <w:t>“</w:t>
      </w:r>
      <w:r w:rsidR="002936AA" w:rsidRPr="00AD78EA">
        <w:rPr>
          <w:rFonts w:asciiTheme="majorHAnsi" w:eastAsia="Cambria" w:hAnsiTheme="majorHAnsi" w:cs="Cambria"/>
          <w:color w:val="000000"/>
          <w:sz w:val="20"/>
          <w:szCs w:val="20"/>
          <w:u w:color="000000"/>
          <w:lang w:val="es-ES_tradnl" w:eastAsia="es-ES"/>
        </w:rPr>
        <w:t xml:space="preserve">carta de </w:t>
      </w:r>
      <w:r w:rsidRPr="00AD78EA">
        <w:rPr>
          <w:rFonts w:asciiTheme="majorHAnsi" w:eastAsia="Cambria" w:hAnsiTheme="majorHAnsi" w:cs="Cambria"/>
          <w:color w:val="000000"/>
          <w:sz w:val="20"/>
          <w:szCs w:val="20"/>
          <w:u w:color="000000"/>
          <w:lang w:val="es-ES_tradnl" w:eastAsia="es-ES"/>
        </w:rPr>
        <w:t>a</w:t>
      </w:r>
      <w:r w:rsidR="002936AA" w:rsidRPr="00AD78EA">
        <w:rPr>
          <w:rFonts w:asciiTheme="majorHAnsi" w:eastAsia="Cambria" w:hAnsiTheme="majorHAnsi" w:cs="Cambria"/>
          <w:color w:val="000000"/>
          <w:sz w:val="20"/>
          <w:szCs w:val="20"/>
          <w:u w:color="000000"/>
          <w:lang w:val="es-ES_tradnl" w:eastAsia="es-ES"/>
        </w:rPr>
        <w:t>utoprotección</w:t>
      </w:r>
      <w:r w:rsidRPr="00AD78EA">
        <w:rPr>
          <w:rFonts w:asciiTheme="majorHAnsi" w:eastAsia="Cambria" w:hAnsiTheme="majorHAnsi" w:cs="Cambria"/>
          <w:color w:val="000000"/>
          <w:sz w:val="20"/>
          <w:szCs w:val="20"/>
          <w:u w:color="000000"/>
          <w:lang w:val="es-ES_tradnl" w:eastAsia="es-ES"/>
        </w:rPr>
        <w:t>”</w:t>
      </w:r>
      <w:r w:rsidR="002936AA" w:rsidRPr="00AD78EA">
        <w:rPr>
          <w:rFonts w:asciiTheme="majorHAnsi" w:eastAsia="Cambria" w:hAnsiTheme="majorHAnsi" w:cs="Cambria"/>
          <w:color w:val="000000"/>
          <w:sz w:val="20"/>
          <w:szCs w:val="20"/>
          <w:u w:color="000000"/>
          <w:lang w:val="es-ES_tradnl" w:eastAsia="es-ES"/>
        </w:rPr>
        <w:t>, que exhibía medidas para su seguridad y</w:t>
      </w:r>
      <w:r w:rsidRPr="00AD78EA">
        <w:rPr>
          <w:rFonts w:asciiTheme="majorHAnsi" w:eastAsia="Cambria" w:hAnsiTheme="majorHAnsi" w:cs="Cambria"/>
          <w:color w:val="000000"/>
          <w:sz w:val="20"/>
          <w:szCs w:val="20"/>
          <w:u w:color="000000"/>
          <w:lang w:val="es-ES_tradnl" w:eastAsia="es-ES"/>
        </w:rPr>
        <w:t xml:space="preserve"> le</w:t>
      </w:r>
      <w:r w:rsidR="002936AA" w:rsidRPr="00AD78EA">
        <w:rPr>
          <w:rFonts w:asciiTheme="majorHAnsi" w:eastAsia="Cambria" w:hAnsiTheme="majorHAnsi" w:cs="Cambria"/>
          <w:color w:val="000000"/>
          <w:sz w:val="20"/>
          <w:szCs w:val="20"/>
          <w:u w:color="000000"/>
          <w:lang w:val="es-ES_tradnl" w:eastAsia="es-ES"/>
        </w:rPr>
        <w:t xml:space="preserve"> ofrec</w:t>
      </w:r>
      <w:r w:rsidRPr="00AD78EA">
        <w:rPr>
          <w:rFonts w:asciiTheme="majorHAnsi" w:eastAsia="Cambria" w:hAnsiTheme="majorHAnsi" w:cs="Cambria"/>
          <w:color w:val="000000"/>
          <w:sz w:val="20"/>
          <w:szCs w:val="20"/>
          <w:u w:color="000000"/>
          <w:lang w:val="es-ES_tradnl" w:eastAsia="es-ES"/>
        </w:rPr>
        <w:t>ía</w:t>
      </w:r>
      <w:r w:rsidR="002936AA" w:rsidRPr="00AD78EA">
        <w:rPr>
          <w:rFonts w:asciiTheme="majorHAnsi" w:eastAsia="Cambria" w:hAnsiTheme="majorHAnsi" w:cs="Cambria"/>
          <w:color w:val="000000"/>
          <w:sz w:val="20"/>
          <w:szCs w:val="20"/>
          <w:u w:color="000000"/>
          <w:lang w:val="es-ES_tradnl" w:eastAsia="es-ES"/>
        </w:rPr>
        <w:t xml:space="preserve"> reubicarlo</w:t>
      </w:r>
      <w:r w:rsidRPr="00AD78EA">
        <w:rPr>
          <w:rFonts w:asciiTheme="majorHAnsi" w:eastAsia="Cambria" w:hAnsiTheme="majorHAnsi" w:cs="Cambria"/>
          <w:color w:val="000000"/>
          <w:sz w:val="20"/>
          <w:szCs w:val="20"/>
          <w:u w:color="000000"/>
          <w:lang w:val="es-ES_tradnl" w:eastAsia="es-ES"/>
        </w:rPr>
        <w:t>. En esta certificación se indica:</w:t>
      </w:r>
    </w:p>
    <w:p w14:paraId="1B74A362" w14:textId="77777777" w:rsidR="002936AA" w:rsidRPr="00AD78EA" w:rsidRDefault="002936AA" w:rsidP="002936AA">
      <w:pPr>
        <w:ind w:firstLine="720"/>
        <w:jc w:val="both"/>
        <w:rPr>
          <w:rFonts w:asciiTheme="majorHAnsi" w:hAnsiTheme="majorHAnsi"/>
          <w:sz w:val="20"/>
          <w:szCs w:val="20"/>
          <w:lang w:val="es-ES_tradnl"/>
        </w:rPr>
      </w:pPr>
    </w:p>
    <w:p w14:paraId="64ACB32D"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La Suscrita Directora del Programa de Protección y Asistencia a Víctimas, Testigos e Intervinientes en el Proceso Penal de la Fiscalía General de la Nación, se permite certificar que en favor del Señor OSCAR ALFONSO MORALES DIAZ […] se adelantó evaluación de amenaza y riesgo […] estableciéndose que en efecto presenta riesgo de sufrir agresión contra su vida e integridad personal, teniendo en cuenta su participación en calidad de testigo en las diligencias penales radicadas con el No. 484569 que se adelanta ante la Fiscalía Doscientos Diez (210) Delegada ante los Jueces Penales del Circuito, Unidad de Delitos contra la Administración Pública, por el delito relacionado con corrupción administrativa en la asignación de contratos por parte del Instituto de Desarrollo Urbano IDU</w:t>
      </w:r>
      <w:r w:rsidRPr="00AD78EA">
        <w:rPr>
          <w:rFonts w:asciiTheme="majorHAnsi" w:hAnsiTheme="majorHAnsi"/>
          <w:sz w:val="20"/>
          <w:szCs w:val="20"/>
          <w:vertAlign w:val="superscript"/>
          <w:lang w:val="es-ES_tradnl"/>
        </w:rPr>
        <w:footnoteReference w:id="32"/>
      </w:r>
      <w:r w:rsidRPr="00AD78EA">
        <w:rPr>
          <w:rFonts w:asciiTheme="majorHAnsi" w:hAnsiTheme="majorHAnsi"/>
          <w:sz w:val="20"/>
          <w:szCs w:val="20"/>
          <w:lang w:val="es-ES_tradnl"/>
        </w:rPr>
        <w:t>.</w:t>
      </w:r>
    </w:p>
    <w:p w14:paraId="5062B79D" w14:textId="77777777" w:rsidR="002936AA" w:rsidRPr="00AD78EA" w:rsidRDefault="002936AA" w:rsidP="002936AA">
      <w:pPr>
        <w:ind w:firstLine="720"/>
        <w:jc w:val="both"/>
        <w:rPr>
          <w:rFonts w:asciiTheme="majorHAnsi" w:hAnsiTheme="majorHAnsi"/>
          <w:sz w:val="20"/>
          <w:szCs w:val="20"/>
          <w:lang w:val="es-ES_tradnl"/>
        </w:rPr>
      </w:pPr>
    </w:p>
    <w:p w14:paraId="762ADBF2"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lastRenderedPageBreak/>
        <w:t>El peticionario se negó a otorgar su consentimiento para ser reubicado debido a que: i) ya se habría reubicado en otra ciudad por sus medios luego del atentado; ii) estaba finalizando sus estudios de especialización en Bogotá; iii) económicamente era desfavorable por su mercado profesional; y iv) planeaba adelantar estudios de Doctorado en España</w:t>
      </w:r>
      <w:r w:rsidRPr="00AD78EA">
        <w:rPr>
          <w:rFonts w:asciiTheme="majorHAnsi" w:eastAsia="Cambria" w:hAnsiTheme="majorHAnsi" w:cs="Cambria"/>
          <w:color w:val="000000"/>
          <w:sz w:val="20"/>
          <w:szCs w:val="20"/>
          <w:u w:color="000000"/>
          <w:vertAlign w:val="superscript"/>
          <w:lang w:val="es-ES_tradnl" w:eastAsia="es-ES"/>
        </w:rPr>
        <w:footnoteReference w:id="33"/>
      </w:r>
      <w:r w:rsidRPr="00AD78EA">
        <w:rPr>
          <w:rFonts w:asciiTheme="majorHAnsi" w:eastAsia="Cambria" w:hAnsiTheme="majorHAnsi" w:cs="Cambria"/>
          <w:color w:val="000000"/>
          <w:sz w:val="20"/>
          <w:szCs w:val="20"/>
          <w:u w:color="000000"/>
          <w:lang w:val="es-ES_tradnl" w:eastAsia="es-ES"/>
        </w:rPr>
        <w:t xml:space="preserve">. </w:t>
      </w:r>
    </w:p>
    <w:p w14:paraId="6544D1EA"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1C35F9B8"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Según el señor Morales, manifestó a las autoridades que:</w:t>
      </w:r>
    </w:p>
    <w:p w14:paraId="5DB9B70C"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38B031D5"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que no [se] sometía a que [le] dieran los pasajes aéreos a otra ciudad que lo que tenían que hacer era resolver de fondo [su] caso, y además que [él] no tendría sustento económico en otra ciudad […] Como una persona a quien le hicieron un atentado puede ser relocalizada en otra ciudad sin ningún apoyo económico, sin vivienda y sin empleo, la lógica respuesta es de no aceptar la oferta de la Fiscalía</w:t>
      </w:r>
      <w:r w:rsidRPr="00AD78EA">
        <w:rPr>
          <w:rFonts w:asciiTheme="majorHAnsi" w:hAnsiTheme="majorHAnsi"/>
          <w:sz w:val="20"/>
          <w:szCs w:val="20"/>
          <w:vertAlign w:val="superscript"/>
          <w:lang w:val="es-ES_tradnl"/>
        </w:rPr>
        <w:footnoteReference w:id="34"/>
      </w:r>
      <w:r w:rsidRPr="00AD78EA">
        <w:rPr>
          <w:rFonts w:asciiTheme="majorHAnsi" w:hAnsiTheme="majorHAnsi"/>
          <w:sz w:val="20"/>
          <w:szCs w:val="20"/>
          <w:lang w:val="es-ES_tradnl"/>
        </w:rPr>
        <w:t xml:space="preserve">. </w:t>
      </w:r>
    </w:p>
    <w:p w14:paraId="5A74967D" w14:textId="77777777" w:rsidR="002936AA" w:rsidRPr="00AD78EA" w:rsidRDefault="002936AA" w:rsidP="002936AA">
      <w:pPr>
        <w:ind w:firstLine="720"/>
        <w:jc w:val="both"/>
        <w:rPr>
          <w:rFonts w:asciiTheme="majorHAnsi" w:hAnsiTheme="majorHAnsi"/>
          <w:sz w:val="20"/>
          <w:szCs w:val="20"/>
          <w:lang w:val="es-ES_tradnl"/>
        </w:rPr>
      </w:pPr>
    </w:p>
    <w:p w14:paraId="45BE18A5"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En este sentido, ante la negativa de la presunta víctima, la FGN expidió un Acta de No Incorporación de fecha 2 de agosto de 2000</w:t>
      </w:r>
      <w:r w:rsidRPr="00AD78EA">
        <w:rPr>
          <w:rFonts w:asciiTheme="majorHAnsi" w:eastAsia="Cambria" w:hAnsiTheme="majorHAnsi" w:cs="Cambria"/>
          <w:color w:val="000000"/>
          <w:sz w:val="20"/>
          <w:szCs w:val="20"/>
          <w:u w:color="000000"/>
          <w:vertAlign w:val="superscript"/>
          <w:lang w:val="es-ES_tradnl" w:eastAsia="es-ES"/>
        </w:rPr>
        <w:footnoteReference w:id="35"/>
      </w:r>
      <w:r w:rsidRPr="00AD78EA">
        <w:rPr>
          <w:rFonts w:asciiTheme="majorHAnsi" w:eastAsia="Cambria" w:hAnsiTheme="majorHAnsi" w:cs="Cambria"/>
          <w:color w:val="000000"/>
          <w:sz w:val="20"/>
          <w:szCs w:val="20"/>
          <w:u w:color="000000"/>
          <w:lang w:val="es-ES_tradnl" w:eastAsia="es-ES"/>
        </w:rPr>
        <w:t>.</w:t>
      </w:r>
    </w:p>
    <w:p w14:paraId="28C4469D"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0CD5B241" w14:textId="0121244A" w:rsidR="002936AA" w:rsidRPr="00AD78EA" w:rsidRDefault="002936AA" w:rsidP="00CB7168">
      <w:pPr>
        <w:numPr>
          <w:ilvl w:val="0"/>
          <w:numId w:val="56"/>
        </w:numPr>
        <w:ind w:left="0" w:firstLine="63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El 2 de septiembre de 2000, la Policía Metropolitana de Bogotá, informó al Director del Programa Presidencial de </w:t>
      </w:r>
      <w:r w:rsidR="008840B1" w:rsidRPr="00AD78EA">
        <w:rPr>
          <w:rFonts w:asciiTheme="majorHAnsi" w:eastAsia="Cambria" w:hAnsiTheme="majorHAnsi" w:cs="Cambria"/>
          <w:color w:val="000000"/>
          <w:sz w:val="20"/>
          <w:szCs w:val="20"/>
          <w:u w:color="000000"/>
          <w:lang w:val="es-ES_tradnl" w:eastAsia="es-ES"/>
        </w:rPr>
        <w:t>L</w:t>
      </w:r>
      <w:r w:rsidRPr="00AD78EA">
        <w:rPr>
          <w:rFonts w:asciiTheme="majorHAnsi" w:eastAsia="Cambria" w:hAnsiTheme="majorHAnsi" w:cs="Cambria"/>
          <w:color w:val="000000"/>
          <w:sz w:val="20"/>
          <w:szCs w:val="20"/>
          <w:u w:color="000000"/>
          <w:lang w:val="es-ES_tradnl" w:eastAsia="es-ES"/>
        </w:rPr>
        <w:t xml:space="preserve">ucha contra la </w:t>
      </w:r>
      <w:r w:rsidR="008840B1" w:rsidRPr="00AD78EA">
        <w:rPr>
          <w:rFonts w:asciiTheme="majorHAnsi" w:eastAsia="Cambria" w:hAnsiTheme="majorHAnsi" w:cs="Cambria"/>
          <w:color w:val="000000"/>
          <w:sz w:val="20"/>
          <w:szCs w:val="20"/>
          <w:u w:color="000000"/>
          <w:lang w:val="es-ES_tradnl" w:eastAsia="es-ES"/>
        </w:rPr>
        <w:t>C</w:t>
      </w:r>
      <w:r w:rsidRPr="00AD78EA">
        <w:rPr>
          <w:rFonts w:asciiTheme="majorHAnsi" w:eastAsia="Cambria" w:hAnsiTheme="majorHAnsi" w:cs="Cambria"/>
          <w:color w:val="000000"/>
          <w:sz w:val="20"/>
          <w:szCs w:val="20"/>
          <w:u w:color="000000"/>
          <w:lang w:val="es-ES_tradnl" w:eastAsia="es-ES"/>
        </w:rPr>
        <w:t xml:space="preserve">orrupción, que “[…] se realizó un estudio de seguridad al señor Oscar Morales Días (sic) para verificar su nivel de riesgo, el cual arrojó como resultado un nivel medio. Por lo anterior, se dispuso la realización de patrullajes esporádicos a la residencia del señor Morales, por parte del personal adscrito a la Octava Estación Kennedy, así mismo, se le sugirió poner en práctica las medidas de seguridad que le fueron recomendadas con ocasión de dicho estudio”. En el mismo escrito, se solicitó al Director del Programa Presidencial de </w:t>
      </w:r>
      <w:r w:rsidR="008840B1" w:rsidRPr="00AD78EA">
        <w:rPr>
          <w:rFonts w:asciiTheme="majorHAnsi" w:eastAsia="Cambria" w:hAnsiTheme="majorHAnsi" w:cs="Cambria"/>
          <w:color w:val="000000"/>
          <w:sz w:val="20"/>
          <w:szCs w:val="20"/>
          <w:u w:color="000000"/>
          <w:lang w:val="es-ES_tradnl" w:eastAsia="es-ES"/>
        </w:rPr>
        <w:t>Lucha contra la C</w:t>
      </w:r>
      <w:r w:rsidRPr="00AD78EA">
        <w:rPr>
          <w:rFonts w:asciiTheme="majorHAnsi" w:eastAsia="Cambria" w:hAnsiTheme="majorHAnsi" w:cs="Cambria"/>
          <w:color w:val="000000"/>
          <w:sz w:val="20"/>
          <w:szCs w:val="20"/>
          <w:u w:color="000000"/>
          <w:lang w:val="es-ES_tradnl" w:eastAsia="es-ES"/>
        </w:rPr>
        <w:t>orrupción que informara en caso de que surgiera alguna situación que llegare a modificar esa evaluación técnica</w:t>
      </w:r>
      <w:r w:rsidRPr="00AD78EA">
        <w:rPr>
          <w:rFonts w:asciiTheme="majorHAnsi" w:eastAsia="Cambria" w:hAnsiTheme="majorHAnsi" w:cs="Cambria"/>
          <w:color w:val="000000"/>
          <w:sz w:val="20"/>
          <w:szCs w:val="20"/>
          <w:u w:color="000000"/>
          <w:vertAlign w:val="superscript"/>
          <w:lang w:val="es-ES_tradnl" w:eastAsia="es-ES"/>
        </w:rPr>
        <w:footnoteReference w:id="36"/>
      </w:r>
      <w:r w:rsidRPr="00AD78EA">
        <w:rPr>
          <w:rFonts w:asciiTheme="majorHAnsi" w:eastAsia="Cambria" w:hAnsiTheme="majorHAnsi" w:cs="Cambria"/>
          <w:color w:val="000000"/>
          <w:sz w:val="20"/>
          <w:szCs w:val="20"/>
          <w:u w:color="000000"/>
          <w:lang w:val="es-ES_tradnl" w:eastAsia="es-ES"/>
        </w:rPr>
        <w:t xml:space="preserve">. </w:t>
      </w:r>
    </w:p>
    <w:p w14:paraId="7D242A72" w14:textId="77777777" w:rsidR="002936AA" w:rsidRPr="00AD78EA" w:rsidRDefault="002936AA" w:rsidP="002936AA">
      <w:pPr>
        <w:jc w:val="both"/>
        <w:rPr>
          <w:rFonts w:asciiTheme="majorHAnsi" w:hAnsiTheme="majorHAnsi"/>
          <w:sz w:val="20"/>
          <w:szCs w:val="20"/>
          <w:lang w:val="es-ES_tradnl"/>
        </w:rPr>
      </w:pPr>
    </w:p>
    <w:p w14:paraId="6F7D5883" w14:textId="145850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La Fiscalía </w:t>
      </w:r>
      <w:r w:rsidR="00157184" w:rsidRPr="00AD78EA">
        <w:rPr>
          <w:rFonts w:asciiTheme="majorHAnsi" w:eastAsia="Cambria" w:hAnsiTheme="majorHAnsi" w:cs="Cambria"/>
          <w:color w:val="000000"/>
          <w:sz w:val="20"/>
          <w:szCs w:val="20"/>
          <w:u w:color="000000"/>
          <w:lang w:val="es-ES_tradnl" w:eastAsia="es-ES"/>
        </w:rPr>
        <w:t xml:space="preserve">a cargo de la investigación del atentado, </w:t>
      </w:r>
      <w:r w:rsidRPr="00AD78EA">
        <w:rPr>
          <w:rFonts w:asciiTheme="majorHAnsi" w:eastAsia="Cambria" w:hAnsiTheme="majorHAnsi" w:cs="Cambria"/>
          <w:color w:val="000000"/>
          <w:sz w:val="20"/>
          <w:szCs w:val="20"/>
          <w:u w:color="000000"/>
          <w:lang w:val="es-ES_tradnl" w:eastAsia="es-ES"/>
        </w:rPr>
        <w:t>mediante oficio de 8 de noviembre de 2000, ordenó oficiar al DAS con el objeto de que se llevaran a cabo labores tendientes a identificar o individualizar a los autores del hecho punible del que fuera víctima el señor Morales Díaz</w:t>
      </w:r>
      <w:r w:rsidRPr="00AD78EA">
        <w:rPr>
          <w:rFonts w:asciiTheme="majorHAnsi" w:eastAsia="Cambria" w:hAnsiTheme="majorHAnsi" w:cs="Cambria"/>
          <w:color w:val="000000"/>
          <w:sz w:val="20"/>
          <w:szCs w:val="20"/>
          <w:u w:color="000000"/>
          <w:vertAlign w:val="superscript"/>
          <w:lang w:val="es-ES_tradnl" w:eastAsia="es-ES"/>
        </w:rPr>
        <w:footnoteReference w:id="37"/>
      </w:r>
      <w:r w:rsidRPr="00AD78EA">
        <w:rPr>
          <w:rFonts w:asciiTheme="majorHAnsi" w:eastAsia="Cambria" w:hAnsiTheme="majorHAnsi" w:cs="Cambria"/>
          <w:color w:val="000000"/>
          <w:sz w:val="20"/>
          <w:szCs w:val="20"/>
          <w:u w:color="000000"/>
          <w:lang w:val="es-ES_tradnl" w:eastAsia="es-ES"/>
        </w:rPr>
        <w:t xml:space="preserve">. </w:t>
      </w:r>
    </w:p>
    <w:p w14:paraId="36B99898"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091FD491" w14:textId="3AB1C43B"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3 de mayo de 2001 la</w:t>
      </w:r>
      <w:r w:rsidR="00157184" w:rsidRPr="00AD78EA">
        <w:rPr>
          <w:rFonts w:asciiTheme="majorHAnsi" w:eastAsia="Cambria" w:hAnsiTheme="majorHAnsi" w:cs="Cambria"/>
          <w:color w:val="000000"/>
          <w:sz w:val="20"/>
          <w:szCs w:val="20"/>
          <w:u w:color="000000"/>
          <w:lang w:val="es-ES_tradnl" w:eastAsia="es-ES"/>
        </w:rPr>
        <w:t xml:space="preserve"> misma</w:t>
      </w:r>
      <w:r w:rsidRPr="00AD78EA">
        <w:rPr>
          <w:rFonts w:asciiTheme="majorHAnsi" w:eastAsia="Cambria" w:hAnsiTheme="majorHAnsi" w:cs="Cambria"/>
          <w:color w:val="000000"/>
          <w:sz w:val="20"/>
          <w:szCs w:val="20"/>
          <w:u w:color="000000"/>
          <w:lang w:val="es-ES_tradnl" w:eastAsia="es-ES"/>
        </w:rPr>
        <w:t xml:space="preserve"> Fiscalía citó a rendir declaración al peticionario, a Andrés Camargo Ardila y</w:t>
      </w:r>
      <w:r w:rsidR="00157184" w:rsidRPr="00AD78EA">
        <w:rPr>
          <w:rFonts w:asciiTheme="majorHAnsi" w:eastAsia="Cambria" w:hAnsiTheme="majorHAnsi" w:cs="Cambria"/>
          <w:color w:val="000000"/>
          <w:sz w:val="20"/>
          <w:szCs w:val="20"/>
          <w:u w:color="000000"/>
          <w:lang w:val="es-ES_tradnl" w:eastAsia="es-ES"/>
        </w:rPr>
        <w:t xml:space="preserve"> a</w:t>
      </w:r>
      <w:r w:rsidRPr="00AD78EA">
        <w:rPr>
          <w:rFonts w:asciiTheme="majorHAnsi" w:eastAsia="Cambria" w:hAnsiTheme="majorHAnsi" w:cs="Cambria"/>
          <w:color w:val="000000"/>
          <w:sz w:val="20"/>
          <w:szCs w:val="20"/>
          <w:u w:color="000000"/>
          <w:lang w:val="es-ES_tradnl" w:eastAsia="es-ES"/>
        </w:rPr>
        <w:t xml:space="preserve"> Sonia Ramírez Díaz, los dos últimos funcionarios directivos del IDU, contra quiénes el peticionario presentó denuncias por actos de corrupción. El 1 de junio de 2001 se tomó la declaración de Andrés Camargo; sin embargo, la declaración de la señora Sonia Ramírez no pudo llevarse a cabo pues falleció el 29 de marzo de 2001</w:t>
      </w:r>
      <w:r w:rsidRPr="00AD78EA">
        <w:rPr>
          <w:rFonts w:asciiTheme="majorHAnsi" w:eastAsia="Cambria" w:hAnsiTheme="majorHAnsi" w:cs="Cambria"/>
          <w:color w:val="000000"/>
          <w:sz w:val="20"/>
          <w:szCs w:val="20"/>
          <w:u w:color="000000"/>
          <w:vertAlign w:val="superscript"/>
          <w:lang w:val="es-ES_tradnl" w:eastAsia="es-ES"/>
        </w:rPr>
        <w:footnoteReference w:id="38"/>
      </w:r>
      <w:r w:rsidRPr="00AD78EA">
        <w:rPr>
          <w:rFonts w:asciiTheme="majorHAnsi" w:eastAsia="Cambria" w:hAnsiTheme="majorHAnsi" w:cs="Cambria"/>
          <w:color w:val="000000"/>
          <w:sz w:val="20"/>
          <w:szCs w:val="20"/>
          <w:u w:color="000000"/>
          <w:lang w:val="es-ES_tradnl" w:eastAsia="es-ES"/>
        </w:rPr>
        <w:t>.</w:t>
      </w:r>
      <w:r w:rsidR="00452038" w:rsidRPr="00AD78EA">
        <w:rPr>
          <w:rFonts w:asciiTheme="majorHAnsi" w:eastAsia="Cambria" w:hAnsiTheme="majorHAnsi" w:cs="Cambria"/>
          <w:color w:val="000000"/>
          <w:sz w:val="20"/>
          <w:szCs w:val="20"/>
          <w:u w:color="000000"/>
          <w:lang w:val="es-ES_tradnl" w:eastAsia="es-ES"/>
        </w:rPr>
        <w:t xml:space="preserve"> El peticionario alegó haber solicitado que se indagara sobre su muerte en el contexto de </w:t>
      </w:r>
      <w:r w:rsidR="00783538" w:rsidRPr="00AD78EA">
        <w:rPr>
          <w:rFonts w:asciiTheme="majorHAnsi" w:eastAsia="Cambria" w:hAnsiTheme="majorHAnsi" w:cs="Cambria"/>
          <w:color w:val="000000"/>
          <w:sz w:val="20"/>
          <w:szCs w:val="20"/>
          <w:u w:color="000000"/>
          <w:lang w:val="es-ES_tradnl" w:eastAsia="es-ES"/>
        </w:rPr>
        <w:t xml:space="preserve">la </w:t>
      </w:r>
      <w:r w:rsidR="00452038" w:rsidRPr="00AD78EA">
        <w:rPr>
          <w:rFonts w:asciiTheme="majorHAnsi" w:eastAsia="Cambria" w:hAnsiTheme="majorHAnsi" w:cs="Cambria"/>
          <w:color w:val="000000"/>
          <w:sz w:val="20"/>
          <w:szCs w:val="20"/>
          <w:u w:color="000000"/>
          <w:lang w:val="es-ES_tradnl" w:eastAsia="es-ES"/>
        </w:rPr>
        <w:t xml:space="preserve">investigación. Sin embargo, el Estado no informó haber llevado a cabo ninguna acción al respecto. </w:t>
      </w:r>
    </w:p>
    <w:p w14:paraId="252A6DE2"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67C63B36"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peticionario solicitó mediante correo electrónico a la Presidencia de la República, que se adjuntara a la investigación por el atentado contra su vida que se seguía en la FGN, la muerte de Sonia Ramírez, jefa de Licitaciones y Contrataciones del IDU</w:t>
      </w:r>
      <w:r w:rsidRPr="00AD78EA">
        <w:rPr>
          <w:rFonts w:asciiTheme="majorHAnsi" w:eastAsia="Cambria" w:hAnsiTheme="majorHAnsi" w:cs="Cambria"/>
          <w:color w:val="000000"/>
          <w:sz w:val="20"/>
          <w:szCs w:val="20"/>
          <w:u w:color="000000"/>
          <w:vertAlign w:val="superscript"/>
          <w:lang w:val="es-ES_tradnl" w:eastAsia="es-ES"/>
        </w:rPr>
        <w:footnoteReference w:id="39"/>
      </w:r>
      <w:r w:rsidRPr="00AD78EA">
        <w:rPr>
          <w:rFonts w:asciiTheme="majorHAnsi" w:eastAsia="Cambria" w:hAnsiTheme="majorHAnsi" w:cs="Cambria"/>
          <w:color w:val="000000"/>
          <w:sz w:val="20"/>
          <w:szCs w:val="20"/>
          <w:u w:color="000000"/>
          <w:lang w:val="es-ES_tradnl" w:eastAsia="es-ES"/>
        </w:rPr>
        <w:t>. El Estado no presentó información al respecto y se desconoce la respuesta de la entidad. El Estado informó</w:t>
      </w:r>
      <w:r w:rsidRPr="00AD78EA">
        <w:rPr>
          <w:rFonts w:asciiTheme="majorHAnsi" w:eastAsia="Cambria" w:hAnsiTheme="majorHAnsi" w:cs="Cambria"/>
          <w:color w:val="000000"/>
          <w:sz w:val="20"/>
          <w:szCs w:val="20"/>
          <w:u w:color="000000"/>
          <w:lang w:val="es-MX" w:eastAsia="es-ES"/>
        </w:rPr>
        <w:t xml:space="preserve"> que las autoridades judiciales nacionales no han encontrado relación entre el homicidio de la señora Ramírez y el caso del señor Morales</w:t>
      </w:r>
      <w:r w:rsidRPr="00AD78EA">
        <w:rPr>
          <w:rFonts w:asciiTheme="majorHAnsi" w:eastAsia="Cambria" w:hAnsiTheme="majorHAnsi" w:cs="Cambria"/>
          <w:color w:val="000000"/>
          <w:sz w:val="20"/>
          <w:szCs w:val="20"/>
          <w:u w:color="000000"/>
          <w:vertAlign w:val="superscript"/>
          <w:lang w:val="es-MX" w:eastAsia="es-ES"/>
        </w:rPr>
        <w:footnoteReference w:id="40"/>
      </w:r>
      <w:r w:rsidRPr="00AD78EA">
        <w:rPr>
          <w:rFonts w:asciiTheme="majorHAnsi" w:eastAsia="Cambria" w:hAnsiTheme="majorHAnsi" w:cs="Cambria"/>
          <w:color w:val="000000"/>
          <w:sz w:val="20"/>
          <w:szCs w:val="20"/>
          <w:u w:color="000000"/>
          <w:lang w:val="es-MX" w:eastAsia="es-ES"/>
        </w:rPr>
        <w:t>.</w:t>
      </w:r>
    </w:p>
    <w:p w14:paraId="3ADA64BA" w14:textId="77777777" w:rsidR="002936AA" w:rsidRPr="00AD78EA" w:rsidRDefault="002936AA" w:rsidP="002936AA">
      <w:pPr>
        <w:ind w:firstLine="720"/>
        <w:jc w:val="both"/>
        <w:rPr>
          <w:rFonts w:asciiTheme="majorHAnsi" w:eastAsia="Cambria" w:hAnsiTheme="majorHAnsi" w:cs="Cambria"/>
          <w:color w:val="000000"/>
          <w:sz w:val="20"/>
          <w:szCs w:val="20"/>
          <w:u w:color="000000"/>
          <w:lang w:val="es-ES_tradnl" w:eastAsia="es-ES"/>
        </w:rPr>
      </w:pPr>
    </w:p>
    <w:p w14:paraId="675712CD" w14:textId="63A4D4A0"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Según información proporcionada por el Estado, después de practicar las diligencias correspondientes, el 25 de julio de 2001, la Fiscalía </w:t>
      </w:r>
      <w:r w:rsidR="00274278" w:rsidRPr="00AD78EA">
        <w:rPr>
          <w:rFonts w:asciiTheme="majorHAnsi" w:eastAsia="Cambria" w:hAnsiTheme="majorHAnsi" w:cs="Cambria"/>
          <w:color w:val="000000"/>
          <w:sz w:val="20"/>
          <w:szCs w:val="20"/>
          <w:u w:color="000000"/>
          <w:lang w:val="es-ES_tradnl" w:eastAsia="es-ES"/>
        </w:rPr>
        <w:t xml:space="preserve">a cargo de la investigación del atentado </w:t>
      </w:r>
      <w:r w:rsidRPr="00AD78EA">
        <w:rPr>
          <w:rFonts w:asciiTheme="majorHAnsi" w:eastAsia="Cambria" w:hAnsiTheme="majorHAnsi" w:cs="Cambria"/>
          <w:color w:val="000000"/>
          <w:sz w:val="20"/>
          <w:szCs w:val="20"/>
          <w:u w:color="000000"/>
          <w:lang w:val="es-ES_tradnl" w:eastAsia="es-ES"/>
        </w:rPr>
        <w:t xml:space="preserve">decidió la suspensión de la investigación preliminar, dada la imposibilidad de identificar o individualizar a los autores y </w:t>
      </w:r>
      <w:r w:rsidRPr="00AD78EA">
        <w:rPr>
          <w:rFonts w:asciiTheme="majorHAnsi" w:eastAsia="Cambria" w:hAnsiTheme="majorHAnsi" w:cs="Cambria"/>
          <w:color w:val="000000"/>
          <w:sz w:val="20"/>
          <w:szCs w:val="20"/>
          <w:u w:color="000000"/>
          <w:lang w:val="es-ES_tradnl" w:eastAsia="es-ES"/>
        </w:rPr>
        <w:lastRenderedPageBreak/>
        <w:t>al haber vencido el plazo legal de 180 días para determinar la identidad del imputado, sin perjuicio de que surgieran nuevas pruebas</w:t>
      </w:r>
      <w:r w:rsidRPr="00AD78EA">
        <w:rPr>
          <w:rFonts w:asciiTheme="majorHAnsi" w:eastAsia="Cambria" w:hAnsiTheme="majorHAnsi" w:cs="Cambria"/>
          <w:color w:val="000000"/>
          <w:sz w:val="20"/>
          <w:szCs w:val="20"/>
          <w:u w:color="000000"/>
          <w:vertAlign w:val="superscript"/>
          <w:lang w:val="es-ES_tradnl" w:eastAsia="es-ES"/>
        </w:rPr>
        <w:footnoteReference w:id="41"/>
      </w:r>
      <w:r w:rsidRPr="00AD78EA">
        <w:rPr>
          <w:rFonts w:asciiTheme="majorHAnsi" w:eastAsia="Cambria" w:hAnsiTheme="majorHAnsi" w:cs="Cambria"/>
          <w:color w:val="000000"/>
          <w:sz w:val="20"/>
          <w:szCs w:val="20"/>
          <w:u w:color="000000"/>
          <w:lang w:val="es-ES_tradnl" w:eastAsia="es-ES"/>
        </w:rPr>
        <w:t>. Específicamente indicó que:</w:t>
      </w:r>
    </w:p>
    <w:p w14:paraId="12793D82" w14:textId="77777777" w:rsidR="002936AA" w:rsidRPr="00AD78EA" w:rsidRDefault="002936AA" w:rsidP="002936AA">
      <w:pPr>
        <w:jc w:val="both"/>
        <w:rPr>
          <w:rFonts w:asciiTheme="majorHAnsi" w:hAnsiTheme="majorHAnsi"/>
          <w:sz w:val="20"/>
          <w:szCs w:val="20"/>
          <w:lang w:val="es-ES_tradnl"/>
        </w:rPr>
      </w:pPr>
    </w:p>
    <w:p w14:paraId="50396171" w14:textId="40716732"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 pese a los esfuerzos que se han desplegado hasta el momento en orden a (sic) identificar o individualizar a los autores del hecho criminoso, considera la Fiscalía que no existe elemento de juicio alguno como para abrir investigación contra determinada persona y menos aún se puede decir que la acción penal se pu</w:t>
      </w:r>
      <w:r w:rsidR="00513179" w:rsidRPr="00AD78EA">
        <w:rPr>
          <w:rFonts w:asciiTheme="majorHAnsi" w:hAnsiTheme="majorHAnsi"/>
          <w:sz w:val="20"/>
          <w:szCs w:val="20"/>
          <w:lang w:val="es-ES_tradnl"/>
        </w:rPr>
        <w:t>eda dirigir contra los denunciados</w:t>
      </w:r>
      <w:r w:rsidRPr="00AD78EA">
        <w:rPr>
          <w:rFonts w:asciiTheme="majorHAnsi" w:hAnsiTheme="majorHAnsi"/>
          <w:sz w:val="20"/>
          <w:szCs w:val="20"/>
          <w:lang w:val="es-ES_tradnl"/>
        </w:rPr>
        <w:t xml:space="preserve"> por el señor OSCAR ALFONSO MORALES, es decir los funcionarios del IDU como son ANDRÉS CAMARGO ARDILA, CARLOS ALBERTO TORRES y SONIA RAMÍREZ, porque de su denuncia solamente emergen sospechas, conjeturas contra ellos; por otra parte téngase presente que el funcionario que conoció la denuncia elevada por MORALES contra las personas antes referidas profirió resolución inhibitoria por atipicidad de la conducta</w:t>
      </w:r>
      <w:r w:rsidRPr="00AD78EA">
        <w:rPr>
          <w:rFonts w:asciiTheme="majorHAnsi" w:hAnsiTheme="majorHAnsi"/>
          <w:sz w:val="20"/>
          <w:szCs w:val="20"/>
          <w:vertAlign w:val="superscript"/>
          <w:lang w:val="es-ES_tradnl"/>
        </w:rPr>
        <w:footnoteReference w:id="42"/>
      </w:r>
      <w:r w:rsidRPr="00AD78EA">
        <w:rPr>
          <w:rFonts w:asciiTheme="majorHAnsi" w:hAnsiTheme="majorHAnsi"/>
          <w:sz w:val="20"/>
          <w:szCs w:val="20"/>
          <w:lang w:val="es-ES_tradnl"/>
        </w:rPr>
        <w:t>.</w:t>
      </w:r>
    </w:p>
    <w:p w14:paraId="445C1540" w14:textId="77777777" w:rsidR="002936AA" w:rsidRPr="00AD78EA" w:rsidRDefault="002936AA" w:rsidP="002936AA">
      <w:pPr>
        <w:ind w:left="1530"/>
        <w:jc w:val="both"/>
        <w:rPr>
          <w:rFonts w:asciiTheme="majorHAnsi" w:hAnsiTheme="majorHAnsi"/>
          <w:sz w:val="20"/>
          <w:szCs w:val="20"/>
          <w:lang w:val="es-ES_tradnl"/>
        </w:rPr>
      </w:pPr>
    </w:p>
    <w:p w14:paraId="1BA812FE" w14:textId="2F877183" w:rsidR="002936AA" w:rsidRPr="00AD78EA" w:rsidRDefault="006D55E7"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La CIDH nota que según el Estado </w:t>
      </w:r>
      <w:r w:rsidR="002936AA" w:rsidRPr="00AD78EA">
        <w:rPr>
          <w:rFonts w:asciiTheme="majorHAnsi" w:eastAsia="Cambria" w:hAnsiTheme="majorHAnsi" w:cs="Cambria"/>
          <w:color w:val="000000"/>
          <w:sz w:val="20"/>
          <w:szCs w:val="20"/>
          <w:u w:color="000000"/>
          <w:lang w:val="es-ES_tradnl" w:eastAsia="es-ES"/>
        </w:rPr>
        <w:t>dicha Fiscalía estableció, de manera específica frente a los funcionarios denunciados por el señor Morales Díaz, que “su participación en lo sucedido no tenía fundamento suasorio alguno, siendo una simple suposición o conjetura”</w:t>
      </w:r>
      <w:r w:rsidR="002936AA" w:rsidRPr="00AD78EA">
        <w:rPr>
          <w:rFonts w:asciiTheme="majorHAnsi" w:eastAsia="Cambria" w:hAnsiTheme="majorHAnsi" w:cs="Cambria"/>
          <w:color w:val="000000"/>
          <w:sz w:val="20"/>
          <w:szCs w:val="20"/>
          <w:u w:color="000000"/>
          <w:vertAlign w:val="superscript"/>
          <w:lang w:val="es-ES_tradnl" w:eastAsia="es-ES"/>
        </w:rPr>
        <w:footnoteReference w:id="43"/>
      </w:r>
      <w:r w:rsidR="002936AA" w:rsidRPr="00AD78EA">
        <w:rPr>
          <w:rFonts w:asciiTheme="majorHAnsi" w:eastAsia="Cambria" w:hAnsiTheme="majorHAnsi" w:cs="Cambria"/>
          <w:color w:val="000000"/>
          <w:sz w:val="20"/>
          <w:szCs w:val="20"/>
          <w:u w:color="000000"/>
          <w:lang w:val="es-ES_tradnl" w:eastAsia="es-ES"/>
        </w:rPr>
        <w:t xml:space="preserve">. </w:t>
      </w:r>
      <w:r w:rsidR="004F35CF" w:rsidRPr="00AD78EA">
        <w:rPr>
          <w:rFonts w:asciiTheme="majorHAnsi" w:eastAsia="Cambria" w:hAnsiTheme="majorHAnsi" w:cs="Cambria"/>
          <w:color w:val="000000"/>
          <w:sz w:val="20"/>
          <w:szCs w:val="20"/>
          <w:u w:color="000000"/>
          <w:lang w:val="es-ES_tradnl" w:eastAsia="es-ES"/>
        </w:rPr>
        <w:t xml:space="preserve">El Estado no aportó sustento documental de esta afirmación. </w:t>
      </w:r>
    </w:p>
    <w:p w14:paraId="516F7292" w14:textId="77777777" w:rsidR="00D57B9F" w:rsidRPr="00AD78EA" w:rsidRDefault="00D57B9F" w:rsidP="002936AA">
      <w:pPr>
        <w:jc w:val="both"/>
        <w:rPr>
          <w:rFonts w:asciiTheme="majorHAnsi" w:hAnsiTheme="majorHAnsi"/>
          <w:sz w:val="20"/>
          <w:szCs w:val="20"/>
          <w:lang w:val="es-ES_tradnl"/>
        </w:rPr>
      </w:pPr>
    </w:p>
    <w:p w14:paraId="3F9BB29F" w14:textId="01B59BF1" w:rsidR="002936AA" w:rsidRPr="00AD78EA" w:rsidRDefault="002936AA" w:rsidP="0027242F">
      <w:pPr>
        <w:pStyle w:val="Heading2"/>
        <w:rPr>
          <w:i/>
        </w:rPr>
      </w:pPr>
      <w:bookmarkStart w:id="11" w:name="_Toc202349282"/>
      <w:r w:rsidRPr="00AD78EA">
        <w:t>Presentación ante la Embajada</w:t>
      </w:r>
      <w:r w:rsidR="003F0B8D" w:rsidRPr="00AD78EA">
        <w:t xml:space="preserve"> de Canadá y salida del país</w:t>
      </w:r>
      <w:r w:rsidR="00807232" w:rsidRPr="00AD78EA">
        <w:t>.</w:t>
      </w:r>
      <w:bookmarkEnd w:id="11"/>
    </w:p>
    <w:p w14:paraId="5320507B" w14:textId="77777777" w:rsidR="002936AA" w:rsidRPr="00AD78EA" w:rsidRDefault="002936AA" w:rsidP="002936AA">
      <w:pPr>
        <w:jc w:val="both"/>
        <w:rPr>
          <w:rFonts w:asciiTheme="majorHAnsi" w:hAnsiTheme="majorHAnsi"/>
          <w:sz w:val="20"/>
          <w:szCs w:val="20"/>
          <w:lang w:val="es-ES_tradnl"/>
        </w:rPr>
      </w:pPr>
    </w:p>
    <w:p w14:paraId="19BC6CE8" w14:textId="77777777" w:rsidR="0042275D"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El peticionario informó que debido al temor con que vivía, se presentó ante la Embajada de Canadá en Bogotá para analizar la posibilidad de emigrar a ese país. En ese sentido, el 16 de agosto de 2000, la Presidencia de la República de Colombia entregó un escrito a la Embajada canadiense </w:t>
      </w:r>
      <w:r w:rsidR="0042275D" w:rsidRPr="00AD78EA">
        <w:rPr>
          <w:rFonts w:asciiTheme="majorHAnsi" w:eastAsia="Cambria" w:hAnsiTheme="majorHAnsi" w:cs="Cambria"/>
          <w:color w:val="000000"/>
          <w:sz w:val="20"/>
          <w:szCs w:val="20"/>
          <w:u w:color="000000"/>
          <w:lang w:val="es-ES_tradnl" w:eastAsia="es-ES"/>
        </w:rPr>
        <w:t>indicando que:</w:t>
      </w:r>
    </w:p>
    <w:p w14:paraId="6CAABB2C" w14:textId="77777777" w:rsidR="0042275D" w:rsidRPr="00AD78EA" w:rsidRDefault="0042275D" w:rsidP="0042275D">
      <w:pPr>
        <w:ind w:left="720"/>
        <w:jc w:val="both"/>
        <w:rPr>
          <w:rFonts w:asciiTheme="majorHAnsi" w:eastAsia="Cambria" w:hAnsiTheme="majorHAnsi" w:cs="Cambria"/>
          <w:color w:val="000000"/>
          <w:sz w:val="20"/>
          <w:szCs w:val="20"/>
          <w:u w:color="000000"/>
          <w:lang w:val="es-ES_tradnl" w:eastAsia="es-ES"/>
        </w:rPr>
      </w:pPr>
    </w:p>
    <w:p w14:paraId="6CDB7E58" w14:textId="77777777" w:rsidR="0042275D" w:rsidRPr="00AD78EA" w:rsidRDefault="0042275D" w:rsidP="003B7EB8">
      <w:pPr>
        <w:ind w:left="720" w:right="720"/>
        <w:jc w:val="both"/>
        <w:rPr>
          <w:rFonts w:asciiTheme="majorHAnsi" w:eastAsia="Cambria" w:hAnsiTheme="majorHAnsi" w:cs="Cambria"/>
          <w:color w:val="000000"/>
          <w:sz w:val="20"/>
          <w:szCs w:val="20"/>
          <w:u w:color="000000"/>
          <w:lang w:val="es-ES_tradnl" w:eastAsia="es-ES"/>
        </w:rPr>
      </w:pPr>
      <w:r w:rsidRPr="00AD78EA">
        <w:rPr>
          <w:rFonts w:asciiTheme="majorHAnsi" w:hAnsiTheme="majorHAnsi"/>
          <w:sz w:val="20"/>
          <w:szCs w:val="20"/>
          <w:lang w:val="es-MX"/>
        </w:rPr>
        <w:t xml:space="preserve">el pasado mes de junio, el ciudadano antedicho </w:t>
      </w:r>
      <w:r w:rsidR="00EC1460" w:rsidRPr="00AD78EA">
        <w:rPr>
          <w:rFonts w:asciiTheme="majorHAnsi" w:hAnsiTheme="majorHAnsi"/>
          <w:sz w:val="20"/>
          <w:szCs w:val="20"/>
          <w:lang w:val="es-MX"/>
        </w:rPr>
        <w:t>[Oscar Morales]</w:t>
      </w:r>
      <w:r w:rsidRPr="00AD78EA">
        <w:rPr>
          <w:rFonts w:asciiTheme="majorHAnsi" w:hAnsiTheme="majorHAnsi"/>
          <w:sz w:val="20"/>
          <w:szCs w:val="20"/>
          <w:lang w:val="es-MX"/>
        </w:rPr>
        <w:t>presentó una denuncia de carácter penal en contra de servidores públicos de una entidad pública de carácter distrital. Tal denuncia es conocida por la Fiscalía Doscientos Diez Delegada de la Unidad de Delitos contra la Administración Pública de Santafé de Bogotá D.C</w:t>
      </w:r>
      <w:r w:rsidRPr="00AD78EA">
        <w:rPr>
          <w:rStyle w:val="FootnoteReference"/>
          <w:rFonts w:asciiTheme="majorHAnsi" w:hAnsiTheme="majorHAnsi"/>
          <w:sz w:val="20"/>
          <w:szCs w:val="20"/>
          <w:lang w:val="es-MX"/>
        </w:rPr>
        <w:footnoteReference w:id="44"/>
      </w:r>
      <w:r w:rsidRPr="00AD78EA">
        <w:rPr>
          <w:rFonts w:asciiTheme="majorHAnsi" w:hAnsiTheme="majorHAnsi"/>
          <w:sz w:val="20"/>
          <w:szCs w:val="20"/>
          <w:lang w:val="es-MX"/>
        </w:rPr>
        <w:t>.</w:t>
      </w:r>
    </w:p>
    <w:p w14:paraId="3B8ADD72" w14:textId="77777777" w:rsidR="0042275D" w:rsidRPr="00AD78EA" w:rsidRDefault="0042275D" w:rsidP="0042275D">
      <w:pPr>
        <w:ind w:left="720"/>
        <w:jc w:val="both"/>
        <w:rPr>
          <w:rFonts w:asciiTheme="majorHAnsi" w:eastAsia="Cambria" w:hAnsiTheme="majorHAnsi" w:cs="Cambria"/>
          <w:color w:val="000000"/>
          <w:sz w:val="20"/>
          <w:szCs w:val="20"/>
          <w:u w:color="000000"/>
          <w:lang w:val="es-ES_tradnl" w:eastAsia="es-ES"/>
        </w:rPr>
      </w:pPr>
    </w:p>
    <w:p w14:paraId="595E3268" w14:textId="77777777" w:rsidR="002936AA" w:rsidRPr="00AD78EA" w:rsidRDefault="0042275D"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En dicho certificado, se agregó que “el ciudadano acudió a la Oficina de Protección a Víctimas y Testigos […] Despacho que, después de evaluar el caso, calificó la </w:t>
      </w:r>
      <w:r w:rsidR="002936AA" w:rsidRPr="00AD78EA">
        <w:rPr>
          <w:rFonts w:asciiTheme="majorHAnsi" w:eastAsia="Cambria" w:hAnsiTheme="majorHAnsi" w:cs="Cambria"/>
          <w:color w:val="000000"/>
          <w:sz w:val="20"/>
          <w:szCs w:val="20"/>
          <w:u w:color="000000"/>
          <w:lang w:val="es-ES_tradnl" w:eastAsia="es-ES"/>
        </w:rPr>
        <w:t xml:space="preserve">situación </w:t>
      </w:r>
      <w:r w:rsidRPr="00AD78EA">
        <w:rPr>
          <w:rFonts w:asciiTheme="majorHAnsi" w:eastAsia="Cambria" w:hAnsiTheme="majorHAnsi" w:cs="Cambria"/>
          <w:color w:val="000000"/>
          <w:sz w:val="20"/>
          <w:szCs w:val="20"/>
          <w:u w:color="000000"/>
          <w:lang w:val="es-ES_tradnl" w:eastAsia="es-ES"/>
        </w:rPr>
        <w:t xml:space="preserve">como de </w:t>
      </w:r>
      <w:r w:rsidR="002936AA" w:rsidRPr="00AD78EA">
        <w:rPr>
          <w:rFonts w:asciiTheme="majorHAnsi" w:eastAsia="Cambria" w:hAnsiTheme="majorHAnsi" w:cs="Cambria"/>
          <w:color w:val="000000"/>
          <w:sz w:val="20"/>
          <w:szCs w:val="20"/>
          <w:u w:color="000000"/>
          <w:lang w:val="es-ES_tradnl" w:eastAsia="es-ES"/>
        </w:rPr>
        <w:t>“Alto Riesgo”</w:t>
      </w:r>
      <w:r w:rsidR="006241CC" w:rsidRPr="00AD78EA">
        <w:rPr>
          <w:rFonts w:asciiTheme="majorHAnsi" w:eastAsia="Cambria" w:hAnsiTheme="majorHAnsi" w:cs="Cambria"/>
          <w:color w:val="000000"/>
          <w:sz w:val="20"/>
          <w:szCs w:val="20"/>
          <w:u w:color="000000"/>
          <w:lang w:val="es-ES_tradnl" w:eastAsia="es-ES"/>
        </w:rPr>
        <w:t>”</w:t>
      </w:r>
      <w:r w:rsidR="002936AA" w:rsidRPr="00AD78EA">
        <w:rPr>
          <w:rFonts w:asciiTheme="majorHAnsi" w:eastAsia="Cambria" w:hAnsiTheme="majorHAnsi" w:cs="Cambria"/>
          <w:color w:val="000000"/>
          <w:sz w:val="20"/>
          <w:szCs w:val="20"/>
          <w:u w:color="000000"/>
          <w:vertAlign w:val="superscript"/>
          <w:lang w:val="es-ES_tradnl" w:eastAsia="es-ES"/>
        </w:rPr>
        <w:footnoteReference w:id="45"/>
      </w:r>
      <w:r w:rsidR="002936AA" w:rsidRPr="00AD78EA">
        <w:rPr>
          <w:rFonts w:asciiTheme="majorHAnsi" w:eastAsia="Cambria" w:hAnsiTheme="majorHAnsi" w:cs="Cambria"/>
          <w:color w:val="000000"/>
          <w:sz w:val="20"/>
          <w:szCs w:val="20"/>
          <w:u w:color="000000"/>
          <w:lang w:val="es-ES_tradnl" w:eastAsia="es-ES"/>
        </w:rPr>
        <w:t>.</w:t>
      </w:r>
    </w:p>
    <w:p w14:paraId="0DC0B160"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 xml:space="preserve">     </w:t>
      </w:r>
    </w:p>
    <w:p w14:paraId="34617170"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14 de diciembre de 2000, el peticionario emigró a Canadá.  Según el peticionario, dicho Estado lo apoyó con un crédito respecto de los gastos que tuvo que sufragar para desplazarse</w:t>
      </w:r>
      <w:r w:rsidRPr="00AD78EA">
        <w:rPr>
          <w:rFonts w:asciiTheme="majorHAnsi" w:eastAsia="Cambria" w:hAnsiTheme="majorHAnsi" w:cs="Cambria"/>
          <w:color w:val="000000"/>
          <w:sz w:val="20"/>
          <w:szCs w:val="20"/>
          <w:u w:color="000000"/>
          <w:vertAlign w:val="superscript"/>
          <w:lang w:val="es-ES_tradnl" w:eastAsia="es-ES"/>
        </w:rPr>
        <w:footnoteReference w:id="46"/>
      </w:r>
      <w:r w:rsidRPr="00AD78EA">
        <w:rPr>
          <w:rFonts w:asciiTheme="majorHAnsi" w:eastAsia="Cambria" w:hAnsiTheme="majorHAnsi" w:cs="Cambria"/>
          <w:color w:val="000000"/>
          <w:sz w:val="20"/>
          <w:szCs w:val="20"/>
          <w:u w:color="000000"/>
          <w:lang w:val="es-ES_tradnl" w:eastAsia="es-ES"/>
        </w:rPr>
        <w:t xml:space="preserve">.  </w:t>
      </w:r>
    </w:p>
    <w:p w14:paraId="1949AD0E"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3A80C3FC"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El peticionario señaló a la Comisión que:</w:t>
      </w:r>
    </w:p>
    <w:p w14:paraId="78EB627A"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792DCA8B" w14:textId="77777777" w:rsidR="002936AA" w:rsidRPr="00AD78EA" w:rsidRDefault="002936AA" w:rsidP="002936AA">
      <w:pPr>
        <w:ind w:left="720" w:right="720"/>
        <w:jc w:val="both"/>
        <w:rPr>
          <w:rFonts w:asciiTheme="majorHAnsi" w:hAnsiTheme="majorHAnsi"/>
          <w:sz w:val="20"/>
          <w:szCs w:val="20"/>
          <w:lang w:val="es-ES_tradnl"/>
        </w:rPr>
      </w:pPr>
      <w:r w:rsidRPr="00AD78EA">
        <w:rPr>
          <w:rFonts w:asciiTheme="majorHAnsi" w:hAnsiTheme="majorHAnsi"/>
          <w:sz w:val="20"/>
          <w:szCs w:val="20"/>
          <w:lang w:val="es-ES_tradnl"/>
        </w:rPr>
        <w:t>Dentro del estudio que realizó la Embajada de mi caso se me dijo podía emigrar a ese país y que se me destinaría a Québec, además se me dijo que me haría un préstamo para los gastos, ante lo cual accedí, manifiesto de antemano que tengo muy poco dinero debido a que en los últimos meses me he estado trasladando de un lugar a otro a fin de poder continuar viviendo</w:t>
      </w:r>
      <w:r w:rsidRPr="00AD78EA">
        <w:rPr>
          <w:rFonts w:asciiTheme="majorHAnsi" w:hAnsiTheme="majorHAnsi"/>
          <w:sz w:val="20"/>
          <w:szCs w:val="20"/>
          <w:vertAlign w:val="superscript"/>
          <w:lang w:val="es-ES_tradnl"/>
        </w:rPr>
        <w:footnoteReference w:id="47"/>
      </w:r>
      <w:r w:rsidRPr="00AD78EA">
        <w:rPr>
          <w:rFonts w:asciiTheme="majorHAnsi" w:hAnsiTheme="majorHAnsi"/>
          <w:sz w:val="20"/>
          <w:szCs w:val="20"/>
          <w:lang w:val="es-ES_tradnl"/>
        </w:rPr>
        <w:t>.</w:t>
      </w:r>
    </w:p>
    <w:p w14:paraId="6CC029CF" w14:textId="77777777" w:rsidR="002936AA" w:rsidRPr="00AD78EA" w:rsidRDefault="002936AA" w:rsidP="002936AA">
      <w:pPr>
        <w:ind w:left="720"/>
        <w:jc w:val="both"/>
        <w:rPr>
          <w:rFonts w:asciiTheme="majorHAnsi" w:eastAsia="Cambria" w:hAnsiTheme="majorHAnsi" w:cs="Cambria"/>
          <w:color w:val="000000"/>
          <w:sz w:val="20"/>
          <w:szCs w:val="20"/>
          <w:u w:color="000000"/>
          <w:lang w:val="es-ES_tradnl" w:eastAsia="es-ES"/>
        </w:rPr>
      </w:pPr>
    </w:p>
    <w:p w14:paraId="2310D905" w14:textId="77777777"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ES_tradnl" w:eastAsia="es-ES"/>
        </w:rPr>
      </w:pPr>
      <w:r w:rsidRPr="00AD78EA">
        <w:rPr>
          <w:rFonts w:asciiTheme="majorHAnsi" w:eastAsia="Cambria" w:hAnsiTheme="majorHAnsi" w:cs="Cambria"/>
          <w:color w:val="000000"/>
          <w:sz w:val="20"/>
          <w:szCs w:val="20"/>
          <w:u w:color="000000"/>
          <w:lang w:val="es-ES_tradnl" w:eastAsia="es-ES"/>
        </w:rPr>
        <w:t>A la fecha de aprobación del presente informe, el señor Morales Díaz reside en Canadá</w:t>
      </w:r>
      <w:r w:rsidRPr="00AD78EA">
        <w:rPr>
          <w:rFonts w:asciiTheme="majorHAnsi" w:eastAsia="Cambria" w:hAnsiTheme="majorHAnsi" w:cs="Cambria"/>
          <w:color w:val="000000"/>
          <w:sz w:val="20"/>
          <w:szCs w:val="20"/>
          <w:u w:color="000000"/>
          <w:vertAlign w:val="superscript"/>
          <w:lang w:val="es-ES_tradnl" w:eastAsia="es-ES"/>
        </w:rPr>
        <w:footnoteReference w:id="48"/>
      </w:r>
      <w:r w:rsidRPr="00AD78EA">
        <w:rPr>
          <w:rFonts w:asciiTheme="majorHAnsi" w:eastAsia="Cambria" w:hAnsiTheme="majorHAnsi" w:cs="Cambria"/>
          <w:color w:val="000000"/>
          <w:sz w:val="20"/>
          <w:szCs w:val="20"/>
          <w:u w:color="000000"/>
          <w:lang w:val="es-ES_tradnl" w:eastAsia="es-ES"/>
        </w:rPr>
        <w:t>.</w:t>
      </w:r>
    </w:p>
    <w:p w14:paraId="2F2C27D2" w14:textId="48506955" w:rsidR="00666D05" w:rsidRDefault="00666D05">
      <w:pPr>
        <w:rPr>
          <w:rFonts w:asciiTheme="majorHAnsi" w:eastAsia="Cambria" w:hAnsiTheme="majorHAnsi" w:cs="Cambria"/>
          <w:color w:val="000000"/>
          <w:sz w:val="20"/>
          <w:szCs w:val="20"/>
          <w:u w:color="000000"/>
          <w:lang w:val="es-ES_tradnl" w:eastAsia="es-ES"/>
        </w:rPr>
      </w:pPr>
      <w:r>
        <w:rPr>
          <w:rFonts w:asciiTheme="majorHAnsi" w:eastAsia="Cambria" w:hAnsiTheme="majorHAnsi" w:cs="Cambria"/>
          <w:color w:val="000000"/>
          <w:sz w:val="20"/>
          <w:szCs w:val="20"/>
          <w:u w:color="000000"/>
          <w:lang w:val="es-ES_tradnl" w:eastAsia="es-ES"/>
        </w:rPr>
        <w:br w:type="page"/>
      </w:r>
    </w:p>
    <w:p w14:paraId="4FE5B280" w14:textId="77777777" w:rsidR="0027242F" w:rsidRPr="00AD78EA" w:rsidRDefault="0027242F" w:rsidP="0027242F">
      <w:pPr>
        <w:jc w:val="both"/>
        <w:rPr>
          <w:rFonts w:asciiTheme="majorHAnsi" w:eastAsia="Cambria" w:hAnsiTheme="majorHAnsi" w:cs="Cambria"/>
          <w:color w:val="000000"/>
          <w:sz w:val="20"/>
          <w:szCs w:val="20"/>
          <w:u w:color="000000"/>
          <w:lang w:val="es-ES_tradnl" w:eastAsia="es-ES"/>
        </w:rPr>
      </w:pPr>
    </w:p>
    <w:p w14:paraId="51368BFB" w14:textId="77777777" w:rsidR="002936AA" w:rsidRPr="00AD78EA" w:rsidRDefault="002936AA" w:rsidP="005E0CC1">
      <w:pPr>
        <w:pStyle w:val="Heading1"/>
      </w:pPr>
      <w:bookmarkStart w:id="12" w:name="_Toc202349283"/>
      <w:r w:rsidRPr="00AD78EA">
        <w:t>ANÁLISIS DE DERECHO</w:t>
      </w:r>
      <w:bookmarkEnd w:id="12"/>
    </w:p>
    <w:p w14:paraId="4C0070C4" w14:textId="77777777" w:rsidR="0027242F" w:rsidRPr="00AD78EA" w:rsidRDefault="0027242F" w:rsidP="0027242F">
      <w:pPr>
        <w:rPr>
          <w:lang w:val="es-ES_tradnl" w:eastAsia="es-ES"/>
        </w:rPr>
      </w:pPr>
    </w:p>
    <w:p w14:paraId="395C4062" w14:textId="3BA2C32E" w:rsidR="002936AA" w:rsidRPr="00AD78EA" w:rsidRDefault="00F2774D" w:rsidP="0027242F">
      <w:pPr>
        <w:pStyle w:val="Heading2"/>
        <w:numPr>
          <w:ilvl w:val="0"/>
          <w:numId w:val="61"/>
        </w:numPr>
        <w:ind w:left="1440" w:hanging="720"/>
        <w:rPr>
          <w:i/>
        </w:rPr>
      </w:pPr>
      <w:bookmarkStart w:id="13" w:name="_gjdgxs" w:colFirst="0" w:colLast="0"/>
      <w:bookmarkStart w:id="14" w:name="_Toc202349284"/>
      <w:bookmarkEnd w:id="13"/>
      <w:r w:rsidRPr="00AD78EA">
        <w:t>D</w:t>
      </w:r>
      <w:r w:rsidR="00712B86" w:rsidRPr="00AD78EA">
        <w:t>erechos a la vida</w:t>
      </w:r>
      <w:r w:rsidR="002936AA" w:rsidRPr="00AD78EA">
        <w:rPr>
          <w:vertAlign w:val="superscript"/>
        </w:rPr>
        <w:footnoteReference w:id="49"/>
      </w:r>
      <w:r w:rsidR="00C25684" w:rsidRPr="00AD78EA">
        <w:t>,</w:t>
      </w:r>
      <w:r w:rsidR="00712B86" w:rsidRPr="00AD78EA">
        <w:t xml:space="preserve"> integridad personal</w:t>
      </w:r>
      <w:r w:rsidR="002936AA" w:rsidRPr="00AD78EA">
        <w:rPr>
          <w:vertAlign w:val="superscript"/>
        </w:rPr>
        <w:footnoteReference w:id="50"/>
      </w:r>
      <w:r w:rsidR="00C25684" w:rsidRPr="00AD78EA">
        <w:t xml:space="preserve"> y libertad de circulación y residencia</w:t>
      </w:r>
      <w:r w:rsidR="00C25684" w:rsidRPr="00AD78EA">
        <w:rPr>
          <w:vertAlign w:val="superscript"/>
        </w:rPr>
        <w:footnoteReference w:id="51"/>
      </w:r>
      <w:r w:rsidR="00712B86" w:rsidRPr="00AD78EA">
        <w:t xml:space="preserve"> en relación con el artículo 1.1</w:t>
      </w:r>
      <w:r w:rsidR="002936AA" w:rsidRPr="00AD78EA">
        <w:rPr>
          <w:vertAlign w:val="superscript"/>
        </w:rPr>
        <w:footnoteReference w:id="52"/>
      </w:r>
      <w:r w:rsidR="00712B86" w:rsidRPr="00AD78EA">
        <w:t xml:space="preserve"> de la </w:t>
      </w:r>
      <w:r w:rsidR="003E7AFC" w:rsidRPr="00AD78EA">
        <w:t>C</w:t>
      </w:r>
      <w:r w:rsidR="00712B86" w:rsidRPr="00AD78EA">
        <w:t xml:space="preserve">onvención </w:t>
      </w:r>
      <w:r w:rsidR="003E7AFC" w:rsidRPr="00AD78EA">
        <w:t>A</w:t>
      </w:r>
      <w:r w:rsidR="00712B86" w:rsidRPr="00AD78EA">
        <w:t>mericana</w:t>
      </w:r>
      <w:r w:rsidR="00807232" w:rsidRPr="00AD78EA">
        <w:t>.</w:t>
      </w:r>
      <w:bookmarkEnd w:id="14"/>
    </w:p>
    <w:p w14:paraId="7008BB60" w14:textId="2723694F" w:rsidR="002936AA" w:rsidRPr="00AD78EA" w:rsidRDefault="002936AA" w:rsidP="0027242F">
      <w:pPr>
        <w:pStyle w:val="Heading3"/>
        <w:numPr>
          <w:ilvl w:val="0"/>
          <w:numId w:val="62"/>
        </w:numPr>
        <w:ind w:left="1440" w:hanging="720"/>
        <w:rPr>
          <w:rFonts w:asciiTheme="majorHAnsi" w:eastAsia="Cambria" w:hAnsiTheme="majorHAnsi"/>
          <w:sz w:val="20"/>
          <w:szCs w:val="20"/>
          <w:lang w:val="es-MX"/>
        </w:rPr>
      </w:pPr>
      <w:bookmarkStart w:id="15" w:name="_Toc202349285"/>
      <w:r w:rsidRPr="00AD78EA">
        <w:rPr>
          <w:rFonts w:asciiTheme="majorHAnsi" w:eastAsia="Cambria" w:hAnsiTheme="majorHAnsi"/>
          <w:sz w:val="20"/>
          <w:szCs w:val="20"/>
          <w:lang w:val="es-MX"/>
        </w:rPr>
        <w:t xml:space="preserve">Consideraciones </w:t>
      </w:r>
      <w:r w:rsidR="00807232" w:rsidRPr="00AD78EA">
        <w:rPr>
          <w:rFonts w:asciiTheme="majorHAnsi" w:eastAsia="Cambria" w:hAnsiTheme="majorHAnsi"/>
          <w:sz w:val="20"/>
          <w:szCs w:val="20"/>
          <w:lang w:val="es-MX"/>
        </w:rPr>
        <w:t>generales.</w:t>
      </w:r>
      <w:bookmarkEnd w:id="15"/>
      <w:r w:rsidRPr="00AD78EA">
        <w:rPr>
          <w:rFonts w:asciiTheme="majorHAnsi" w:eastAsia="Cambria" w:hAnsiTheme="majorHAnsi"/>
          <w:sz w:val="20"/>
          <w:szCs w:val="20"/>
          <w:lang w:val="es-MX"/>
        </w:rPr>
        <w:t xml:space="preserve"> </w:t>
      </w:r>
    </w:p>
    <w:p w14:paraId="1A093ADA" w14:textId="77777777" w:rsidR="002936AA" w:rsidRPr="00AD78EA" w:rsidRDefault="002936AA" w:rsidP="002936AA">
      <w:pPr>
        <w:ind w:left="1440" w:firstLine="720"/>
        <w:jc w:val="both"/>
        <w:rPr>
          <w:rFonts w:asciiTheme="majorHAnsi" w:eastAsia="Cambria" w:hAnsiTheme="majorHAnsi" w:cs="Cambria"/>
          <w:b/>
          <w:sz w:val="20"/>
          <w:szCs w:val="20"/>
          <w:lang w:val="es-MX"/>
        </w:rPr>
      </w:pPr>
    </w:p>
    <w:p w14:paraId="54CC5240" w14:textId="688BE180" w:rsidR="006C4983" w:rsidRPr="00AD78EA" w:rsidRDefault="006C4983" w:rsidP="00CB7168">
      <w:pPr>
        <w:pStyle w:val="ListParagraph"/>
        <w:numPr>
          <w:ilvl w:val="0"/>
          <w:numId w:val="56"/>
        </w:numPr>
        <w:tabs>
          <w:tab w:val="left" w:pos="720"/>
          <w:tab w:val="left" w:pos="1440"/>
        </w:tabs>
        <w:ind w:left="0" w:firstLine="720"/>
        <w:jc w:val="both"/>
        <w:rPr>
          <w:sz w:val="20"/>
          <w:szCs w:val="20"/>
          <w:lang w:val="es-BO"/>
        </w:rPr>
      </w:pPr>
      <w:r w:rsidRPr="00AD78EA">
        <w:rPr>
          <w:sz w:val="20"/>
          <w:szCs w:val="20"/>
          <w:lang w:val="es-BO"/>
        </w:rPr>
        <w:t xml:space="preserve">La </w:t>
      </w:r>
      <w:r w:rsidR="00CC6AC9" w:rsidRPr="00AD78EA">
        <w:rPr>
          <w:sz w:val="20"/>
          <w:szCs w:val="20"/>
          <w:lang w:val="es-BO"/>
        </w:rPr>
        <w:t xml:space="preserve">Comisión y la </w:t>
      </w:r>
      <w:r w:rsidRPr="00AD78EA">
        <w:rPr>
          <w:sz w:val="20"/>
          <w:szCs w:val="20"/>
          <w:lang w:val="es-BO"/>
        </w:rPr>
        <w:t>Corte ha</w:t>
      </w:r>
      <w:r w:rsidR="001432CA" w:rsidRPr="00AD78EA">
        <w:rPr>
          <w:sz w:val="20"/>
          <w:szCs w:val="20"/>
          <w:lang w:val="es-BO"/>
        </w:rPr>
        <w:t>n</w:t>
      </w:r>
      <w:r w:rsidRPr="00AD78EA">
        <w:rPr>
          <w:sz w:val="20"/>
          <w:szCs w:val="20"/>
          <w:lang w:val="es-BO"/>
        </w:rPr>
        <w:t xml:space="preserve"> establecido que l</w:t>
      </w:r>
      <w:r w:rsidRPr="00AD78EA">
        <w:rPr>
          <w:sz w:val="20"/>
          <w:szCs w:val="20"/>
          <w:lang w:val="es-CO"/>
        </w:rPr>
        <w:t xml:space="preserve">os derechos a la vida y a la integridad personal revisten un carácter fundamental en la Convención. De conformidad con el artículo 27.2 del referido tratado, esos </w:t>
      </w:r>
      <w:r w:rsidRPr="00AD78EA">
        <w:rPr>
          <w:rFonts w:asciiTheme="majorHAnsi" w:hAnsiTheme="majorHAnsi" w:cs="Verdana"/>
          <w:sz w:val="20"/>
          <w:szCs w:val="20"/>
          <w:lang w:val="es-US"/>
        </w:rPr>
        <w:t>derechos</w:t>
      </w:r>
      <w:r w:rsidRPr="00AD78EA">
        <w:rPr>
          <w:sz w:val="20"/>
          <w:szCs w:val="20"/>
          <w:lang w:val="es-CO"/>
        </w:rPr>
        <w:t xml:space="preserve"> forman parte del núcleo inderogable, pues no pueden ser suspendidos en casos de guerra, peligro público u otras amenazas a la independencia o seguridad de los Estados Parte</w:t>
      </w:r>
      <w:r w:rsidR="00A816E2" w:rsidRPr="00AD78EA">
        <w:rPr>
          <w:rStyle w:val="FootnoteReference"/>
          <w:sz w:val="20"/>
          <w:szCs w:val="20"/>
          <w:lang w:val="es-CO"/>
        </w:rPr>
        <w:footnoteReference w:id="53"/>
      </w:r>
      <w:r w:rsidRPr="00AD78EA">
        <w:rPr>
          <w:sz w:val="20"/>
          <w:szCs w:val="20"/>
          <w:lang w:val="es-CO"/>
        </w:rPr>
        <w:t>.</w:t>
      </w:r>
      <w:r w:rsidR="00807232" w:rsidRPr="00AD78EA">
        <w:rPr>
          <w:sz w:val="20"/>
          <w:szCs w:val="20"/>
          <w:lang w:val="es-CO"/>
        </w:rPr>
        <w:t xml:space="preserve"> </w:t>
      </w:r>
      <w:r w:rsidRPr="00AD78EA">
        <w:rPr>
          <w:sz w:val="20"/>
          <w:szCs w:val="20"/>
          <w:lang w:val="es-CO"/>
        </w:rPr>
        <w:t>Asimismo, ha</w:t>
      </w:r>
      <w:r w:rsidR="00FC6398" w:rsidRPr="00AD78EA">
        <w:rPr>
          <w:sz w:val="20"/>
          <w:szCs w:val="20"/>
          <w:lang w:val="es-CO"/>
        </w:rPr>
        <w:t>n</w:t>
      </w:r>
      <w:r w:rsidRPr="00AD78EA">
        <w:rPr>
          <w:sz w:val="20"/>
          <w:szCs w:val="20"/>
          <w:lang w:val="es-CO"/>
        </w:rPr>
        <w:t xml:space="preserve"> indicado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bookmarkStart w:id="16" w:name="_Ref248140230"/>
      <w:r w:rsidRPr="00AD78EA">
        <w:rPr>
          <w:rStyle w:val="FootnoteReference"/>
          <w:sz w:val="20"/>
          <w:szCs w:val="20"/>
          <w:lang w:val="es-EC"/>
        </w:rPr>
        <w:footnoteReference w:id="54"/>
      </w:r>
      <w:bookmarkEnd w:id="16"/>
      <w:r w:rsidRPr="00AD78EA">
        <w:rPr>
          <w:sz w:val="20"/>
          <w:szCs w:val="20"/>
          <w:lang w:val="es-CO"/>
        </w:rPr>
        <w:t>.</w:t>
      </w:r>
    </w:p>
    <w:p w14:paraId="19F0727C" w14:textId="77777777" w:rsidR="00F91093" w:rsidRPr="00AD78EA" w:rsidRDefault="00F91093" w:rsidP="00F91093">
      <w:pPr>
        <w:tabs>
          <w:tab w:val="left" w:pos="720"/>
          <w:tab w:val="left" w:pos="1440"/>
        </w:tabs>
        <w:jc w:val="both"/>
        <w:rPr>
          <w:rFonts w:asciiTheme="majorHAnsi" w:hAnsiTheme="majorHAnsi"/>
          <w:sz w:val="20"/>
          <w:szCs w:val="20"/>
          <w:lang w:val="es-VE"/>
        </w:rPr>
      </w:pPr>
    </w:p>
    <w:p w14:paraId="23BB5264" w14:textId="3DCC375A" w:rsidR="00F91093" w:rsidRPr="00AD78EA" w:rsidRDefault="00041AAA" w:rsidP="00CB7168">
      <w:pPr>
        <w:pStyle w:val="ListParagraph"/>
        <w:numPr>
          <w:ilvl w:val="0"/>
          <w:numId w:val="56"/>
        </w:numPr>
        <w:tabs>
          <w:tab w:val="left" w:pos="720"/>
          <w:tab w:val="left" w:pos="1440"/>
        </w:tabs>
        <w:ind w:left="0" w:firstLine="720"/>
        <w:jc w:val="both"/>
        <w:rPr>
          <w:rFonts w:asciiTheme="majorHAnsi" w:hAnsiTheme="majorHAnsi" w:cs="Verdana"/>
          <w:sz w:val="20"/>
          <w:szCs w:val="20"/>
          <w:lang w:val="es-US"/>
        </w:rPr>
      </w:pPr>
      <w:r w:rsidRPr="00AD78EA">
        <w:rPr>
          <w:rFonts w:asciiTheme="majorHAnsi" w:hAnsiTheme="majorHAnsi" w:cs="Verdana"/>
          <w:sz w:val="20"/>
          <w:szCs w:val="20"/>
          <w:lang w:val="es-US"/>
        </w:rPr>
        <w:t>L</w:t>
      </w:r>
      <w:r w:rsidR="00F91093" w:rsidRPr="00AD78EA">
        <w:rPr>
          <w:rFonts w:asciiTheme="majorHAnsi" w:hAnsiTheme="majorHAnsi" w:cs="Verdana"/>
          <w:sz w:val="20"/>
          <w:szCs w:val="20"/>
          <w:lang w:val="es-US"/>
        </w:rPr>
        <w:t xml:space="preserve">a Comisión ha indicado que una violación de los derechos humanos </w:t>
      </w:r>
      <w:r w:rsidR="00F91093" w:rsidRPr="00AD78EA">
        <w:rPr>
          <w:sz w:val="20"/>
          <w:szCs w:val="20"/>
          <w:lang w:val="es-UY"/>
        </w:rPr>
        <w:t>protegidos por la Convención puede comprometer la responsabilidad internacional de un Estado parte sea porque la violación es perpetrada por sus propios agentes o bien</w:t>
      </w:r>
      <w:r w:rsidR="00F91093" w:rsidRPr="00AD78EA">
        <w:rPr>
          <w:b/>
          <w:sz w:val="20"/>
          <w:szCs w:val="20"/>
          <w:lang w:val="es-UY"/>
        </w:rPr>
        <w:t xml:space="preserve"> </w:t>
      </w:r>
      <w:r w:rsidR="00F91093" w:rsidRPr="00AD78EA">
        <w:rPr>
          <w:sz w:val="20"/>
          <w:szCs w:val="20"/>
          <w:lang w:val="es-UY"/>
        </w:rPr>
        <w:t>-aunque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00F91093" w:rsidRPr="00AD78EA">
        <w:rPr>
          <w:rStyle w:val="FootnoteReference"/>
          <w:rFonts w:asciiTheme="majorHAnsi" w:hAnsiTheme="majorHAnsi"/>
          <w:sz w:val="20"/>
          <w:szCs w:val="20"/>
          <w:lang w:val="es-UY"/>
        </w:rPr>
        <w:footnoteReference w:id="55"/>
      </w:r>
      <w:r w:rsidR="00F91093" w:rsidRPr="00AD78EA">
        <w:rPr>
          <w:sz w:val="20"/>
          <w:szCs w:val="20"/>
          <w:lang w:val="es-UY"/>
        </w:rPr>
        <w:t>.</w:t>
      </w:r>
    </w:p>
    <w:p w14:paraId="64548EDB" w14:textId="77777777" w:rsidR="00F91093" w:rsidRPr="00AD78EA" w:rsidRDefault="00F91093" w:rsidP="00F91093">
      <w:pPr>
        <w:tabs>
          <w:tab w:val="left" w:pos="720"/>
          <w:tab w:val="left" w:pos="1440"/>
        </w:tabs>
        <w:jc w:val="both"/>
        <w:rPr>
          <w:rFonts w:asciiTheme="majorHAnsi" w:hAnsiTheme="majorHAnsi" w:cs="Verdana"/>
          <w:sz w:val="20"/>
          <w:szCs w:val="20"/>
          <w:lang w:val="es-US"/>
        </w:rPr>
      </w:pPr>
    </w:p>
    <w:p w14:paraId="1AF9612B" w14:textId="09E7D379" w:rsidR="00F91093" w:rsidRPr="00AD78EA" w:rsidRDefault="00F91093" w:rsidP="00CB7168">
      <w:pPr>
        <w:pStyle w:val="ListParagraph"/>
        <w:numPr>
          <w:ilvl w:val="0"/>
          <w:numId w:val="56"/>
        </w:numPr>
        <w:tabs>
          <w:tab w:val="left" w:pos="720"/>
          <w:tab w:val="left" w:pos="1440"/>
        </w:tabs>
        <w:ind w:left="0" w:firstLine="720"/>
        <w:jc w:val="both"/>
        <w:rPr>
          <w:rFonts w:asciiTheme="majorHAnsi" w:hAnsiTheme="majorHAnsi" w:cs="Verdana"/>
          <w:sz w:val="20"/>
          <w:szCs w:val="20"/>
          <w:lang w:val="es-US"/>
        </w:rPr>
      </w:pPr>
      <w:r w:rsidRPr="00AD78EA">
        <w:rPr>
          <w:rFonts w:asciiTheme="majorHAnsi" w:hAnsiTheme="majorHAnsi" w:cs="Verdana"/>
          <w:sz w:val="20"/>
          <w:szCs w:val="20"/>
          <w:lang w:val="es-US"/>
        </w:rPr>
        <w:t>En cuanto a la obligación de garantía, la Corte señaló que la misma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AD78EA">
        <w:rPr>
          <w:rStyle w:val="FootnoteReference"/>
          <w:rFonts w:asciiTheme="majorHAnsi" w:hAnsiTheme="majorHAnsi"/>
          <w:sz w:val="20"/>
          <w:szCs w:val="20"/>
          <w:lang w:val="es-US"/>
        </w:rPr>
        <w:footnoteReference w:id="56"/>
      </w:r>
      <w:r w:rsidRPr="00AD78EA">
        <w:rPr>
          <w:rFonts w:asciiTheme="majorHAnsi" w:hAnsiTheme="majorHAnsi" w:cs="Verdana"/>
          <w:sz w:val="20"/>
          <w:szCs w:val="20"/>
          <w:lang w:val="es-US"/>
        </w:rPr>
        <w:t xml:space="preserve">. </w:t>
      </w:r>
    </w:p>
    <w:p w14:paraId="6C1180E4" w14:textId="77777777" w:rsidR="00F91093" w:rsidRPr="00AD78EA" w:rsidRDefault="00F91093" w:rsidP="00F910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Verdana"/>
          <w:sz w:val="20"/>
          <w:szCs w:val="20"/>
          <w:lang w:val="es-US" w:eastAsia="es-ES"/>
        </w:rPr>
      </w:pPr>
    </w:p>
    <w:p w14:paraId="768A9599" w14:textId="5D79A370" w:rsidR="00F91093" w:rsidRPr="00AD78EA" w:rsidRDefault="008C2D91" w:rsidP="008C2D91">
      <w:pPr>
        <w:pStyle w:val="ListParagraph"/>
        <w:numPr>
          <w:ilvl w:val="0"/>
          <w:numId w:val="56"/>
        </w:numPr>
        <w:tabs>
          <w:tab w:val="left" w:pos="720"/>
          <w:tab w:val="left" w:pos="1440"/>
        </w:tabs>
        <w:ind w:left="0" w:firstLine="720"/>
        <w:jc w:val="both"/>
        <w:rPr>
          <w:rFonts w:asciiTheme="majorHAnsi" w:hAnsiTheme="majorHAnsi" w:cs="Verdana"/>
          <w:sz w:val="20"/>
          <w:szCs w:val="20"/>
          <w:lang w:val="es-US"/>
        </w:rPr>
      </w:pPr>
      <w:r w:rsidRPr="00AD78EA">
        <w:rPr>
          <w:rFonts w:asciiTheme="majorHAnsi" w:hAnsiTheme="majorHAnsi" w:cs="Verdana"/>
          <w:sz w:val="20"/>
          <w:szCs w:val="20"/>
          <w:lang w:val="es-US"/>
        </w:rPr>
        <w:lastRenderedPageBreak/>
        <w:t xml:space="preserve">La Comisión </w:t>
      </w:r>
      <w:r w:rsidR="00D8713D" w:rsidRPr="00AD78EA">
        <w:rPr>
          <w:rFonts w:asciiTheme="majorHAnsi" w:hAnsiTheme="majorHAnsi" w:cs="Verdana"/>
          <w:sz w:val="20"/>
          <w:szCs w:val="20"/>
          <w:lang w:val="es-US"/>
        </w:rPr>
        <w:t>ha</w:t>
      </w:r>
      <w:r w:rsidRPr="00AD78EA">
        <w:rPr>
          <w:rFonts w:asciiTheme="majorHAnsi" w:hAnsiTheme="majorHAnsi" w:cs="Verdana"/>
          <w:sz w:val="20"/>
          <w:szCs w:val="20"/>
          <w:lang w:val="es-US"/>
        </w:rPr>
        <w:t xml:space="preserve"> señalado reiteradamente que e</w:t>
      </w:r>
      <w:r w:rsidR="00F91093" w:rsidRPr="00AD78EA">
        <w:rPr>
          <w:rFonts w:asciiTheme="majorHAnsi" w:hAnsiTheme="majorHAnsi" w:cs="Verdana"/>
          <w:sz w:val="20"/>
          <w:szCs w:val="20"/>
          <w:lang w:val="es-US"/>
        </w:rPr>
        <w:t>stas obligaciones resultan aplicables también frente a posibles actos de actores no estatales</w:t>
      </w:r>
      <w:r w:rsidR="003118C5" w:rsidRPr="00AD78EA">
        <w:rPr>
          <w:rStyle w:val="FootnoteReference"/>
          <w:rFonts w:asciiTheme="majorHAnsi" w:hAnsiTheme="majorHAnsi" w:cs="Verdana"/>
          <w:sz w:val="20"/>
          <w:szCs w:val="20"/>
          <w:lang w:val="es-US"/>
        </w:rPr>
        <w:footnoteReference w:id="57"/>
      </w:r>
      <w:r w:rsidR="00F91093" w:rsidRPr="00AD78EA">
        <w:rPr>
          <w:rFonts w:asciiTheme="majorHAnsi" w:hAnsiTheme="majorHAnsi" w:cs="Verdana"/>
          <w:sz w:val="20"/>
          <w:szCs w:val="20"/>
          <w:lang w:val="es-US"/>
        </w:rPr>
        <w:t xml:space="preserve">. Específicamente, </w:t>
      </w:r>
      <w:r w:rsidR="00F91093" w:rsidRPr="00AD78EA">
        <w:rPr>
          <w:rFonts w:asciiTheme="majorHAnsi" w:hAnsiTheme="majorHAnsi" w:cs="Arial"/>
          <w:sz w:val="20"/>
          <w:szCs w:val="20"/>
          <w:lang w:val="es-PE"/>
        </w:rPr>
        <w:t>la Corte Interamericana ha indicado que “</w:t>
      </w:r>
      <w:r w:rsidR="00F91093" w:rsidRPr="00AD78EA">
        <w:rPr>
          <w:rFonts w:asciiTheme="majorHAnsi" w:hAnsiTheme="majorHAnsi"/>
          <w:sz w:val="20"/>
          <w:szCs w:val="20"/>
          <w:lang w:val="es-ES"/>
        </w:rPr>
        <w:t>puede generarse</w:t>
      </w:r>
      <w:r w:rsidR="00F91093" w:rsidRPr="00AD78EA">
        <w:rPr>
          <w:rFonts w:asciiTheme="majorHAnsi" w:hAnsiTheme="majorHAnsi"/>
          <w:b/>
          <w:sz w:val="20"/>
          <w:szCs w:val="20"/>
          <w:lang w:val="es-ES"/>
        </w:rPr>
        <w:t xml:space="preserve"> </w:t>
      </w:r>
      <w:r w:rsidR="00F91093" w:rsidRPr="00AD78EA">
        <w:rPr>
          <w:rFonts w:asciiTheme="majorHAnsi" w:hAnsiTheme="majorHAnsi"/>
          <w:sz w:val="20"/>
          <w:szCs w:val="20"/>
          <w:lang w:val="es-ES"/>
        </w:rPr>
        <w:t>responsabilidad internacional</w:t>
      </w:r>
      <w:r w:rsidR="00F91093" w:rsidRPr="00AD78EA">
        <w:rPr>
          <w:rFonts w:asciiTheme="majorHAnsi" w:hAnsiTheme="majorHAnsi"/>
          <w:b/>
          <w:sz w:val="20"/>
          <w:szCs w:val="20"/>
          <w:lang w:val="es-ES"/>
        </w:rPr>
        <w:t xml:space="preserve"> </w:t>
      </w:r>
      <w:r w:rsidR="00F91093" w:rsidRPr="00AD78EA">
        <w:rPr>
          <w:rFonts w:asciiTheme="majorHAnsi" w:hAnsiTheme="majorHAnsi"/>
          <w:sz w:val="20"/>
          <w:szCs w:val="20"/>
          <w:lang w:val="es-ES"/>
        </w:rPr>
        <w:t>del Estado por atribución a éste de actos violatorios de derechos humanos</w:t>
      </w:r>
      <w:r w:rsidR="00F91093" w:rsidRPr="00AD78EA">
        <w:rPr>
          <w:rFonts w:asciiTheme="majorHAnsi" w:hAnsiTheme="majorHAnsi"/>
          <w:b/>
          <w:sz w:val="20"/>
          <w:szCs w:val="20"/>
          <w:lang w:val="es-ES"/>
        </w:rPr>
        <w:t xml:space="preserve"> </w:t>
      </w:r>
      <w:r w:rsidR="00F91093" w:rsidRPr="00AD78EA">
        <w:rPr>
          <w:rFonts w:asciiTheme="majorHAnsi" w:hAnsiTheme="majorHAnsi"/>
          <w:sz w:val="20"/>
          <w:szCs w:val="20"/>
          <w:lang w:val="es-ES"/>
        </w:rPr>
        <w:t>cometidos por</w:t>
      </w:r>
      <w:r w:rsidR="00F91093" w:rsidRPr="00AD78EA">
        <w:rPr>
          <w:rFonts w:asciiTheme="majorHAnsi" w:hAnsiTheme="majorHAnsi"/>
          <w:b/>
          <w:sz w:val="20"/>
          <w:szCs w:val="20"/>
          <w:lang w:val="es-ES"/>
        </w:rPr>
        <w:t xml:space="preserve"> </w:t>
      </w:r>
      <w:r w:rsidR="00F91093" w:rsidRPr="00AD78EA">
        <w:rPr>
          <w:rFonts w:asciiTheme="majorHAnsi" w:hAnsiTheme="majorHAnsi"/>
          <w:sz w:val="20"/>
          <w:szCs w:val="20"/>
          <w:lang w:val="es-ES"/>
        </w:rPr>
        <w:t>terceros o particulares, en el marco de las obligaciones del Estado de garantizar el respeto a esos derechos entre individuos</w:t>
      </w:r>
      <w:r w:rsidR="00F91093" w:rsidRPr="00AD78EA">
        <w:rPr>
          <w:rStyle w:val="FootnoteReference"/>
          <w:rFonts w:asciiTheme="majorHAnsi" w:hAnsiTheme="majorHAnsi"/>
          <w:sz w:val="20"/>
          <w:szCs w:val="20"/>
          <w:lang w:val="es-ES"/>
        </w:rPr>
        <w:footnoteReference w:id="58"/>
      </w:r>
      <w:r w:rsidR="00F91093" w:rsidRPr="00AD78EA">
        <w:rPr>
          <w:rFonts w:asciiTheme="majorHAnsi" w:hAnsiTheme="majorHAnsi"/>
          <w:sz w:val="20"/>
          <w:szCs w:val="20"/>
          <w:lang w:val="es-ES"/>
        </w:rPr>
        <w:t xml:space="preserve"> (…) las obligaciones </w:t>
      </w:r>
      <w:r w:rsidR="00F91093" w:rsidRPr="00AD78EA">
        <w:rPr>
          <w:rFonts w:asciiTheme="majorHAnsi" w:hAnsiTheme="majorHAnsi"/>
          <w:i/>
          <w:sz w:val="20"/>
          <w:szCs w:val="20"/>
          <w:lang w:val="es-ES"/>
        </w:rPr>
        <w:t>erga omnes</w:t>
      </w:r>
      <w:r w:rsidR="00F91093" w:rsidRPr="00AD78EA">
        <w:rPr>
          <w:rFonts w:asciiTheme="majorHAnsi" w:hAnsiTheme="majorHAnsi"/>
          <w:sz w:val="20"/>
          <w:szCs w:val="20"/>
          <w:lang w:val="es-ES"/>
        </w:rPr>
        <w:t xml:space="preserve"> de respetar y hacer respetar las normas de protección, a cargo de los Estados Partes en la Convención, proyectan sus efectos más allá de la relación entre sus agentes y las personas sometidas a su jurisdicción, pues se manifiestan también</w:t>
      </w:r>
      <w:r w:rsidR="00F91093" w:rsidRPr="00AD78EA">
        <w:rPr>
          <w:rFonts w:asciiTheme="majorHAnsi" w:hAnsiTheme="majorHAnsi"/>
          <w:b/>
          <w:sz w:val="20"/>
          <w:szCs w:val="20"/>
          <w:lang w:val="es-ES"/>
        </w:rPr>
        <w:t xml:space="preserve"> </w:t>
      </w:r>
      <w:r w:rsidR="00F91093" w:rsidRPr="00AD78EA">
        <w:rPr>
          <w:rFonts w:asciiTheme="majorHAnsi" w:hAnsiTheme="majorHAnsi"/>
          <w:sz w:val="20"/>
          <w:szCs w:val="20"/>
          <w:lang w:val="es-ES"/>
        </w:rPr>
        <w:t>en la obligación positiva del Estado de adoptar las medidas necesarias para asegurar la efectiva protección de los derechos humanos en las relaciones inter – individuales”</w:t>
      </w:r>
      <w:r w:rsidR="00F91093" w:rsidRPr="00AD78EA">
        <w:rPr>
          <w:rStyle w:val="FootnoteReference"/>
          <w:rFonts w:asciiTheme="majorHAnsi" w:hAnsiTheme="majorHAnsi"/>
          <w:sz w:val="20"/>
          <w:szCs w:val="20"/>
        </w:rPr>
        <w:footnoteReference w:id="59"/>
      </w:r>
      <w:r w:rsidR="00F91093" w:rsidRPr="00AD78EA">
        <w:rPr>
          <w:rFonts w:asciiTheme="majorHAnsi" w:hAnsiTheme="majorHAnsi"/>
          <w:sz w:val="20"/>
          <w:szCs w:val="20"/>
          <w:lang w:val="es-ES"/>
        </w:rPr>
        <w:t>. Dichas obligaciones incumben a todos los sujetos del Derecho Internacional y los supuestos de incumplimiento deberán determinarse en cada caso en función de las necesidades de protección, para cada caso en particular”</w:t>
      </w:r>
      <w:r w:rsidR="00F91093" w:rsidRPr="00AD78EA">
        <w:rPr>
          <w:rStyle w:val="FootnoteReference"/>
          <w:rFonts w:asciiTheme="majorHAnsi" w:hAnsiTheme="majorHAnsi"/>
          <w:sz w:val="20"/>
          <w:szCs w:val="20"/>
          <w:lang w:val="es-ES"/>
        </w:rPr>
        <w:footnoteReference w:id="60"/>
      </w:r>
      <w:r w:rsidR="00F91093" w:rsidRPr="00AD78EA">
        <w:rPr>
          <w:rFonts w:asciiTheme="majorHAnsi" w:hAnsiTheme="majorHAnsi"/>
          <w:sz w:val="20"/>
          <w:szCs w:val="20"/>
          <w:lang w:val="es-ES"/>
        </w:rPr>
        <w:t>.</w:t>
      </w:r>
    </w:p>
    <w:p w14:paraId="3D9A08A4" w14:textId="77777777" w:rsidR="00F91093" w:rsidRPr="00AD78EA" w:rsidRDefault="00F91093" w:rsidP="008C2D91">
      <w:pPr>
        <w:ind w:firstLine="720"/>
        <w:jc w:val="both"/>
        <w:rPr>
          <w:rFonts w:asciiTheme="majorHAnsi" w:hAnsiTheme="majorHAnsi"/>
          <w:sz w:val="20"/>
          <w:szCs w:val="20"/>
          <w:lang w:val="es-ES_tradnl"/>
        </w:rPr>
      </w:pPr>
    </w:p>
    <w:p w14:paraId="594A515F" w14:textId="77777777" w:rsidR="00F91093" w:rsidRPr="00AD78EA" w:rsidRDefault="00F91093" w:rsidP="008C2D91">
      <w:pPr>
        <w:pStyle w:val="ListParagraph"/>
        <w:numPr>
          <w:ilvl w:val="0"/>
          <w:numId w:val="56"/>
        </w:numPr>
        <w:tabs>
          <w:tab w:val="left" w:pos="720"/>
          <w:tab w:val="left" w:pos="1440"/>
        </w:tabs>
        <w:ind w:left="0" w:firstLine="720"/>
        <w:jc w:val="both"/>
        <w:rPr>
          <w:sz w:val="20"/>
          <w:szCs w:val="20"/>
          <w:lang w:val="es-US"/>
        </w:rPr>
      </w:pPr>
      <w:r w:rsidRPr="00AD78EA">
        <w:rPr>
          <w:rFonts w:asciiTheme="majorHAnsi" w:hAnsiTheme="majorHAnsi"/>
          <w:sz w:val="20"/>
          <w:szCs w:val="20"/>
          <w:lang w:val="es-ES_tradnl"/>
        </w:rPr>
        <w:t xml:space="preserve">Específicamente, sobre el deber de prevenir la Corte ha indicado que “un Estado no puede ser responsable por cualquier violación de derechos humanos cometida entre particulares dentro de su jurisdicción. En efecto, el carácter </w:t>
      </w:r>
      <w:r w:rsidRPr="00AD78EA">
        <w:rPr>
          <w:rFonts w:asciiTheme="majorHAnsi" w:hAnsiTheme="majorHAnsi"/>
          <w:i/>
          <w:sz w:val="20"/>
          <w:szCs w:val="20"/>
          <w:lang w:val="es-ES_tradnl"/>
        </w:rPr>
        <w:t xml:space="preserve">erga omnes </w:t>
      </w:r>
      <w:r w:rsidRPr="00AD78EA">
        <w:rPr>
          <w:rFonts w:asciiTheme="majorHAnsi" w:hAnsiTheme="majorHAnsi" w:cs="Arial"/>
          <w:sz w:val="20"/>
          <w:szCs w:val="20"/>
          <w:lang w:val="es-PE"/>
        </w:rPr>
        <w:t>de</w:t>
      </w:r>
      <w:r w:rsidRPr="00AD78EA">
        <w:rPr>
          <w:rFonts w:asciiTheme="majorHAnsi" w:hAnsiTheme="majorHAnsi"/>
          <w:sz w:val="20"/>
          <w:szCs w:val="20"/>
          <w:lang w:val="es-ES_tradnl"/>
        </w:rPr>
        <w:t xml:space="preserve"> las obligaciones convencionales de garantía a cargo de los Estados no implica una responsabilidad ilimitada de los Estados frente a cualquier acto o hecho de particulares</w:t>
      </w:r>
      <w:r w:rsidRPr="00AD78EA">
        <w:rPr>
          <w:rStyle w:val="FootnoteReference"/>
          <w:rFonts w:asciiTheme="majorHAnsi" w:hAnsiTheme="majorHAnsi"/>
          <w:sz w:val="20"/>
          <w:szCs w:val="20"/>
          <w:lang w:val="es-ES"/>
        </w:rPr>
        <w:footnoteReference w:id="61"/>
      </w:r>
      <w:r w:rsidRPr="00AD78EA">
        <w:rPr>
          <w:rFonts w:asciiTheme="majorHAnsi" w:hAnsiTheme="majorHAnsi"/>
          <w:sz w:val="20"/>
          <w:szCs w:val="20"/>
          <w:lang w:val="es-ES_tradnl"/>
        </w:rPr>
        <w:t>, pues sus deberes de adoptar medidas de prevención y protección en sus relaciones entre sí</w:t>
      </w:r>
      <w:r w:rsidRPr="00AD78EA">
        <w:rPr>
          <w:rFonts w:asciiTheme="majorHAnsi" w:hAnsiTheme="majorHAnsi"/>
          <w:b/>
          <w:sz w:val="20"/>
          <w:szCs w:val="20"/>
          <w:lang w:val="es-ES_tradnl"/>
        </w:rPr>
        <w:t xml:space="preserve"> </w:t>
      </w:r>
      <w:r w:rsidRPr="00AD78EA">
        <w:rPr>
          <w:rFonts w:asciiTheme="majorHAnsi" w:hAnsiTheme="majorHAnsi"/>
          <w:sz w:val="20"/>
          <w:szCs w:val="20"/>
          <w:lang w:val="es-ES_tradnl"/>
        </w:rPr>
        <w:t xml:space="preserve">se encuentran condicionados a </w:t>
      </w:r>
      <w:r w:rsidRPr="00AD78EA">
        <w:rPr>
          <w:rFonts w:asciiTheme="majorHAnsi" w:hAnsiTheme="majorHAnsi"/>
          <w:sz w:val="20"/>
          <w:szCs w:val="20"/>
          <w:lang w:val="es-US"/>
        </w:rPr>
        <w:t>i) si el Estado tenía o debía tener conocimiento de una situación de riesgo; ii) si</w:t>
      </w:r>
      <w:r w:rsidRPr="00AD78EA">
        <w:rPr>
          <w:sz w:val="20"/>
          <w:szCs w:val="20"/>
          <w:lang w:val="es-US"/>
        </w:rPr>
        <w:t xml:space="preserve"> dicho riesgo era real e inmediato;  y iii) si el Estado adoptó las medidas que razonablemente se esperaban para evitar que dicho riesgo se verificara</w:t>
      </w:r>
      <w:r w:rsidRPr="00AD78EA">
        <w:rPr>
          <w:rStyle w:val="FootnoteReference"/>
          <w:rFonts w:cs="Arial"/>
          <w:sz w:val="20"/>
          <w:szCs w:val="20"/>
          <w:lang w:val="es-CR"/>
        </w:rPr>
        <w:footnoteReference w:id="62"/>
      </w:r>
      <w:r w:rsidRPr="00AD78EA">
        <w:rPr>
          <w:sz w:val="20"/>
          <w:szCs w:val="20"/>
          <w:lang w:val="es-US"/>
        </w:rPr>
        <w:t>.</w:t>
      </w:r>
    </w:p>
    <w:p w14:paraId="55FB460D" w14:textId="77777777" w:rsidR="00F91093" w:rsidRPr="00AD78EA" w:rsidRDefault="00F91093" w:rsidP="008C2D91">
      <w:pPr>
        <w:tabs>
          <w:tab w:val="left" w:pos="720"/>
          <w:tab w:val="left" w:pos="1440"/>
        </w:tabs>
        <w:jc w:val="both"/>
        <w:rPr>
          <w:rFonts w:asciiTheme="majorHAnsi" w:hAnsiTheme="majorHAnsi"/>
          <w:sz w:val="20"/>
          <w:szCs w:val="20"/>
          <w:lang w:val="es-US"/>
        </w:rPr>
      </w:pPr>
    </w:p>
    <w:p w14:paraId="5E1898A8" w14:textId="689D703F" w:rsidR="001A7A7F" w:rsidRPr="00AD78EA" w:rsidRDefault="00F91093" w:rsidP="008C2D91">
      <w:pPr>
        <w:pStyle w:val="ListParagraph"/>
        <w:numPr>
          <w:ilvl w:val="0"/>
          <w:numId w:val="56"/>
        </w:numPr>
        <w:tabs>
          <w:tab w:val="left" w:pos="720"/>
          <w:tab w:val="left" w:pos="1440"/>
        </w:tabs>
        <w:ind w:left="0" w:firstLine="720"/>
        <w:jc w:val="both"/>
        <w:rPr>
          <w:rFonts w:asciiTheme="majorHAnsi" w:hAnsiTheme="majorHAnsi"/>
          <w:sz w:val="20"/>
          <w:szCs w:val="20"/>
          <w:lang w:val="es-MX"/>
        </w:rPr>
      </w:pPr>
      <w:bookmarkStart w:id="17" w:name="_30j0zll" w:colFirst="0" w:colLast="0"/>
      <w:bookmarkEnd w:id="17"/>
      <w:r w:rsidRPr="00AD78EA">
        <w:rPr>
          <w:rFonts w:asciiTheme="majorHAnsi" w:hAnsiTheme="majorHAnsi"/>
          <w:sz w:val="20"/>
          <w:szCs w:val="20"/>
          <w:lang w:val="es-US"/>
        </w:rPr>
        <w:t>L</w:t>
      </w:r>
      <w:r w:rsidR="00314319" w:rsidRPr="00AD78EA">
        <w:rPr>
          <w:rFonts w:asciiTheme="majorHAnsi" w:hAnsiTheme="majorHAnsi"/>
          <w:sz w:val="20"/>
          <w:szCs w:val="20"/>
          <w:lang w:val="es-US"/>
        </w:rPr>
        <w:t>a Comisión ha establecido que situaciones</w:t>
      </w:r>
      <w:r w:rsidR="006C6EA9" w:rsidRPr="00AD78EA">
        <w:rPr>
          <w:rFonts w:asciiTheme="majorHAnsi" w:hAnsiTheme="majorHAnsi"/>
          <w:sz w:val="20"/>
          <w:szCs w:val="20"/>
          <w:lang w:val="es-US"/>
        </w:rPr>
        <w:t xml:space="preserve"> de amenaza y hostigamiento</w:t>
      </w:r>
      <w:r w:rsidR="00314319" w:rsidRPr="00AD78EA">
        <w:rPr>
          <w:rFonts w:asciiTheme="majorHAnsi" w:hAnsiTheme="majorHAnsi"/>
          <w:sz w:val="20"/>
          <w:szCs w:val="20"/>
          <w:lang w:val="es-US"/>
        </w:rPr>
        <w:t xml:space="preserve"> constituyen en sí mismas afectaciones a la integridad psíquica y moral de las personas, la cual se ve agravada por la ausencia de protección por parte del Estado</w:t>
      </w:r>
      <w:r w:rsidR="00314319" w:rsidRPr="00AD78EA">
        <w:rPr>
          <w:rStyle w:val="FootnoteReference"/>
          <w:rFonts w:asciiTheme="majorHAnsi" w:hAnsiTheme="majorHAnsi"/>
          <w:sz w:val="20"/>
          <w:szCs w:val="20"/>
          <w:lang w:val="es-US"/>
        </w:rPr>
        <w:footnoteReference w:id="63"/>
      </w:r>
      <w:r w:rsidR="00314319" w:rsidRPr="00AD78EA">
        <w:rPr>
          <w:rFonts w:asciiTheme="majorHAnsi" w:hAnsiTheme="majorHAnsi"/>
          <w:sz w:val="20"/>
          <w:szCs w:val="20"/>
          <w:lang w:val="es-US"/>
        </w:rPr>
        <w:t>. La Corte ha considerado que la ausencia de respuesta estatal ante una “campaña de amenazas, hostigamientos, vigilancia, detenciones, allanamientos y atentados contra la vida e integridad personal”, produce temor constante y angustia, constituyendo una violación a la integridad personal de las personas afectadas</w:t>
      </w:r>
      <w:r w:rsidR="00314319" w:rsidRPr="00AD78EA">
        <w:rPr>
          <w:vertAlign w:val="superscript"/>
        </w:rPr>
        <w:footnoteReference w:id="64"/>
      </w:r>
      <w:r w:rsidR="001A7A7F" w:rsidRPr="00AD78EA">
        <w:rPr>
          <w:rFonts w:asciiTheme="majorHAnsi" w:hAnsiTheme="majorHAnsi"/>
          <w:sz w:val="20"/>
          <w:szCs w:val="20"/>
          <w:lang w:val="es-US"/>
        </w:rPr>
        <w:t>.</w:t>
      </w:r>
    </w:p>
    <w:p w14:paraId="0C0EF45E" w14:textId="516C8B34" w:rsidR="002936AA" w:rsidRPr="00AD78EA" w:rsidRDefault="002936AA" w:rsidP="0027242F">
      <w:pPr>
        <w:pStyle w:val="Heading3"/>
        <w:numPr>
          <w:ilvl w:val="0"/>
          <w:numId w:val="62"/>
        </w:numPr>
        <w:ind w:firstLine="0"/>
        <w:rPr>
          <w:rFonts w:asciiTheme="majorHAnsi" w:eastAsia="Cambria" w:hAnsiTheme="majorHAnsi"/>
          <w:sz w:val="20"/>
          <w:szCs w:val="20"/>
          <w:lang w:val="es-MX"/>
        </w:rPr>
      </w:pPr>
      <w:bookmarkStart w:id="18" w:name="_Toc202349286"/>
      <w:r w:rsidRPr="00AD78EA">
        <w:rPr>
          <w:rFonts w:asciiTheme="majorHAnsi" w:eastAsia="Cambria" w:hAnsiTheme="majorHAnsi"/>
          <w:sz w:val="20"/>
          <w:szCs w:val="20"/>
          <w:lang w:val="es-MX"/>
        </w:rPr>
        <w:t>Análisis del caso</w:t>
      </w:r>
      <w:bookmarkEnd w:id="18"/>
    </w:p>
    <w:p w14:paraId="34C16C34" w14:textId="77777777" w:rsidR="002936AA" w:rsidRPr="00AD78EA" w:rsidRDefault="002936AA" w:rsidP="002936AA">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sz w:val="20"/>
          <w:szCs w:val="20"/>
        </w:rPr>
      </w:pPr>
    </w:p>
    <w:p w14:paraId="1AC5CE2A" w14:textId="0EACFEAB" w:rsidR="00071041" w:rsidRPr="00AD78EA" w:rsidRDefault="00886977" w:rsidP="00CB7168">
      <w:pPr>
        <w:pStyle w:val="ListParagraph"/>
        <w:numPr>
          <w:ilvl w:val="0"/>
          <w:numId w:val="56"/>
        </w:numPr>
        <w:tabs>
          <w:tab w:val="left" w:pos="720"/>
          <w:tab w:val="left" w:pos="1440"/>
        </w:tabs>
        <w:ind w:left="0" w:firstLine="720"/>
        <w:jc w:val="both"/>
        <w:rPr>
          <w:rFonts w:asciiTheme="majorHAnsi" w:hAnsiTheme="majorHAnsi"/>
          <w:sz w:val="20"/>
          <w:szCs w:val="20"/>
          <w:lang w:val="es-CO"/>
        </w:rPr>
      </w:pPr>
      <w:r w:rsidRPr="00AD78EA">
        <w:rPr>
          <w:rFonts w:asciiTheme="majorHAnsi" w:hAnsiTheme="majorHAnsi"/>
          <w:sz w:val="20"/>
          <w:szCs w:val="20"/>
          <w:lang w:val="es-CO"/>
        </w:rPr>
        <w:t>El presente caso se relaciona con una serie de amenazas de muerte seguidas por un atentado contra la vida del señor Morales Díaz</w:t>
      </w:r>
      <w:r w:rsidR="0051660F" w:rsidRPr="00AD78EA">
        <w:rPr>
          <w:rFonts w:asciiTheme="majorHAnsi" w:hAnsiTheme="majorHAnsi"/>
          <w:sz w:val="20"/>
          <w:szCs w:val="20"/>
          <w:lang w:val="es-CO"/>
        </w:rPr>
        <w:t xml:space="preserve"> y la continuidad de dichas amenazas, hasta que la presunta víctima decidió salir del país por razones de seguridad. Estos hechos tuvieron lugar en</w:t>
      </w:r>
      <w:r w:rsidR="00AE5F33" w:rsidRPr="00AD78EA">
        <w:rPr>
          <w:rFonts w:asciiTheme="majorHAnsi" w:hAnsiTheme="majorHAnsi"/>
          <w:sz w:val="20"/>
          <w:szCs w:val="20"/>
          <w:lang w:val="es-CO"/>
        </w:rPr>
        <w:t xml:space="preserve"> el contexto de unas denuncias por corrupción efectuadas por el señ</w:t>
      </w:r>
      <w:r w:rsidR="00B5162E" w:rsidRPr="00AD78EA">
        <w:rPr>
          <w:rFonts w:asciiTheme="majorHAnsi" w:hAnsiTheme="majorHAnsi"/>
          <w:sz w:val="20"/>
          <w:szCs w:val="20"/>
          <w:lang w:val="es-CO"/>
        </w:rPr>
        <w:t>o</w:t>
      </w:r>
      <w:r w:rsidR="00AE5F33" w:rsidRPr="00AD78EA">
        <w:rPr>
          <w:rFonts w:asciiTheme="majorHAnsi" w:hAnsiTheme="majorHAnsi"/>
          <w:sz w:val="20"/>
          <w:szCs w:val="20"/>
          <w:lang w:val="es-CO"/>
        </w:rPr>
        <w:t xml:space="preserve">r Morales Díaz contra tres funcionarios de la entidad estatal Instituto de Desarrollo Urbano. </w:t>
      </w:r>
      <w:r w:rsidR="007B4480" w:rsidRPr="00AD78EA">
        <w:rPr>
          <w:rFonts w:asciiTheme="majorHAnsi" w:hAnsiTheme="majorHAnsi"/>
          <w:sz w:val="20"/>
          <w:szCs w:val="20"/>
          <w:lang w:val="es-CO"/>
        </w:rPr>
        <w:t xml:space="preserve">Los hechos desde las primeras amenazas hasta la salida del país tuvieron lugar en </w:t>
      </w:r>
      <w:r w:rsidR="0051660F" w:rsidRPr="00AD78EA">
        <w:rPr>
          <w:rFonts w:asciiTheme="majorHAnsi" w:hAnsiTheme="majorHAnsi"/>
          <w:sz w:val="20"/>
          <w:szCs w:val="20"/>
          <w:lang w:val="es-CO"/>
        </w:rPr>
        <w:t xml:space="preserve">un marco temporal </w:t>
      </w:r>
      <w:r w:rsidR="00786D10" w:rsidRPr="00AD78EA">
        <w:rPr>
          <w:rFonts w:asciiTheme="majorHAnsi" w:hAnsiTheme="majorHAnsi"/>
          <w:sz w:val="20"/>
          <w:szCs w:val="20"/>
          <w:lang w:val="es-CO"/>
        </w:rPr>
        <w:t>entre finales de junio de 2000 y el 14 de diciembre de dicho a</w:t>
      </w:r>
      <w:r w:rsidR="00B46E35" w:rsidRPr="00AD78EA">
        <w:rPr>
          <w:rFonts w:asciiTheme="majorHAnsi" w:hAnsiTheme="majorHAnsi"/>
          <w:sz w:val="20"/>
          <w:szCs w:val="20"/>
          <w:lang w:val="es-CO"/>
        </w:rPr>
        <w:t>ño.</w:t>
      </w:r>
      <w:r w:rsidR="002D3DC7" w:rsidRPr="00AD78EA">
        <w:rPr>
          <w:rFonts w:asciiTheme="majorHAnsi" w:hAnsiTheme="majorHAnsi"/>
          <w:sz w:val="20"/>
          <w:szCs w:val="20"/>
          <w:lang w:val="es-CO"/>
        </w:rPr>
        <w:t xml:space="preserve"> Estos hechos centrales no están en controversia. Al contrario,</w:t>
      </w:r>
      <w:r w:rsidR="00BA17DA" w:rsidRPr="00AD78EA">
        <w:rPr>
          <w:rFonts w:asciiTheme="majorHAnsi" w:hAnsiTheme="majorHAnsi"/>
          <w:sz w:val="20"/>
          <w:szCs w:val="20"/>
          <w:lang w:val="es-CO"/>
        </w:rPr>
        <w:t xml:space="preserve"> como se verá,</w:t>
      </w:r>
      <w:r w:rsidR="002D3DC7" w:rsidRPr="00AD78EA">
        <w:rPr>
          <w:rFonts w:asciiTheme="majorHAnsi" w:hAnsiTheme="majorHAnsi"/>
          <w:sz w:val="20"/>
          <w:szCs w:val="20"/>
          <w:lang w:val="es-CO"/>
        </w:rPr>
        <w:t xml:space="preserve"> de</w:t>
      </w:r>
      <w:r w:rsidR="00C16737" w:rsidRPr="00AD78EA">
        <w:rPr>
          <w:rFonts w:asciiTheme="majorHAnsi" w:hAnsiTheme="majorHAnsi"/>
          <w:sz w:val="20"/>
          <w:szCs w:val="20"/>
          <w:lang w:val="es-CO"/>
        </w:rPr>
        <w:t xml:space="preserve">l atentado </w:t>
      </w:r>
      <w:r w:rsidR="001123F8" w:rsidRPr="00AD78EA">
        <w:rPr>
          <w:rFonts w:asciiTheme="majorHAnsi" w:hAnsiTheme="majorHAnsi"/>
          <w:sz w:val="20"/>
          <w:szCs w:val="20"/>
          <w:lang w:val="es-CO"/>
        </w:rPr>
        <w:t>mismo,</w:t>
      </w:r>
      <w:r w:rsidR="00C16737" w:rsidRPr="00AD78EA">
        <w:rPr>
          <w:rFonts w:asciiTheme="majorHAnsi" w:hAnsiTheme="majorHAnsi"/>
          <w:sz w:val="20"/>
          <w:szCs w:val="20"/>
          <w:lang w:val="es-CO"/>
        </w:rPr>
        <w:t xml:space="preserve"> así como de</w:t>
      </w:r>
      <w:r w:rsidR="002D3DC7" w:rsidRPr="00AD78EA">
        <w:rPr>
          <w:rFonts w:asciiTheme="majorHAnsi" w:hAnsiTheme="majorHAnsi"/>
          <w:sz w:val="20"/>
          <w:szCs w:val="20"/>
          <w:lang w:val="es-CO"/>
        </w:rPr>
        <w:t xml:space="preserve"> los estudios de riesgo </w:t>
      </w:r>
      <w:r w:rsidR="00BA17DA" w:rsidRPr="00AD78EA">
        <w:rPr>
          <w:rFonts w:asciiTheme="majorHAnsi" w:hAnsiTheme="majorHAnsi"/>
          <w:sz w:val="20"/>
          <w:szCs w:val="20"/>
          <w:lang w:val="es-CO"/>
        </w:rPr>
        <w:t xml:space="preserve">realizados por autoridades estatales, se desprende </w:t>
      </w:r>
      <w:r w:rsidR="007644DF" w:rsidRPr="00AD78EA">
        <w:rPr>
          <w:rFonts w:asciiTheme="majorHAnsi" w:hAnsiTheme="majorHAnsi"/>
          <w:sz w:val="20"/>
          <w:szCs w:val="20"/>
          <w:lang w:val="es-CO"/>
        </w:rPr>
        <w:t xml:space="preserve">que el señor Morales Díaz permaneció en dicho marco temporal expuesto a una situación de </w:t>
      </w:r>
      <w:r w:rsidR="004E39D7" w:rsidRPr="00AD78EA">
        <w:rPr>
          <w:rFonts w:asciiTheme="majorHAnsi" w:hAnsiTheme="majorHAnsi"/>
          <w:sz w:val="20"/>
          <w:szCs w:val="20"/>
          <w:lang w:val="es-CO"/>
        </w:rPr>
        <w:t xml:space="preserve">grave </w:t>
      </w:r>
      <w:r w:rsidR="007644DF" w:rsidRPr="00AD78EA">
        <w:rPr>
          <w:rFonts w:asciiTheme="majorHAnsi" w:hAnsiTheme="majorHAnsi"/>
          <w:sz w:val="20"/>
          <w:szCs w:val="20"/>
          <w:lang w:val="es-CO"/>
        </w:rPr>
        <w:t>riesgo a su vida e integridad personal</w:t>
      </w:r>
      <w:r w:rsidR="002B5264" w:rsidRPr="00AD78EA">
        <w:rPr>
          <w:rFonts w:asciiTheme="majorHAnsi" w:hAnsiTheme="majorHAnsi"/>
          <w:sz w:val="20"/>
          <w:szCs w:val="20"/>
          <w:lang w:val="es-CO"/>
        </w:rPr>
        <w:t xml:space="preserve">. </w:t>
      </w:r>
    </w:p>
    <w:p w14:paraId="06865B2D" w14:textId="77777777" w:rsidR="00071041" w:rsidRPr="00AD78EA" w:rsidRDefault="00071041" w:rsidP="00B5162E">
      <w:pPr>
        <w:pStyle w:val="ListParagraph"/>
        <w:tabs>
          <w:tab w:val="left" w:pos="720"/>
          <w:tab w:val="left" w:pos="1440"/>
        </w:tabs>
        <w:jc w:val="both"/>
        <w:rPr>
          <w:rFonts w:asciiTheme="majorHAnsi" w:hAnsiTheme="majorHAnsi"/>
          <w:sz w:val="20"/>
          <w:szCs w:val="20"/>
          <w:lang w:val="es-CO"/>
        </w:rPr>
      </w:pPr>
    </w:p>
    <w:p w14:paraId="4464E754" w14:textId="55BCD909" w:rsidR="00653357" w:rsidRPr="00AD78EA" w:rsidRDefault="00F30211" w:rsidP="00CB7168">
      <w:pPr>
        <w:pStyle w:val="ListParagraph"/>
        <w:numPr>
          <w:ilvl w:val="0"/>
          <w:numId w:val="56"/>
        </w:numPr>
        <w:tabs>
          <w:tab w:val="left" w:pos="720"/>
          <w:tab w:val="left" w:pos="1440"/>
        </w:tabs>
        <w:ind w:left="0" w:firstLine="720"/>
        <w:jc w:val="both"/>
        <w:rPr>
          <w:rFonts w:asciiTheme="majorHAnsi" w:hAnsiTheme="majorHAnsi"/>
          <w:sz w:val="20"/>
          <w:szCs w:val="20"/>
          <w:lang w:val="es-CO"/>
        </w:rPr>
      </w:pPr>
      <w:r w:rsidRPr="00AD78EA">
        <w:rPr>
          <w:rFonts w:asciiTheme="majorHAnsi" w:hAnsiTheme="majorHAnsi"/>
          <w:sz w:val="20"/>
          <w:szCs w:val="20"/>
          <w:lang w:val="es-CO"/>
        </w:rPr>
        <w:lastRenderedPageBreak/>
        <w:t>De los estándares citados anteriormente, la Comisión considera que la situación enfrentada por la presunta víctima entre las primeras amenazas a finales de junio de 2000 y su salida del país el 14 de diciembre de 2000</w:t>
      </w:r>
      <w:r w:rsidR="006C5D3F" w:rsidRPr="00AD78EA">
        <w:rPr>
          <w:rFonts w:asciiTheme="majorHAnsi" w:hAnsiTheme="majorHAnsi"/>
          <w:sz w:val="20"/>
          <w:szCs w:val="20"/>
          <w:lang w:val="es-CO"/>
        </w:rPr>
        <w:t xml:space="preserve">, constituyó una afectación a su integridad personal. Asimismo, respecto del atentado </w:t>
      </w:r>
      <w:r w:rsidR="00A654AF" w:rsidRPr="00AD78EA">
        <w:rPr>
          <w:rFonts w:asciiTheme="majorHAnsi" w:hAnsiTheme="majorHAnsi"/>
          <w:sz w:val="20"/>
          <w:szCs w:val="20"/>
          <w:lang w:val="es-CO"/>
        </w:rPr>
        <w:t>d</w:t>
      </w:r>
      <w:r w:rsidR="006C5D3F" w:rsidRPr="00AD78EA">
        <w:rPr>
          <w:rFonts w:asciiTheme="majorHAnsi" w:hAnsiTheme="majorHAnsi"/>
          <w:sz w:val="20"/>
          <w:szCs w:val="20"/>
          <w:lang w:val="es-CO"/>
        </w:rPr>
        <w:t xml:space="preserve">el 8 de julio de 2000, la Comisión considera que el </w:t>
      </w:r>
      <w:r w:rsidR="00F6611E" w:rsidRPr="00AD78EA">
        <w:rPr>
          <w:rFonts w:asciiTheme="majorHAnsi" w:hAnsiTheme="majorHAnsi"/>
          <w:sz w:val="20"/>
          <w:szCs w:val="20"/>
          <w:lang w:val="es-CO"/>
        </w:rPr>
        <w:t xml:space="preserve">mismo demuestra que el </w:t>
      </w:r>
      <w:r w:rsidR="006C5D3F" w:rsidRPr="00AD78EA">
        <w:rPr>
          <w:rFonts w:asciiTheme="majorHAnsi" w:hAnsiTheme="majorHAnsi"/>
          <w:sz w:val="20"/>
          <w:szCs w:val="20"/>
          <w:lang w:val="es-CO"/>
        </w:rPr>
        <w:t>señor Morales Díaz</w:t>
      </w:r>
      <w:r w:rsidR="00F6611E" w:rsidRPr="00AD78EA">
        <w:rPr>
          <w:rFonts w:asciiTheme="majorHAnsi" w:hAnsiTheme="majorHAnsi"/>
          <w:sz w:val="20"/>
          <w:szCs w:val="20"/>
          <w:lang w:val="es-CO"/>
        </w:rPr>
        <w:t xml:space="preserve"> estaba expuesto a una situación de riesgo inminente a su vida</w:t>
      </w:r>
      <w:r w:rsidR="00DB4C03" w:rsidRPr="00AD78EA">
        <w:rPr>
          <w:rFonts w:asciiTheme="majorHAnsi" w:hAnsiTheme="majorHAnsi"/>
          <w:sz w:val="20"/>
          <w:szCs w:val="20"/>
          <w:lang w:val="es-CO"/>
        </w:rPr>
        <w:t>,</w:t>
      </w:r>
      <w:r w:rsidR="00F6611E" w:rsidRPr="00AD78EA">
        <w:rPr>
          <w:rFonts w:asciiTheme="majorHAnsi" w:hAnsiTheme="majorHAnsi"/>
          <w:sz w:val="20"/>
          <w:szCs w:val="20"/>
          <w:lang w:val="es-CO"/>
        </w:rPr>
        <w:t xml:space="preserve"> </w:t>
      </w:r>
      <w:r w:rsidR="006C5D3F" w:rsidRPr="00AD78EA">
        <w:rPr>
          <w:rFonts w:asciiTheme="majorHAnsi" w:hAnsiTheme="majorHAnsi"/>
          <w:sz w:val="20"/>
          <w:szCs w:val="20"/>
          <w:lang w:val="es-CO"/>
        </w:rPr>
        <w:t xml:space="preserve">por lo que </w:t>
      </w:r>
      <w:r w:rsidR="00F6611E" w:rsidRPr="00AD78EA">
        <w:rPr>
          <w:rFonts w:asciiTheme="majorHAnsi" w:hAnsiTheme="majorHAnsi"/>
          <w:sz w:val="20"/>
          <w:szCs w:val="20"/>
          <w:lang w:val="es-CO"/>
        </w:rPr>
        <w:t xml:space="preserve">la Comisión considera que constituyó </w:t>
      </w:r>
      <w:r w:rsidR="00DB4C03" w:rsidRPr="00AD78EA">
        <w:rPr>
          <w:rFonts w:asciiTheme="majorHAnsi" w:hAnsiTheme="majorHAnsi"/>
          <w:sz w:val="20"/>
          <w:szCs w:val="20"/>
          <w:lang w:val="es-CO"/>
        </w:rPr>
        <w:t xml:space="preserve">también </w:t>
      </w:r>
      <w:r w:rsidR="00F6611E" w:rsidRPr="00AD78EA">
        <w:rPr>
          <w:rFonts w:asciiTheme="majorHAnsi" w:hAnsiTheme="majorHAnsi"/>
          <w:sz w:val="20"/>
          <w:szCs w:val="20"/>
          <w:lang w:val="es-CO"/>
        </w:rPr>
        <w:t>una afectación a</w:t>
      </w:r>
      <w:r w:rsidR="00DB4C03" w:rsidRPr="00AD78EA">
        <w:rPr>
          <w:rFonts w:asciiTheme="majorHAnsi" w:hAnsiTheme="majorHAnsi"/>
          <w:sz w:val="20"/>
          <w:szCs w:val="20"/>
          <w:lang w:val="es-CO"/>
        </w:rPr>
        <w:t xml:space="preserve"> ese derecho</w:t>
      </w:r>
      <w:r w:rsidR="00F6611E" w:rsidRPr="00AD78EA">
        <w:rPr>
          <w:rFonts w:asciiTheme="majorHAnsi" w:hAnsiTheme="majorHAnsi"/>
          <w:sz w:val="20"/>
          <w:szCs w:val="20"/>
          <w:lang w:val="es-CO"/>
        </w:rPr>
        <w:t xml:space="preserve">. </w:t>
      </w:r>
      <w:r w:rsidR="00071041" w:rsidRPr="00AD78EA">
        <w:rPr>
          <w:rFonts w:asciiTheme="majorHAnsi" w:hAnsiTheme="majorHAnsi"/>
          <w:sz w:val="20"/>
          <w:szCs w:val="20"/>
          <w:lang w:val="es-CO"/>
        </w:rPr>
        <w:t>A continuación, la Comisión analizará si el Estado de Colombia es responsable por tales afectaciones a la luz de</w:t>
      </w:r>
      <w:r w:rsidR="00A6135F" w:rsidRPr="00AD78EA">
        <w:rPr>
          <w:rFonts w:asciiTheme="majorHAnsi" w:hAnsiTheme="majorHAnsi"/>
          <w:sz w:val="20"/>
          <w:szCs w:val="20"/>
          <w:lang w:val="es-CO"/>
        </w:rPr>
        <w:t xml:space="preserve">l deber de </w:t>
      </w:r>
      <w:r w:rsidR="00DF68FC" w:rsidRPr="00AD78EA">
        <w:rPr>
          <w:rFonts w:asciiTheme="majorHAnsi" w:hAnsiTheme="majorHAnsi"/>
          <w:sz w:val="20"/>
          <w:szCs w:val="20"/>
          <w:lang w:val="es-CO"/>
        </w:rPr>
        <w:t>garantía en su componente de prevención y protección.</w:t>
      </w:r>
    </w:p>
    <w:p w14:paraId="5C2451B9" w14:textId="6220EFDD" w:rsidR="00EF2A2F" w:rsidRPr="00AD78EA" w:rsidRDefault="00EF2A2F" w:rsidP="00F732A3">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b/>
          <w:color w:val="000000"/>
          <w:sz w:val="20"/>
          <w:szCs w:val="20"/>
          <w:u w:color="000000"/>
          <w:lang w:val="es-CO" w:eastAsia="es-ES"/>
        </w:rPr>
      </w:pPr>
    </w:p>
    <w:p w14:paraId="042458B5" w14:textId="747FABF9" w:rsidR="00EF2A2F" w:rsidRPr="00AD78EA" w:rsidRDefault="00EF2A2F"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En este apartado la Comisión verificará si </w:t>
      </w:r>
      <w:r w:rsidR="000653D1" w:rsidRPr="00AD78EA">
        <w:rPr>
          <w:rFonts w:asciiTheme="majorHAnsi" w:eastAsia="Cambria" w:hAnsiTheme="majorHAnsi" w:cs="Cambria"/>
          <w:color w:val="000000"/>
          <w:sz w:val="20"/>
          <w:szCs w:val="20"/>
          <w:u w:color="000000"/>
          <w:lang w:val="es-MX" w:eastAsia="es-ES"/>
        </w:rPr>
        <w:t xml:space="preserve">la respuesta brindada por el </w:t>
      </w:r>
      <w:r w:rsidRPr="00AD78EA">
        <w:rPr>
          <w:rFonts w:asciiTheme="majorHAnsi" w:eastAsia="Cambria" w:hAnsiTheme="majorHAnsi" w:cs="Cambria"/>
          <w:color w:val="000000"/>
          <w:sz w:val="20"/>
          <w:szCs w:val="20"/>
          <w:u w:color="000000"/>
          <w:lang w:val="es-MX" w:eastAsia="es-ES"/>
        </w:rPr>
        <w:t>Estado</w:t>
      </w:r>
      <w:r w:rsidR="000653D1" w:rsidRPr="00AD78EA">
        <w:rPr>
          <w:rFonts w:asciiTheme="majorHAnsi" w:eastAsia="Cambria" w:hAnsiTheme="majorHAnsi" w:cs="Cambria"/>
          <w:color w:val="000000"/>
          <w:sz w:val="20"/>
          <w:szCs w:val="20"/>
          <w:u w:color="000000"/>
          <w:lang w:val="es-MX" w:eastAsia="es-ES"/>
        </w:rPr>
        <w:t xml:space="preserve"> colombiano desde el momento en que tomó conocimiento de las amenazas de muerte contra el señor Morales Díaz, fue compatible con </w:t>
      </w:r>
      <w:r w:rsidR="00A013C7" w:rsidRPr="00AD78EA">
        <w:rPr>
          <w:rFonts w:asciiTheme="majorHAnsi" w:eastAsia="Cambria" w:hAnsiTheme="majorHAnsi" w:cs="Cambria"/>
          <w:color w:val="000000"/>
          <w:sz w:val="20"/>
          <w:szCs w:val="20"/>
          <w:u w:color="000000"/>
          <w:lang w:val="es-MX" w:eastAsia="es-ES"/>
        </w:rPr>
        <w:t>su</w:t>
      </w:r>
      <w:r w:rsidR="003A70AB" w:rsidRPr="00AD78EA">
        <w:rPr>
          <w:rFonts w:asciiTheme="majorHAnsi" w:eastAsia="Cambria" w:hAnsiTheme="majorHAnsi" w:cs="Cambria"/>
          <w:color w:val="000000"/>
          <w:sz w:val="20"/>
          <w:szCs w:val="20"/>
          <w:u w:color="000000"/>
          <w:lang w:val="es-MX" w:eastAsia="es-ES"/>
        </w:rPr>
        <w:t>s</w:t>
      </w:r>
      <w:r w:rsidR="00A013C7" w:rsidRPr="00AD78EA">
        <w:rPr>
          <w:rFonts w:asciiTheme="majorHAnsi" w:eastAsia="Cambria" w:hAnsiTheme="majorHAnsi" w:cs="Cambria"/>
          <w:color w:val="000000"/>
          <w:sz w:val="20"/>
          <w:szCs w:val="20"/>
          <w:u w:color="000000"/>
          <w:lang w:val="es-MX" w:eastAsia="es-ES"/>
        </w:rPr>
        <w:t xml:space="preserve"> deber</w:t>
      </w:r>
      <w:r w:rsidR="003A70AB" w:rsidRPr="00AD78EA">
        <w:rPr>
          <w:rFonts w:asciiTheme="majorHAnsi" w:eastAsia="Cambria" w:hAnsiTheme="majorHAnsi" w:cs="Cambria"/>
          <w:color w:val="000000"/>
          <w:sz w:val="20"/>
          <w:szCs w:val="20"/>
          <w:u w:color="000000"/>
          <w:lang w:val="es-MX" w:eastAsia="es-ES"/>
        </w:rPr>
        <w:t>es</w:t>
      </w:r>
      <w:r w:rsidR="00A013C7" w:rsidRPr="00AD78EA">
        <w:rPr>
          <w:rFonts w:asciiTheme="majorHAnsi" w:eastAsia="Cambria" w:hAnsiTheme="majorHAnsi" w:cs="Cambria"/>
          <w:color w:val="000000"/>
          <w:sz w:val="20"/>
          <w:szCs w:val="20"/>
          <w:u w:color="000000"/>
          <w:lang w:val="es-MX" w:eastAsia="es-ES"/>
        </w:rPr>
        <w:t xml:space="preserve"> de</w:t>
      </w:r>
      <w:r w:rsidR="003A70AB" w:rsidRPr="00AD78EA">
        <w:rPr>
          <w:rFonts w:asciiTheme="majorHAnsi" w:eastAsia="Cambria" w:hAnsiTheme="majorHAnsi" w:cs="Cambria"/>
          <w:color w:val="000000"/>
          <w:sz w:val="20"/>
          <w:szCs w:val="20"/>
          <w:u w:color="000000"/>
          <w:lang w:val="es-MX" w:eastAsia="es-ES"/>
        </w:rPr>
        <w:t xml:space="preserve"> prevención y protección, a la luz de los criterios descritos anteriormente. </w:t>
      </w:r>
    </w:p>
    <w:p w14:paraId="016BB761" w14:textId="77777777" w:rsidR="00EF2A2F" w:rsidRPr="00AD78EA" w:rsidRDefault="00EF2A2F" w:rsidP="00EF2A2F">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sz w:val="20"/>
          <w:szCs w:val="20"/>
          <w:lang w:val="es-MX"/>
        </w:rPr>
      </w:pPr>
    </w:p>
    <w:p w14:paraId="1C66AA61" w14:textId="51A39683" w:rsidR="00EF2A2F" w:rsidRPr="00AD78EA" w:rsidRDefault="00421C3A"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En cuanto a la fecha del conocimiento, co</w:t>
      </w:r>
      <w:r w:rsidR="00B577D3" w:rsidRPr="00AD78EA">
        <w:rPr>
          <w:rFonts w:asciiTheme="majorHAnsi" w:eastAsia="Cambria" w:hAnsiTheme="majorHAnsi" w:cs="Cambria"/>
          <w:color w:val="000000"/>
          <w:sz w:val="20"/>
          <w:szCs w:val="20"/>
          <w:u w:color="000000"/>
          <w:lang w:val="es-MX" w:eastAsia="es-ES"/>
        </w:rPr>
        <w:t xml:space="preserve">mo se indicó en las determinaciones de hecho, </w:t>
      </w:r>
      <w:r w:rsidRPr="00AD78EA">
        <w:rPr>
          <w:rFonts w:asciiTheme="majorHAnsi" w:eastAsia="Cambria" w:hAnsiTheme="majorHAnsi" w:cs="Cambria"/>
          <w:color w:val="000000"/>
          <w:sz w:val="20"/>
          <w:szCs w:val="20"/>
          <w:u w:color="000000"/>
          <w:lang w:val="es-MX" w:eastAsia="es-ES"/>
        </w:rPr>
        <w:t xml:space="preserve">el </w:t>
      </w:r>
      <w:r w:rsidR="00EF2A2F" w:rsidRPr="00AD78EA">
        <w:rPr>
          <w:rFonts w:asciiTheme="majorHAnsi" w:eastAsia="Cambria" w:hAnsiTheme="majorHAnsi" w:cs="Cambria"/>
          <w:color w:val="000000"/>
          <w:sz w:val="20"/>
          <w:szCs w:val="20"/>
          <w:u w:color="000000"/>
          <w:lang w:val="es-MX" w:eastAsia="es-ES"/>
        </w:rPr>
        <w:t>30 de junio de 2000, el señor Morales Díaz puso en conocimiento del Programa Presidencial de Lucha Contra la Corrupción, las llamadas amenazantes que había recibido luego de haber denunciado por</w:t>
      </w:r>
      <w:r w:rsidR="00B577D3" w:rsidRPr="00AD78EA">
        <w:rPr>
          <w:rFonts w:asciiTheme="majorHAnsi" w:eastAsia="Cambria" w:hAnsiTheme="majorHAnsi" w:cs="Cambria"/>
          <w:color w:val="000000"/>
          <w:sz w:val="20"/>
          <w:szCs w:val="20"/>
          <w:u w:color="000000"/>
          <w:lang w:val="es-MX" w:eastAsia="es-ES"/>
        </w:rPr>
        <w:t xml:space="preserve"> supuestos</w:t>
      </w:r>
      <w:r w:rsidR="00EF2A2F" w:rsidRPr="00AD78EA">
        <w:rPr>
          <w:rFonts w:asciiTheme="majorHAnsi" w:eastAsia="Cambria" w:hAnsiTheme="majorHAnsi" w:cs="Cambria"/>
          <w:color w:val="000000"/>
          <w:sz w:val="20"/>
          <w:szCs w:val="20"/>
          <w:u w:color="000000"/>
          <w:lang w:val="es-MX" w:eastAsia="es-ES"/>
        </w:rPr>
        <w:t xml:space="preserve"> actos de corrupción a funcionarios del IDU. Además, en la misma carta, el señor Morales Díaz </w:t>
      </w:r>
      <w:r w:rsidR="00B577D3" w:rsidRPr="00AD78EA">
        <w:rPr>
          <w:rFonts w:asciiTheme="majorHAnsi" w:eastAsia="Cambria" w:hAnsiTheme="majorHAnsi" w:cs="Cambria"/>
          <w:color w:val="000000"/>
          <w:sz w:val="20"/>
          <w:szCs w:val="20"/>
          <w:u w:color="000000"/>
          <w:lang w:val="es-MX" w:eastAsia="es-ES"/>
        </w:rPr>
        <w:t xml:space="preserve">solicitó </w:t>
      </w:r>
      <w:r w:rsidR="00EF2A2F" w:rsidRPr="00AD78EA">
        <w:rPr>
          <w:rFonts w:asciiTheme="majorHAnsi" w:eastAsia="Cambria" w:hAnsiTheme="majorHAnsi" w:cs="Cambria"/>
          <w:color w:val="000000"/>
          <w:sz w:val="20"/>
          <w:szCs w:val="20"/>
          <w:u w:color="000000"/>
          <w:lang w:val="es-MX" w:eastAsia="es-ES"/>
        </w:rPr>
        <w:t>la provisión de medidas de protección para él y su familia.</w:t>
      </w:r>
      <w:r w:rsidRPr="00AD78EA">
        <w:rPr>
          <w:rFonts w:asciiTheme="majorHAnsi" w:eastAsia="Cambria" w:hAnsiTheme="majorHAnsi" w:cs="Cambria"/>
          <w:color w:val="000000"/>
          <w:sz w:val="20"/>
          <w:szCs w:val="20"/>
          <w:u w:color="000000"/>
          <w:lang w:val="es-MX" w:eastAsia="es-ES"/>
        </w:rPr>
        <w:t xml:space="preserve"> </w:t>
      </w:r>
      <w:r w:rsidR="007031C0" w:rsidRPr="00AD78EA">
        <w:rPr>
          <w:rFonts w:asciiTheme="majorHAnsi" w:eastAsia="Cambria" w:hAnsiTheme="majorHAnsi" w:cs="Cambria"/>
          <w:color w:val="000000"/>
          <w:sz w:val="20"/>
          <w:szCs w:val="20"/>
          <w:u w:color="000000"/>
          <w:lang w:val="es-MX" w:eastAsia="es-ES"/>
        </w:rPr>
        <w:t xml:space="preserve">En ese sentido, </w:t>
      </w:r>
      <w:r w:rsidR="00F7294B" w:rsidRPr="00AD78EA">
        <w:rPr>
          <w:rFonts w:asciiTheme="majorHAnsi" w:eastAsia="Cambria" w:hAnsiTheme="majorHAnsi" w:cs="Cambria"/>
          <w:color w:val="000000"/>
          <w:sz w:val="20"/>
          <w:szCs w:val="20"/>
          <w:u w:color="000000"/>
          <w:lang w:val="es-MX" w:eastAsia="es-ES"/>
        </w:rPr>
        <w:t xml:space="preserve">el argumento del Estado en cuanto a que </w:t>
      </w:r>
      <w:r w:rsidR="00EF2A2F" w:rsidRPr="00AD78EA">
        <w:rPr>
          <w:rFonts w:asciiTheme="majorHAnsi" w:eastAsia="Cambria" w:hAnsiTheme="majorHAnsi" w:cs="Cambria"/>
          <w:color w:val="000000"/>
          <w:sz w:val="20"/>
          <w:szCs w:val="20"/>
          <w:u w:color="000000"/>
          <w:lang w:val="es-MX" w:eastAsia="es-ES"/>
        </w:rPr>
        <w:t>las autoridades tomaron conocimiento de las amenazas y del riesgo en que se encontraba el señor Morales tan sólo un día antes del atentado</w:t>
      </w:r>
      <w:r w:rsidR="00415719" w:rsidRPr="00AD78EA">
        <w:rPr>
          <w:rFonts w:asciiTheme="majorHAnsi" w:eastAsia="Cambria" w:hAnsiTheme="majorHAnsi" w:cs="Cambria"/>
          <w:color w:val="000000"/>
          <w:sz w:val="20"/>
          <w:szCs w:val="20"/>
          <w:u w:color="000000"/>
          <w:lang w:val="es-MX" w:eastAsia="es-ES"/>
        </w:rPr>
        <w:t xml:space="preserve"> de 8 de julio de 2000,</w:t>
      </w:r>
      <w:r w:rsidR="00F7294B" w:rsidRPr="00AD78EA">
        <w:rPr>
          <w:rFonts w:asciiTheme="majorHAnsi" w:eastAsia="Cambria" w:hAnsiTheme="majorHAnsi" w:cs="Cambria"/>
          <w:color w:val="000000"/>
          <w:sz w:val="20"/>
          <w:szCs w:val="20"/>
          <w:u w:color="000000"/>
          <w:lang w:val="es-MX" w:eastAsia="es-ES"/>
        </w:rPr>
        <w:t xml:space="preserve"> no resulta consistente con la información que consta en el expediente. </w:t>
      </w:r>
    </w:p>
    <w:p w14:paraId="63F8BE92" w14:textId="77777777" w:rsidR="00D57B9F" w:rsidRPr="00AD78EA" w:rsidRDefault="00D57B9F" w:rsidP="000D2270">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Theme="majorHAnsi" w:eastAsia="Cambria" w:hAnsiTheme="majorHAnsi" w:cs="Cambria"/>
          <w:sz w:val="20"/>
          <w:szCs w:val="20"/>
          <w:lang w:val="es-MX"/>
        </w:rPr>
      </w:pPr>
    </w:p>
    <w:p w14:paraId="3A9A5944" w14:textId="654BFD81" w:rsidR="00415719" w:rsidRPr="00AD78EA" w:rsidRDefault="00EF3B22"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Si bien </w:t>
      </w:r>
      <w:r w:rsidR="00415719" w:rsidRPr="00AD78EA">
        <w:rPr>
          <w:rFonts w:asciiTheme="majorHAnsi" w:eastAsia="Cambria" w:hAnsiTheme="majorHAnsi" w:cs="Cambria"/>
          <w:color w:val="000000"/>
          <w:sz w:val="20"/>
          <w:szCs w:val="20"/>
          <w:u w:color="000000"/>
          <w:lang w:val="es-MX" w:eastAsia="es-ES"/>
        </w:rPr>
        <w:t>fue el</w:t>
      </w:r>
      <w:r w:rsidR="00EF2A2F" w:rsidRPr="00AD78EA">
        <w:rPr>
          <w:rFonts w:asciiTheme="majorHAnsi" w:eastAsia="Cambria" w:hAnsiTheme="majorHAnsi" w:cs="Cambria"/>
          <w:color w:val="000000"/>
          <w:sz w:val="20"/>
          <w:szCs w:val="20"/>
          <w:u w:color="000000"/>
          <w:lang w:val="es-MX" w:eastAsia="es-ES"/>
        </w:rPr>
        <w:t xml:space="preserve"> 7 de julio de 2000</w:t>
      </w:r>
      <w:r w:rsidR="00415719" w:rsidRPr="00AD78EA">
        <w:rPr>
          <w:rFonts w:asciiTheme="majorHAnsi" w:eastAsia="Cambria" w:hAnsiTheme="majorHAnsi" w:cs="Cambria"/>
          <w:color w:val="000000"/>
          <w:sz w:val="20"/>
          <w:szCs w:val="20"/>
          <w:u w:color="000000"/>
          <w:lang w:val="es-MX" w:eastAsia="es-ES"/>
        </w:rPr>
        <w:t xml:space="preserve"> que</w:t>
      </w:r>
      <w:r w:rsidR="00EF2A2F" w:rsidRPr="00AD78EA">
        <w:rPr>
          <w:rFonts w:asciiTheme="majorHAnsi" w:eastAsia="Cambria" w:hAnsiTheme="majorHAnsi" w:cs="Cambria"/>
          <w:color w:val="000000"/>
          <w:sz w:val="20"/>
          <w:szCs w:val="20"/>
          <w:u w:color="000000"/>
          <w:lang w:val="es-MX" w:eastAsia="es-ES"/>
        </w:rPr>
        <w:t xml:space="preserve"> el señor Morales Díaz denunció las llamadas telefónicas amenazantes y exigió</w:t>
      </w:r>
      <w:r w:rsidR="00415719" w:rsidRPr="00AD78EA">
        <w:rPr>
          <w:rFonts w:asciiTheme="majorHAnsi" w:eastAsia="Cambria" w:hAnsiTheme="majorHAnsi" w:cs="Cambria"/>
          <w:color w:val="000000"/>
          <w:sz w:val="20"/>
          <w:szCs w:val="20"/>
          <w:u w:color="000000"/>
          <w:lang w:val="es-MX" w:eastAsia="es-ES"/>
        </w:rPr>
        <w:t xml:space="preserve"> </w:t>
      </w:r>
      <w:r w:rsidR="00EF2A2F" w:rsidRPr="00AD78EA">
        <w:rPr>
          <w:rFonts w:asciiTheme="majorHAnsi" w:eastAsia="Cambria" w:hAnsiTheme="majorHAnsi" w:cs="Cambria"/>
          <w:color w:val="000000"/>
          <w:sz w:val="20"/>
          <w:szCs w:val="20"/>
          <w:u w:color="000000"/>
          <w:lang w:val="es-MX" w:eastAsia="es-ES"/>
        </w:rPr>
        <w:t xml:space="preserve">medidas de protección para </w:t>
      </w:r>
      <w:r w:rsidR="00415719" w:rsidRPr="00AD78EA">
        <w:rPr>
          <w:rFonts w:asciiTheme="majorHAnsi" w:eastAsia="Cambria" w:hAnsiTheme="majorHAnsi" w:cs="Cambria"/>
          <w:color w:val="000000"/>
          <w:sz w:val="20"/>
          <w:szCs w:val="20"/>
          <w:u w:color="000000"/>
          <w:lang w:val="es-MX" w:eastAsia="es-ES"/>
        </w:rPr>
        <w:t>él y su familia ante la FGN y la PGN</w:t>
      </w:r>
      <w:r w:rsidR="00332A22" w:rsidRPr="00AD78EA">
        <w:rPr>
          <w:rFonts w:asciiTheme="majorHAnsi" w:eastAsia="Cambria" w:hAnsiTheme="majorHAnsi" w:cs="Cambria"/>
          <w:color w:val="000000"/>
          <w:sz w:val="20"/>
          <w:szCs w:val="20"/>
          <w:u w:color="000000"/>
          <w:lang w:val="es-MX" w:eastAsia="es-ES"/>
        </w:rPr>
        <w:t xml:space="preserve"> específicamente</w:t>
      </w:r>
      <w:r w:rsidR="00415719" w:rsidRPr="00AD78EA">
        <w:rPr>
          <w:rFonts w:asciiTheme="majorHAnsi" w:eastAsia="Cambria" w:hAnsiTheme="majorHAnsi" w:cs="Cambria"/>
          <w:color w:val="000000"/>
          <w:sz w:val="20"/>
          <w:szCs w:val="20"/>
          <w:u w:color="000000"/>
          <w:lang w:val="es-MX" w:eastAsia="es-ES"/>
        </w:rPr>
        <w:t>, el</w:t>
      </w:r>
      <w:r w:rsidR="000D2270" w:rsidRPr="00AD78EA">
        <w:rPr>
          <w:rFonts w:asciiTheme="majorHAnsi" w:eastAsia="Cambria" w:hAnsiTheme="majorHAnsi" w:cs="Cambria"/>
          <w:color w:val="000000"/>
          <w:sz w:val="20"/>
          <w:szCs w:val="20"/>
          <w:u w:color="000000"/>
          <w:lang w:val="es-MX" w:eastAsia="es-ES"/>
        </w:rPr>
        <w:t xml:space="preserve"> Estado, a través del</w:t>
      </w:r>
      <w:r w:rsidR="00415719" w:rsidRPr="00AD78EA">
        <w:rPr>
          <w:rFonts w:asciiTheme="majorHAnsi" w:eastAsia="Cambria" w:hAnsiTheme="majorHAnsi" w:cs="Cambria"/>
          <w:color w:val="000000"/>
          <w:sz w:val="20"/>
          <w:szCs w:val="20"/>
          <w:u w:color="000000"/>
          <w:lang w:val="es-MX" w:eastAsia="es-ES"/>
        </w:rPr>
        <w:t xml:space="preserve"> Programa Presidencial de Lucha Contra la Corrupción</w:t>
      </w:r>
      <w:r w:rsidR="000D2270" w:rsidRPr="00AD78EA">
        <w:rPr>
          <w:rFonts w:asciiTheme="majorHAnsi" w:eastAsia="Cambria" w:hAnsiTheme="majorHAnsi" w:cs="Cambria"/>
          <w:color w:val="000000"/>
          <w:sz w:val="20"/>
          <w:szCs w:val="20"/>
          <w:u w:color="000000"/>
          <w:lang w:val="es-MX" w:eastAsia="es-ES"/>
        </w:rPr>
        <w:t>,</w:t>
      </w:r>
      <w:r w:rsidR="00763D8C" w:rsidRPr="00AD78EA">
        <w:rPr>
          <w:rFonts w:asciiTheme="majorHAnsi" w:eastAsia="Cambria" w:hAnsiTheme="majorHAnsi" w:cs="Cambria"/>
          <w:color w:val="000000"/>
          <w:sz w:val="20"/>
          <w:szCs w:val="20"/>
          <w:u w:color="000000"/>
          <w:lang w:val="es-MX" w:eastAsia="es-ES"/>
        </w:rPr>
        <w:t xml:space="preserve"> </w:t>
      </w:r>
      <w:r w:rsidR="00415719" w:rsidRPr="00AD78EA">
        <w:rPr>
          <w:rFonts w:asciiTheme="majorHAnsi" w:eastAsia="Cambria" w:hAnsiTheme="majorHAnsi" w:cs="Cambria"/>
          <w:color w:val="000000"/>
          <w:sz w:val="20"/>
          <w:szCs w:val="20"/>
          <w:u w:color="000000"/>
          <w:lang w:val="es-MX" w:eastAsia="es-ES"/>
        </w:rPr>
        <w:t>estaba al tanto de las amenazas de muerte una semana antes del atentado.</w:t>
      </w:r>
      <w:r w:rsidR="000D2270" w:rsidRPr="00AD78EA">
        <w:rPr>
          <w:rFonts w:asciiTheme="majorHAnsi" w:eastAsia="Cambria" w:hAnsiTheme="majorHAnsi" w:cs="Cambria"/>
          <w:color w:val="000000"/>
          <w:sz w:val="20"/>
          <w:szCs w:val="20"/>
          <w:u w:color="000000"/>
          <w:lang w:val="es-MX" w:eastAsia="es-ES"/>
        </w:rPr>
        <w:t xml:space="preserve"> </w:t>
      </w:r>
    </w:p>
    <w:p w14:paraId="5A34423B" w14:textId="5F59507D" w:rsidR="00EF2A2F" w:rsidRPr="00AD78EA" w:rsidRDefault="00EF2A2F" w:rsidP="00415719">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Theme="majorHAnsi" w:eastAsia="Cambria" w:hAnsiTheme="majorHAnsi" w:cs="Cambria"/>
          <w:color w:val="000000"/>
          <w:sz w:val="20"/>
          <w:szCs w:val="20"/>
          <w:u w:color="000000"/>
          <w:lang w:val="es-MX" w:eastAsia="es-ES"/>
        </w:rPr>
      </w:pPr>
    </w:p>
    <w:p w14:paraId="33794FA9" w14:textId="24D5D1BA" w:rsidR="00125B7C" w:rsidRPr="00AD78EA" w:rsidRDefault="00282A23" w:rsidP="00A3737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Al respecto, </w:t>
      </w:r>
      <w:r w:rsidR="00E159C9" w:rsidRPr="00AD78EA">
        <w:rPr>
          <w:rFonts w:asciiTheme="majorHAnsi" w:eastAsia="Cambria" w:hAnsiTheme="majorHAnsi" w:cs="Cambria"/>
          <w:color w:val="000000"/>
          <w:sz w:val="20"/>
          <w:szCs w:val="20"/>
          <w:u w:color="000000"/>
          <w:lang w:val="es-MX" w:eastAsia="es-ES"/>
        </w:rPr>
        <w:t xml:space="preserve">en el contexto de defensores de derechos humanos, </w:t>
      </w:r>
      <w:r w:rsidRPr="00AD78EA">
        <w:rPr>
          <w:rFonts w:asciiTheme="majorHAnsi" w:eastAsia="Cambria" w:hAnsiTheme="majorHAnsi" w:cs="Cambria"/>
          <w:color w:val="000000"/>
          <w:sz w:val="20"/>
          <w:szCs w:val="20"/>
          <w:u w:color="000000"/>
          <w:lang w:val="es-MX" w:eastAsia="es-ES"/>
        </w:rPr>
        <w:t>la CIDH ha indicado</w:t>
      </w:r>
      <w:r w:rsidR="00246FE8" w:rsidRPr="00AD78EA">
        <w:rPr>
          <w:rFonts w:asciiTheme="majorHAnsi" w:eastAsia="Cambria" w:hAnsiTheme="majorHAnsi" w:cs="Cambria"/>
          <w:color w:val="000000"/>
          <w:sz w:val="20"/>
          <w:szCs w:val="20"/>
          <w:u w:color="000000"/>
          <w:lang w:val="es-MX" w:eastAsia="es-ES"/>
        </w:rPr>
        <w:t xml:space="preserve"> que</w:t>
      </w:r>
      <w:r w:rsidRPr="00AD78EA">
        <w:rPr>
          <w:rFonts w:asciiTheme="majorHAnsi" w:eastAsia="Cambria" w:hAnsiTheme="majorHAnsi" w:cs="Cambria"/>
          <w:color w:val="000000"/>
          <w:sz w:val="20"/>
          <w:szCs w:val="20"/>
          <w:u w:color="000000"/>
          <w:lang w:val="es-MX" w:eastAsia="es-ES"/>
        </w:rPr>
        <w:t xml:space="preserve"> “p</w:t>
      </w:r>
      <w:r w:rsidRPr="00AD78EA">
        <w:rPr>
          <w:rFonts w:asciiTheme="majorHAnsi" w:hAnsiTheme="majorHAnsi"/>
          <w:sz w:val="20"/>
          <w:szCs w:val="20"/>
          <w:lang w:val="es-CO"/>
        </w:rPr>
        <w:t>ara activar el deber del Estado de proteger a una persona defensora, es</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suficiente con que cualquier autoridad tenga o debiera tener conocimiento</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de una situación de riesgo. En este sentido, cuando una autoridad del</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mecanismo toma conocimiento de una situación de riesgo real e inmediato</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a la vida de una persona defensora de derechos humanos, corresponde a</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 xml:space="preserve">dicha autoridad </w:t>
      </w:r>
      <w:r w:rsidR="00554045" w:rsidRPr="00AD78EA">
        <w:rPr>
          <w:rFonts w:asciiTheme="majorHAnsi" w:hAnsiTheme="majorHAnsi"/>
          <w:sz w:val="20"/>
          <w:szCs w:val="20"/>
          <w:lang w:val="es-CO"/>
        </w:rPr>
        <w:t>‘</w:t>
      </w:r>
      <w:r w:rsidRPr="00AD78EA">
        <w:rPr>
          <w:rFonts w:asciiTheme="majorHAnsi" w:hAnsiTheme="majorHAnsi"/>
          <w:sz w:val="20"/>
          <w:szCs w:val="20"/>
          <w:lang w:val="es-CO"/>
        </w:rPr>
        <w:t>identificar o valorar si la persona objeto de amenazas y</w:t>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hAnsiTheme="majorHAnsi"/>
          <w:sz w:val="20"/>
          <w:szCs w:val="20"/>
          <w:lang w:val="es-CO"/>
        </w:rPr>
        <w:t>hostigamientos requiere protección o remitir el asunto a la autoridad</w:t>
      </w:r>
      <w:r w:rsidRPr="00AD78EA">
        <w:rPr>
          <w:rFonts w:asciiTheme="majorHAnsi" w:eastAsia="Cambria" w:hAnsiTheme="majorHAnsi" w:cs="Cambria"/>
          <w:color w:val="000000"/>
          <w:sz w:val="20"/>
          <w:szCs w:val="20"/>
          <w:u w:color="000000"/>
          <w:lang w:val="es-MX" w:eastAsia="es-ES"/>
        </w:rPr>
        <w:t xml:space="preserve"> </w:t>
      </w:r>
      <w:r w:rsidR="00554045" w:rsidRPr="00AD78EA">
        <w:rPr>
          <w:rFonts w:asciiTheme="majorHAnsi" w:hAnsiTheme="majorHAnsi"/>
          <w:sz w:val="20"/>
          <w:szCs w:val="20"/>
          <w:lang w:val="es-CO"/>
        </w:rPr>
        <w:t>competente para hacerlo’”</w:t>
      </w:r>
      <w:r w:rsidR="006475A4" w:rsidRPr="00AD78EA">
        <w:rPr>
          <w:rStyle w:val="FootnoteReference"/>
          <w:rFonts w:asciiTheme="majorHAnsi" w:hAnsiTheme="majorHAnsi"/>
          <w:sz w:val="20"/>
          <w:szCs w:val="20"/>
          <w:lang w:val="es-CO"/>
        </w:rPr>
        <w:footnoteReference w:id="65"/>
      </w:r>
      <w:r w:rsidR="00554045" w:rsidRPr="00AD78EA">
        <w:rPr>
          <w:rFonts w:asciiTheme="majorHAnsi" w:hAnsiTheme="majorHAnsi"/>
          <w:sz w:val="20"/>
          <w:szCs w:val="20"/>
          <w:lang w:val="es-CO"/>
        </w:rPr>
        <w:t xml:space="preserve">. </w:t>
      </w:r>
      <w:r w:rsidR="00D92313" w:rsidRPr="00AD78EA">
        <w:rPr>
          <w:rFonts w:ascii="Cambria" w:hAnsi="Cambria"/>
          <w:sz w:val="20"/>
          <w:szCs w:val="20"/>
          <w:lang w:val="es-ES"/>
        </w:rPr>
        <w:t xml:space="preserve"> </w:t>
      </w:r>
    </w:p>
    <w:p w14:paraId="6DF1F0AA" w14:textId="77777777" w:rsidR="00125B7C" w:rsidRPr="00AD78EA" w:rsidRDefault="00125B7C" w:rsidP="007A03BD">
      <w:pPr>
        <w:rPr>
          <w:sz w:val="16"/>
          <w:szCs w:val="16"/>
          <w:lang w:val="es-MX"/>
        </w:rPr>
      </w:pPr>
    </w:p>
    <w:p w14:paraId="21DDAAAD" w14:textId="249082C9" w:rsidR="00EF2A2F" w:rsidRPr="00AD78EA" w:rsidRDefault="005A0B26"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En la misma línea, </w:t>
      </w:r>
      <w:r w:rsidR="00CA553E" w:rsidRPr="00AD78EA">
        <w:rPr>
          <w:rFonts w:asciiTheme="majorHAnsi" w:eastAsia="Cambria" w:hAnsiTheme="majorHAnsi" w:cs="Cambria"/>
          <w:color w:val="000000"/>
          <w:sz w:val="20"/>
          <w:szCs w:val="20"/>
          <w:u w:color="000000"/>
          <w:lang w:val="es-MX" w:eastAsia="es-ES"/>
        </w:rPr>
        <w:t>la Corte</w:t>
      </w:r>
      <w:r w:rsidR="00F75616" w:rsidRPr="00AD78EA">
        <w:rPr>
          <w:rFonts w:asciiTheme="majorHAnsi" w:eastAsia="Cambria" w:hAnsiTheme="majorHAnsi" w:cs="Cambria"/>
          <w:color w:val="000000"/>
          <w:sz w:val="20"/>
          <w:szCs w:val="20"/>
          <w:u w:color="000000"/>
          <w:lang w:val="es-MX" w:eastAsia="es-ES"/>
        </w:rPr>
        <w:t xml:space="preserve"> ha señalado que</w:t>
      </w:r>
      <w:r w:rsidR="00EF2A2F" w:rsidRPr="00AD78EA">
        <w:rPr>
          <w:rFonts w:asciiTheme="majorHAnsi" w:eastAsia="Cambria" w:hAnsiTheme="majorHAnsi" w:cs="Cambria"/>
          <w:color w:val="000000"/>
          <w:sz w:val="20"/>
          <w:szCs w:val="20"/>
          <w:u w:color="000000"/>
          <w:lang w:val="es-MX" w:eastAsia="es-ES"/>
        </w:rPr>
        <w:t xml:space="preserve"> “la valoración sobre si una persona requiere medidas de protección y cuáles son las medidas adecuadas es una obligación que corresponde al Estado y no puede restringirse a que la propia víctima lo solicite a las autoridades competentes, ni que conozca con exactitud cuál es la autoridad en mejor capacidad de atender su situación, ya que corresponde al Estado establecer medidas de coordinación entre sus entidades y funcionarios para tal fin”</w:t>
      </w:r>
      <w:r w:rsidR="00EF2A2F" w:rsidRPr="00AD78EA">
        <w:rPr>
          <w:rFonts w:asciiTheme="majorHAnsi" w:eastAsia="Cambria" w:hAnsiTheme="majorHAnsi" w:cs="Cambria"/>
          <w:color w:val="000000"/>
          <w:sz w:val="20"/>
          <w:szCs w:val="20"/>
          <w:u w:color="000000"/>
          <w:vertAlign w:val="superscript"/>
          <w:lang w:val="es-MX" w:eastAsia="es-ES"/>
        </w:rPr>
        <w:footnoteReference w:id="66"/>
      </w:r>
      <w:r w:rsidR="00EF2A2F" w:rsidRPr="00AD78EA">
        <w:rPr>
          <w:rFonts w:asciiTheme="majorHAnsi" w:eastAsia="Cambria" w:hAnsiTheme="majorHAnsi" w:cs="Cambria"/>
          <w:color w:val="000000"/>
          <w:sz w:val="20"/>
          <w:szCs w:val="20"/>
          <w:u w:color="000000"/>
          <w:lang w:val="es-MX" w:eastAsia="es-ES"/>
        </w:rPr>
        <w:t xml:space="preserve">. </w:t>
      </w:r>
    </w:p>
    <w:p w14:paraId="2B89DE58" w14:textId="77777777" w:rsidR="00763D8C" w:rsidRPr="00AD78EA" w:rsidRDefault="00763D8C" w:rsidP="00763D8C">
      <w:pPr>
        <w:pStyle w:val="ListParagraph"/>
        <w:rPr>
          <w:rFonts w:asciiTheme="majorHAnsi" w:hAnsiTheme="majorHAnsi"/>
          <w:sz w:val="20"/>
          <w:szCs w:val="20"/>
          <w:lang w:val="es-MX"/>
        </w:rPr>
      </w:pPr>
    </w:p>
    <w:p w14:paraId="607C2FF7" w14:textId="6AE5EFC8" w:rsidR="00A37372" w:rsidRPr="00AD78EA" w:rsidRDefault="00A37372" w:rsidP="00A3737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Cambria" w:eastAsia="Cambria" w:hAnsi="Cambria" w:cs="Cambria"/>
          <w:color w:val="000000"/>
          <w:sz w:val="20"/>
          <w:szCs w:val="20"/>
          <w:u w:color="000000"/>
          <w:lang w:val="es-MX" w:eastAsia="es-ES"/>
        </w:rPr>
      </w:pPr>
      <w:r w:rsidRPr="00AD78EA">
        <w:rPr>
          <w:rFonts w:ascii="Cambria" w:hAnsi="Cambria"/>
          <w:sz w:val="20"/>
          <w:szCs w:val="20"/>
          <w:lang w:val="es-CO"/>
        </w:rPr>
        <w:t xml:space="preserve">La Comisión toma en cuenta que el señor Morales Díaz denunció supuestos actos de corrupción y, en tal medida tenía la calidad </w:t>
      </w:r>
      <w:r w:rsidR="001123F8">
        <w:rPr>
          <w:rFonts w:ascii="Cambria" w:hAnsi="Cambria"/>
          <w:sz w:val="20"/>
          <w:szCs w:val="20"/>
          <w:lang w:val="es-CO"/>
        </w:rPr>
        <w:t>d</w:t>
      </w:r>
      <w:r w:rsidRPr="00AD78EA">
        <w:rPr>
          <w:rFonts w:ascii="Cambria" w:hAnsi="Cambria"/>
          <w:sz w:val="20"/>
          <w:szCs w:val="20"/>
          <w:lang w:val="es-CO"/>
        </w:rPr>
        <w:t xml:space="preserve">e testigo de un hecho que debía ser investigado por el Estado con la mayor seriedad y diligencia. La Corte Interamericana ha señalado la obligación de los Estados de proteger a personas que pudieran estar en riesgo en diferentes calidades en el marco de un proceso penal, incluyendo la de testigo. Específicamente, ha indicado que </w:t>
      </w:r>
      <w:r w:rsidRPr="00AD78EA">
        <w:rPr>
          <w:rFonts w:ascii="Cambria" w:eastAsia="Cambria" w:hAnsi="Cambria" w:cs="Cambria"/>
          <w:color w:val="000000"/>
          <w:sz w:val="20"/>
          <w:szCs w:val="20"/>
          <w:u w:color="000000"/>
          <w:lang w:val="es-MX" w:eastAsia="es-ES"/>
        </w:rPr>
        <w:t>“</w:t>
      </w:r>
      <w:r w:rsidRPr="00AD78EA">
        <w:rPr>
          <w:rFonts w:ascii="Cambria" w:hAnsi="Cambria"/>
          <w:sz w:val="20"/>
          <w:szCs w:val="20"/>
          <w:lang w:val="es-ES"/>
        </w:rPr>
        <w:t>para cumplir con la obligación de investigar en el marco de las garantías del debido proceso, el Estado debe facilitar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w:t>
      </w:r>
      <w:r w:rsidRPr="00AD78EA">
        <w:rPr>
          <w:rStyle w:val="FootnoteReference"/>
          <w:rFonts w:ascii="Cambria" w:hAnsi="Cambria"/>
          <w:sz w:val="20"/>
          <w:szCs w:val="20"/>
        </w:rPr>
        <w:footnoteReference w:id="67"/>
      </w:r>
      <w:r w:rsidRPr="00AD78EA">
        <w:rPr>
          <w:rFonts w:ascii="Cambria" w:hAnsi="Cambria"/>
          <w:sz w:val="20"/>
          <w:szCs w:val="20"/>
          <w:lang w:val="es-ES"/>
        </w:rPr>
        <w:t xml:space="preserve">. Por su parte, la CIDH en su Resolución 1/18 sobre Corrupción y Derechos Humanos, destacó la necesidad de “crear un ambiente libre de amenazas (…) de quienes investigan, informan </w:t>
      </w:r>
      <w:r w:rsidRPr="00AD78EA">
        <w:rPr>
          <w:rFonts w:ascii="Cambria" w:hAnsi="Cambria"/>
          <w:sz w:val="20"/>
          <w:szCs w:val="20"/>
          <w:lang w:val="es-ES"/>
        </w:rPr>
        <w:lastRenderedPageBreak/>
        <w:t>y denuncian actos de corrupción y que la seguridad de las personas que se involucran en denuncias contra la corrupción (…) es esencial para” erradicarla</w:t>
      </w:r>
      <w:r w:rsidRPr="00AD78EA">
        <w:rPr>
          <w:rStyle w:val="FootnoteReference"/>
          <w:rFonts w:ascii="Cambria" w:hAnsi="Cambria"/>
          <w:sz w:val="20"/>
          <w:szCs w:val="20"/>
        </w:rPr>
        <w:footnoteReference w:id="68"/>
      </w:r>
      <w:r w:rsidRPr="00AD78EA">
        <w:rPr>
          <w:rFonts w:ascii="Cambria" w:hAnsi="Cambria"/>
          <w:sz w:val="20"/>
          <w:szCs w:val="20"/>
          <w:lang w:val="es-ES"/>
        </w:rPr>
        <w:t xml:space="preserve">. </w:t>
      </w:r>
    </w:p>
    <w:p w14:paraId="34D4BDA5" w14:textId="77777777" w:rsidR="00A37372" w:rsidRPr="00AD78EA" w:rsidRDefault="00A37372" w:rsidP="007D45BD">
      <w:pPr>
        <w:rPr>
          <w:rFonts w:asciiTheme="majorHAnsi" w:hAnsiTheme="majorHAnsi"/>
          <w:sz w:val="20"/>
          <w:szCs w:val="20"/>
          <w:lang w:val="es-MX"/>
        </w:rPr>
      </w:pPr>
    </w:p>
    <w:p w14:paraId="543C6209" w14:textId="14AB63A0" w:rsidR="00763D8C" w:rsidRPr="00AD78EA" w:rsidRDefault="00763D8C"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En suma, la Comisión considera que el Estado colombiano tuvo conocimiento de la situación de riesgo para la vida e integridad personal del señor Morales Díaz, incluyendo el hecho de que dicho riesgo podía provenir de agentes estatales denunciados de corrupción, desde el 30 de junio de 2000</w:t>
      </w:r>
      <w:r w:rsidR="00471137" w:rsidRPr="00AD78EA">
        <w:rPr>
          <w:rFonts w:asciiTheme="majorHAnsi" w:eastAsia="Cambria" w:hAnsiTheme="majorHAnsi" w:cs="Cambria"/>
          <w:color w:val="000000"/>
          <w:sz w:val="20"/>
          <w:szCs w:val="20"/>
          <w:u w:color="000000"/>
          <w:lang w:val="es-MX" w:eastAsia="es-ES"/>
        </w:rPr>
        <w:t xml:space="preserve">. Con este conocimiento y tomando en cuenta la naturaleza de los elementos presentados, </w:t>
      </w:r>
      <w:r w:rsidRPr="00AD78EA">
        <w:rPr>
          <w:rFonts w:asciiTheme="majorHAnsi" w:eastAsia="Cambria" w:hAnsiTheme="majorHAnsi" w:cs="Cambria"/>
          <w:color w:val="000000"/>
          <w:sz w:val="20"/>
          <w:szCs w:val="20"/>
          <w:u w:color="000000"/>
          <w:lang w:val="es-MX" w:eastAsia="es-ES"/>
        </w:rPr>
        <w:t xml:space="preserve">se activó un deber de respuesta inmediata de prevención y protección conforme a su deber de garantía de los referidos derechos. </w:t>
      </w:r>
    </w:p>
    <w:p w14:paraId="4FE96F23" w14:textId="77777777" w:rsidR="00EF2A2F" w:rsidRPr="00AD78EA" w:rsidRDefault="00EF2A2F" w:rsidP="00EF2A2F">
      <w:pPr>
        <w:pBdr>
          <w:top w:val="none" w:sz="0" w:space="0" w:color="000000"/>
          <w:left w:val="none" w:sz="0" w:space="0" w:color="000000"/>
          <w:bottom w:val="none" w:sz="0" w:space="0" w:color="000000"/>
          <w:right w:val="none" w:sz="0" w:space="0" w:color="000000"/>
          <w:between w:val="none" w:sz="0" w:space="0" w:color="000000"/>
        </w:pBdr>
        <w:tabs>
          <w:tab w:val="left" w:pos="450"/>
        </w:tabs>
        <w:ind w:left="720"/>
        <w:jc w:val="both"/>
        <w:rPr>
          <w:rFonts w:asciiTheme="majorHAnsi" w:eastAsia="Cambria" w:hAnsiTheme="majorHAnsi" w:cs="Cambria"/>
          <w:color w:val="000000"/>
          <w:sz w:val="20"/>
          <w:szCs w:val="20"/>
          <w:u w:color="000000"/>
          <w:lang w:val="es-MX" w:eastAsia="es-ES"/>
        </w:rPr>
      </w:pPr>
    </w:p>
    <w:p w14:paraId="58B3E584" w14:textId="13406A18" w:rsidR="00D57B9F" w:rsidRPr="005E4E9F" w:rsidRDefault="00FB22B9" w:rsidP="005E4E9F">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Sobre la respuesta otorgada por el Estado, la CIDH destaca que no consta en el expediente ninguna respuesta el mismo 30 de junio de 2000 ni los días inmediatamente posteriores. La primera respuesta estatal tuvo lugar seis días después, el 6 de julio de 2000, cuando </w:t>
      </w:r>
      <w:r w:rsidR="00AB7FFC" w:rsidRPr="00AD78EA">
        <w:rPr>
          <w:rFonts w:asciiTheme="majorHAnsi" w:eastAsia="Cambria" w:hAnsiTheme="majorHAnsi" w:cs="Cambria"/>
          <w:color w:val="000000"/>
          <w:sz w:val="20"/>
          <w:szCs w:val="20"/>
          <w:u w:color="000000"/>
          <w:lang w:val="es-MX" w:eastAsia="es-ES"/>
        </w:rPr>
        <w:t xml:space="preserve">el Programa Presidencial de Lucha contra la Corrupción </w:t>
      </w:r>
      <w:r w:rsidRPr="00AD78EA">
        <w:rPr>
          <w:rFonts w:asciiTheme="majorHAnsi" w:eastAsia="Cambria" w:hAnsiTheme="majorHAnsi" w:cs="Cambria"/>
          <w:color w:val="000000"/>
          <w:sz w:val="20"/>
          <w:szCs w:val="20"/>
          <w:u w:color="000000"/>
          <w:lang w:val="es-MX" w:eastAsia="es-ES"/>
        </w:rPr>
        <w:t xml:space="preserve">le informó que puso su caso en conocimiento del DAS para que realizara los estudios técnicos correspondientes y le proveyera medidas de seguridad. </w:t>
      </w:r>
      <w:r w:rsidR="00A42F67" w:rsidRPr="00AD78EA">
        <w:rPr>
          <w:rFonts w:asciiTheme="majorHAnsi" w:eastAsia="Cambria" w:hAnsiTheme="majorHAnsi" w:cs="Cambria"/>
          <w:color w:val="000000"/>
          <w:sz w:val="20"/>
          <w:szCs w:val="20"/>
          <w:u w:color="000000"/>
          <w:lang w:val="es-MX" w:eastAsia="es-ES"/>
        </w:rPr>
        <w:t>Esta</w:t>
      </w:r>
      <w:r w:rsidR="00AB2120" w:rsidRPr="00AD78EA">
        <w:rPr>
          <w:rFonts w:asciiTheme="majorHAnsi" w:eastAsia="Cambria" w:hAnsiTheme="majorHAnsi" w:cs="Cambria"/>
          <w:color w:val="000000"/>
          <w:sz w:val="20"/>
          <w:szCs w:val="20"/>
          <w:u w:color="000000"/>
          <w:lang w:val="es-MX" w:eastAsia="es-ES"/>
        </w:rPr>
        <w:t xml:space="preserve"> remisión al DAS y el inicio de un estudio de riesgo por parte de la FGN, </w:t>
      </w:r>
      <w:r w:rsidR="00A42F67" w:rsidRPr="00AD78EA">
        <w:rPr>
          <w:rFonts w:asciiTheme="majorHAnsi" w:eastAsia="Cambria" w:hAnsiTheme="majorHAnsi" w:cs="Cambria"/>
          <w:color w:val="000000"/>
          <w:sz w:val="20"/>
          <w:szCs w:val="20"/>
          <w:u w:color="000000"/>
          <w:lang w:val="es-MX" w:eastAsia="es-ES"/>
        </w:rPr>
        <w:t>fue</w:t>
      </w:r>
      <w:r w:rsidR="00AB2120" w:rsidRPr="00AD78EA">
        <w:rPr>
          <w:rFonts w:asciiTheme="majorHAnsi" w:eastAsia="Cambria" w:hAnsiTheme="majorHAnsi" w:cs="Cambria"/>
          <w:color w:val="000000"/>
          <w:sz w:val="20"/>
          <w:szCs w:val="20"/>
          <w:u w:color="000000"/>
          <w:lang w:val="es-MX" w:eastAsia="es-ES"/>
        </w:rPr>
        <w:t>ron</w:t>
      </w:r>
      <w:r w:rsidR="00A42F67" w:rsidRPr="00AD78EA">
        <w:rPr>
          <w:rFonts w:asciiTheme="majorHAnsi" w:eastAsia="Cambria" w:hAnsiTheme="majorHAnsi" w:cs="Cambria"/>
          <w:color w:val="000000"/>
          <w:sz w:val="20"/>
          <w:szCs w:val="20"/>
          <w:u w:color="000000"/>
          <w:lang w:val="es-MX" w:eastAsia="es-ES"/>
        </w:rPr>
        <w:t xml:space="preserve"> la</w:t>
      </w:r>
      <w:r w:rsidR="00AF39CC" w:rsidRPr="00AD78EA">
        <w:rPr>
          <w:rFonts w:asciiTheme="majorHAnsi" w:eastAsia="Cambria" w:hAnsiTheme="majorHAnsi" w:cs="Cambria"/>
          <w:color w:val="000000"/>
          <w:sz w:val="20"/>
          <w:szCs w:val="20"/>
          <w:u w:color="000000"/>
          <w:lang w:val="es-MX" w:eastAsia="es-ES"/>
        </w:rPr>
        <w:t>s</w:t>
      </w:r>
      <w:r w:rsidR="00A42F67" w:rsidRPr="00AD78EA">
        <w:rPr>
          <w:rFonts w:asciiTheme="majorHAnsi" w:eastAsia="Cambria" w:hAnsiTheme="majorHAnsi" w:cs="Cambria"/>
          <w:color w:val="000000"/>
          <w:sz w:val="20"/>
          <w:szCs w:val="20"/>
          <w:u w:color="000000"/>
          <w:lang w:val="es-MX" w:eastAsia="es-ES"/>
        </w:rPr>
        <w:t xml:space="preserve"> única</w:t>
      </w:r>
      <w:r w:rsidR="00AF39CC" w:rsidRPr="00AD78EA">
        <w:rPr>
          <w:rFonts w:asciiTheme="majorHAnsi" w:eastAsia="Cambria" w:hAnsiTheme="majorHAnsi" w:cs="Cambria"/>
          <w:color w:val="000000"/>
          <w:sz w:val="20"/>
          <w:szCs w:val="20"/>
          <w:u w:color="000000"/>
          <w:lang w:val="es-MX" w:eastAsia="es-ES"/>
        </w:rPr>
        <w:t>s</w:t>
      </w:r>
      <w:r w:rsidR="00A42F67" w:rsidRPr="00AD78EA">
        <w:rPr>
          <w:rFonts w:asciiTheme="majorHAnsi" w:eastAsia="Cambria" w:hAnsiTheme="majorHAnsi" w:cs="Cambria"/>
          <w:color w:val="000000"/>
          <w:sz w:val="20"/>
          <w:szCs w:val="20"/>
          <w:u w:color="000000"/>
          <w:lang w:val="es-MX" w:eastAsia="es-ES"/>
        </w:rPr>
        <w:t xml:space="preserve"> actuaci</w:t>
      </w:r>
      <w:r w:rsidR="00AF39CC" w:rsidRPr="00AD78EA">
        <w:rPr>
          <w:rFonts w:asciiTheme="majorHAnsi" w:eastAsia="Cambria" w:hAnsiTheme="majorHAnsi" w:cs="Cambria"/>
          <w:color w:val="000000"/>
          <w:sz w:val="20"/>
          <w:szCs w:val="20"/>
          <w:u w:color="000000"/>
          <w:lang w:val="es-MX" w:eastAsia="es-ES"/>
        </w:rPr>
        <w:t>o</w:t>
      </w:r>
      <w:r w:rsidR="00A42F67" w:rsidRPr="00AD78EA">
        <w:rPr>
          <w:rFonts w:asciiTheme="majorHAnsi" w:eastAsia="Cambria" w:hAnsiTheme="majorHAnsi" w:cs="Cambria"/>
          <w:color w:val="000000"/>
          <w:sz w:val="20"/>
          <w:szCs w:val="20"/>
          <w:u w:color="000000"/>
          <w:lang w:val="es-MX" w:eastAsia="es-ES"/>
        </w:rPr>
        <w:t>n</w:t>
      </w:r>
      <w:r w:rsidR="00AF39CC" w:rsidRPr="00AD78EA">
        <w:rPr>
          <w:rFonts w:asciiTheme="majorHAnsi" w:eastAsia="Cambria" w:hAnsiTheme="majorHAnsi" w:cs="Cambria"/>
          <w:color w:val="000000"/>
          <w:sz w:val="20"/>
          <w:szCs w:val="20"/>
          <w:u w:color="000000"/>
          <w:lang w:val="es-MX" w:eastAsia="es-ES"/>
        </w:rPr>
        <w:t>es</w:t>
      </w:r>
      <w:r w:rsidR="00A42F67" w:rsidRPr="00AD78EA">
        <w:rPr>
          <w:rFonts w:asciiTheme="majorHAnsi" w:eastAsia="Cambria" w:hAnsiTheme="majorHAnsi" w:cs="Cambria"/>
          <w:color w:val="000000"/>
          <w:sz w:val="20"/>
          <w:szCs w:val="20"/>
          <w:u w:color="000000"/>
          <w:lang w:val="es-MX" w:eastAsia="es-ES"/>
        </w:rPr>
        <w:t xml:space="preserve"> del Estado previ</w:t>
      </w:r>
      <w:r w:rsidR="00B5162E" w:rsidRPr="00AD78EA">
        <w:rPr>
          <w:rFonts w:asciiTheme="majorHAnsi" w:eastAsia="Cambria" w:hAnsiTheme="majorHAnsi" w:cs="Cambria"/>
          <w:color w:val="000000"/>
          <w:sz w:val="20"/>
          <w:szCs w:val="20"/>
          <w:u w:color="000000"/>
          <w:lang w:val="es-MX" w:eastAsia="es-ES"/>
        </w:rPr>
        <w:t>as</w:t>
      </w:r>
      <w:r w:rsidR="00A42F67" w:rsidRPr="00AD78EA">
        <w:rPr>
          <w:rFonts w:asciiTheme="majorHAnsi" w:eastAsia="Cambria" w:hAnsiTheme="majorHAnsi" w:cs="Cambria"/>
          <w:color w:val="000000"/>
          <w:sz w:val="20"/>
          <w:szCs w:val="20"/>
          <w:u w:color="000000"/>
          <w:lang w:val="es-MX" w:eastAsia="es-ES"/>
        </w:rPr>
        <w:t xml:space="preserve"> al atentado contra la vida del señor Morales Díaz</w:t>
      </w:r>
      <w:r w:rsidR="00CE40E8" w:rsidRPr="00AD78EA">
        <w:rPr>
          <w:rFonts w:asciiTheme="majorHAnsi" w:eastAsia="Cambria" w:hAnsiTheme="majorHAnsi" w:cs="Cambria"/>
          <w:color w:val="000000"/>
          <w:sz w:val="20"/>
          <w:szCs w:val="20"/>
          <w:u w:color="000000"/>
          <w:lang w:val="es-MX" w:eastAsia="es-ES"/>
        </w:rPr>
        <w:t xml:space="preserve"> el 8 de julio de 2000. </w:t>
      </w:r>
    </w:p>
    <w:p w14:paraId="0878EA2C" w14:textId="77777777" w:rsidR="00D57B9F" w:rsidRPr="00AD78EA" w:rsidRDefault="00D57B9F" w:rsidP="00B5162E">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Theme="majorHAnsi" w:eastAsia="Cambria" w:hAnsiTheme="majorHAnsi" w:cs="Cambria"/>
          <w:color w:val="000000"/>
          <w:sz w:val="20"/>
          <w:szCs w:val="20"/>
          <w:u w:color="000000"/>
          <w:lang w:val="es-MX" w:eastAsia="es-ES"/>
        </w:rPr>
      </w:pPr>
    </w:p>
    <w:p w14:paraId="05683CF1" w14:textId="122CC02C" w:rsidR="00EF2A2F" w:rsidRPr="00AD78EA" w:rsidRDefault="00EF2A2F"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La Comisión </w:t>
      </w:r>
      <w:r w:rsidR="00E1686F" w:rsidRPr="00AD78EA">
        <w:rPr>
          <w:rFonts w:asciiTheme="majorHAnsi" w:eastAsia="Cambria" w:hAnsiTheme="majorHAnsi" w:cs="Cambria"/>
          <w:color w:val="000000"/>
          <w:sz w:val="20"/>
          <w:szCs w:val="20"/>
          <w:u w:color="000000"/>
          <w:lang w:val="es-MX" w:eastAsia="es-ES"/>
        </w:rPr>
        <w:t>destaca que los estudios de riesgo resultan relevantes y necesarios para identificar las fuentes de riesgo en que se encuentra una persona, así como las medidas de protección más idóneas en su caso particular. Sin embargo, la realización de dichos estudios de riesgo no puede retrasar la implementación inmediata de medidas de protección a favor de una persona cuya vida e integridad se encuentra</w:t>
      </w:r>
      <w:r w:rsidR="00C62CE4" w:rsidRPr="00AD78EA">
        <w:rPr>
          <w:rFonts w:asciiTheme="majorHAnsi" w:eastAsia="Cambria" w:hAnsiTheme="majorHAnsi" w:cs="Cambria"/>
          <w:color w:val="000000"/>
          <w:sz w:val="20"/>
          <w:szCs w:val="20"/>
          <w:u w:color="000000"/>
          <w:lang w:val="es-MX" w:eastAsia="es-ES"/>
        </w:rPr>
        <w:t>n</w:t>
      </w:r>
      <w:r w:rsidR="00E1686F" w:rsidRPr="00AD78EA">
        <w:rPr>
          <w:rFonts w:asciiTheme="majorHAnsi" w:eastAsia="Cambria" w:hAnsiTheme="majorHAnsi" w:cs="Cambria"/>
          <w:color w:val="000000"/>
          <w:sz w:val="20"/>
          <w:szCs w:val="20"/>
          <w:u w:color="000000"/>
          <w:lang w:val="es-MX" w:eastAsia="es-ES"/>
        </w:rPr>
        <w:t xml:space="preserve"> en peligro. </w:t>
      </w:r>
      <w:r w:rsidR="00EF4F54" w:rsidRPr="00AD78EA">
        <w:rPr>
          <w:rFonts w:asciiTheme="majorHAnsi" w:eastAsia="Cambria" w:hAnsiTheme="majorHAnsi" w:cs="Cambria"/>
          <w:color w:val="000000"/>
          <w:sz w:val="20"/>
          <w:szCs w:val="20"/>
          <w:u w:color="000000"/>
          <w:lang w:val="es-MX" w:eastAsia="es-ES"/>
        </w:rPr>
        <w:t xml:space="preserve">En el presente caso, </w:t>
      </w:r>
      <w:r w:rsidR="00747ED7" w:rsidRPr="00AD78EA">
        <w:rPr>
          <w:rFonts w:asciiTheme="majorHAnsi" w:eastAsia="Cambria" w:hAnsiTheme="majorHAnsi" w:cs="Cambria"/>
          <w:color w:val="000000"/>
          <w:sz w:val="20"/>
          <w:szCs w:val="20"/>
          <w:u w:color="000000"/>
          <w:lang w:val="es-MX" w:eastAsia="es-ES"/>
        </w:rPr>
        <w:t xml:space="preserve">la CIDH </w:t>
      </w:r>
      <w:r w:rsidRPr="00AD78EA">
        <w:rPr>
          <w:rFonts w:asciiTheme="majorHAnsi" w:eastAsia="Cambria" w:hAnsiTheme="majorHAnsi" w:cs="Cambria"/>
          <w:color w:val="000000"/>
          <w:sz w:val="20"/>
          <w:szCs w:val="20"/>
          <w:u w:color="000000"/>
          <w:lang w:val="es-MX" w:eastAsia="es-ES"/>
        </w:rPr>
        <w:t>advierte que el Estado no implementó medida</w:t>
      </w:r>
      <w:r w:rsidR="00747ED7" w:rsidRPr="00AD78EA">
        <w:rPr>
          <w:rFonts w:asciiTheme="majorHAnsi" w:eastAsia="Cambria" w:hAnsiTheme="majorHAnsi" w:cs="Cambria"/>
          <w:color w:val="000000"/>
          <w:sz w:val="20"/>
          <w:szCs w:val="20"/>
          <w:u w:color="000000"/>
          <w:lang w:val="es-MX" w:eastAsia="es-ES"/>
        </w:rPr>
        <w:t xml:space="preserve"> de seguridad alguna mientras </w:t>
      </w:r>
      <w:r w:rsidRPr="00AD78EA">
        <w:rPr>
          <w:rFonts w:asciiTheme="majorHAnsi" w:eastAsia="Cambria" w:hAnsiTheme="majorHAnsi" w:cs="Cambria"/>
          <w:color w:val="000000"/>
          <w:sz w:val="20"/>
          <w:szCs w:val="20"/>
          <w:u w:color="000000"/>
          <w:lang w:val="es-MX" w:eastAsia="es-ES"/>
        </w:rPr>
        <w:t>se llevaba</w:t>
      </w:r>
      <w:r w:rsidR="00747ED7" w:rsidRPr="00AD78EA">
        <w:rPr>
          <w:rFonts w:asciiTheme="majorHAnsi" w:eastAsia="Cambria" w:hAnsiTheme="majorHAnsi" w:cs="Cambria"/>
          <w:color w:val="000000"/>
          <w:sz w:val="20"/>
          <w:szCs w:val="20"/>
          <w:u w:color="000000"/>
          <w:lang w:val="es-MX" w:eastAsia="es-ES"/>
        </w:rPr>
        <w:t>n</w:t>
      </w:r>
      <w:r w:rsidRPr="00AD78EA">
        <w:rPr>
          <w:rFonts w:asciiTheme="majorHAnsi" w:eastAsia="Cambria" w:hAnsiTheme="majorHAnsi" w:cs="Cambria"/>
          <w:color w:val="000000"/>
          <w:sz w:val="20"/>
          <w:szCs w:val="20"/>
          <w:u w:color="000000"/>
          <w:lang w:val="es-MX" w:eastAsia="es-ES"/>
        </w:rPr>
        <w:t xml:space="preserve"> a cabo </w:t>
      </w:r>
      <w:r w:rsidR="00747ED7" w:rsidRPr="00AD78EA">
        <w:rPr>
          <w:rFonts w:asciiTheme="majorHAnsi" w:eastAsia="Cambria" w:hAnsiTheme="majorHAnsi" w:cs="Cambria"/>
          <w:color w:val="000000"/>
          <w:sz w:val="20"/>
          <w:szCs w:val="20"/>
          <w:u w:color="000000"/>
          <w:lang w:val="es-MX" w:eastAsia="es-ES"/>
        </w:rPr>
        <w:t>los</w:t>
      </w:r>
      <w:r w:rsidRPr="00AD78EA">
        <w:rPr>
          <w:rFonts w:asciiTheme="majorHAnsi" w:eastAsia="Cambria" w:hAnsiTheme="majorHAnsi" w:cs="Cambria"/>
          <w:color w:val="000000"/>
          <w:sz w:val="20"/>
          <w:szCs w:val="20"/>
          <w:u w:color="000000"/>
          <w:lang w:val="es-MX" w:eastAsia="es-ES"/>
        </w:rPr>
        <w:t xml:space="preserve"> estudio</w:t>
      </w:r>
      <w:r w:rsidR="00747ED7" w:rsidRPr="00AD78EA">
        <w:rPr>
          <w:rFonts w:asciiTheme="majorHAnsi" w:eastAsia="Cambria" w:hAnsiTheme="majorHAnsi" w:cs="Cambria"/>
          <w:color w:val="000000"/>
          <w:sz w:val="20"/>
          <w:szCs w:val="20"/>
          <w:u w:color="000000"/>
          <w:lang w:val="es-MX" w:eastAsia="es-ES"/>
        </w:rPr>
        <w:t>s</w:t>
      </w:r>
      <w:r w:rsidRPr="00AD78EA">
        <w:rPr>
          <w:rFonts w:asciiTheme="majorHAnsi" w:eastAsia="Cambria" w:hAnsiTheme="majorHAnsi" w:cs="Cambria"/>
          <w:color w:val="000000"/>
          <w:sz w:val="20"/>
          <w:szCs w:val="20"/>
          <w:u w:color="000000"/>
          <w:lang w:val="es-MX" w:eastAsia="es-ES"/>
        </w:rPr>
        <w:t xml:space="preserve"> de riesgo</w:t>
      </w:r>
      <w:r w:rsidR="001463C6" w:rsidRPr="00AD78EA">
        <w:rPr>
          <w:rFonts w:asciiTheme="majorHAnsi" w:eastAsia="Cambria" w:hAnsiTheme="majorHAnsi" w:cs="Cambria"/>
          <w:color w:val="000000"/>
          <w:sz w:val="20"/>
          <w:szCs w:val="20"/>
          <w:u w:color="000000"/>
          <w:lang w:val="es-MX" w:eastAsia="es-ES"/>
        </w:rPr>
        <w:t xml:space="preserve"> al señor Morales Díaz.</w:t>
      </w:r>
      <w:r w:rsidRPr="00AD78EA">
        <w:rPr>
          <w:rFonts w:asciiTheme="majorHAnsi" w:eastAsia="Cambria" w:hAnsiTheme="majorHAnsi" w:cs="Cambria"/>
          <w:color w:val="000000"/>
          <w:sz w:val="20"/>
          <w:szCs w:val="20"/>
          <w:u w:color="000000"/>
          <w:lang w:val="es-MX" w:eastAsia="es-ES"/>
        </w:rPr>
        <w:t xml:space="preserve"> </w:t>
      </w:r>
    </w:p>
    <w:p w14:paraId="4FE1042E" w14:textId="77777777" w:rsidR="00DA18AF" w:rsidRPr="00AD78EA" w:rsidRDefault="00DA18AF" w:rsidP="0098754C">
      <w:pPr>
        <w:pStyle w:val="ListParagraph"/>
        <w:rPr>
          <w:rFonts w:asciiTheme="majorHAnsi" w:hAnsiTheme="majorHAnsi"/>
          <w:sz w:val="20"/>
          <w:szCs w:val="20"/>
          <w:lang w:val="es-MX"/>
        </w:rPr>
      </w:pPr>
    </w:p>
    <w:p w14:paraId="2A1DAF76" w14:textId="10442685" w:rsidR="00DA18AF" w:rsidRPr="00AD78EA" w:rsidRDefault="00DA18AF"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En virtud de lo dicho hasta el momento, la Comisión establece que el atentado tuvo lugar encontrándose el seño</w:t>
      </w:r>
      <w:r w:rsidR="00C575B6" w:rsidRPr="00AD78EA">
        <w:rPr>
          <w:rFonts w:asciiTheme="majorHAnsi" w:eastAsia="Cambria" w:hAnsiTheme="majorHAnsi" w:cs="Cambria"/>
          <w:color w:val="000000"/>
          <w:sz w:val="20"/>
          <w:szCs w:val="20"/>
          <w:u w:color="000000"/>
          <w:lang w:val="es-MX" w:eastAsia="es-ES"/>
        </w:rPr>
        <w:t xml:space="preserve">r Morales Díaz en situación de </w:t>
      </w:r>
      <w:r w:rsidRPr="00AD78EA">
        <w:rPr>
          <w:rFonts w:asciiTheme="majorHAnsi" w:eastAsia="Cambria" w:hAnsiTheme="majorHAnsi" w:cs="Cambria"/>
          <w:color w:val="000000"/>
          <w:sz w:val="20"/>
          <w:szCs w:val="20"/>
          <w:u w:color="000000"/>
          <w:lang w:val="es-MX" w:eastAsia="es-ES"/>
        </w:rPr>
        <w:t>desprotección</w:t>
      </w:r>
      <w:r w:rsidR="00667F6D" w:rsidRPr="00AD78EA">
        <w:rPr>
          <w:rFonts w:asciiTheme="majorHAnsi" w:eastAsia="Cambria" w:hAnsiTheme="majorHAnsi" w:cs="Cambria"/>
          <w:color w:val="000000"/>
          <w:sz w:val="20"/>
          <w:szCs w:val="20"/>
          <w:u w:color="000000"/>
          <w:lang w:val="es-MX" w:eastAsia="es-ES"/>
        </w:rPr>
        <w:t xml:space="preserve"> por parte del Estado colombiano.</w:t>
      </w:r>
    </w:p>
    <w:p w14:paraId="15AF60E1" w14:textId="77777777" w:rsidR="00EF2A2F" w:rsidRPr="00AD78EA" w:rsidRDefault="00EF2A2F" w:rsidP="00102CF6">
      <w:pPr>
        <w:pBdr>
          <w:top w:val="none" w:sz="0" w:space="0" w:color="000000"/>
          <w:left w:val="none" w:sz="0" w:space="0" w:color="000000"/>
          <w:bottom w:val="none" w:sz="0" w:space="0" w:color="000000"/>
          <w:right w:val="none" w:sz="0" w:space="0" w:color="000000"/>
          <w:between w:val="none" w:sz="0" w:space="0" w:color="000000"/>
        </w:pBdr>
        <w:ind w:left="1440" w:hanging="720"/>
        <w:jc w:val="both"/>
        <w:rPr>
          <w:rFonts w:asciiTheme="majorHAnsi" w:eastAsia="Cambria" w:hAnsiTheme="majorHAnsi" w:cs="Cambria"/>
          <w:b/>
          <w:color w:val="000000"/>
          <w:sz w:val="20"/>
          <w:szCs w:val="20"/>
          <w:u w:color="000000"/>
          <w:lang w:val="es-MX" w:eastAsia="es-ES"/>
        </w:rPr>
      </w:pPr>
    </w:p>
    <w:p w14:paraId="2205A5C5" w14:textId="13B09CBC" w:rsidR="00DF68FC" w:rsidRPr="00AD78EA" w:rsidRDefault="00667F6D" w:rsidP="00CB7168">
      <w:pPr>
        <w:numPr>
          <w:ilvl w:val="0"/>
          <w:numId w:val="56"/>
        </w:numPr>
        <w:ind w:left="0" w:firstLine="720"/>
        <w:jc w:val="both"/>
        <w:rPr>
          <w:rFonts w:ascii="Cambria" w:eastAsia="Cambria" w:hAnsi="Cambria" w:cs="Cambria"/>
          <w:color w:val="000000"/>
          <w:sz w:val="20"/>
          <w:szCs w:val="20"/>
          <w:u w:color="000000"/>
          <w:lang w:val="es-MX" w:eastAsia="es-ES"/>
        </w:rPr>
      </w:pPr>
      <w:r w:rsidRPr="00AD78EA">
        <w:rPr>
          <w:rFonts w:ascii="Cambria" w:eastAsia="Cambria" w:hAnsi="Cambria" w:cs="Cambria"/>
          <w:color w:val="000000"/>
          <w:sz w:val="20"/>
          <w:szCs w:val="20"/>
          <w:u w:color="000000"/>
          <w:lang w:val="es-MX" w:eastAsia="es-ES"/>
        </w:rPr>
        <w:t>La Comisión observa que</w:t>
      </w:r>
      <w:r w:rsidR="00776168" w:rsidRPr="00AD78EA">
        <w:rPr>
          <w:rFonts w:ascii="Cambria" w:eastAsia="Cambria" w:hAnsi="Cambria" w:cs="Cambria"/>
          <w:color w:val="000000"/>
          <w:sz w:val="20"/>
          <w:szCs w:val="20"/>
          <w:u w:color="000000"/>
          <w:lang w:val="es-MX" w:eastAsia="es-ES"/>
        </w:rPr>
        <w:t xml:space="preserve"> con el atentado perpetrado el 8 de julio de 2000, se demostró que la intensidad del riesgo del señor Morales había llegado a su nivel más extremo. El atentado contra la presunta víctima exigía del Estado un deber reforzado de respuesta inmediata, máxime cuando </w:t>
      </w:r>
      <w:r w:rsidR="00DF68FC" w:rsidRPr="00AD78EA">
        <w:rPr>
          <w:rFonts w:ascii="Cambria" w:eastAsia="Cambria" w:hAnsi="Cambria" w:cs="Cambria"/>
          <w:color w:val="000000"/>
          <w:sz w:val="20"/>
          <w:szCs w:val="20"/>
          <w:u w:color="000000"/>
          <w:lang w:val="es-MX" w:eastAsia="es-ES"/>
        </w:rPr>
        <w:t>continuaron l</w:t>
      </w:r>
      <w:r w:rsidRPr="00AD78EA">
        <w:rPr>
          <w:rFonts w:ascii="Cambria" w:eastAsia="Cambria" w:hAnsi="Cambria" w:cs="Cambria"/>
          <w:color w:val="000000"/>
          <w:sz w:val="20"/>
          <w:szCs w:val="20"/>
          <w:u w:color="000000"/>
          <w:lang w:val="es-MX" w:eastAsia="es-ES"/>
        </w:rPr>
        <w:t xml:space="preserve">as amenazas contra su vida </w:t>
      </w:r>
      <w:r w:rsidR="00DF68FC" w:rsidRPr="00AD78EA">
        <w:rPr>
          <w:rFonts w:ascii="Cambria" w:eastAsia="Cambria" w:hAnsi="Cambria" w:cs="Cambria"/>
          <w:color w:val="000000"/>
          <w:sz w:val="20"/>
          <w:szCs w:val="20"/>
          <w:u w:color="000000"/>
          <w:lang w:val="es-MX" w:eastAsia="es-ES"/>
        </w:rPr>
        <w:t xml:space="preserve">a través de notas de condolencia, las mismas que </w:t>
      </w:r>
      <w:r w:rsidRPr="00AD78EA">
        <w:rPr>
          <w:rFonts w:ascii="Cambria" w:eastAsia="Cambria" w:hAnsi="Cambria" w:cs="Cambria"/>
          <w:color w:val="000000"/>
          <w:sz w:val="20"/>
          <w:szCs w:val="20"/>
          <w:u w:color="000000"/>
          <w:lang w:val="es-MX" w:eastAsia="es-ES"/>
        </w:rPr>
        <w:t xml:space="preserve">también fueron puestas </w:t>
      </w:r>
      <w:r w:rsidR="00DF68FC" w:rsidRPr="00AD78EA">
        <w:rPr>
          <w:rFonts w:ascii="Cambria" w:eastAsia="Cambria" w:hAnsi="Cambria" w:cs="Cambria"/>
          <w:color w:val="000000"/>
          <w:sz w:val="20"/>
          <w:szCs w:val="20"/>
          <w:u w:color="000000"/>
          <w:lang w:val="es-MX" w:eastAsia="es-ES"/>
        </w:rPr>
        <w:t xml:space="preserve">en conocimiento de las autoridades estatales. Dicha información no fue controvertida por el Estado. </w:t>
      </w:r>
    </w:p>
    <w:p w14:paraId="4DB533EF" w14:textId="77777777" w:rsidR="00DF68FC" w:rsidRPr="00AD78EA" w:rsidRDefault="00DF68FC" w:rsidP="00DF68FC">
      <w:pPr>
        <w:ind w:left="720"/>
        <w:jc w:val="both"/>
        <w:rPr>
          <w:rFonts w:ascii="Cambria" w:eastAsia="Cambria" w:hAnsi="Cambria" w:cs="Cambria"/>
          <w:color w:val="000000"/>
          <w:sz w:val="20"/>
          <w:szCs w:val="20"/>
          <w:u w:color="000000"/>
          <w:lang w:val="es-MX" w:eastAsia="es-ES"/>
        </w:rPr>
      </w:pPr>
    </w:p>
    <w:p w14:paraId="721263E8" w14:textId="2AB2281C" w:rsidR="006F158B" w:rsidRPr="00AD78EA" w:rsidRDefault="00DA6649"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450"/>
        </w:tabs>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A pesar de este deber reforzado de respuesta inmediata tras el atentado, l</w:t>
      </w:r>
      <w:r w:rsidR="006F158B" w:rsidRPr="00AD78EA">
        <w:rPr>
          <w:rFonts w:asciiTheme="majorHAnsi" w:eastAsia="Cambria" w:hAnsiTheme="majorHAnsi" w:cs="Cambria"/>
          <w:color w:val="000000"/>
          <w:sz w:val="20"/>
          <w:szCs w:val="20"/>
          <w:u w:color="000000"/>
          <w:lang w:val="es-MX" w:eastAsia="es-ES"/>
        </w:rPr>
        <w:t xml:space="preserve">a Comisión </w:t>
      </w:r>
      <w:r w:rsidR="00894E10" w:rsidRPr="00AD78EA">
        <w:rPr>
          <w:rFonts w:asciiTheme="majorHAnsi" w:eastAsia="Cambria" w:hAnsiTheme="majorHAnsi" w:cs="Cambria"/>
          <w:color w:val="000000"/>
          <w:sz w:val="20"/>
          <w:szCs w:val="20"/>
          <w:u w:color="000000"/>
          <w:lang w:val="es-MX" w:eastAsia="es-ES"/>
        </w:rPr>
        <w:t xml:space="preserve">destaca que </w:t>
      </w:r>
      <w:r w:rsidR="006F158B" w:rsidRPr="00AD78EA">
        <w:rPr>
          <w:rFonts w:asciiTheme="majorHAnsi" w:eastAsia="Cambria" w:hAnsiTheme="majorHAnsi" w:cs="Cambria"/>
          <w:color w:val="000000"/>
          <w:sz w:val="20"/>
          <w:szCs w:val="20"/>
          <w:u w:color="000000"/>
          <w:lang w:val="es-MX" w:eastAsia="es-ES"/>
        </w:rPr>
        <w:t xml:space="preserve">el estudio de riesgo de la FGN, estuvo listo recién diez días después, esto es, el 18 de julio de 2000. A su vez, los resultados de la evaluación del DAS fueron comunicados apenas el 31 de julio de 2000, pasado un mes de que el Estado tomó conocimiento de las amenazas de muerte. </w:t>
      </w:r>
    </w:p>
    <w:p w14:paraId="37C1274F" w14:textId="77777777" w:rsidR="00F6340B" w:rsidRPr="00AD78EA" w:rsidRDefault="00F6340B" w:rsidP="00F6340B">
      <w:pPr>
        <w:pBdr>
          <w:top w:val="none" w:sz="0" w:space="0" w:color="000000"/>
          <w:left w:val="none" w:sz="0" w:space="0" w:color="000000"/>
          <w:bottom w:val="none" w:sz="0" w:space="0" w:color="000000"/>
          <w:right w:val="none" w:sz="0" w:space="0" w:color="000000"/>
          <w:between w:val="none" w:sz="0" w:space="0" w:color="000000"/>
        </w:pBdr>
        <w:tabs>
          <w:tab w:val="left" w:pos="450"/>
        </w:tabs>
        <w:jc w:val="both"/>
        <w:rPr>
          <w:rFonts w:asciiTheme="majorHAnsi" w:eastAsia="Cambria" w:hAnsiTheme="majorHAnsi" w:cs="Cambria"/>
          <w:color w:val="000000"/>
          <w:sz w:val="20"/>
          <w:szCs w:val="20"/>
          <w:u w:color="000000"/>
          <w:lang w:val="es-MX" w:eastAsia="es-ES"/>
        </w:rPr>
      </w:pPr>
    </w:p>
    <w:p w14:paraId="77C4EAC0" w14:textId="77777777" w:rsidR="00F6340B" w:rsidRPr="00AD78EA" w:rsidRDefault="00E02CD7" w:rsidP="00CB7168">
      <w:pPr>
        <w:numPr>
          <w:ilvl w:val="0"/>
          <w:numId w:val="56"/>
        </w:numPr>
        <w:ind w:left="0" w:firstLine="720"/>
        <w:jc w:val="both"/>
        <w:rPr>
          <w:rFonts w:ascii="Cambria" w:eastAsia="Cambria" w:hAnsi="Cambria" w:cs="Cambria"/>
          <w:color w:val="000000"/>
          <w:sz w:val="20"/>
          <w:szCs w:val="20"/>
          <w:u w:color="000000"/>
          <w:lang w:val="es-MX" w:eastAsia="es-ES"/>
        </w:rPr>
      </w:pPr>
      <w:r w:rsidRPr="00AD78EA">
        <w:rPr>
          <w:rFonts w:ascii="Cambria" w:eastAsia="Cambria" w:hAnsi="Cambria" w:cs="Cambria"/>
          <w:color w:val="000000"/>
          <w:sz w:val="20"/>
          <w:szCs w:val="20"/>
          <w:u w:color="000000"/>
          <w:lang w:val="es-MX" w:eastAsia="es-ES"/>
        </w:rPr>
        <w:t xml:space="preserve">La CIDH constata que se realizaron </w:t>
      </w:r>
      <w:r w:rsidR="00DF68FC" w:rsidRPr="00AD78EA">
        <w:rPr>
          <w:rFonts w:ascii="Cambria" w:eastAsia="Cambria" w:hAnsi="Cambria" w:cs="Cambria"/>
          <w:color w:val="000000"/>
          <w:sz w:val="20"/>
          <w:szCs w:val="20"/>
          <w:u w:color="000000"/>
          <w:lang w:val="es-MX" w:eastAsia="es-ES"/>
        </w:rPr>
        <w:t>tres estudios de riesgo por</w:t>
      </w:r>
      <w:r w:rsidRPr="00AD78EA">
        <w:rPr>
          <w:rFonts w:ascii="Cambria" w:eastAsia="Cambria" w:hAnsi="Cambria" w:cs="Cambria"/>
          <w:color w:val="000000"/>
          <w:sz w:val="20"/>
          <w:szCs w:val="20"/>
          <w:u w:color="000000"/>
          <w:lang w:val="es-MX" w:eastAsia="es-ES"/>
        </w:rPr>
        <w:t xml:space="preserve"> parte de</w:t>
      </w:r>
      <w:r w:rsidR="00DF68FC" w:rsidRPr="00AD78EA">
        <w:rPr>
          <w:rFonts w:ascii="Cambria" w:eastAsia="Cambria" w:hAnsi="Cambria" w:cs="Cambria"/>
          <w:color w:val="000000"/>
          <w:sz w:val="20"/>
          <w:szCs w:val="20"/>
          <w:u w:color="000000"/>
          <w:lang w:val="es-MX" w:eastAsia="es-ES"/>
        </w:rPr>
        <w:t xml:space="preserve"> instituciones diferentes: la FGN, el DAS y la Policía Metropolitana de Bogotá.</w:t>
      </w:r>
      <w:r w:rsidRPr="00AD78EA">
        <w:rPr>
          <w:rFonts w:ascii="Cambria" w:eastAsia="Cambria" w:hAnsi="Cambria" w:cs="Cambria"/>
          <w:color w:val="000000"/>
          <w:sz w:val="20"/>
          <w:szCs w:val="20"/>
          <w:u w:color="000000"/>
          <w:lang w:val="es-MX" w:eastAsia="es-ES"/>
        </w:rPr>
        <w:t xml:space="preserve"> El Estado colombiano no ha explicado las razones por las cuales tres entidades diferentes realizaron estudios de riesgo ni la coordinación interinstitucional entre las </w:t>
      </w:r>
      <w:r w:rsidR="009374C8" w:rsidRPr="00AD78EA">
        <w:rPr>
          <w:rFonts w:ascii="Cambria" w:eastAsia="Cambria" w:hAnsi="Cambria" w:cs="Cambria"/>
          <w:color w:val="000000"/>
          <w:sz w:val="20"/>
          <w:szCs w:val="20"/>
          <w:u w:color="000000"/>
          <w:lang w:val="es-MX" w:eastAsia="es-ES"/>
        </w:rPr>
        <w:t>mismas</w:t>
      </w:r>
      <w:r w:rsidRPr="00AD78EA">
        <w:rPr>
          <w:rFonts w:ascii="Cambria" w:eastAsia="Cambria" w:hAnsi="Cambria" w:cs="Cambria"/>
          <w:color w:val="000000"/>
          <w:sz w:val="20"/>
          <w:szCs w:val="20"/>
          <w:u w:color="000000"/>
          <w:lang w:val="es-MX" w:eastAsia="es-ES"/>
        </w:rPr>
        <w:t xml:space="preserve"> para asegurar una respuesta de protección integral al señor Morales Díaz. </w:t>
      </w:r>
      <w:r w:rsidR="009374C8" w:rsidRPr="00AD78EA">
        <w:rPr>
          <w:rFonts w:ascii="Cambria" w:eastAsia="Cambria" w:hAnsi="Cambria" w:cs="Cambria"/>
          <w:color w:val="000000"/>
          <w:sz w:val="20"/>
          <w:szCs w:val="20"/>
          <w:u w:color="000000"/>
          <w:lang w:val="es-MX" w:eastAsia="es-ES"/>
        </w:rPr>
        <w:t>Por el contrario, la ausencia de coordinación se evidencia en los distintos resultados de dichos estudios en cuanto al nivel de riesgo</w:t>
      </w:r>
      <w:r w:rsidR="00DF0B3A" w:rsidRPr="00AD78EA">
        <w:rPr>
          <w:rFonts w:ascii="Cambria" w:eastAsia="Cambria" w:hAnsi="Cambria" w:cs="Cambria"/>
          <w:color w:val="000000"/>
          <w:sz w:val="20"/>
          <w:szCs w:val="20"/>
          <w:u w:color="000000"/>
          <w:lang w:val="es-MX" w:eastAsia="es-ES"/>
        </w:rPr>
        <w:t xml:space="preserve">, uno con conclusión de riesgo medio y otro de riesgo alto. </w:t>
      </w:r>
    </w:p>
    <w:p w14:paraId="2CE2AE6C" w14:textId="77777777" w:rsidR="00F6340B" w:rsidRPr="00AD78EA" w:rsidRDefault="00F6340B" w:rsidP="00F6340B">
      <w:pPr>
        <w:pStyle w:val="ListParagraph"/>
        <w:rPr>
          <w:sz w:val="20"/>
          <w:szCs w:val="20"/>
          <w:lang w:val="es-MX"/>
        </w:rPr>
      </w:pPr>
    </w:p>
    <w:p w14:paraId="2EF51B63" w14:textId="65FFB000" w:rsidR="00DF68FC" w:rsidRPr="00AD78EA" w:rsidRDefault="00DF0B3A" w:rsidP="00CB7168">
      <w:pPr>
        <w:numPr>
          <w:ilvl w:val="0"/>
          <w:numId w:val="56"/>
        </w:numPr>
        <w:ind w:left="0" w:firstLine="720"/>
        <w:jc w:val="both"/>
        <w:rPr>
          <w:rFonts w:ascii="Cambria" w:eastAsia="Cambria" w:hAnsi="Cambria" w:cs="Cambria"/>
          <w:color w:val="000000"/>
          <w:sz w:val="20"/>
          <w:szCs w:val="20"/>
          <w:u w:color="000000"/>
          <w:lang w:val="es-MX" w:eastAsia="es-ES"/>
        </w:rPr>
      </w:pPr>
      <w:r w:rsidRPr="00AD78EA">
        <w:rPr>
          <w:rFonts w:ascii="Cambria" w:eastAsia="Cambria" w:hAnsi="Cambria" w:cs="Cambria"/>
          <w:color w:val="000000"/>
          <w:sz w:val="20"/>
          <w:szCs w:val="20"/>
          <w:u w:color="000000"/>
          <w:lang w:val="es-MX" w:eastAsia="es-ES"/>
        </w:rPr>
        <w:t xml:space="preserve">En cuanto a las medidas concretas de protección, la CIDH </w:t>
      </w:r>
      <w:r w:rsidR="007E3914" w:rsidRPr="00AD78EA">
        <w:rPr>
          <w:rFonts w:ascii="Cambria" w:eastAsia="Cambria" w:hAnsi="Cambria" w:cs="Cambria"/>
          <w:color w:val="000000"/>
          <w:sz w:val="20"/>
          <w:szCs w:val="20"/>
          <w:u w:color="000000"/>
          <w:lang w:val="es-MX" w:eastAsia="es-ES"/>
        </w:rPr>
        <w:t xml:space="preserve">observa que </w:t>
      </w:r>
      <w:r w:rsidRPr="00AD78EA">
        <w:rPr>
          <w:rFonts w:ascii="Cambria" w:eastAsia="Cambria" w:hAnsi="Cambria" w:cs="Cambria"/>
          <w:color w:val="000000"/>
          <w:sz w:val="20"/>
          <w:szCs w:val="20"/>
          <w:u w:color="000000"/>
          <w:lang w:val="es-MX" w:eastAsia="es-ES"/>
        </w:rPr>
        <w:t xml:space="preserve">a pesar de haber constatado un riesgo y existiendo elementos que apuntaban a que dicho riesgo estaba vinculado a sus denuncias de corrupción por parte de agentes estatales, </w:t>
      </w:r>
      <w:r w:rsidR="007E3914" w:rsidRPr="00AD78EA">
        <w:rPr>
          <w:rFonts w:ascii="Cambria" w:eastAsia="Cambria" w:hAnsi="Cambria" w:cs="Cambria"/>
          <w:color w:val="000000"/>
          <w:sz w:val="20"/>
          <w:szCs w:val="20"/>
          <w:u w:color="000000"/>
          <w:lang w:val="es-MX" w:eastAsia="es-ES"/>
        </w:rPr>
        <w:t>la única medida de protección implementada fue la de patrullajes esporádicos. Además de ello, el Estado se limitó a informar a la presunta víctima sobre medidas de “autoprotección” y a ofrecerle una reubicación que, como indicó el señor Morales, generaría un impact</w:t>
      </w:r>
      <w:r w:rsidR="00985890" w:rsidRPr="00AD78EA">
        <w:rPr>
          <w:rFonts w:ascii="Cambria" w:eastAsia="Cambria" w:hAnsi="Cambria" w:cs="Cambria"/>
          <w:color w:val="000000"/>
          <w:sz w:val="20"/>
          <w:szCs w:val="20"/>
          <w:u w:color="000000"/>
          <w:lang w:val="es-MX" w:eastAsia="es-ES"/>
        </w:rPr>
        <w:t>o severo en su proyecto de vida.</w:t>
      </w:r>
      <w:r w:rsidR="007E3914" w:rsidRPr="00AD78EA">
        <w:rPr>
          <w:rFonts w:ascii="Cambria" w:eastAsia="Cambria" w:hAnsi="Cambria" w:cs="Cambria"/>
          <w:color w:val="000000"/>
          <w:sz w:val="20"/>
          <w:szCs w:val="20"/>
          <w:u w:color="000000"/>
          <w:lang w:val="es-MX" w:eastAsia="es-ES"/>
        </w:rPr>
        <w:t xml:space="preserve"> </w:t>
      </w:r>
      <w:r w:rsidR="008D6034" w:rsidRPr="00AD78EA">
        <w:rPr>
          <w:rFonts w:ascii="Cambria" w:eastAsia="Cambria" w:hAnsi="Cambria" w:cs="Cambria"/>
          <w:color w:val="000000"/>
          <w:sz w:val="20"/>
          <w:szCs w:val="20"/>
          <w:u w:color="000000"/>
          <w:lang w:val="es-MX" w:eastAsia="es-ES"/>
        </w:rPr>
        <w:t xml:space="preserve">Esta respuesta del Estado resulta particularmente grave tomando en cuenta que la presunta víctima ya había recibido un atentado contra su </w:t>
      </w:r>
      <w:r w:rsidR="00F6340B" w:rsidRPr="00AD78EA">
        <w:rPr>
          <w:rFonts w:ascii="Cambria" w:eastAsia="Cambria" w:hAnsi="Cambria" w:cs="Cambria"/>
          <w:color w:val="000000"/>
          <w:sz w:val="20"/>
          <w:szCs w:val="20"/>
          <w:u w:color="000000"/>
          <w:lang w:val="es-MX" w:eastAsia="es-ES"/>
        </w:rPr>
        <w:t>v</w:t>
      </w:r>
      <w:r w:rsidR="008D6034" w:rsidRPr="00AD78EA">
        <w:rPr>
          <w:rFonts w:ascii="Cambria" w:eastAsia="Cambria" w:hAnsi="Cambria" w:cs="Cambria"/>
          <w:color w:val="000000"/>
          <w:sz w:val="20"/>
          <w:szCs w:val="20"/>
          <w:u w:color="000000"/>
          <w:lang w:val="es-MX" w:eastAsia="es-ES"/>
        </w:rPr>
        <w:t xml:space="preserve">ida, lo que demostraba el carácter inminente del </w:t>
      </w:r>
      <w:r w:rsidR="008D6034" w:rsidRPr="00AD78EA">
        <w:rPr>
          <w:rFonts w:ascii="Cambria" w:eastAsia="Cambria" w:hAnsi="Cambria" w:cs="Cambria"/>
          <w:color w:val="000000"/>
          <w:sz w:val="20"/>
          <w:szCs w:val="20"/>
          <w:u w:color="000000"/>
          <w:lang w:val="es-MX" w:eastAsia="es-ES"/>
        </w:rPr>
        <w:lastRenderedPageBreak/>
        <w:t>riesgo y la ne</w:t>
      </w:r>
      <w:r w:rsidR="00004165" w:rsidRPr="00AD78EA">
        <w:rPr>
          <w:rFonts w:ascii="Cambria" w:eastAsia="Cambria" w:hAnsi="Cambria" w:cs="Cambria"/>
          <w:color w:val="000000"/>
          <w:sz w:val="20"/>
          <w:szCs w:val="20"/>
          <w:u w:color="000000"/>
          <w:lang w:val="es-MX" w:eastAsia="es-ES"/>
        </w:rPr>
        <w:t xml:space="preserve">cesidad reforzada de protección, situación ante la cual ofreció una respuesta formal que responsabilizó al señor Morales de su </w:t>
      </w:r>
      <w:r w:rsidR="00D0262C" w:rsidRPr="00AD78EA">
        <w:rPr>
          <w:rFonts w:ascii="Cambria" w:eastAsia="Cambria" w:hAnsi="Cambria" w:cs="Cambria"/>
          <w:color w:val="000000"/>
          <w:sz w:val="20"/>
          <w:szCs w:val="20"/>
          <w:u w:color="000000"/>
          <w:lang w:val="es-MX" w:eastAsia="es-ES"/>
        </w:rPr>
        <w:t xml:space="preserve">propia </w:t>
      </w:r>
      <w:r w:rsidR="00004165" w:rsidRPr="00AD78EA">
        <w:rPr>
          <w:rFonts w:ascii="Cambria" w:eastAsia="Cambria" w:hAnsi="Cambria" w:cs="Cambria"/>
          <w:color w:val="000000"/>
          <w:sz w:val="20"/>
          <w:szCs w:val="20"/>
          <w:u w:color="000000"/>
          <w:lang w:val="es-MX" w:eastAsia="es-ES"/>
        </w:rPr>
        <w:t>protección</w:t>
      </w:r>
      <w:r w:rsidR="008D6034" w:rsidRPr="00AD78EA">
        <w:rPr>
          <w:rFonts w:ascii="Cambria" w:eastAsia="Cambria" w:hAnsi="Cambria" w:cs="Cambria"/>
          <w:color w:val="000000"/>
          <w:sz w:val="20"/>
          <w:szCs w:val="20"/>
          <w:u w:color="000000"/>
          <w:lang w:val="es-MX" w:eastAsia="es-ES"/>
        </w:rPr>
        <w:t xml:space="preserve"> </w:t>
      </w:r>
      <w:r w:rsidR="00D0262C" w:rsidRPr="00AD78EA">
        <w:rPr>
          <w:rFonts w:ascii="Cambria" w:eastAsia="Cambria" w:hAnsi="Cambria" w:cs="Cambria"/>
          <w:color w:val="000000"/>
          <w:sz w:val="20"/>
          <w:szCs w:val="20"/>
          <w:u w:color="000000"/>
          <w:lang w:val="es-MX" w:eastAsia="es-ES"/>
        </w:rPr>
        <w:t>sin adoptar medidas proactivas de protección.</w:t>
      </w:r>
    </w:p>
    <w:p w14:paraId="7E568896" w14:textId="77777777" w:rsidR="00A73E9F" w:rsidRPr="00AD78EA" w:rsidRDefault="00A73E9F" w:rsidP="00A73E9F">
      <w:pPr>
        <w:ind w:left="720"/>
        <w:jc w:val="both"/>
        <w:rPr>
          <w:rFonts w:ascii="Cambria" w:eastAsia="Cambria" w:hAnsi="Cambria" w:cs="Cambria"/>
          <w:color w:val="000000"/>
          <w:sz w:val="20"/>
          <w:szCs w:val="20"/>
          <w:u w:color="000000"/>
          <w:lang w:val="es-MX" w:eastAsia="es-ES"/>
        </w:rPr>
      </w:pPr>
    </w:p>
    <w:p w14:paraId="0C2874D8" w14:textId="48368D1D" w:rsidR="00DF68FC" w:rsidRPr="00AD78EA" w:rsidRDefault="00DF2FD8" w:rsidP="00CB7168">
      <w:pPr>
        <w:numPr>
          <w:ilvl w:val="0"/>
          <w:numId w:val="56"/>
        </w:numPr>
        <w:ind w:left="0" w:firstLine="720"/>
        <w:jc w:val="both"/>
        <w:rPr>
          <w:rFonts w:ascii="Cambria" w:eastAsia="Cambria" w:hAnsi="Cambria" w:cs="Cambria"/>
          <w:color w:val="000000"/>
          <w:sz w:val="20"/>
          <w:szCs w:val="20"/>
          <w:u w:color="000000"/>
          <w:lang w:val="es-MX" w:eastAsia="es-ES"/>
        </w:rPr>
      </w:pPr>
      <w:r w:rsidRPr="00AD78EA">
        <w:rPr>
          <w:rFonts w:ascii="Cambria" w:eastAsia="Cambria" w:hAnsi="Cambria" w:cs="Cambria"/>
          <w:color w:val="000000"/>
          <w:sz w:val="20"/>
          <w:szCs w:val="20"/>
          <w:u w:color="000000"/>
          <w:lang w:val="es-MX" w:eastAsia="es-ES"/>
        </w:rPr>
        <w:t>La Comisión observa que a</w:t>
      </w:r>
      <w:r w:rsidR="00DF68FC" w:rsidRPr="00AD78EA">
        <w:rPr>
          <w:rFonts w:ascii="Cambria" w:eastAsia="Cambria" w:hAnsi="Cambria" w:cs="Cambria"/>
          <w:color w:val="000000"/>
          <w:sz w:val="20"/>
          <w:szCs w:val="20"/>
          <w:u w:color="000000"/>
          <w:lang w:val="es-MX" w:eastAsia="es-ES"/>
        </w:rPr>
        <w:t xml:space="preserve">nte la falta de medidas de protección adecuadas y la persistencia de amenazas contra su vida, el señor Morales Díaz decidió buscar apoyo en la Embajada de Canadá, </w:t>
      </w:r>
      <w:r w:rsidR="00A654AF" w:rsidRPr="00AD78EA">
        <w:rPr>
          <w:rFonts w:ascii="Cambria" w:eastAsia="Cambria" w:hAnsi="Cambria" w:cs="Cambria"/>
          <w:color w:val="000000"/>
          <w:sz w:val="20"/>
          <w:szCs w:val="20"/>
          <w:u w:color="000000"/>
          <w:lang w:val="es-MX" w:eastAsia="es-ES"/>
        </w:rPr>
        <w:t xml:space="preserve">lo </w:t>
      </w:r>
      <w:r w:rsidR="00DF68FC" w:rsidRPr="00AD78EA">
        <w:rPr>
          <w:rFonts w:ascii="Cambria" w:eastAsia="Cambria" w:hAnsi="Cambria" w:cs="Cambria"/>
          <w:color w:val="000000"/>
          <w:sz w:val="20"/>
          <w:szCs w:val="20"/>
          <w:u w:color="000000"/>
          <w:lang w:val="es-MX" w:eastAsia="es-ES"/>
        </w:rPr>
        <w:t xml:space="preserve">que le dio la posibilidad de radicarse en dicho país. </w:t>
      </w:r>
      <w:r w:rsidRPr="00AD78EA">
        <w:rPr>
          <w:rFonts w:ascii="Cambria" w:eastAsia="Cambria" w:hAnsi="Cambria" w:cs="Cambria"/>
          <w:color w:val="000000"/>
          <w:sz w:val="20"/>
          <w:szCs w:val="20"/>
          <w:u w:color="000000"/>
          <w:lang w:val="es-MX" w:eastAsia="es-ES"/>
        </w:rPr>
        <w:t>En ese sentido, existe un nexo de causalidad entre dicha situación de desprotección y la salida del país del señor Morales Díaz</w:t>
      </w:r>
      <w:r w:rsidR="00DF68FC" w:rsidRPr="00AD78EA">
        <w:rPr>
          <w:rFonts w:ascii="Cambria" w:eastAsia="Cambria" w:hAnsi="Cambria" w:cs="Cambria"/>
          <w:color w:val="000000"/>
          <w:sz w:val="20"/>
          <w:szCs w:val="20"/>
          <w:u w:color="000000"/>
          <w:lang w:val="es-MX" w:eastAsia="es-ES"/>
        </w:rPr>
        <w:t xml:space="preserve"> el 14 de diciembre de 2000. </w:t>
      </w:r>
      <w:r w:rsidR="00A654AF" w:rsidRPr="00AD78EA">
        <w:rPr>
          <w:rFonts w:ascii="Cambria" w:eastAsia="Cambria" w:hAnsi="Cambria" w:cs="Cambria"/>
          <w:color w:val="000000"/>
          <w:sz w:val="20"/>
          <w:szCs w:val="20"/>
          <w:u w:color="000000"/>
          <w:lang w:val="es-MX" w:eastAsia="es-ES"/>
        </w:rPr>
        <w:t xml:space="preserve">Así, </w:t>
      </w:r>
      <w:r w:rsidR="000C6C56" w:rsidRPr="00AD78EA">
        <w:rPr>
          <w:rFonts w:ascii="Cambria" w:eastAsia="Cambria" w:hAnsi="Cambria" w:cs="Cambria"/>
          <w:color w:val="000000"/>
          <w:sz w:val="20"/>
          <w:szCs w:val="20"/>
          <w:u w:color="000000"/>
          <w:lang w:val="es-MX" w:eastAsia="es-ES"/>
        </w:rPr>
        <w:t xml:space="preserve">la Comisión considera que el Estado colombiano </w:t>
      </w:r>
      <w:r w:rsidR="008F1E90" w:rsidRPr="00AD78EA">
        <w:rPr>
          <w:rFonts w:ascii="Cambria" w:eastAsia="Cambria" w:hAnsi="Cambria" w:cs="Cambria"/>
          <w:color w:val="000000"/>
          <w:sz w:val="20"/>
          <w:szCs w:val="20"/>
          <w:u w:color="000000"/>
          <w:lang w:val="es-MX" w:eastAsia="es-ES"/>
        </w:rPr>
        <w:t>efectuó</w:t>
      </w:r>
      <w:r w:rsidR="000C6C56" w:rsidRPr="00AD78EA">
        <w:rPr>
          <w:rFonts w:ascii="Cambria" w:eastAsia="Cambria" w:hAnsi="Cambria" w:cs="Cambria"/>
          <w:color w:val="000000"/>
          <w:sz w:val="20"/>
          <w:szCs w:val="20"/>
          <w:u w:color="000000"/>
          <w:lang w:val="es-MX" w:eastAsia="es-ES"/>
        </w:rPr>
        <w:t xml:space="preserve"> restricciones de facto al derecho de circulación y de resid</w:t>
      </w:r>
      <w:r w:rsidR="00A654AF" w:rsidRPr="00AD78EA">
        <w:rPr>
          <w:rFonts w:ascii="Cambria" w:eastAsia="Cambria" w:hAnsi="Cambria" w:cs="Cambria"/>
          <w:color w:val="000000"/>
          <w:sz w:val="20"/>
          <w:szCs w:val="20"/>
          <w:u w:color="000000"/>
          <w:lang w:val="es-MX" w:eastAsia="es-ES"/>
        </w:rPr>
        <w:t xml:space="preserve">encia del señor Morales Díaz, </w:t>
      </w:r>
      <w:r w:rsidR="000C6C56" w:rsidRPr="00AD78EA">
        <w:rPr>
          <w:rFonts w:ascii="Cambria" w:eastAsia="Cambria" w:hAnsi="Cambria" w:cs="Cambria"/>
          <w:color w:val="000000"/>
          <w:sz w:val="20"/>
          <w:szCs w:val="20"/>
          <w:u w:color="000000"/>
          <w:lang w:val="es-MX" w:eastAsia="es-ES"/>
        </w:rPr>
        <w:t>debido a las omisiones frente al riesgo a la vida y a la integridad personal</w:t>
      </w:r>
      <w:r w:rsidR="00945401" w:rsidRPr="00AD78EA">
        <w:rPr>
          <w:rFonts w:ascii="Cambria" w:eastAsia="Cambria" w:hAnsi="Cambria" w:cs="Cambria"/>
          <w:color w:val="000000"/>
          <w:sz w:val="20"/>
          <w:szCs w:val="20"/>
          <w:u w:color="000000"/>
          <w:lang w:val="es-MX" w:eastAsia="es-ES"/>
        </w:rPr>
        <w:t xml:space="preserve">, que lo llevaron a abandonar el país </w:t>
      </w:r>
      <w:r w:rsidR="00A654AF" w:rsidRPr="00AD78EA">
        <w:rPr>
          <w:rFonts w:ascii="Cambria" w:eastAsia="Cambria" w:hAnsi="Cambria" w:cs="Cambria"/>
          <w:color w:val="000000"/>
          <w:sz w:val="20"/>
          <w:szCs w:val="20"/>
          <w:u w:color="000000"/>
          <w:lang w:val="es-MX" w:eastAsia="es-ES"/>
        </w:rPr>
        <w:t>y dejar a</w:t>
      </w:r>
      <w:r w:rsidR="00945401" w:rsidRPr="00AD78EA">
        <w:rPr>
          <w:rFonts w:ascii="Cambria" w:eastAsia="Cambria" w:hAnsi="Cambria" w:cs="Cambria"/>
          <w:color w:val="000000"/>
          <w:sz w:val="20"/>
          <w:szCs w:val="20"/>
          <w:u w:color="000000"/>
          <w:lang w:val="es-MX" w:eastAsia="es-ES"/>
        </w:rPr>
        <w:t xml:space="preserve"> su familia</w:t>
      </w:r>
      <w:r w:rsidR="000C6C56" w:rsidRPr="00AD78EA">
        <w:rPr>
          <w:rFonts w:ascii="Cambria" w:eastAsia="Cambria" w:hAnsi="Cambria" w:cs="Cambria"/>
          <w:color w:val="000000"/>
          <w:sz w:val="20"/>
          <w:szCs w:val="20"/>
          <w:u w:color="000000"/>
          <w:vertAlign w:val="superscript"/>
          <w:lang w:eastAsia="es-ES"/>
        </w:rPr>
        <w:footnoteReference w:id="69"/>
      </w:r>
      <w:r w:rsidR="000C6C56" w:rsidRPr="00AD78EA">
        <w:rPr>
          <w:rFonts w:ascii="Cambria" w:eastAsia="Cambria" w:hAnsi="Cambria" w:cs="Cambria"/>
          <w:color w:val="000000"/>
          <w:sz w:val="20"/>
          <w:szCs w:val="20"/>
          <w:u w:color="000000"/>
          <w:lang w:val="es-MX" w:eastAsia="es-ES"/>
        </w:rPr>
        <w:t>.</w:t>
      </w:r>
    </w:p>
    <w:p w14:paraId="5F895DD9" w14:textId="77777777" w:rsidR="000C6C56" w:rsidRPr="00AD78EA" w:rsidRDefault="000C6C56" w:rsidP="00487153">
      <w:pPr>
        <w:ind w:left="720"/>
        <w:jc w:val="both"/>
        <w:rPr>
          <w:rFonts w:ascii="Cambria" w:eastAsia="Cambria" w:hAnsi="Cambria" w:cs="Cambria"/>
          <w:color w:val="000000"/>
          <w:sz w:val="20"/>
          <w:szCs w:val="20"/>
          <w:u w:color="000000"/>
          <w:lang w:val="es-MX" w:eastAsia="es-ES"/>
        </w:rPr>
      </w:pPr>
    </w:p>
    <w:p w14:paraId="56A4F04C" w14:textId="1A2DB183" w:rsidR="00536C06" w:rsidRPr="00AD78EA" w:rsidRDefault="000C6C56" w:rsidP="00CB7168">
      <w:pPr>
        <w:numPr>
          <w:ilvl w:val="0"/>
          <w:numId w:val="56"/>
        </w:numPr>
        <w:ind w:left="0" w:firstLine="720"/>
        <w:jc w:val="both"/>
        <w:rPr>
          <w:rFonts w:ascii="Cambria" w:eastAsia="Cambria" w:hAnsi="Cambria" w:cs="Cambria"/>
          <w:color w:val="000000"/>
          <w:sz w:val="20"/>
          <w:szCs w:val="20"/>
          <w:u w:color="000000"/>
          <w:lang w:val="es-MX" w:eastAsia="es-ES"/>
        </w:rPr>
      </w:pPr>
      <w:r w:rsidRPr="00AD78EA">
        <w:rPr>
          <w:rFonts w:ascii="Cambria" w:eastAsia="Cambria" w:hAnsi="Cambria" w:cs="Cambria"/>
          <w:color w:val="000000"/>
          <w:sz w:val="20"/>
          <w:szCs w:val="20"/>
          <w:u w:color="000000"/>
          <w:lang w:val="es-MX" w:eastAsia="es-ES"/>
        </w:rPr>
        <w:t xml:space="preserve">En virtud de las anteriores </w:t>
      </w:r>
      <w:r w:rsidRPr="00AD78EA">
        <w:rPr>
          <w:rFonts w:asciiTheme="majorHAnsi" w:eastAsia="Cambria" w:hAnsiTheme="majorHAnsi" w:cs="Cambria"/>
          <w:color w:val="000000"/>
          <w:sz w:val="20"/>
          <w:szCs w:val="20"/>
          <w:u w:color="000000"/>
          <w:lang w:val="es-MX" w:eastAsia="es-ES"/>
        </w:rPr>
        <w:t xml:space="preserve">consideraciones, la Comisión concluye que el Estado colombiano es responsable por la violación de los derechos a la vida, </w:t>
      </w:r>
      <w:r w:rsidR="00384EC5" w:rsidRPr="00AD78EA">
        <w:rPr>
          <w:rFonts w:asciiTheme="majorHAnsi" w:eastAsia="Cambria" w:hAnsiTheme="majorHAnsi" w:cs="Cambria"/>
          <w:color w:val="000000"/>
          <w:sz w:val="20"/>
          <w:szCs w:val="20"/>
          <w:u w:color="000000"/>
          <w:lang w:val="es-MX" w:eastAsia="es-ES"/>
        </w:rPr>
        <w:t xml:space="preserve">a la </w:t>
      </w:r>
      <w:r w:rsidRPr="00AD78EA">
        <w:rPr>
          <w:rFonts w:asciiTheme="majorHAnsi" w:eastAsia="Cambria" w:hAnsiTheme="majorHAnsi" w:cs="Cambria"/>
          <w:color w:val="000000"/>
          <w:sz w:val="20"/>
          <w:szCs w:val="20"/>
          <w:u w:color="000000"/>
          <w:lang w:val="es-MX" w:eastAsia="es-ES"/>
        </w:rPr>
        <w:t>integridad personal y</w:t>
      </w:r>
      <w:r w:rsidR="00384EC5" w:rsidRPr="00AD78EA">
        <w:rPr>
          <w:rFonts w:asciiTheme="majorHAnsi" w:eastAsia="Cambria" w:hAnsiTheme="majorHAnsi" w:cs="Cambria"/>
          <w:color w:val="000000"/>
          <w:sz w:val="20"/>
          <w:szCs w:val="20"/>
          <w:u w:color="000000"/>
          <w:lang w:val="es-MX" w:eastAsia="es-ES"/>
        </w:rPr>
        <w:t xml:space="preserve"> a la</w:t>
      </w:r>
      <w:r w:rsidRPr="00AD78EA">
        <w:rPr>
          <w:rFonts w:asciiTheme="majorHAnsi" w:eastAsia="Cambria" w:hAnsiTheme="majorHAnsi" w:cs="Cambria"/>
          <w:color w:val="000000"/>
          <w:sz w:val="20"/>
          <w:szCs w:val="20"/>
          <w:u w:color="000000"/>
          <w:lang w:val="es-MX" w:eastAsia="es-ES"/>
        </w:rPr>
        <w:t xml:space="preserve"> libertad de circulación y residencia, establecidos en los artículos 4.1, 5.1</w:t>
      </w:r>
      <w:r w:rsidR="0052740F" w:rsidRPr="00AD78EA">
        <w:rPr>
          <w:rFonts w:asciiTheme="majorHAnsi" w:eastAsia="Cambria" w:hAnsiTheme="majorHAnsi" w:cs="Cambria"/>
          <w:color w:val="000000"/>
          <w:sz w:val="20"/>
          <w:szCs w:val="20"/>
          <w:u w:color="000000"/>
          <w:lang w:val="es-MX" w:eastAsia="es-ES"/>
        </w:rPr>
        <w:t>,</w:t>
      </w:r>
      <w:r w:rsidRPr="00AD78EA">
        <w:rPr>
          <w:rFonts w:asciiTheme="majorHAnsi" w:eastAsia="Cambria" w:hAnsiTheme="majorHAnsi" w:cs="Cambria"/>
          <w:color w:val="000000"/>
          <w:sz w:val="20"/>
          <w:szCs w:val="20"/>
          <w:u w:color="000000"/>
          <w:lang w:val="es-MX" w:eastAsia="es-ES"/>
        </w:rPr>
        <w:t xml:space="preserve"> y 22.1 de la Convenci</w:t>
      </w:r>
      <w:r w:rsidRPr="00AD78EA">
        <w:rPr>
          <w:rFonts w:asciiTheme="majorHAnsi" w:eastAsia="Cambria" w:hAnsiTheme="majorHAnsi"/>
          <w:color w:val="000000"/>
          <w:sz w:val="20"/>
          <w:szCs w:val="20"/>
          <w:u w:color="000000"/>
          <w:lang w:val="es-MX" w:eastAsia="es-ES"/>
        </w:rPr>
        <w:t>ón Americana, en relación con el deber de garantía en su componente de prevención y protección, en perjuicio de Oscar Morales Díaz</w:t>
      </w:r>
      <w:r w:rsidR="008E4295" w:rsidRPr="00AD78EA">
        <w:rPr>
          <w:rFonts w:asciiTheme="majorHAnsi" w:eastAsia="Cambria" w:hAnsiTheme="majorHAnsi"/>
          <w:color w:val="000000"/>
          <w:sz w:val="20"/>
          <w:szCs w:val="20"/>
          <w:u w:color="000000"/>
          <w:lang w:val="es-MX" w:eastAsia="es-ES"/>
        </w:rPr>
        <w:t>.</w:t>
      </w:r>
      <w:r w:rsidRPr="00AD78EA">
        <w:rPr>
          <w:rFonts w:asciiTheme="majorHAnsi" w:eastAsia="Cambria" w:hAnsiTheme="majorHAnsi"/>
          <w:color w:val="000000"/>
          <w:sz w:val="20"/>
          <w:szCs w:val="20"/>
          <w:u w:color="000000"/>
          <w:lang w:val="es-MX" w:eastAsia="es-ES"/>
        </w:rPr>
        <w:t xml:space="preserve"> </w:t>
      </w:r>
    </w:p>
    <w:p w14:paraId="3ACAF636" w14:textId="77777777" w:rsidR="0027242F" w:rsidRPr="00AD78EA" w:rsidRDefault="0027242F" w:rsidP="0027242F">
      <w:pPr>
        <w:jc w:val="both"/>
        <w:rPr>
          <w:rFonts w:ascii="Cambria" w:eastAsia="Cambria" w:hAnsi="Cambria" w:cs="Cambria"/>
          <w:color w:val="000000"/>
          <w:sz w:val="20"/>
          <w:szCs w:val="20"/>
          <w:u w:color="000000"/>
          <w:lang w:val="es-MX" w:eastAsia="es-ES"/>
        </w:rPr>
      </w:pPr>
    </w:p>
    <w:p w14:paraId="48A3BD0C" w14:textId="28300192" w:rsidR="002936AA" w:rsidRPr="00AD78EA" w:rsidRDefault="00D02768" w:rsidP="0027242F">
      <w:pPr>
        <w:pStyle w:val="Heading2"/>
        <w:numPr>
          <w:ilvl w:val="0"/>
          <w:numId w:val="61"/>
        </w:numPr>
        <w:ind w:left="1440" w:hanging="720"/>
        <w:rPr>
          <w:i/>
        </w:rPr>
      </w:pPr>
      <w:bookmarkStart w:id="19" w:name="_Toc202349287"/>
      <w:r w:rsidRPr="00AD78EA">
        <w:t>Los derechos a las garantías judiciales</w:t>
      </w:r>
      <w:r w:rsidR="00807232" w:rsidRPr="00AD78EA">
        <w:rPr>
          <w:rStyle w:val="FootnoteReference"/>
          <w:lang w:val="es-MX"/>
        </w:rPr>
        <w:footnoteReference w:id="70"/>
      </w:r>
      <w:r w:rsidRPr="00AD78EA">
        <w:t xml:space="preserve"> y protección judicial</w:t>
      </w:r>
      <w:r w:rsidR="00807232" w:rsidRPr="00AD78EA">
        <w:rPr>
          <w:rStyle w:val="FootnoteReference"/>
          <w:lang w:val="es-MX"/>
        </w:rPr>
        <w:footnoteReference w:id="71"/>
      </w:r>
      <w:r w:rsidRPr="00AD78EA">
        <w:t>, en relación con el artículo 1.1 de la Convención Americana</w:t>
      </w:r>
      <w:r w:rsidR="00807232" w:rsidRPr="00AD78EA">
        <w:t>.</w:t>
      </w:r>
      <w:bookmarkEnd w:id="19"/>
    </w:p>
    <w:p w14:paraId="0B11BE78" w14:textId="7A94FB11" w:rsidR="002936AA" w:rsidRPr="00AD78EA" w:rsidRDefault="002936AA" w:rsidP="0027242F">
      <w:pPr>
        <w:pStyle w:val="Heading3"/>
        <w:numPr>
          <w:ilvl w:val="0"/>
          <w:numId w:val="63"/>
        </w:numPr>
        <w:ind w:left="1440" w:hanging="720"/>
        <w:rPr>
          <w:rFonts w:asciiTheme="majorHAnsi" w:eastAsia="Cambria" w:hAnsiTheme="majorHAnsi"/>
          <w:sz w:val="20"/>
          <w:szCs w:val="20"/>
          <w:u w:color="000000"/>
          <w:lang w:val="es-MX" w:eastAsia="es-ES"/>
        </w:rPr>
      </w:pPr>
      <w:bookmarkStart w:id="20" w:name="_Toc202349288"/>
      <w:r w:rsidRPr="00AD78EA">
        <w:rPr>
          <w:rFonts w:asciiTheme="majorHAnsi" w:eastAsia="Cambria" w:hAnsiTheme="majorHAnsi"/>
          <w:sz w:val="20"/>
          <w:szCs w:val="20"/>
          <w:u w:color="000000"/>
          <w:lang w:val="es-MX" w:eastAsia="es-ES"/>
        </w:rPr>
        <w:t>Consideraciones generales</w:t>
      </w:r>
      <w:r w:rsidR="00807232" w:rsidRPr="00AD78EA">
        <w:rPr>
          <w:rFonts w:asciiTheme="majorHAnsi" w:eastAsia="Cambria" w:hAnsiTheme="majorHAnsi"/>
          <w:sz w:val="20"/>
          <w:szCs w:val="20"/>
          <w:u w:color="000000"/>
          <w:lang w:val="es-MX" w:eastAsia="es-ES"/>
        </w:rPr>
        <w:t>.</w:t>
      </w:r>
      <w:bookmarkEnd w:id="20"/>
      <w:r w:rsidRPr="00AD78EA">
        <w:rPr>
          <w:rFonts w:asciiTheme="majorHAnsi" w:eastAsia="Cambria" w:hAnsiTheme="majorHAnsi"/>
          <w:sz w:val="20"/>
          <w:szCs w:val="20"/>
          <w:u w:color="000000"/>
          <w:lang w:val="es-MX" w:eastAsia="es-ES"/>
        </w:rPr>
        <w:t xml:space="preserve"> </w:t>
      </w:r>
    </w:p>
    <w:p w14:paraId="42C4B7D8" w14:textId="77777777" w:rsidR="002936AA" w:rsidRPr="00AD78EA" w:rsidRDefault="002936AA" w:rsidP="002936AA">
      <w:pPr>
        <w:pBdr>
          <w:top w:val="none" w:sz="0" w:space="0" w:color="000000"/>
          <w:left w:val="none" w:sz="0" w:space="0" w:color="000000"/>
          <w:bottom w:val="none" w:sz="0" w:space="0" w:color="000000"/>
          <w:right w:val="none" w:sz="0" w:space="0" w:color="000000"/>
          <w:between w:val="none" w:sz="0" w:space="0" w:color="000000"/>
        </w:pBdr>
        <w:tabs>
          <w:tab w:val="left" w:pos="720"/>
        </w:tabs>
        <w:jc w:val="both"/>
        <w:rPr>
          <w:rFonts w:asciiTheme="majorHAnsi" w:eastAsia="Cambria" w:hAnsiTheme="majorHAnsi" w:cs="Cambria"/>
          <w:sz w:val="20"/>
          <w:szCs w:val="20"/>
          <w:lang w:val="es-MX"/>
        </w:rPr>
      </w:pPr>
    </w:p>
    <w:p w14:paraId="0FCDA06E" w14:textId="77777777" w:rsidR="002936AA" w:rsidRPr="00AD78EA" w:rsidRDefault="002936AA"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b/>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La Corte Interamericana ha establecido que “en virtud de la protección otorgada por los artículos 8 y 25 de la Convención, los Estados están obligados a suministrar recursos judiciales efectivos a las víctimas de violaciones de los derechos humanos, que deben ser sustanciados de conformidad con las reglas del debido proceso legal”</w:t>
      </w:r>
      <w:r w:rsidRPr="00AD78EA">
        <w:rPr>
          <w:rFonts w:asciiTheme="majorHAnsi" w:eastAsia="Cambria" w:hAnsiTheme="majorHAnsi" w:cs="Cambria"/>
          <w:color w:val="000000"/>
          <w:sz w:val="20"/>
          <w:szCs w:val="20"/>
          <w:u w:color="000000"/>
          <w:vertAlign w:val="superscript"/>
          <w:lang w:eastAsia="es-ES"/>
        </w:rPr>
        <w:footnoteReference w:id="72"/>
      </w:r>
      <w:r w:rsidRPr="00AD78EA">
        <w:rPr>
          <w:rFonts w:asciiTheme="majorHAnsi" w:eastAsia="Cambria" w:hAnsiTheme="majorHAnsi" w:cs="Cambria"/>
          <w:color w:val="000000"/>
          <w:sz w:val="20"/>
          <w:szCs w:val="20"/>
          <w:u w:color="000000"/>
          <w:lang w:val="es-MX" w:eastAsia="es-ES"/>
        </w:rPr>
        <w:t xml:space="preserve">. </w:t>
      </w:r>
      <w:r w:rsidRPr="00AD78EA">
        <w:rPr>
          <w:rFonts w:asciiTheme="majorHAnsi" w:eastAsia="Cambria" w:hAnsiTheme="majorHAnsi" w:cs="Cambria"/>
          <w:b/>
          <w:color w:val="000000"/>
          <w:sz w:val="20"/>
          <w:szCs w:val="20"/>
          <w:u w:color="000000"/>
          <w:lang w:val="es-MX" w:eastAsia="es-ES"/>
        </w:rPr>
        <w:t xml:space="preserve"> </w:t>
      </w:r>
    </w:p>
    <w:p w14:paraId="5E904FF6" w14:textId="77777777" w:rsidR="002936AA" w:rsidRPr="00AD78EA" w:rsidRDefault="002936AA" w:rsidP="002936AA">
      <w:pPr>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Cambria"/>
          <w:b/>
          <w:color w:val="000000"/>
          <w:sz w:val="20"/>
          <w:szCs w:val="20"/>
          <w:u w:color="000000"/>
          <w:lang w:val="es-MX" w:eastAsia="es-ES"/>
        </w:rPr>
      </w:pPr>
    </w:p>
    <w:p w14:paraId="61586C74" w14:textId="77777777" w:rsidR="002936AA" w:rsidRPr="00AD78EA" w:rsidRDefault="002936AA"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b/>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La jurisprudencia del sistema interamericano contempla que el Estado está obligado, una vez tenga conocimiento de una violación de derechos humanos, en particular de los derechos a la vida, integridad personal y libertad personal</w:t>
      </w:r>
      <w:r w:rsidRPr="00AD78EA">
        <w:rPr>
          <w:rFonts w:asciiTheme="majorHAnsi" w:eastAsia="Cambria" w:hAnsiTheme="majorHAnsi" w:cs="Cambria"/>
          <w:color w:val="000000"/>
          <w:sz w:val="20"/>
          <w:szCs w:val="20"/>
          <w:u w:color="000000"/>
          <w:vertAlign w:val="superscript"/>
          <w:lang w:eastAsia="es-ES"/>
        </w:rPr>
        <w:footnoteReference w:id="73"/>
      </w:r>
      <w:r w:rsidRPr="00AD78EA">
        <w:rPr>
          <w:rFonts w:asciiTheme="majorHAnsi" w:eastAsia="Cambria" w:hAnsiTheme="majorHAnsi" w:cs="Cambria"/>
          <w:color w:val="000000"/>
          <w:sz w:val="20"/>
          <w:szCs w:val="20"/>
          <w:u w:color="000000"/>
          <w:lang w:val="es-MX" w:eastAsia="es-ES"/>
        </w:rPr>
        <w:t xml:space="preserve">, a iniciar </w:t>
      </w:r>
      <w:r w:rsidRPr="00AD78EA">
        <w:rPr>
          <w:rFonts w:asciiTheme="majorHAnsi" w:eastAsia="Cambria" w:hAnsiTheme="majorHAnsi" w:cs="Cambria"/>
          <w:i/>
          <w:color w:val="000000"/>
          <w:sz w:val="20"/>
          <w:szCs w:val="20"/>
          <w:u w:color="000000"/>
          <w:lang w:val="es-MX" w:eastAsia="es-ES"/>
        </w:rPr>
        <w:t>ex officio</w:t>
      </w:r>
      <w:r w:rsidRPr="00AD78EA">
        <w:rPr>
          <w:rFonts w:asciiTheme="majorHAnsi" w:eastAsia="Cambria" w:hAnsiTheme="majorHAnsi" w:cs="Cambria"/>
          <w:color w:val="000000"/>
          <w:sz w:val="20"/>
          <w:szCs w:val="20"/>
          <w:u w:color="000000"/>
          <w:lang w:val="es-MX" w:eastAsia="es-ES"/>
        </w:rPr>
        <w:t xml:space="preserve"> y sin dilación, una investigación seria, imparcial y efectiva</w:t>
      </w:r>
      <w:r w:rsidRPr="00AD78EA">
        <w:rPr>
          <w:rFonts w:asciiTheme="majorHAnsi" w:eastAsia="Cambria" w:hAnsiTheme="majorHAnsi" w:cs="Cambria"/>
          <w:color w:val="000000"/>
          <w:sz w:val="20"/>
          <w:szCs w:val="20"/>
          <w:u w:color="000000"/>
          <w:vertAlign w:val="superscript"/>
          <w:lang w:eastAsia="es-ES"/>
        </w:rPr>
        <w:footnoteReference w:id="74"/>
      </w:r>
      <w:r w:rsidRPr="00AD78EA">
        <w:rPr>
          <w:rFonts w:asciiTheme="majorHAnsi" w:eastAsia="Cambria" w:hAnsiTheme="majorHAnsi" w:cs="Cambria"/>
          <w:color w:val="000000"/>
          <w:sz w:val="20"/>
          <w:szCs w:val="20"/>
          <w:u w:color="000000"/>
          <w:lang w:val="es-MX" w:eastAsia="es-ES"/>
        </w:rPr>
        <w:t>, la cual debe llevarse a cabo en un plazo razonable</w:t>
      </w:r>
      <w:r w:rsidRPr="00AD78EA">
        <w:rPr>
          <w:rFonts w:asciiTheme="majorHAnsi" w:eastAsia="Cambria" w:hAnsiTheme="majorHAnsi" w:cs="Cambria"/>
          <w:color w:val="000000"/>
          <w:sz w:val="20"/>
          <w:szCs w:val="20"/>
          <w:u w:color="000000"/>
          <w:vertAlign w:val="superscript"/>
          <w:lang w:eastAsia="es-ES"/>
        </w:rPr>
        <w:footnoteReference w:id="75"/>
      </w:r>
      <w:r w:rsidRPr="00AD78EA">
        <w:rPr>
          <w:rFonts w:asciiTheme="majorHAnsi" w:eastAsia="Cambria" w:hAnsiTheme="majorHAnsi" w:cs="Cambria"/>
          <w:color w:val="000000"/>
          <w:sz w:val="20"/>
          <w:szCs w:val="20"/>
          <w:u w:color="000000"/>
          <w:vertAlign w:val="superscript"/>
          <w:lang w:val="es-MX" w:eastAsia="es-ES"/>
        </w:rPr>
        <w:t>.</w:t>
      </w:r>
      <w:r w:rsidRPr="00AD78EA">
        <w:rPr>
          <w:rFonts w:asciiTheme="majorHAnsi" w:eastAsia="Cambria" w:hAnsiTheme="majorHAnsi" w:cs="Cambria"/>
          <w:color w:val="000000"/>
          <w:sz w:val="20"/>
          <w:szCs w:val="20"/>
          <w:u w:color="000000"/>
          <w:lang w:val="es-MX" w:eastAsia="es-ES"/>
        </w:rPr>
        <w:t xml:space="preserve"> Esto implica el derecho de las víctimas y sus familiares a que las autoridades estatales inicien un proceso contra los presuntos responsables de estos ilícitos; en su caso, se les impongan las sanciones pertinentes, y se reparen los daños y perjuicios que dichos familiares hayan sufrido</w:t>
      </w:r>
      <w:r w:rsidRPr="00AD78EA">
        <w:rPr>
          <w:rFonts w:asciiTheme="majorHAnsi" w:eastAsia="Cambria" w:hAnsiTheme="majorHAnsi" w:cs="Cambria"/>
          <w:color w:val="000000"/>
          <w:sz w:val="20"/>
          <w:szCs w:val="20"/>
          <w:u w:color="000000"/>
          <w:vertAlign w:val="superscript"/>
          <w:lang w:eastAsia="es-ES"/>
        </w:rPr>
        <w:footnoteReference w:id="76"/>
      </w:r>
      <w:r w:rsidRPr="00AD78EA">
        <w:rPr>
          <w:rFonts w:asciiTheme="majorHAnsi" w:eastAsia="Cambria" w:hAnsiTheme="majorHAnsi" w:cs="Cambria"/>
          <w:color w:val="000000"/>
          <w:sz w:val="20"/>
          <w:szCs w:val="20"/>
          <w:u w:color="000000"/>
          <w:lang w:val="es-MX" w:eastAsia="es-ES"/>
        </w:rPr>
        <w:t>.</w:t>
      </w:r>
    </w:p>
    <w:p w14:paraId="09D45D91" w14:textId="77777777" w:rsidR="00B44755" w:rsidRPr="00AD78EA" w:rsidRDefault="00B44755" w:rsidP="00B44755">
      <w:pPr>
        <w:pStyle w:val="ListParagraph"/>
        <w:rPr>
          <w:rFonts w:asciiTheme="majorHAnsi" w:hAnsiTheme="majorHAnsi"/>
          <w:b/>
          <w:sz w:val="20"/>
          <w:szCs w:val="20"/>
          <w:lang w:val="es-MX"/>
        </w:rPr>
      </w:pPr>
    </w:p>
    <w:p w14:paraId="04F97590" w14:textId="082FEB6D" w:rsidR="002014B4" w:rsidRPr="00AD78EA" w:rsidRDefault="000969F3"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b/>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Con relación a la investigación de casos de amenazas, l</w:t>
      </w:r>
      <w:r w:rsidR="00B44755" w:rsidRPr="00AD78EA">
        <w:rPr>
          <w:rFonts w:asciiTheme="majorHAnsi" w:eastAsia="Cambria" w:hAnsiTheme="majorHAnsi" w:cs="Cambria"/>
          <w:color w:val="000000"/>
          <w:sz w:val="20"/>
          <w:szCs w:val="20"/>
          <w:u w:color="000000"/>
          <w:lang w:val="es-MX" w:eastAsia="es-ES"/>
        </w:rPr>
        <w:t>a Comisión ha señalado que el deber de prevención no se limita a proporcionar medidas materiales de protección, sino que conlleva la obligación de actuar sobre las causas estructurales que afectan la seguridad de las personas amenazadas. Para cumplir con esta obligación, el Estado “debe investigar y esta investigación “debe realizarse de manera inmediata, exhaustiva, seria e imparcial para identificar de dónde provienen las amenazas y sancionar a los responsables, con el objeto de impedir que las amenazas se cumplan”</w:t>
      </w:r>
      <w:r w:rsidR="00B44755" w:rsidRPr="00AD78EA">
        <w:rPr>
          <w:rStyle w:val="FootnoteReference"/>
          <w:rFonts w:asciiTheme="majorHAnsi" w:eastAsia="Cambria" w:hAnsiTheme="majorHAnsi" w:cs="Cambria"/>
          <w:color w:val="000000"/>
          <w:sz w:val="20"/>
          <w:szCs w:val="20"/>
          <w:u w:color="000000"/>
          <w:lang w:val="es-MX" w:eastAsia="es-ES"/>
        </w:rPr>
        <w:footnoteReference w:id="77"/>
      </w:r>
      <w:r w:rsidR="00B44755" w:rsidRPr="00AD78EA">
        <w:rPr>
          <w:rFonts w:asciiTheme="majorHAnsi" w:eastAsia="Cambria" w:hAnsiTheme="majorHAnsi" w:cs="Cambria"/>
          <w:color w:val="000000"/>
          <w:sz w:val="20"/>
          <w:szCs w:val="20"/>
          <w:u w:color="000000"/>
          <w:lang w:val="es-MX" w:eastAsia="es-ES"/>
        </w:rPr>
        <w:t xml:space="preserve">. </w:t>
      </w:r>
      <w:r w:rsidR="002014B4" w:rsidRPr="00AD78EA">
        <w:rPr>
          <w:rFonts w:asciiTheme="majorHAnsi" w:eastAsia="Cambria" w:hAnsiTheme="majorHAnsi" w:cs="Cambria"/>
          <w:color w:val="000000"/>
          <w:sz w:val="20"/>
          <w:szCs w:val="20"/>
          <w:u w:color="000000"/>
          <w:lang w:val="es-MX" w:eastAsia="es-ES"/>
        </w:rPr>
        <w:t xml:space="preserve">La Comisión también ha afirmado que de no presentarse avances en las investigaciones y en la captura de los responsables, las personas </w:t>
      </w:r>
      <w:r w:rsidR="0052740F" w:rsidRPr="00AD78EA">
        <w:rPr>
          <w:rFonts w:asciiTheme="majorHAnsi" w:eastAsia="Cambria" w:hAnsiTheme="majorHAnsi" w:cs="Cambria"/>
          <w:color w:val="000000"/>
          <w:sz w:val="20"/>
          <w:szCs w:val="20"/>
          <w:u w:color="000000"/>
          <w:lang w:val="es-MX" w:eastAsia="es-ES"/>
        </w:rPr>
        <w:t xml:space="preserve">amenazadas </w:t>
      </w:r>
      <w:r w:rsidR="002014B4" w:rsidRPr="00AD78EA">
        <w:rPr>
          <w:rFonts w:asciiTheme="majorHAnsi" w:eastAsia="Cambria" w:hAnsiTheme="majorHAnsi" w:cs="Cambria"/>
          <w:color w:val="000000"/>
          <w:sz w:val="20"/>
          <w:szCs w:val="20"/>
          <w:u w:color="000000"/>
          <w:lang w:val="es-MX" w:eastAsia="es-ES"/>
        </w:rPr>
        <w:t xml:space="preserve">pueden enfrentarse a un riesgo de mayor gravedad. </w:t>
      </w:r>
      <w:r w:rsidR="00B44755" w:rsidRPr="00AD78EA">
        <w:rPr>
          <w:rFonts w:asciiTheme="majorHAnsi" w:eastAsia="Cambria" w:hAnsiTheme="majorHAnsi" w:cs="Cambria"/>
          <w:color w:val="000000"/>
          <w:sz w:val="20"/>
          <w:szCs w:val="20"/>
          <w:u w:color="000000"/>
          <w:lang w:val="es-MX" w:eastAsia="es-ES"/>
        </w:rPr>
        <w:t>En cuanto al deber de sancionar a los responsables, la Convención exige que se castigue no sólo a los autores materiales de los hechos, sino también a los autores intelectuales</w:t>
      </w:r>
      <w:r w:rsidR="00B44755" w:rsidRPr="00AD78EA">
        <w:rPr>
          <w:rStyle w:val="FootnoteReference"/>
          <w:rFonts w:asciiTheme="majorHAnsi" w:eastAsia="Cambria" w:hAnsiTheme="majorHAnsi" w:cs="Cambria"/>
          <w:color w:val="000000"/>
          <w:sz w:val="20"/>
          <w:szCs w:val="20"/>
          <w:u w:color="000000"/>
          <w:lang w:val="es-MX" w:eastAsia="es-ES"/>
        </w:rPr>
        <w:footnoteReference w:id="78"/>
      </w:r>
      <w:r w:rsidR="00B44755" w:rsidRPr="00AD78EA">
        <w:rPr>
          <w:rFonts w:asciiTheme="majorHAnsi" w:eastAsia="Cambria" w:hAnsiTheme="majorHAnsi" w:cs="Cambria"/>
          <w:color w:val="000000"/>
          <w:sz w:val="20"/>
          <w:szCs w:val="20"/>
          <w:u w:color="000000"/>
          <w:lang w:val="es-MX" w:eastAsia="es-ES"/>
        </w:rPr>
        <w:t xml:space="preserve">.   </w:t>
      </w:r>
    </w:p>
    <w:p w14:paraId="1845810C" w14:textId="77777777" w:rsidR="002936AA" w:rsidRPr="00AD78EA" w:rsidRDefault="002936AA" w:rsidP="002936AA">
      <w:p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mbria" w:hAnsiTheme="majorHAnsi" w:cs="Cambria"/>
          <w:b/>
          <w:color w:val="000000"/>
          <w:sz w:val="20"/>
          <w:szCs w:val="20"/>
          <w:lang w:val="es-MX"/>
        </w:rPr>
      </w:pPr>
    </w:p>
    <w:p w14:paraId="3D747A35" w14:textId="552CFB40" w:rsidR="002936AA" w:rsidRPr="00AD78EA" w:rsidRDefault="002936AA" w:rsidP="00CB7168">
      <w:pPr>
        <w:numPr>
          <w:ilvl w:val="0"/>
          <w:numId w:val="56"/>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La Corte Interamericana ha indicado que el deber de investigar con la debida diligencia implica que las averiguaciones deben ser realizadas por todos los medios legales disponibles y deben estar orientadas a la determinación de la verdad</w:t>
      </w:r>
      <w:r w:rsidRPr="00AD78EA">
        <w:rPr>
          <w:rFonts w:asciiTheme="majorHAnsi" w:eastAsia="Cambria" w:hAnsiTheme="majorHAnsi" w:cs="Cambria"/>
          <w:color w:val="000000"/>
          <w:sz w:val="20"/>
          <w:szCs w:val="20"/>
          <w:u w:color="000000"/>
          <w:vertAlign w:val="superscript"/>
          <w:lang w:eastAsia="es-ES"/>
        </w:rPr>
        <w:footnoteReference w:id="79"/>
      </w:r>
      <w:r w:rsidRPr="00AD78EA">
        <w:rPr>
          <w:rFonts w:asciiTheme="majorHAnsi" w:eastAsia="Cambria" w:hAnsiTheme="majorHAnsi" w:cs="Cambria"/>
          <w:color w:val="000000"/>
          <w:sz w:val="20"/>
          <w:szCs w:val="20"/>
          <w:u w:color="000000"/>
          <w:lang w:val="es-MX" w:eastAsia="es-ES"/>
        </w:rPr>
        <w:t xml:space="preserve">.  </w:t>
      </w:r>
      <w:r w:rsidR="000969F3" w:rsidRPr="00AD78EA">
        <w:rPr>
          <w:rFonts w:asciiTheme="majorHAnsi" w:eastAsia="Cambria" w:hAnsiTheme="majorHAnsi" w:cs="Cambria"/>
          <w:color w:val="000000"/>
          <w:sz w:val="20"/>
          <w:szCs w:val="20"/>
          <w:u w:color="000000"/>
          <w:lang w:val="es-MX" w:eastAsia="es-ES"/>
        </w:rPr>
        <w:t xml:space="preserve">Asimismo, la Comisión y la Corte han especificado que en casos de violaciones de derechos humanos, el Estado puede ser hallado responsable en caso de no ordenar y practicar pruebas pertinentes conforme al deber de debida diligencia y que la investigación debe estar orientada a explorar todas las </w:t>
      </w:r>
      <w:r w:rsidR="000969F3" w:rsidRPr="00AD78EA">
        <w:rPr>
          <w:rFonts w:asciiTheme="majorHAnsi" w:hAnsiTheme="majorHAnsi"/>
          <w:sz w:val="20"/>
          <w:szCs w:val="20"/>
          <w:lang w:val="es-US"/>
        </w:rPr>
        <w:t>las líneas investigativas posibles, que permitan la identificación de los autores de dicha violación</w:t>
      </w:r>
      <w:r w:rsidR="000969F3" w:rsidRPr="00AD78EA">
        <w:rPr>
          <w:rStyle w:val="FootnoteReference"/>
          <w:rFonts w:asciiTheme="majorHAnsi" w:hAnsiTheme="majorHAnsi"/>
          <w:sz w:val="20"/>
          <w:szCs w:val="20"/>
        </w:rPr>
        <w:footnoteReference w:id="80"/>
      </w:r>
      <w:r w:rsidR="000969F3" w:rsidRPr="00AD78EA">
        <w:rPr>
          <w:rFonts w:asciiTheme="majorHAnsi" w:hAnsiTheme="majorHAnsi"/>
          <w:sz w:val="20"/>
          <w:szCs w:val="20"/>
          <w:lang w:val="es-US"/>
        </w:rPr>
        <w:t xml:space="preserve">. </w:t>
      </w:r>
      <w:r w:rsidR="000969F3" w:rsidRPr="00AD78EA">
        <w:rPr>
          <w:rFonts w:asciiTheme="majorHAnsi" w:hAnsiTheme="majorHAnsi"/>
          <w:spacing w:val="-2"/>
          <w:sz w:val="20"/>
          <w:szCs w:val="20"/>
          <w:lang w:val="es-CO"/>
        </w:rPr>
        <w:t>También ha reiterado que</w:t>
      </w:r>
      <w:r w:rsidR="00BC1427">
        <w:rPr>
          <w:rFonts w:asciiTheme="majorHAnsi" w:hAnsiTheme="majorHAnsi"/>
          <w:spacing w:val="-2"/>
          <w:sz w:val="20"/>
          <w:szCs w:val="20"/>
          <w:lang w:val="es-CO"/>
        </w:rPr>
        <w:t>,</w:t>
      </w:r>
      <w:r w:rsidR="000969F3" w:rsidRPr="00AD78EA">
        <w:rPr>
          <w:rFonts w:asciiTheme="majorHAnsi" w:hAnsiTheme="majorHAnsi"/>
          <w:spacing w:val="-2"/>
          <w:sz w:val="20"/>
          <w:szCs w:val="20"/>
          <w:lang w:val="es-CO"/>
        </w:rPr>
        <w:t xml:space="preserve"> en ciertos casos, “la obligación de investigar conlleva el deber de dirigir los esfuerzos del aparato estatal para desentrañar las estructuras que permitieron esas violaciones, sus causas, sus beneficiarios y sus consecuencias”</w:t>
      </w:r>
      <w:r w:rsidR="000969F3" w:rsidRPr="00AD78EA">
        <w:rPr>
          <w:rStyle w:val="FootnoteReference"/>
          <w:rFonts w:asciiTheme="majorHAnsi" w:hAnsiTheme="majorHAnsi"/>
          <w:spacing w:val="-2"/>
          <w:sz w:val="20"/>
          <w:szCs w:val="20"/>
        </w:rPr>
        <w:footnoteReference w:id="81"/>
      </w:r>
      <w:r w:rsidR="000969F3" w:rsidRPr="00AD78EA">
        <w:rPr>
          <w:rFonts w:asciiTheme="majorHAnsi" w:hAnsiTheme="majorHAnsi"/>
          <w:spacing w:val="-2"/>
          <w:sz w:val="20"/>
          <w:szCs w:val="20"/>
          <w:lang w:val="es-CO"/>
        </w:rPr>
        <w:t>.</w:t>
      </w:r>
    </w:p>
    <w:p w14:paraId="4C379409" w14:textId="186D8DB2" w:rsidR="002936AA" w:rsidRPr="00AD78EA" w:rsidRDefault="002936AA" w:rsidP="0027242F">
      <w:pPr>
        <w:pStyle w:val="Heading3"/>
        <w:numPr>
          <w:ilvl w:val="0"/>
          <w:numId w:val="63"/>
        </w:numPr>
        <w:ind w:firstLine="0"/>
        <w:rPr>
          <w:rFonts w:asciiTheme="majorHAnsi" w:eastAsia="Cambria" w:hAnsiTheme="majorHAnsi"/>
          <w:sz w:val="20"/>
          <w:szCs w:val="20"/>
          <w:u w:color="000000"/>
          <w:lang w:val="es-MX" w:eastAsia="es-ES"/>
        </w:rPr>
      </w:pPr>
      <w:bookmarkStart w:id="21" w:name="_Toc202349289"/>
      <w:r w:rsidRPr="00AD78EA">
        <w:rPr>
          <w:rFonts w:asciiTheme="majorHAnsi" w:eastAsia="Cambria" w:hAnsiTheme="majorHAnsi"/>
          <w:sz w:val="20"/>
          <w:szCs w:val="20"/>
          <w:u w:color="000000"/>
          <w:lang w:val="es-MX" w:eastAsia="es-ES"/>
        </w:rPr>
        <w:t>Análisis del caso</w:t>
      </w:r>
      <w:bookmarkEnd w:id="21"/>
    </w:p>
    <w:p w14:paraId="0B370B45" w14:textId="77777777" w:rsidR="002936AA" w:rsidRPr="00AD78EA" w:rsidRDefault="002936AA" w:rsidP="002936AA">
      <w:pPr>
        <w:jc w:val="both"/>
        <w:rPr>
          <w:rFonts w:asciiTheme="majorHAnsi" w:eastAsia="Cambria" w:hAnsiTheme="majorHAnsi" w:cs="Cambria"/>
          <w:b/>
          <w:sz w:val="20"/>
          <w:szCs w:val="20"/>
          <w:lang w:val="es-MX"/>
        </w:rPr>
      </w:pPr>
    </w:p>
    <w:p w14:paraId="59B7FC0E" w14:textId="00089AFC" w:rsidR="002936AA" w:rsidRPr="00AD78EA" w:rsidRDefault="004C1A8D" w:rsidP="00CB7168">
      <w:pPr>
        <w:numPr>
          <w:ilvl w:val="0"/>
          <w:numId w:val="56"/>
        </w:numPr>
        <w:ind w:left="0" w:firstLine="720"/>
        <w:jc w:val="both"/>
        <w:rPr>
          <w:rFonts w:asciiTheme="majorHAnsi" w:eastAsia="Cambria" w:hAnsiTheme="majorHAnsi" w:cs="Cambria"/>
          <w:b/>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C</w:t>
      </w:r>
      <w:r w:rsidR="002936AA" w:rsidRPr="00AD78EA">
        <w:rPr>
          <w:rFonts w:asciiTheme="majorHAnsi" w:eastAsia="Cambria" w:hAnsiTheme="majorHAnsi" w:cs="Cambria"/>
          <w:color w:val="000000"/>
          <w:sz w:val="20"/>
          <w:szCs w:val="20"/>
          <w:u w:color="000000"/>
          <w:lang w:val="es-MX" w:eastAsia="es-ES"/>
        </w:rPr>
        <w:t xml:space="preserve">omo se señaló en apartados anteriores, tres entidades estatales realizaron estudios de riesgo con relación a la situación del señor Morales Díaz: la FGN, la PMB y el DAS. La Comisión </w:t>
      </w:r>
      <w:r w:rsidRPr="00AD78EA">
        <w:rPr>
          <w:rFonts w:asciiTheme="majorHAnsi" w:eastAsia="Cambria" w:hAnsiTheme="majorHAnsi" w:cs="Cambria"/>
          <w:color w:val="000000"/>
          <w:sz w:val="20"/>
          <w:szCs w:val="20"/>
          <w:u w:color="000000"/>
          <w:lang w:val="es-MX" w:eastAsia="es-ES"/>
        </w:rPr>
        <w:t xml:space="preserve">ya analizó que existió una falta de coordinación entre las autoridades que realizaron estos estudios de riesgo lo que se vio reflejado en los distintos resultados descritos anteriormente. En lo relevante para este punto, la CIDH destaca que </w:t>
      </w:r>
      <w:r w:rsidR="008D16C3" w:rsidRPr="00AD78EA">
        <w:rPr>
          <w:rFonts w:asciiTheme="majorHAnsi" w:eastAsia="Cambria" w:hAnsiTheme="majorHAnsi" w:cs="Cambria"/>
          <w:color w:val="000000"/>
          <w:sz w:val="20"/>
          <w:szCs w:val="20"/>
          <w:u w:color="000000"/>
          <w:lang w:val="es-MX" w:eastAsia="es-ES"/>
        </w:rPr>
        <w:t xml:space="preserve">tales estudios además de no haber contribuido a una respuesta adecuada en términos de protección tampoco constituyeron una base </w:t>
      </w:r>
      <w:r w:rsidR="00357D75" w:rsidRPr="00AD78EA">
        <w:rPr>
          <w:rFonts w:asciiTheme="majorHAnsi" w:eastAsia="Cambria" w:hAnsiTheme="majorHAnsi" w:cs="Cambria"/>
          <w:color w:val="000000"/>
          <w:sz w:val="20"/>
          <w:szCs w:val="20"/>
          <w:u w:color="000000"/>
          <w:lang w:val="es-MX" w:eastAsia="es-ES"/>
        </w:rPr>
        <w:t>adecuada</w:t>
      </w:r>
      <w:r w:rsidR="008D16C3" w:rsidRPr="00AD78EA">
        <w:rPr>
          <w:rFonts w:asciiTheme="majorHAnsi" w:eastAsia="Cambria" w:hAnsiTheme="majorHAnsi" w:cs="Cambria"/>
          <w:color w:val="000000"/>
          <w:sz w:val="20"/>
          <w:szCs w:val="20"/>
          <w:u w:color="000000"/>
          <w:lang w:val="es-MX" w:eastAsia="es-ES"/>
        </w:rPr>
        <w:t xml:space="preserve"> para el esclarecimiento de los actos de violencia en contra del señor Morales Díaz. </w:t>
      </w:r>
    </w:p>
    <w:p w14:paraId="024D8273" w14:textId="77777777" w:rsidR="002936AA" w:rsidRPr="00AD78EA" w:rsidRDefault="002936AA" w:rsidP="002936AA">
      <w:pPr>
        <w:ind w:left="720"/>
        <w:jc w:val="both"/>
        <w:rPr>
          <w:rFonts w:asciiTheme="majorHAnsi" w:eastAsia="Cambria" w:hAnsiTheme="majorHAnsi" w:cs="Cambria"/>
          <w:color w:val="000000"/>
          <w:sz w:val="20"/>
          <w:szCs w:val="20"/>
          <w:u w:color="000000"/>
          <w:lang w:val="es-MX" w:eastAsia="es-ES"/>
        </w:rPr>
      </w:pPr>
    </w:p>
    <w:p w14:paraId="729235B0" w14:textId="692D8188"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En cuanto a la investigación penal, la Comisión advierte que el señor Morales presentó denuncia ante la FGN, el mismo día que sufrió el atentado contra su vida, haciendo mención expresa </w:t>
      </w:r>
      <w:r w:rsidR="005A1551" w:rsidRPr="00AD78EA">
        <w:rPr>
          <w:rFonts w:asciiTheme="majorHAnsi" w:eastAsia="Cambria" w:hAnsiTheme="majorHAnsi" w:cs="Cambria"/>
          <w:color w:val="000000"/>
          <w:sz w:val="20"/>
          <w:szCs w:val="20"/>
          <w:u w:color="000000"/>
          <w:lang w:val="es-MX" w:eastAsia="es-ES"/>
        </w:rPr>
        <w:t>de</w:t>
      </w:r>
      <w:r w:rsidRPr="00AD78EA">
        <w:rPr>
          <w:rFonts w:asciiTheme="majorHAnsi" w:eastAsia="Cambria" w:hAnsiTheme="majorHAnsi" w:cs="Cambria"/>
          <w:color w:val="000000"/>
          <w:sz w:val="20"/>
          <w:szCs w:val="20"/>
          <w:u w:color="000000"/>
          <w:lang w:val="es-MX" w:eastAsia="es-ES"/>
        </w:rPr>
        <w:t xml:space="preserve"> la posible vinculación de funcionarios del IDU con los actos de violencia perpetrados en su contra.</w:t>
      </w:r>
    </w:p>
    <w:p w14:paraId="6E229ED1" w14:textId="77777777" w:rsidR="002936AA" w:rsidRPr="00AD78EA" w:rsidRDefault="002936AA" w:rsidP="002936AA">
      <w:pPr>
        <w:ind w:firstLine="720"/>
        <w:jc w:val="both"/>
        <w:rPr>
          <w:rFonts w:asciiTheme="majorHAnsi" w:eastAsia="Cambria" w:hAnsiTheme="majorHAnsi" w:cs="Cambria"/>
          <w:sz w:val="20"/>
          <w:szCs w:val="20"/>
          <w:lang w:val="es-MX"/>
        </w:rPr>
      </w:pPr>
    </w:p>
    <w:p w14:paraId="6B12DC86" w14:textId="77777777" w:rsidR="00C72FD4"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Entre las actuaciones investigativas llevadas a cabo constan: diligencia de inspección judicial del vehículo de la presunta víctima; entrevista al padre del señor Morales Díaz; solicitud a la Fiscalía Doscientos Diez de la Unidad de Delitos Contra la Administración Pública para que informara sobre el estado de la investigación que se llevaba adelante en contra de funcionarios del IDU acusados por el peticionario; petición al DAS para que llevara adelante labores para identificar a los autores del ilícito;</w:t>
      </w:r>
      <w:r w:rsidR="00037E06" w:rsidRPr="00AD78EA">
        <w:rPr>
          <w:rFonts w:asciiTheme="majorHAnsi" w:eastAsia="Cambria" w:hAnsiTheme="majorHAnsi" w:cs="Cambria"/>
          <w:color w:val="000000"/>
          <w:sz w:val="20"/>
          <w:szCs w:val="20"/>
          <w:u w:color="000000"/>
          <w:lang w:val="es-MX" w:eastAsia="es-ES"/>
        </w:rPr>
        <w:t xml:space="preserve"> y</w:t>
      </w:r>
      <w:r w:rsidRPr="00AD78EA">
        <w:rPr>
          <w:rFonts w:asciiTheme="majorHAnsi" w:eastAsia="Cambria" w:hAnsiTheme="majorHAnsi" w:cs="Cambria"/>
          <w:color w:val="000000"/>
          <w:sz w:val="20"/>
          <w:szCs w:val="20"/>
          <w:u w:color="000000"/>
          <w:lang w:val="es-MX" w:eastAsia="es-ES"/>
        </w:rPr>
        <w:t xml:space="preserve"> solicitud de recepción de la declaración de la presunta víctima, así como de dos funcionarios del IDU.</w:t>
      </w:r>
      <w:r w:rsidR="00C72FD4" w:rsidRPr="00AD78EA">
        <w:rPr>
          <w:rFonts w:asciiTheme="majorHAnsi" w:eastAsia="Cambria" w:hAnsiTheme="majorHAnsi" w:cs="Cambria"/>
          <w:color w:val="000000"/>
          <w:sz w:val="20"/>
          <w:szCs w:val="20"/>
          <w:u w:color="000000"/>
          <w:lang w:val="es-MX" w:eastAsia="es-ES"/>
        </w:rPr>
        <w:t xml:space="preserve"> </w:t>
      </w:r>
    </w:p>
    <w:p w14:paraId="7DDF1874" w14:textId="77777777" w:rsidR="00C72FD4" w:rsidRPr="00AD78EA" w:rsidRDefault="00C72FD4" w:rsidP="00101527">
      <w:pPr>
        <w:pStyle w:val="ListParagraph"/>
        <w:rPr>
          <w:rFonts w:asciiTheme="majorHAnsi" w:hAnsiTheme="majorHAnsi"/>
          <w:sz w:val="20"/>
          <w:szCs w:val="20"/>
          <w:lang w:val="es-MX"/>
        </w:rPr>
      </w:pPr>
    </w:p>
    <w:p w14:paraId="4133AED6" w14:textId="12EDEDE1" w:rsidR="002936AA" w:rsidRPr="00AD78EA" w:rsidRDefault="002D5A4E"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lastRenderedPageBreak/>
        <w:t>L</w:t>
      </w:r>
      <w:r w:rsidR="00C72FD4" w:rsidRPr="00AD78EA">
        <w:rPr>
          <w:rFonts w:asciiTheme="majorHAnsi" w:eastAsia="Cambria" w:hAnsiTheme="majorHAnsi" w:cs="Cambria"/>
          <w:color w:val="000000"/>
          <w:sz w:val="20"/>
          <w:szCs w:val="20"/>
          <w:u w:color="000000"/>
          <w:lang w:val="es-MX" w:eastAsia="es-ES"/>
        </w:rPr>
        <w:t>o descr</w:t>
      </w:r>
      <w:r w:rsidRPr="00AD78EA">
        <w:rPr>
          <w:rFonts w:asciiTheme="majorHAnsi" w:eastAsia="Cambria" w:hAnsiTheme="majorHAnsi" w:cs="Cambria"/>
          <w:color w:val="000000"/>
          <w:sz w:val="20"/>
          <w:szCs w:val="20"/>
          <w:u w:color="000000"/>
          <w:lang w:val="es-MX" w:eastAsia="es-ES"/>
        </w:rPr>
        <w:t xml:space="preserve">ito en el párrafo anterior es </w:t>
      </w:r>
      <w:r w:rsidR="00C72FD4" w:rsidRPr="00AD78EA">
        <w:rPr>
          <w:rFonts w:asciiTheme="majorHAnsi" w:eastAsia="Cambria" w:hAnsiTheme="majorHAnsi" w:cs="Cambria"/>
          <w:color w:val="000000"/>
          <w:sz w:val="20"/>
          <w:szCs w:val="20"/>
          <w:u w:color="000000"/>
          <w:lang w:val="es-MX" w:eastAsia="es-ES"/>
        </w:rPr>
        <w:t xml:space="preserve">la actividad probatoria </w:t>
      </w:r>
      <w:r w:rsidRPr="00AD78EA">
        <w:rPr>
          <w:rFonts w:asciiTheme="majorHAnsi" w:eastAsia="Cambria" w:hAnsiTheme="majorHAnsi" w:cs="Cambria"/>
          <w:color w:val="000000"/>
          <w:sz w:val="20"/>
          <w:szCs w:val="20"/>
          <w:u w:color="000000"/>
          <w:lang w:val="es-MX" w:eastAsia="es-ES"/>
        </w:rPr>
        <w:t xml:space="preserve">informada por el Estado. La CIDH no cuenta con información sobre el resultado de estas diligencias ni su seguimiento. </w:t>
      </w:r>
      <w:r w:rsidR="00C72FD4" w:rsidRPr="00AD78EA">
        <w:rPr>
          <w:rFonts w:asciiTheme="majorHAnsi" w:eastAsia="Cambria" w:hAnsiTheme="majorHAnsi" w:cs="Cambria"/>
          <w:color w:val="000000"/>
          <w:sz w:val="20"/>
          <w:szCs w:val="20"/>
          <w:u w:color="000000"/>
          <w:lang w:val="es-MX" w:eastAsia="es-ES"/>
        </w:rPr>
        <w:t>Por otra parte, la Comisión observa que la investigación se centró en el atentado</w:t>
      </w:r>
      <w:r w:rsidR="003220D0" w:rsidRPr="00AD78EA">
        <w:rPr>
          <w:rFonts w:asciiTheme="majorHAnsi" w:eastAsia="Cambria" w:hAnsiTheme="majorHAnsi" w:cs="Cambria"/>
          <w:color w:val="000000"/>
          <w:sz w:val="20"/>
          <w:szCs w:val="20"/>
          <w:u w:color="000000"/>
          <w:lang w:val="es-MX" w:eastAsia="es-ES"/>
        </w:rPr>
        <w:t xml:space="preserve"> de 8 de julio de 2000</w:t>
      </w:r>
      <w:r w:rsidR="00C72FD4" w:rsidRPr="00AD78EA">
        <w:rPr>
          <w:rFonts w:asciiTheme="majorHAnsi" w:eastAsia="Cambria" w:hAnsiTheme="majorHAnsi" w:cs="Cambria"/>
          <w:color w:val="000000"/>
          <w:sz w:val="20"/>
          <w:szCs w:val="20"/>
          <w:u w:color="000000"/>
          <w:lang w:val="es-MX" w:eastAsia="es-ES"/>
        </w:rPr>
        <w:t xml:space="preserve"> y no se cuenta con información sobre </w:t>
      </w:r>
      <w:r w:rsidR="003220D0" w:rsidRPr="00AD78EA">
        <w:rPr>
          <w:rFonts w:asciiTheme="majorHAnsi" w:eastAsia="Cambria" w:hAnsiTheme="majorHAnsi" w:cs="Cambria"/>
          <w:color w:val="000000"/>
          <w:sz w:val="20"/>
          <w:szCs w:val="20"/>
          <w:u w:color="000000"/>
          <w:lang w:val="es-MX" w:eastAsia="es-ES"/>
        </w:rPr>
        <w:t xml:space="preserve">la manera en que se profundizó en las amenazas anteriores y posteriores, a la luz de la información aportada por el señor Morales Díaz. </w:t>
      </w:r>
    </w:p>
    <w:p w14:paraId="76C72BC5" w14:textId="77777777" w:rsidR="002936AA" w:rsidRPr="00AD78EA" w:rsidRDefault="002936AA" w:rsidP="002936AA">
      <w:pPr>
        <w:ind w:firstLine="720"/>
        <w:jc w:val="both"/>
        <w:rPr>
          <w:rFonts w:asciiTheme="majorHAnsi" w:eastAsia="Cambria" w:hAnsiTheme="majorHAnsi" w:cs="Cambria"/>
          <w:sz w:val="20"/>
          <w:szCs w:val="20"/>
          <w:lang w:val="es-MX"/>
        </w:rPr>
      </w:pPr>
    </w:p>
    <w:p w14:paraId="51E71136" w14:textId="11CF388B" w:rsidR="002936AA" w:rsidRPr="00AD78EA" w:rsidRDefault="00A36F3E"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Específicamente e</w:t>
      </w:r>
      <w:r w:rsidR="002936AA" w:rsidRPr="00AD78EA">
        <w:rPr>
          <w:rFonts w:asciiTheme="majorHAnsi" w:eastAsia="Cambria" w:hAnsiTheme="majorHAnsi" w:cs="Cambria"/>
          <w:color w:val="000000"/>
          <w:sz w:val="20"/>
          <w:szCs w:val="20"/>
          <w:u w:color="000000"/>
          <w:lang w:val="es-MX" w:eastAsia="es-ES"/>
        </w:rPr>
        <w:t xml:space="preserve">n relación con la diligencia de inspección judicial del vehículo, la noche del atentado se ordenó al señor Morales Díaz llevarse el carro a su casa y regresar al día siguiente para proceder con la diligencia, dado que la falta de luz imposibilitaba visibilizar la trayectoria del proyectil. La Comisión considera que dicha actuación refleja irregularidades en el procesamiento y conservación de material probatorio esencial dentro de la investigación.  </w:t>
      </w:r>
    </w:p>
    <w:p w14:paraId="288C2D25" w14:textId="77777777" w:rsidR="002936AA" w:rsidRPr="00AD78EA" w:rsidRDefault="002936AA" w:rsidP="002936AA">
      <w:pPr>
        <w:jc w:val="both"/>
        <w:rPr>
          <w:rFonts w:asciiTheme="majorHAnsi" w:eastAsia="Cambria" w:hAnsiTheme="majorHAnsi" w:cs="Cambria"/>
          <w:sz w:val="20"/>
          <w:szCs w:val="20"/>
          <w:lang w:val="es-MX"/>
        </w:rPr>
      </w:pPr>
    </w:p>
    <w:p w14:paraId="24ACA6D4" w14:textId="7EC32EBE"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En</w:t>
      </w:r>
      <w:r w:rsidR="00037E06" w:rsidRPr="00AD78EA">
        <w:rPr>
          <w:rFonts w:asciiTheme="majorHAnsi" w:eastAsia="Cambria" w:hAnsiTheme="majorHAnsi" w:cs="Cambria"/>
          <w:color w:val="000000"/>
          <w:sz w:val="20"/>
          <w:szCs w:val="20"/>
          <w:u w:color="000000"/>
          <w:lang w:val="es-MX" w:eastAsia="es-ES"/>
        </w:rPr>
        <w:t xml:space="preserve"> cuanto a </w:t>
      </w:r>
      <w:r w:rsidRPr="00AD78EA">
        <w:rPr>
          <w:rFonts w:asciiTheme="majorHAnsi" w:eastAsia="Cambria" w:hAnsiTheme="majorHAnsi" w:cs="Cambria"/>
          <w:color w:val="000000"/>
          <w:sz w:val="20"/>
          <w:szCs w:val="20"/>
          <w:u w:color="000000"/>
          <w:lang w:val="es-MX" w:eastAsia="es-ES"/>
        </w:rPr>
        <w:t xml:space="preserve">la vinculación de funcionarios públicos con los actos de violencia </w:t>
      </w:r>
      <w:r w:rsidR="00997DA1" w:rsidRPr="00AD78EA">
        <w:rPr>
          <w:rFonts w:asciiTheme="majorHAnsi" w:eastAsia="Cambria" w:hAnsiTheme="majorHAnsi" w:cs="Cambria"/>
          <w:color w:val="000000"/>
          <w:sz w:val="20"/>
          <w:szCs w:val="20"/>
          <w:u w:color="000000"/>
          <w:lang w:val="es-MX" w:eastAsia="es-ES"/>
        </w:rPr>
        <w:t>la Comisión observa</w:t>
      </w:r>
      <w:r w:rsidRPr="00AD78EA">
        <w:rPr>
          <w:rFonts w:asciiTheme="majorHAnsi" w:eastAsia="Cambria" w:hAnsiTheme="majorHAnsi" w:cs="Cambria"/>
          <w:color w:val="000000"/>
          <w:sz w:val="20"/>
          <w:szCs w:val="20"/>
          <w:u w:color="000000"/>
          <w:lang w:val="es-MX" w:eastAsia="es-ES"/>
        </w:rPr>
        <w:t xml:space="preserve"> que recién el 3 de mayo de 2001</w:t>
      </w:r>
      <w:r w:rsidR="00513AE3" w:rsidRPr="00AD78EA">
        <w:rPr>
          <w:rFonts w:asciiTheme="majorHAnsi" w:eastAsia="Cambria" w:hAnsiTheme="majorHAnsi" w:cs="Cambria"/>
          <w:color w:val="000000"/>
          <w:sz w:val="20"/>
          <w:szCs w:val="20"/>
          <w:u w:color="000000"/>
          <w:lang w:val="es-MX" w:eastAsia="es-ES"/>
        </w:rPr>
        <w:t xml:space="preserve">, casi un año después del atentado y cuando el señor Morales ya se encontraba fuera del país, </w:t>
      </w:r>
      <w:r w:rsidRPr="00AD78EA">
        <w:rPr>
          <w:rFonts w:asciiTheme="majorHAnsi" w:eastAsia="Cambria" w:hAnsiTheme="majorHAnsi" w:cs="Cambria"/>
          <w:color w:val="000000"/>
          <w:sz w:val="20"/>
          <w:szCs w:val="20"/>
          <w:u w:color="000000"/>
          <w:lang w:val="es-MX" w:eastAsia="es-ES"/>
        </w:rPr>
        <w:t>la Fiscalía citó a rendir declaración a Andrés Camargo Ardila y Sonia Ramírez Díaz, funcionarios directivos del IDU</w:t>
      </w:r>
      <w:r w:rsidR="004203B4" w:rsidRPr="00AD78EA">
        <w:rPr>
          <w:rFonts w:asciiTheme="majorHAnsi" w:eastAsia="Cambria" w:hAnsiTheme="majorHAnsi" w:cs="Cambria"/>
          <w:color w:val="000000"/>
          <w:sz w:val="20"/>
          <w:szCs w:val="20"/>
          <w:u w:color="000000"/>
          <w:lang w:val="es-MX" w:eastAsia="es-ES"/>
        </w:rPr>
        <w:t xml:space="preserve"> denunciados de corrupción. </w:t>
      </w:r>
      <w:r w:rsidRPr="00AD78EA">
        <w:rPr>
          <w:rFonts w:asciiTheme="majorHAnsi" w:eastAsia="Cambria" w:hAnsiTheme="majorHAnsi" w:cs="Cambria"/>
          <w:color w:val="000000"/>
          <w:sz w:val="20"/>
          <w:szCs w:val="20"/>
          <w:u w:color="000000"/>
          <w:lang w:val="es-MX" w:eastAsia="es-ES"/>
        </w:rPr>
        <w:t>El 1 de junio de 2001 se tomó la declaración de Andrés Camargo; sin embargo, la declaración de la señora Sonia Ramírez no pudo llevarse a cabo pues falleció el 29 de marzo de 2001.</w:t>
      </w:r>
    </w:p>
    <w:p w14:paraId="0E88EA4F" w14:textId="77777777" w:rsidR="002936AA" w:rsidRPr="00AD78EA" w:rsidRDefault="002936AA" w:rsidP="002936AA">
      <w:pPr>
        <w:ind w:firstLine="720"/>
        <w:jc w:val="both"/>
        <w:rPr>
          <w:rFonts w:asciiTheme="majorHAnsi" w:eastAsia="Cambria" w:hAnsiTheme="majorHAnsi" w:cs="Cambria"/>
          <w:sz w:val="20"/>
          <w:szCs w:val="20"/>
          <w:lang w:val="es-MX"/>
        </w:rPr>
      </w:pPr>
    </w:p>
    <w:p w14:paraId="2F3F238B" w14:textId="6A212591" w:rsidR="002936AA" w:rsidRPr="00AD78EA" w:rsidRDefault="002936AA" w:rsidP="00CB7168">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La Comisión considera que la declaración de uno de los funcionarios del IDU</w:t>
      </w:r>
      <w:r w:rsidR="00513AE3" w:rsidRPr="00AD78EA">
        <w:rPr>
          <w:rFonts w:asciiTheme="majorHAnsi" w:eastAsia="Cambria" w:hAnsiTheme="majorHAnsi" w:cs="Cambria"/>
          <w:color w:val="000000"/>
          <w:sz w:val="20"/>
          <w:szCs w:val="20"/>
          <w:u w:color="000000"/>
          <w:lang w:val="es-MX" w:eastAsia="es-ES"/>
        </w:rPr>
        <w:t xml:space="preserve"> supuestamente</w:t>
      </w:r>
      <w:r w:rsidRPr="00AD78EA">
        <w:rPr>
          <w:rFonts w:asciiTheme="majorHAnsi" w:eastAsia="Cambria" w:hAnsiTheme="majorHAnsi" w:cs="Cambria"/>
          <w:color w:val="000000"/>
          <w:sz w:val="20"/>
          <w:szCs w:val="20"/>
          <w:u w:color="000000"/>
          <w:lang w:val="es-MX" w:eastAsia="es-ES"/>
        </w:rPr>
        <w:t xml:space="preserve"> implicados y la solicitud del estado del proceso judicial seguido en contra de dichos funcionarios, no pueden considerarse como medidas </w:t>
      </w:r>
      <w:r w:rsidR="00513AE3" w:rsidRPr="00AD78EA">
        <w:rPr>
          <w:rFonts w:asciiTheme="majorHAnsi" w:eastAsia="Cambria" w:hAnsiTheme="majorHAnsi" w:cs="Cambria"/>
          <w:color w:val="000000"/>
          <w:sz w:val="20"/>
          <w:szCs w:val="20"/>
          <w:u w:color="000000"/>
          <w:lang w:val="es-MX" w:eastAsia="es-ES"/>
        </w:rPr>
        <w:t xml:space="preserve">suficientes para agotar </w:t>
      </w:r>
      <w:r w:rsidRPr="00AD78EA">
        <w:rPr>
          <w:rFonts w:asciiTheme="majorHAnsi" w:eastAsia="Cambria" w:hAnsiTheme="majorHAnsi" w:cs="Cambria"/>
          <w:color w:val="000000"/>
          <w:sz w:val="20"/>
          <w:szCs w:val="20"/>
          <w:u w:color="000000"/>
          <w:lang w:val="es-MX" w:eastAsia="es-ES"/>
        </w:rPr>
        <w:t>la línea de investigación que los vincula</w:t>
      </w:r>
      <w:r w:rsidR="00513AE3" w:rsidRPr="00AD78EA">
        <w:rPr>
          <w:rFonts w:asciiTheme="majorHAnsi" w:eastAsia="Cambria" w:hAnsiTheme="majorHAnsi" w:cs="Cambria"/>
          <w:color w:val="000000"/>
          <w:sz w:val="20"/>
          <w:szCs w:val="20"/>
          <w:u w:color="000000"/>
          <w:lang w:val="es-MX" w:eastAsia="es-ES"/>
        </w:rPr>
        <w:t>ría</w:t>
      </w:r>
      <w:r w:rsidRPr="00AD78EA">
        <w:rPr>
          <w:rFonts w:asciiTheme="majorHAnsi" w:eastAsia="Cambria" w:hAnsiTheme="majorHAnsi" w:cs="Cambria"/>
          <w:color w:val="000000"/>
          <w:sz w:val="20"/>
          <w:szCs w:val="20"/>
          <w:u w:color="000000"/>
          <w:lang w:val="es-MX" w:eastAsia="es-ES"/>
        </w:rPr>
        <w:t xml:space="preserve"> con las amenazas y atentado contra la vida de la presunta víctima. </w:t>
      </w:r>
      <w:r w:rsidR="00F15AC4" w:rsidRPr="00AD78EA">
        <w:rPr>
          <w:rFonts w:asciiTheme="majorHAnsi" w:hAnsiTheme="majorHAnsi"/>
          <w:sz w:val="20"/>
          <w:szCs w:val="20"/>
          <w:lang w:val="es-US"/>
        </w:rPr>
        <w:t>L</w:t>
      </w:r>
      <w:r w:rsidR="00F15AC4" w:rsidRPr="00AD78EA">
        <w:rPr>
          <w:rFonts w:asciiTheme="majorHAnsi" w:hAnsiTheme="majorHAnsi"/>
          <w:sz w:val="20"/>
          <w:szCs w:val="20"/>
          <w:lang w:val="es-ES_tradnl"/>
        </w:rPr>
        <w:t xml:space="preserve">a Comisión y la </w:t>
      </w:r>
      <w:r w:rsidR="00F15AC4" w:rsidRPr="00AD78EA">
        <w:rPr>
          <w:rFonts w:asciiTheme="majorHAnsi" w:hAnsiTheme="majorHAnsi"/>
          <w:sz w:val="20"/>
          <w:szCs w:val="20"/>
          <w:lang w:val="es-ES"/>
        </w:rPr>
        <w:t xml:space="preserve">Corte han reiterado que la falta de investigación de alegadas afectaciones cometidas a una persona cuando existen indicios de participación de agentes estatales, “impide que el Estado presente una explicación satisfactoria y convincente de los </w:t>
      </w:r>
      <w:r w:rsidR="00F15AC4" w:rsidRPr="00AD78EA">
        <w:rPr>
          <w:rFonts w:asciiTheme="majorHAnsi" w:hAnsiTheme="majorHAnsi" w:cs="Arial"/>
          <w:sz w:val="20"/>
          <w:szCs w:val="20"/>
          <w:lang w:val="es-ES"/>
        </w:rPr>
        <w:t>[hechos]</w:t>
      </w:r>
      <w:r w:rsidR="00F15AC4" w:rsidRPr="00AD78EA">
        <w:rPr>
          <w:rFonts w:asciiTheme="majorHAnsi" w:hAnsiTheme="majorHAnsi"/>
          <w:sz w:val="20"/>
          <w:szCs w:val="20"/>
          <w:lang w:val="es-ES"/>
        </w:rPr>
        <w:t xml:space="preserve"> alegados y desvirtuar las alegaciones sobre su responsabilidad, </w:t>
      </w:r>
      <w:r w:rsidR="00F15AC4" w:rsidRPr="00AD78EA">
        <w:rPr>
          <w:rFonts w:asciiTheme="majorHAnsi" w:hAnsiTheme="majorHAnsi"/>
          <w:sz w:val="20"/>
          <w:szCs w:val="20"/>
          <w:lang w:val="es-ES_tradnl"/>
        </w:rPr>
        <w:t>mediante</w:t>
      </w:r>
      <w:r w:rsidR="00F15AC4" w:rsidRPr="00AD78EA">
        <w:rPr>
          <w:rFonts w:asciiTheme="majorHAnsi" w:hAnsiTheme="majorHAnsi"/>
          <w:sz w:val="20"/>
          <w:szCs w:val="20"/>
          <w:lang w:val="es-ES"/>
        </w:rPr>
        <w:t xml:space="preserve"> elementos probatorios adecuados”</w:t>
      </w:r>
      <w:r w:rsidR="00F15AC4" w:rsidRPr="00AD78EA">
        <w:rPr>
          <w:rStyle w:val="FootnoteReference"/>
          <w:rFonts w:asciiTheme="majorHAnsi" w:hAnsiTheme="majorHAnsi"/>
          <w:sz w:val="20"/>
          <w:szCs w:val="20"/>
          <w:lang w:val="es-ES"/>
        </w:rPr>
        <w:footnoteReference w:id="82"/>
      </w:r>
      <w:r w:rsidR="00F15AC4" w:rsidRPr="00AD78EA">
        <w:rPr>
          <w:rFonts w:asciiTheme="majorHAnsi" w:hAnsiTheme="majorHAnsi"/>
          <w:sz w:val="20"/>
          <w:szCs w:val="20"/>
          <w:lang w:val="es-ES"/>
        </w:rPr>
        <w:t xml:space="preserve">. </w:t>
      </w:r>
      <w:r w:rsidR="00F15AC4" w:rsidRPr="00AD78EA">
        <w:rPr>
          <w:rFonts w:asciiTheme="majorHAnsi" w:eastAsia="Cambria" w:hAnsiTheme="majorHAnsi" w:cs="Cambria"/>
          <w:color w:val="000000"/>
          <w:sz w:val="20"/>
          <w:szCs w:val="20"/>
          <w:u w:color="000000"/>
          <w:lang w:val="es-MX" w:eastAsia="es-ES"/>
        </w:rPr>
        <w:t>E</w:t>
      </w:r>
      <w:r w:rsidR="00513AE3" w:rsidRPr="00AD78EA">
        <w:rPr>
          <w:rFonts w:asciiTheme="majorHAnsi" w:eastAsia="Cambria" w:hAnsiTheme="majorHAnsi" w:cs="Cambria"/>
          <w:color w:val="000000"/>
          <w:sz w:val="20"/>
          <w:szCs w:val="20"/>
          <w:u w:color="000000"/>
          <w:lang w:val="es-MX" w:eastAsia="es-ES"/>
        </w:rPr>
        <w:t>n el presente caso esta línea de investigación se sustentaba en la</w:t>
      </w:r>
      <w:r w:rsidRPr="00AD78EA">
        <w:rPr>
          <w:rFonts w:asciiTheme="majorHAnsi" w:eastAsia="Cambria" w:hAnsiTheme="majorHAnsi" w:cs="Cambria"/>
          <w:color w:val="000000"/>
          <w:sz w:val="20"/>
          <w:szCs w:val="20"/>
          <w:u w:color="000000"/>
          <w:lang w:val="es-MX" w:eastAsia="es-ES"/>
        </w:rPr>
        <w:t xml:space="preserve"> coincidencia temporal entre las denuncias por corrupción, las amenazas y el atentado</w:t>
      </w:r>
      <w:r w:rsidR="001D2D14" w:rsidRPr="00AD78EA">
        <w:rPr>
          <w:rFonts w:asciiTheme="majorHAnsi" w:eastAsia="Cambria" w:hAnsiTheme="majorHAnsi" w:cs="Cambria"/>
          <w:color w:val="000000"/>
          <w:sz w:val="20"/>
          <w:szCs w:val="20"/>
          <w:u w:color="000000"/>
          <w:lang w:val="es-MX" w:eastAsia="es-ES"/>
        </w:rPr>
        <w:t xml:space="preserve"> y en el propio informe del DAS que estableció dicha relación. </w:t>
      </w:r>
      <w:r w:rsidR="00513AE3" w:rsidRPr="00AD78EA">
        <w:rPr>
          <w:rFonts w:asciiTheme="majorHAnsi" w:eastAsia="Cambria" w:hAnsiTheme="majorHAnsi" w:cs="Cambria"/>
          <w:color w:val="000000"/>
          <w:sz w:val="20"/>
          <w:szCs w:val="20"/>
          <w:u w:color="000000"/>
          <w:lang w:val="es-MX" w:eastAsia="es-ES"/>
        </w:rPr>
        <w:t xml:space="preserve">Además, </w:t>
      </w:r>
      <w:r w:rsidR="001D2D14" w:rsidRPr="00AD78EA">
        <w:rPr>
          <w:rFonts w:asciiTheme="majorHAnsi" w:eastAsia="Cambria" w:hAnsiTheme="majorHAnsi" w:cs="Cambria"/>
          <w:color w:val="000000"/>
          <w:sz w:val="20"/>
          <w:szCs w:val="20"/>
          <w:u w:color="000000"/>
          <w:lang w:val="es-MX" w:eastAsia="es-ES"/>
        </w:rPr>
        <w:t xml:space="preserve">como se indicó, </w:t>
      </w:r>
      <w:r w:rsidR="00513AE3" w:rsidRPr="00AD78EA">
        <w:rPr>
          <w:rFonts w:asciiTheme="majorHAnsi" w:eastAsia="Cambria" w:hAnsiTheme="majorHAnsi" w:cs="Cambria"/>
          <w:color w:val="000000"/>
          <w:sz w:val="20"/>
          <w:szCs w:val="20"/>
          <w:u w:color="000000"/>
          <w:lang w:val="es-MX" w:eastAsia="es-ES"/>
        </w:rPr>
        <w:t>existe un deber</w:t>
      </w:r>
      <w:r w:rsidR="001D2D14" w:rsidRPr="00AD78EA">
        <w:rPr>
          <w:rFonts w:asciiTheme="majorHAnsi" w:eastAsia="Cambria" w:hAnsiTheme="majorHAnsi" w:cs="Cambria"/>
          <w:color w:val="000000"/>
          <w:sz w:val="20"/>
          <w:szCs w:val="20"/>
          <w:u w:color="000000"/>
          <w:lang w:val="es-MX" w:eastAsia="es-ES"/>
        </w:rPr>
        <w:t xml:space="preserve"> reforzado de diligencia cuando se trata de agentes estatales. </w:t>
      </w:r>
    </w:p>
    <w:p w14:paraId="726487C9" w14:textId="77777777" w:rsidR="008413EC" w:rsidRPr="00AD78EA" w:rsidRDefault="008413EC" w:rsidP="008413EC">
      <w:pPr>
        <w:ind w:left="720"/>
        <w:jc w:val="both"/>
        <w:rPr>
          <w:rFonts w:asciiTheme="majorHAnsi" w:eastAsia="Cambria" w:hAnsiTheme="majorHAnsi" w:cs="Cambria"/>
          <w:color w:val="000000"/>
          <w:sz w:val="20"/>
          <w:szCs w:val="20"/>
          <w:u w:color="000000"/>
          <w:lang w:val="es-MX" w:eastAsia="es-ES"/>
        </w:rPr>
      </w:pPr>
    </w:p>
    <w:p w14:paraId="5183B9C2" w14:textId="425F239F" w:rsidR="00101527" w:rsidRPr="00AD78EA" w:rsidRDefault="001D2D14" w:rsidP="00067134">
      <w:pPr>
        <w:numPr>
          <w:ilvl w:val="0"/>
          <w:numId w:val="56"/>
        </w:numPr>
        <w:ind w:left="0" w:firstLine="720"/>
        <w:jc w:val="both"/>
        <w:rPr>
          <w:rFonts w:asciiTheme="majorHAnsi" w:eastAsia="Cambria" w:hAnsiTheme="majorHAnsi" w:cs="Cambria"/>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A pesar de las anteriores deficiencias, e</w:t>
      </w:r>
      <w:r w:rsidR="002936AA" w:rsidRPr="00AD78EA">
        <w:rPr>
          <w:rFonts w:asciiTheme="majorHAnsi" w:eastAsia="Cambria" w:hAnsiTheme="majorHAnsi" w:cs="Cambria"/>
          <w:color w:val="000000"/>
          <w:sz w:val="20"/>
          <w:szCs w:val="20"/>
          <w:u w:color="000000"/>
          <w:lang w:val="es-MX" w:eastAsia="es-ES"/>
        </w:rPr>
        <w:t>l 25 de julio de 2001, la Fiscalía ordenó la suspensión de la investigación preliminar. El Estado alegó que la complejidad del caso se ve reflejada en la imposibilidad de la presunta víctima de identificar las características del vehículo utilizado para cometer el ilícito; la ausencia de testigos en el lugar de los hechos; la dificultad del peticionario de reconocer la voz de las llamadas amenazantes; y la ausencia de material probatorio que demostrara vínculo entre los funcionarios del IDU y el atentado.</w:t>
      </w:r>
      <w:r w:rsidR="00067134" w:rsidRPr="00AD78EA">
        <w:rPr>
          <w:rFonts w:asciiTheme="majorHAnsi" w:eastAsia="Cambria" w:hAnsiTheme="majorHAnsi" w:cs="Cambria"/>
          <w:color w:val="000000"/>
          <w:sz w:val="20"/>
          <w:szCs w:val="20"/>
          <w:u w:color="000000"/>
          <w:lang w:val="es-MX" w:eastAsia="es-ES"/>
        </w:rPr>
        <w:t xml:space="preserve"> </w:t>
      </w:r>
      <w:r w:rsidRPr="00AD78EA">
        <w:rPr>
          <w:rFonts w:asciiTheme="majorHAnsi" w:eastAsia="Cambria" w:hAnsiTheme="majorHAnsi" w:cs="Cambria"/>
          <w:color w:val="000000"/>
          <w:sz w:val="20"/>
          <w:szCs w:val="20"/>
          <w:u w:color="000000"/>
          <w:lang w:val="es-MX" w:eastAsia="es-ES"/>
        </w:rPr>
        <w:t>Sin embargo, l</w:t>
      </w:r>
      <w:r w:rsidR="002936AA" w:rsidRPr="00AD78EA">
        <w:rPr>
          <w:rFonts w:asciiTheme="majorHAnsi" w:eastAsia="Cambria" w:hAnsiTheme="majorHAnsi" w:cs="Cambria"/>
          <w:color w:val="000000"/>
          <w:sz w:val="20"/>
          <w:szCs w:val="20"/>
          <w:u w:color="000000"/>
          <w:lang w:val="es-MX" w:eastAsia="es-ES"/>
        </w:rPr>
        <w:t xml:space="preserve">a Comisión considera que el Estado no agotó todos los medios disponibles para identificar a los autores materiales e intelectuales de las amenazas y </w:t>
      </w:r>
      <w:r w:rsidRPr="00AD78EA">
        <w:rPr>
          <w:rFonts w:asciiTheme="majorHAnsi" w:eastAsia="Cambria" w:hAnsiTheme="majorHAnsi" w:cs="Cambria"/>
          <w:color w:val="000000"/>
          <w:sz w:val="20"/>
          <w:szCs w:val="20"/>
          <w:u w:color="000000"/>
          <w:lang w:val="es-MX" w:eastAsia="es-ES"/>
        </w:rPr>
        <w:t>d</w:t>
      </w:r>
      <w:r w:rsidR="002936AA" w:rsidRPr="00AD78EA">
        <w:rPr>
          <w:rFonts w:asciiTheme="majorHAnsi" w:eastAsia="Cambria" w:hAnsiTheme="majorHAnsi" w:cs="Cambria"/>
          <w:color w:val="000000"/>
          <w:sz w:val="20"/>
          <w:szCs w:val="20"/>
          <w:u w:color="000000"/>
          <w:lang w:val="es-MX" w:eastAsia="es-ES"/>
        </w:rPr>
        <w:t>el atentado contra la vida del peticionario y con ello esclarecer los hechos</w:t>
      </w:r>
      <w:r w:rsidRPr="00AD78EA">
        <w:rPr>
          <w:rFonts w:asciiTheme="majorHAnsi" w:eastAsia="Cambria" w:hAnsiTheme="majorHAnsi" w:cs="Cambria"/>
          <w:color w:val="000000"/>
          <w:sz w:val="20"/>
          <w:szCs w:val="20"/>
          <w:u w:color="000000"/>
          <w:lang w:val="es-MX" w:eastAsia="es-ES"/>
        </w:rPr>
        <w:t xml:space="preserve">, imponer responsabilidades y posibilitar una protección efectiva al señor Morales Díaz. </w:t>
      </w:r>
      <w:r w:rsidR="002936AA" w:rsidRPr="00AD78EA">
        <w:rPr>
          <w:rFonts w:asciiTheme="majorHAnsi" w:eastAsia="Cambria" w:hAnsiTheme="majorHAnsi" w:cs="Cambria"/>
          <w:color w:val="000000"/>
          <w:sz w:val="20"/>
          <w:szCs w:val="20"/>
          <w:u w:color="000000"/>
          <w:lang w:val="es-MX" w:eastAsia="es-ES"/>
        </w:rPr>
        <w:t>El Estado se limitó a señalar la complejidad del caso a partir de la imposibilidad del peticionario de aportar elementos probatorios en la investigación. En cambio</w:t>
      </w:r>
      <w:r w:rsidR="00A710D2">
        <w:rPr>
          <w:rFonts w:asciiTheme="majorHAnsi" w:eastAsia="Cambria" w:hAnsiTheme="majorHAnsi" w:cs="Cambria"/>
          <w:color w:val="000000"/>
          <w:sz w:val="20"/>
          <w:szCs w:val="20"/>
          <w:u w:color="000000"/>
          <w:lang w:val="es-MX" w:eastAsia="es-ES"/>
        </w:rPr>
        <w:t>,</w:t>
      </w:r>
      <w:r w:rsidR="002936AA" w:rsidRPr="00AD78EA">
        <w:rPr>
          <w:rFonts w:asciiTheme="majorHAnsi" w:eastAsia="Cambria" w:hAnsiTheme="majorHAnsi" w:cs="Cambria"/>
          <w:color w:val="000000"/>
          <w:sz w:val="20"/>
          <w:szCs w:val="20"/>
          <w:u w:color="000000"/>
          <w:lang w:val="es-MX" w:eastAsia="es-ES"/>
        </w:rPr>
        <w:t xml:space="preserve"> se verifican escasas diligencias investigativas</w:t>
      </w:r>
      <w:r w:rsidR="00270C72" w:rsidRPr="00AD78EA">
        <w:rPr>
          <w:rFonts w:asciiTheme="majorHAnsi" w:eastAsia="Cambria" w:hAnsiTheme="majorHAnsi" w:cs="Cambria"/>
          <w:color w:val="000000"/>
          <w:sz w:val="20"/>
          <w:szCs w:val="20"/>
          <w:u w:color="000000"/>
          <w:lang w:val="es-MX" w:eastAsia="es-ES"/>
        </w:rPr>
        <w:t xml:space="preserve"> y no se identifica una es</w:t>
      </w:r>
      <w:r w:rsidR="004441A7" w:rsidRPr="00AD78EA">
        <w:rPr>
          <w:rFonts w:asciiTheme="majorHAnsi" w:eastAsia="Cambria" w:hAnsiTheme="majorHAnsi" w:cs="Cambria"/>
          <w:color w:val="000000"/>
          <w:sz w:val="20"/>
          <w:szCs w:val="20"/>
          <w:u w:color="000000"/>
          <w:lang w:val="es-MX" w:eastAsia="es-ES"/>
        </w:rPr>
        <w:t>t</w:t>
      </w:r>
      <w:r w:rsidR="00270C72" w:rsidRPr="00AD78EA">
        <w:rPr>
          <w:rFonts w:asciiTheme="majorHAnsi" w:eastAsia="Cambria" w:hAnsiTheme="majorHAnsi" w:cs="Cambria"/>
          <w:color w:val="000000"/>
          <w:sz w:val="20"/>
          <w:szCs w:val="20"/>
          <w:u w:color="000000"/>
          <w:lang w:val="es-MX" w:eastAsia="es-ES"/>
        </w:rPr>
        <w:t xml:space="preserve">rategia clara con líneas lógicas de investigación a partir de los indicios existentes. </w:t>
      </w:r>
    </w:p>
    <w:p w14:paraId="7BBB76CE" w14:textId="77777777" w:rsidR="00101527" w:rsidRPr="00AD78EA" w:rsidRDefault="00101527" w:rsidP="00101527">
      <w:pPr>
        <w:pStyle w:val="ListParagraph"/>
        <w:rPr>
          <w:rFonts w:asciiTheme="majorHAnsi" w:hAnsiTheme="majorHAnsi"/>
          <w:sz w:val="20"/>
          <w:szCs w:val="20"/>
          <w:lang w:val="es-MX"/>
        </w:rPr>
      </w:pPr>
    </w:p>
    <w:p w14:paraId="54AE38FC" w14:textId="5DA29BAF" w:rsidR="002936AA" w:rsidRPr="00AD78EA" w:rsidRDefault="002936AA" w:rsidP="00CB7168">
      <w:pPr>
        <w:numPr>
          <w:ilvl w:val="0"/>
          <w:numId w:val="56"/>
        </w:numPr>
        <w:ind w:left="0" w:firstLine="720"/>
        <w:jc w:val="both"/>
        <w:rPr>
          <w:rFonts w:asciiTheme="majorHAnsi" w:eastAsia="Cambria" w:hAnsiTheme="majorHAnsi" w:cs="Cambria"/>
          <w:b/>
          <w:color w:val="000000"/>
          <w:sz w:val="20"/>
          <w:szCs w:val="20"/>
          <w:u w:color="000000"/>
          <w:lang w:val="es-MX" w:eastAsia="es-ES"/>
        </w:rPr>
      </w:pPr>
      <w:r w:rsidRPr="00AD78EA">
        <w:rPr>
          <w:rFonts w:asciiTheme="majorHAnsi" w:eastAsia="Cambria" w:hAnsiTheme="majorHAnsi" w:cs="Cambria"/>
          <w:color w:val="000000"/>
          <w:sz w:val="20"/>
          <w:szCs w:val="20"/>
          <w:u w:color="000000"/>
          <w:lang w:val="es-MX" w:eastAsia="es-ES"/>
        </w:rPr>
        <w:t xml:space="preserve">Con base en lo analizado, la Comisión considera que el Estado </w:t>
      </w:r>
      <w:r w:rsidR="001D2D14" w:rsidRPr="00AD78EA">
        <w:rPr>
          <w:rFonts w:asciiTheme="majorHAnsi" w:eastAsia="Cambria" w:hAnsiTheme="majorHAnsi" w:cs="Cambria"/>
          <w:color w:val="000000"/>
          <w:sz w:val="20"/>
          <w:szCs w:val="20"/>
          <w:u w:color="000000"/>
          <w:lang w:val="es-MX" w:eastAsia="es-ES"/>
        </w:rPr>
        <w:t xml:space="preserve">colombiano </w:t>
      </w:r>
      <w:r w:rsidRPr="00AD78EA">
        <w:rPr>
          <w:rFonts w:asciiTheme="majorHAnsi" w:eastAsia="Cambria" w:hAnsiTheme="majorHAnsi" w:cs="Cambria"/>
          <w:color w:val="000000"/>
          <w:sz w:val="20"/>
          <w:szCs w:val="20"/>
          <w:u w:color="000000"/>
          <w:lang w:val="es-MX" w:eastAsia="es-ES"/>
        </w:rPr>
        <w:t>es responsable</w:t>
      </w:r>
      <w:r w:rsidR="001D2D14" w:rsidRPr="00AD78EA">
        <w:rPr>
          <w:rFonts w:asciiTheme="majorHAnsi" w:eastAsia="Cambria" w:hAnsiTheme="majorHAnsi" w:cs="Cambria"/>
          <w:color w:val="000000"/>
          <w:sz w:val="20"/>
          <w:szCs w:val="20"/>
          <w:u w:color="000000"/>
          <w:lang w:val="es-MX" w:eastAsia="es-ES"/>
        </w:rPr>
        <w:t xml:space="preserve"> por la violación </w:t>
      </w:r>
      <w:r w:rsidRPr="00AD78EA">
        <w:rPr>
          <w:rFonts w:asciiTheme="majorHAnsi" w:eastAsia="Cambria" w:hAnsiTheme="majorHAnsi" w:cs="Cambria"/>
          <w:color w:val="000000"/>
          <w:sz w:val="20"/>
          <w:szCs w:val="20"/>
          <w:u w:color="000000"/>
          <w:lang w:val="es-MX" w:eastAsia="es-ES"/>
        </w:rPr>
        <w:t xml:space="preserve">de los derechos a las garantías judiciales y protección judicial, consagrados en </w:t>
      </w:r>
      <w:r w:rsidR="001D2D14" w:rsidRPr="00AD78EA">
        <w:rPr>
          <w:rFonts w:asciiTheme="majorHAnsi" w:eastAsia="Cambria" w:hAnsiTheme="majorHAnsi" w:cs="Cambria"/>
          <w:color w:val="000000"/>
          <w:sz w:val="20"/>
          <w:szCs w:val="20"/>
          <w:u w:color="000000"/>
          <w:lang w:val="es-MX" w:eastAsia="es-ES"/>
        </w:rPr>
        <w:t>los</w:t>
      </w:r>
      <w:r w:rsidRPr="00AD78EA">
        <w:rPr>
          <w:rFonts w:asciiTheme="majorHAnsi" w:eastAsia="Cambria" w:hAnsiTheme="majorHAnsi" w:cs="Cambria"/>
          <w:color w:val="000000"/>
          <w:sz w:val="20"/>
          <w:szCs w:val="20"/>
          <w:u w:color="000000"/>
          <w:lang w:val="es-MX" w:eastAsia="es-ES"/>
        </w:rPr>
        <w:t xml:space="preserve"> artículo</w:t>
      </w:r>
      <w:r w:rsidR="001D2D14" w:rsidRPr="00AD78EA">
        <w:rPr>
          <w:rFonts w:asciiTheme="majorHAnsi" w:eastAsia="Cambria" w:hAnsiTheme="majorHAnsi" w:cs="Cambria"/>
          <w:color w:val="000000"/>
          <w:sz w:val="20"/>
          <w:szCs w:val="20"/>
          <w:u w:color="000000"/>
          <w:lang w:val="es-MX" w:eastAsia="es-ES"/>
        </w:rPr>
        <w:t>s</w:t>
      </w:r>
      <w:r w:rsidRPr="00AD78EA">
        <w:rPr>
          <w:rFonts w:asciiTheme="majorHAnsi" w:eastAsia="Cambria" w:hAnsiTheme="majorHAnsi" w:cs="Cambria"/>
          <w:color w:val="000000"/>
          <w:sz w:val="20"/>
          <w:szCs w:val="20"/>
          <w:u w:color="000000"/>
          <w:lang w:val="es-MX" w:eastAsia="es-ES"/>
        </w:rPr>
        <w:t xml:space="preserve"> 8.1 y 25.1 de la Convención Americana en relación con el artículo 1.1 del mismo instrumento</w:t>
      </w:r>
      <w:r w:rsidR="001D2D14" w:rsidRPr="00AD78EA">
        <w:rPr>
          <w:rFonts w:asciiTheme="majorHAnsi" w:eastAsia="Cambria" w:hAnsiTheme="majorHAnsi" w:cs="Cambria"/>
          <w:color w:val="000000"/>
          <w:sz w:val="20"/>
          <w:szCs w:val="20"/>
          <w:u w:color="000000"/>
          <w:lang w:val="es-MX" w:eastAsia="es-ES"/>
        </w:rPr>
        <w:t xml:space="preserve"> en perjuicio del señor Morales Díaz.</w:t>
      </w:r>
      <w:r w:rsidRPr="00AD78EA">
        <w:rPr>
          <w:rFonts w:asciiTheme="majorHAnsi" w:eastAsia="Cambria" w:hAnsiTheme="majorHAnsi" w:cs="Cambria"/>
          <w:color w:val="000000"/>
          <w:sz w:val="20"/>
          <w:szCs w:val="20"/>
          <w:u w:color="000000"/>
          <w:lang w:val="es-MX" w:eastAsia="es-ES"/>
        </w:rPr>
        <w:t xml:space="preserve"> </w:t>
      </w:r>
    </w:p>
    <w:p w14:paraId="22ADC896" w14:textId="77777777" w:rsidR="006D3ABD" w:rsidRPr="00AD78EA" w:rsidRDefault="006D3ABD" w:rsidP="006D3ABD">
      <w:pPr>
        <w:jc w:val="both"/>
        <w:rPr>
          <w:rFonts w:asciiTheme="majorHAnsi" w:eastAsia="Cambria" w:hAnsiTheme="majorHAnsi" w:cs="Cambria"/>
          <w:b/>
          <w:color w:val="000000"/>
          <w:sz w:val="20"/>
          <w:szCs w:val="20"/>
          <w:u w:color="000000"/>
          <w:lang w:val="es-MX" w:eastAsia="es-ES"/>
        </w:rPr>
      </w:pPr>
    </w:p>
    <w:p w14:paraId="4C326183" w14:textId="12820EE7" w:rsidR="003F7533" w:rsidRPr="00E0440B" w:rsidRDefault="003F7533" w:rsidP="005E0CC1">
      <w:pPr>
        <w:pStyle w:val="Heading1"/>
        <w:rPr>
          <w:lang w:val="es-VE"/>
        </w:rPr>
      </w:pPr>
      <w:bookmarkStart w:id="22" w:name="_Toc202349290"/>
      <w:r w:rsidRPr="00E0440B">
        <w:rPr>
          <w:lang w:val="es-VE"/>
        </w:rPr>
        <w:t>INFORME No. 62/18 E INFORMACIÓN SOBRE CUMPLIMIENTO</w:t>
      </w:r>
      <w:bookmarkEnd w:id="22"/>
    </w:p>
    <w:p w14:paraId="228263F3" w14:textId="77777777" w:rsidR="003F7533" w:rsidRPr="00CE79A5" w:rsidRDefault="003F7533" w:rsidP="003F7533">
      <w:pPr>
        <w:rPr>
          <w:rFonts w:asciiTheme="majorHAnsi" w:hAnsiTheme="majorHAnsi"/>
          <w:lang w:val="es-VE" w:eastAsia="es-ES"/>
        </w:rPr>
      </w:pPr>
    </w:p>
    <w:p w14:paraId="62E282D6" w14:textId="03E5F583" w:rsidR="003F7533" w:rsidRPr="00CE79A5" w:rsidRDefault="003F7533" w:rsidP="003F7533">
      <w:pPr>
        <w:numPr>
          <w:ilvl w:val="0"/>
          <w:numId w:val="56"/>
        </w:numPr>
        <w:ind w:left="0" w:firstLine="720"/>
        <w:jc w:val="both"/>
        <w:rPr>
          <w:rFonts w:asciiTheme="majorHAnsi" w:hAnsiTheme="majorHAnsi" w:cs="Arial"/>
          <w:sz w:val="20"/>
          <w:szCs w:val="20"/>
          <w:lang w:val="es-ES"/>
        </w:rPr>
      </w:pPr>
      <w:r w:rsidRPr="00CE79A5">
        <w:rPr>
          <w:rFonts w:asciiTheme="majorHAnsi" w:eastAsia="Cambria" w:hAnsiTheme="majorHAnsi" w:cs="Cambria"/>
          <w:color w:val="000000"/>
          <w:sz w:val="20"/>
          <w:szCs w:val="20"/>
          <w:u w:color="000000"/>
          <w:lang w:val="es-MX" w:eastAsia="es-ES"/>
        </w:rPr>
        <w:t>La</w:t>
      </w:r>
      <w:r w:rsidRPr="00CE79A5">
        <w:rPr>
          <w:rFonts w:asciiTheme="majorHAnsi" w:hAnsiTheme="majorHAnsi" w:cs="Verdana"/>
          <w:sz w:val="20"/>
          <w:szCs w:val="20"/>
          <w:lang w:val="es-ES" w:bidi="en-US"/>
        </w:rPr>
        <w:t xml:space="preserve"> Comisión adoptó el informe de fondo No. </w:t>
      </w:r>
      <w:r w:rsidR="009E20DC" w:rsidRPr="00CE79A5">
        <w:rPr>
          <w:rFonts w:asciiTheme="majorHAnsi" w:hAnsiTheme="majorHAnsi" w:cs="Verdana"/>
          <w:sz w:val="20"/>
          <w:szCs w:val="20"/>
          <w:lang w:val="es-ES" w:bidi="en-US"/>
        </w:rPr>
        <w:t>62</w:t>
      </w:r>
      <w:r w:rsidRPr="00CE79A5">
        <w:rPr>
          <w:rFonts w:asciiTheme="majorHAnsi" w:hAnsiTheme="majorHAnsi"/>
          <w:sz w:val="20"/>
          <w:szCs w:val="20"/>
          <w:lang w:val="es-VE"/>
        </w:rPr>
        <w:t>/</w:t>
      </w:r>
      <w:r w:rsidRPr="00CE79A5">
        <w:rPr>
          <w:rFonts w:asciiTheme="majorHAnsi" w:hAnsiTheme="majorHAnsi" w:cs="Verdana"/>
          <w:sz w:val="20"/>
          <w:szCs w:val="20"/>
          <w:lang w:val="es-ES" w:bidi="en-US"/>
        </w:rPr>
        <w:t>1</w:t>
      </w:r>
      <w:r w:rsidR="009E20DC" w:rsidRPr="00CE79A5">
        <w:rPr>
          <w:rFonts w:asciiTheme="majorHAnsi" w:hAnsiTheme="majorHAnsi" w:cs="Verdana"/>
          <w:sz w:val="20"/>
          <w:szCs w:val="20"/>
          <w:lang w:val="es-ES" w:bidi="en-US"/>
        </w:rPr>
        <w:t>8</w:t>
      </w:r>
      <w:r w:rsidR="00E06FD4" w:rsidRPr="00CE79A5">
        <w:rPr>
          <w:rFonts w:asciiTheme="majorHAnsi" w:hAnsiTheme="majorHAnsi" w:cs="Verdana"/>
          <w:sz w:val="20"/>
          <w:szCs w:val="20"/>
          <w:lang w:val="es-ES" w:bidi="en-US"/>
        </w:rPr>
        <w:t xml:space="preserve"> que incluye los párrafos 1 a 9</w:t>
      </w:r>
      <w:r w:rsidR="00F45A32" w:rsidRPr="00CE79A5">
        <w:rPr>
          <w:rFonts w:asciiTheme="majorHAnsi" w:hAnsiTheme="majorHAnsi" w:cs="Verdana"/>
          <w:sz w:val="20"/>
          <w:szCs w:val="20"/>
          <w:lang w:val="es-ES" w:bidi="en-US"/>
        </w:rPr>
        <w:t xml:space="preserve">7 </w:t>
      </w:r>
      <w:r w:rsidR="00F45A32" w:rsidRPr="00CE79A5">
        <w:rPr>
          <w:rFonts w:asciiTheme="majorHAnsi" w:hAnsiTheme="majorHAnsi" w:cs="Verdana"/>
          <w:i/>
          <w:iCs/>
          <w:sz w:val="20"/>
          <w:szCs w:val="20"/>
          <w:lang w:val="es-ES" w:bidi="en-US"/>
        </w:rPr>
        <w:t>supra,</w:t>
      </w:r>
      <w:r w:rsidRPr="00CE79A5">
        <w:rPr>
          <w:rFonts w:asciiTheme="majorHAnsi" w:hAnsiTheme="majorHAnsi" w:cs="Verdana"/>
          <w:sz w:val="20"/>
          <w:szCs w:val="20"/>
          <w:lang w:val="es-ES" w:bidi="en-US"/>
        </w:rPr>
        <w:t xml:space="preserve"> el</w:t>
      </w:r>
      <w:r w:rsidR="009E20DC" w:rsidRPr="00CE79A5">
        <w:rPr>
          <w:rFonts w:asciiTheme="majorHAnsi" w:hAnsiTheme="majorHAnsi" w:cs="Verdana"/>
          <w:sz w:val="20"/>
          <w:szCs w:val="20"/>
          <w:lang w:val="es-ES" w:bidi="en-US"/>
        </w:rPr>
        <w:t xml:space="preserve"> 8</w:t>
      </w:r>
      <w:r w:rsidRPr="00CE79A5">
        <w:rPr>
          <w:rFonts w:asciiTheme="majorHAnsi" w:hAnsiTheme="majorHAnsi" w:cs="Verdana"/>
          <w:sz w:val="20"/>
          <w:szCs w:val="20"/>
          <w:lang w:val="es-ES" w:bidi="en-US"/>
        </w:rPr>
        <w:t xml:space="preserve"> de ma</w:t>
      </w:r>
      <w:r w:rsidR="009E20DC" w:rsidRPr="00CE79A5">
        <w:rPr>
          <w:rFonts w:asciiTheme="majorHAnsi" w:hAnsiTheme="majorHAnsi" w:cs="Verdana"/>
          <w:sz w:val="20"/>
          <w:szCs w:val="20"/>
          <w:lang w:val="es-ES" w:bidi="en-US"/>
        </w:rPr>
        <w:t>yo</w:t>
      </w:r>
      <w:r w:rsidRPr="00CE79A5">
        <w:rPr>
          <w:rFonts w:asciiTheme="majorHAnsi" w:hAnsiTheme="majorHAnsi" w:cs="Verdana"/>
          <w:sz w:val="20"/>
          <w:szCs w:val="20"/>
          <w:lang w:val="es-ES" w:bidi="en-US"/>
        </w:rPr>
        <w:t xml:space="preserve"> de 201</w:t>
      </w:r>
      <w:r w:rsidR="009E20DC" w:rsidRPr="00CE79A5">
        <w:rPr>
          <w:rFonts w:asciiTheme="majorHAnsi" w:hAnsiTheme="majorHAnsi" w:cs="Verdana"/>
          <w:sz w:val="20"/>
          <w:szCs w:val="20"/>
          <w:lang w:val="es-ES" w:bidi="en-US"/>
        </w:rPr>
        <w:t>8</w:t>
      </w:r>
      <w:r w:rsidRPr="00CE79A5">
        <w:rPr>
          <w:rFonts w:asciiTheme="majorHAnsi" w:hAnsiTheme="majorHAnsi" w:cs="Verdana"/>
          <w:sz w:val="20"/>
          <w:szCs w:val="20"/>
          <w:lang w:val="es-ES" w:bidi="en-US"/>
        </w:rPr>
        <w:t xml:space="preserve"> y lo transmitió al Estado el </w:t>
      </w:r>
      <w:r w:rsidR="005A35F3" w:rsidRPr="00CE79A5">
        <w:rPr>
          <w:rFonts w:asciiTheme="majorHAnsi" w:hAnsiTheme="majorHAnsi" w:cs="Verdana"/>
          <w:sz w:val="20"/>
          <w:szCs w:val="20"/>
          <w:lang w:val="es-ES" w:bidi="en-US"/>
        </w:rPr>
        <w:t>6 de agosto</w:t>
      </w:r>
      <w:r w:rsidRPr="00CE79A5">
        <w:rPr>
          <w:rFonts w:asciiTheme="majorHAnsi" w:hAnsiTheme="majorHAnsi" w:cs="Verdana"/>
          <w:sz w:val="20"/>
          <w:szCs w:val="20"/>
          <w:lang w:val="es-ES" w:bidi="en-US"/>
        </w:rPr>
        <w:t xml:space="preserve"> del mismo año. En dicho informe la Comisión recomendó</w:t>
      </w:r>
      <w:r w:rsidR="001B69CB" w:rsidRPr="00CE79A5">
        <w:rPr>
          <w:rFonts w:asciiTheme="majorHAnsi" w:hAnsiTheme="majorHAnsi" w:cs="Verdana"/>
          <w:sz w:val="20"/>
          <w:szCs w:val="20"/>
          <w:lang w:val="es-ES" w:bidi="en-US"/>
        </w:rPr>
        <w:t xml:space="preserve"> al Estado de Colombia</w:t>
      </w:r>
      <w:r w:rsidRPr="00CE79A5">
        <w:rPr>
          <w:rFonts w:asciiTheme="majorHAnsi" w:hAnsiTheme="majorHAnsi" w:cs="Verdana"/>
          <w:sz w:val="20"/>
          <w:szCs w:val="20"/>
          <w:lang w:val="es-ES" w:bidi="en-US"/>
        </w:rPr>
        <w:t>:</w:t>
      </w:r>
    </w:p>
    <w:p w14:paraId="7AEDDB4A" w14:textId="07D09284" w:rsidR="003F7533" w:rsidRPr="005C1AC8" w:rsidRDefault="003F7533" w:rsidP="003F7533">
      <w:pPr>
        <w:rPr>
          <w:lang w:val="es-ES" w:eastAsia="es-ES"/>
        </w:rPr>
      </w:pPr>
    </w:p>
    <w:p w14:paraId="532350DE" w14:textId="77777777" w:rsidR="003F7533" w:rsidRPr="005C1AC8" w:rsidRDefault="003F7533" w:rsidP="005A35F3">
      <w:pPr>
        <w:numPr>
          <w:ilvl w:val="0"/>
          <w:numId w:val="57"/>
        </w:numPr>
        <w:pBdr>
          <w:bar w:val="none" w:sz="0" w:color="auto"/>
        </w:pBdr>
        <w:ind w:right="720" w:firstLine="720"/>
        <w:contextualSpacing/>
        <w:jc w:val="both"/>
        <w:rPr>
          <w:rFonts w:asciiTheme="majorHAnsi" w:eastAsia="Cambria" w:hAnsiTheme="majorHAnsi" w:cs="Cambria"/>
          <w:sz w:val="20"/>
          <w:szCs w:val="20"/>
          <w:lang w:val="es-MX"/>
        </w:rPr>
      </w:pPr>
      <w:r w:rsidRPr="005C1AC8">
        <w:rPr>
          <w:rFonts w:asciiTheme="majorHAnsi" w:eastAsia="Cambria" w:hAnsiTheme="majorHAnsi" w:cs="Cambria"/>
          <w:sz w:val="20"/>
          <w:szCs w:val="20"/>
          <w:lang w:val="es-MX"/>
        </w:rPr>
        <w:t xml:space="preserve">Reparar integralmente las violaciones de derechos humanos declaradas en el presente informe tanto en el aspecto material como inmaterial, incluyendo medidas de compensación y satisfacción. </w:t>
      </w:r>
    </w:p>
    <w:p w14:paraId="0CE233A9" w14:textId="77777777" w:rsidR="003F7533" w:rsidRPr="005C1AC8" w:rsidRDefault="003F7533" w:rsidP="005A35F3">
      <w:pPr>
        <w:pBdr>
          <w:bar w:val="none" w:sz="0" w:color="auto"/>
        </w:pBdr>
        <w:ind w:left="1800" w:right="720"/>
        <w:contextualSpacing/>
        <w:jc w:val="both"/>
        <w:rPr>
          <w:rFonts w:asciiTheme="majorHAnsi" w:eastAsia="Cambria" w:hAnsiTheme="majorHAnsi" w:cs="Cambria"/>
          <w:sz w:val="20"/>
          <w:szCs w:val="20"/>
          <w:lang w:val="es-MX"/>
        </w:rPr>
      </w:pPr>
    </w:p>
    <w:p w14:paraId="5CE49A28" w14:textId="77777777" w:rsidR="003F7533" w:rsidRPr="005C1AC8" w:rsidRDefault="003F7533" w:rsidP="005A35F3">
      <w:pPr>
        <w:numPr>
          <w:ilvl w:val="0"/>
          <w:numId w:val="57"/>
        </w:numPr>
        <w:pBdr>
          <w:bar w:val="none" w:sz="0" w:color="auto"/>
        </w:pBdr>
        <w:ind w:right="720" w:firstLine="720"/>
        <w:contextualSpacing/>
        <w:jc w:val="both"/>
        <w:rPr>
          <w:rFonts w:asciiTheme="majorHAnsi" w:eastAsia="Cambria" w:hAnsiTheme="majorHAnsi" w:cs="Cambria"/>
          <w:sz w:val="20"/>
          <w:szCs w:val="20"/>
          <w:lang w:val="es-MX"/>
        </w:rPr>
      </w:pPr>
      <w:r w:rsidRPr="005C1AC8">
        <w:rPr>
          <w:rFonts w:asciiTheme="majorHAnsi" w:eastAsia="Cambria" w:hAnsiTheme="majorHAnsi" w:cs="Cambria"/>
          <w:sz w:val="20"/>
          <w:szCs w:val="20"/>
          <w:lang w:val="es-MX"/>
        </w:rPr>
        <w:t>Disponer las medidas necesarias para asegurar que en caso de que el señor Morales Díaz desee volver a Colombia, bien sea de manera temporal o definitiva, se realice un diagnóstico efectivo sobre su situación de riesgo y se adopten las medidas de protección que sean pertinentes de manera concertada con la víctima.</w:t>
      </w:r>
    </w:p>
    <w:p w14:paraId="48FAE079" w14:textId="77777777" w:rsidR="003F7533" w:rsidRPr="005C1AC8" w:rsidRDefault="003F7533" w:rsidP="005A35F3">
      <w:pPr>
        <w:pBdr>
          <w:bar w:val="none" w:sz="0" w:color="auto"/>
        </w:pBdr>
        <w:ind w:left="1800" w:right="720"/>
        <w:contextualSpacing/>
        <w:jc w:val="both"/>
        <w:rPr>
          <w:rFonts w:asciiTheme="majorHAnsi" w:eastAsia="Cambria" w:hAnsiTheme="majorHAnsi" w:cs="Cambria"/>
          <w:sz w:val="20"/>
          <w:szCs w:val="20"/>
          <w:lang w:val="es-MX"/>
        </w:rPr>
      </w:pPr>
    </w:p>
    <w:p w14:paraId="5B826A08" w14:textId="77777777" w:rsidR="003F7533" w:rsidRPr="005C1AC8" w:rsidRDefault="003F7533" w:rsidP="005A35F3">
      <w:pPr>
        <w:numPr>
          <w:ilvl w:val="0"/>
          <w:numId w:val="57"/>
        </w:numPr>
        <w:pBdr>
          <w:bar w:val="none" w:sz="0" w:color="auto"/>
        </w:pBdr>
        <w:ind w:right="720" w:firstLine="720"/>
        <w:contextualSpacing/>
        <w:jc w:val="both"/>
        <w:rPr>
          <w:rFonts w:asciiTheme="majorHAnsi" w:eastAsia="Cambria" w:hAnsiTheme="majorHAnsi" w:cs="Cambria"/>
          <w:sz w:val="20"/>
          <w:szCs w:val="20"/>
          <w:lang w:val="es-MX"/>
        </w:rPr>
      </w:pPr>
      <w:r w:rsidRPr="005C1AC8">
        <w:rPr>
          <w:rFonts w:asciiTheme="majorHAnsi" w:eastAsia="Cambria" w:hAnsiTheme="majorHAnsi" w:cs="Cambria"/>
          <w:sz w:val="20"/>
          <w:szCs w:val="20"/>
          <w:lang w:val="es-MX"/>
        </w:rPr>
        <w:t>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352A9A36" w14:textId="77777777" w:rsidR="003F7533" w:rsidRPr="005C1AC8" w:rsidRDefault="003F7533" w:rsidP="005A35F3">
      <w:pPr>
        <w:pStyle w:val="ListParagraph"/>
        <w:ind w:left="1440" w:right="720"/>
        <w:rPr>
          <w:rFonts w:asciiTheme="majorHAnsi" w:hAnsiTheme="majorHAnsi"/>
          <w:sz w:val="20"/>
          <w:szCs w:val="20"/>
          <w:lang w:val="es-MX"/>
        </w:rPr>
      </w:pPr>
    </w:p>
    <w:p w14:paraId="3E6AD346" w14:textId="77777777" w:rsidR="003F7533" w:rsidRPr="005C1AC8" w:rsidRDefault="003F7533" w:rsidP="005A35F3">
      <w:pPr>
        <w:numPr>
          <w:ilvl w:val="0"/>
          <w:numId w:val="57"/>
        </w:numPr>
        <w:pBdr>
          <w:bar w:val="none" w:sz="0" w:color="auto"/>
        </w:pBdr>
        <w:ind w:right="720" w:firstLine="720"/>
        <w:contextualSpacing/>
        <w:jc w:val="both"/>
        <w:rPr>
          <w:rFonts w:asciiTheme="majorHAnsi" w:eastAsia="Cambria" w:hAnsiTheme="majorHAnsi" w:cs="Cambria"/>
          <w:sz w:val="20"/>
          <w:szCs w:val="20"/>
          <w:lang w:val="es-MX"/>
        </w:rPr>
      </w:pPr>
      <w:r w:rsidRPr="005C1AC8">
        <w:rPr>
          <w:rFonts w:asciiTheme="majorHAnsi" w:eastAsia="Cambria" w:hAnsiTheme="majorHAnsi" w:cs="Cambria"/>
          <w:sz w:val="20"/>
          <w:szCs w:val="20"/>
          <w:lang w:val="es-MX"/>
        </w:rPr>
        <w:t>Disponer las medidas administrativas, disciplinarias o de otra índole frente a las acciones u omisiones de los funcionarios estatales que contribuyeron a la situación de desprotección del señor Morales, así como a la denegación de justicia e impunidad en la que se encuentran los hechos del caso.</w:t>
      </w:r>
    </w:p>
    <w:p w14:paraId="2337ED1D" w14:textId="77777777" w:rsidR="003F7533" w:rsidRPr="005C1AC8" w:rsidRDefault="003F7533" w:rsidP="005A35F3">
      <w:pPr>
        <w:pBdr>
          <w:bar w:val="none" w:sz="0" w:color="auto"/>
        </w:pBdr>
        <w:ind w:left="1800" w:right="720"/>
        <w:contextualSpacing/>
        <w:jc w:val="both"/>
        <w:rPr>
          <w:rFonts w:asciiTheme="majorHAnsi" w:eastAsia="Cambria" w:hAnsiTheme="majorHAnsi" w:cs="Cambria"/>
          <w:sz w:val="20"/>
          <w:szCs w:val="20"/>
          <w:lang w:val="es-MX"/>
        </w:rPr>
      </w:pPr>
    </w:p>
    <w:p w14:paraId="33902C5B" w14:textId="6602EA32" w:rsidR="003F7533" w:rsidRPr="005C1AC8" w:rsidRDefault="003F7533" w:rsidP="005A35F3">
      <w:pPr>
        <w:numPr>
          <w:ilvl w:val="0"/>
          <w:numId w:val="57"/>
        </w:numPr>
        <w:pBdr>
          <w:bar w:val="none" w:sz="0" w:color="auto"/>
        </w:pBdr>
        <w:ind w:right="720" w:firstLine="720"/>
        <w:contextualSpacing/>
        <w:jc w:val="both"/>
        <w:rPr>
          <w:rFonts w:asciiTheme="majorHAnsi" w:eastAsia="Cambria" w:hAnsiTheme="majorHAnsi" w:cs="Cambria"/>
          <w:sz w:val="20"/>
          <w:szCs w:val="20"/>
          <w:lang w:val="es-MX"/>
        </w:rPr>
      </w:pPr>
      <w:r w:rsidRPr="005C1AC8">
        <w:rPr>
          <w:rFonts w:asciiTheme="majorHAnsi" w:eastAsia="Cambria" w:hAnsiTheme="majorHAnsi" w:cs="Cambria"/>
          <w:sz w:val="20"/>
          <w:szCs w:val="20"/>
          <w:lang w:val="es-MX"/>
        </w:rPr>
        <w:t>Disponer las medidas necesarias para evitar la repetición de las violaciones de derechos humanos declaradas en el presente informe. Esto incluye las medidas para: i) asegurar la debida coordinación institucional de los mecanismos existentes para identificar y calificar situaciones de riesgo a la vida e integridad personal; y ii) asegurar que ante situaciones de riesgo a la vida e integridad personal se brinde la debida protección a instancias del Estado y no limitándose a medidas de autoprotección. Las medidas de no repetición de la presente recomendación deben tener un alcance amplio y no estar limitad</w:t>
      </w:r>
      <w:r w:rsidR="00DE3219" w:rsidRPr="005C1AC8">
        <w:rPr>
          <w:rFonts w:asciiTheme="majorHAnsi" w:eastAsia="Cambria" w:hAnsiTheme="majorHAnsi" w:cs="Cambria"/>
          <w:sz w:val="20"/>
          <w:szCs w:val="20"/>
          <w:lang w:val="es-MX"/>
        </w:rPr>
        <w:t>a</w:t>
      </w:r>
      <w:r w:rsidRPr="005C1AC8">
        <w:rPr>
          <w:rFonts w:asciiTheme="majorHAnsi" w:eastAsia="Cambria" w:hAnsiTheme="majorHAnsi" w:cs="Cambria"/>
          <w:sz w:val="20"/>
          <w:szCs w:val="20"/>
          <w:lang w:val="es-MX"/>
        </w:rPr>
        <w:t xml:space="preserve">s a ciertos grupos que requieran especial protección.  </w:t>
      </w:r>
    </w:p>
    <w:p w14:paraId="47838C65" w14:textId="77777777" w:rsidR="00947203" w:rsidRPr="00495F3F" w:rsidRDefault="00947203" w:rsidP="00947203">
      <w:pPr>
        <w:pBdr>
          <w:bar w:val="none" w:sz="0" w:color="auto"/>
        </w:pBdr>
        <w:contextualSpacing/>
        <w:jc w:val="both"/>
        <w:rPr>
          <w:rFonts w:asciiTheme="majorHAnsi" w:eastAsia="Cambria" w:hAnsiTheme="majorHAnsi" w:cs="Cambria"/>
          <w:sz w:val="20"/>
          <w:szCs w:val="20"/>
          <w:lang w:val="es-MX"/>
        </w:rPr>
      </w:pPr>
    </w:p>
    <w:p w14:paraId="3B9602C8" w14:textId="1B8A26A3" w:rsidR="00947203" w:rsidRPr="00E0440B" w:rsidRDefault="00947203"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 xml:space="preserve">En el trámite seguido con posterioridad a la notificación del informe de fondo, la Comisión recibió varios informes del Estado y escritos de la parte peticionaria sobre el cumplimiento de las recomendaciones establecidas por la CIDH. Durante este periodo la Comisión otorgó </w:t>
      </w:r>
      <w:r w:rsidR="00A6276F" w:rsidRPr="00E0440B">
        <w:rPr>
          <w:rFonts w:asciiTheme="majorHAnsi" w:hAnsiTheme="majorHAnsi" w:cs="Verdana"/>
          <w:sz w:val="20"/>
          <w:szCs w:val="20"/>
          <w:lang w:val="es-ES" w:bidi="en-US"/>
        </w:rPr>
        <w:t>tres</w:t>
      </w:r>
      <w:r w:rsidRPr="00E0440B">
        <w:rPr>
          <w:rFonts w:asciiTheme="majorHAnsi" w:hAnsiTheme="majorHAnsi" w:cs="Verdana"/>
          <w:sz w:val="20"/>
          <w:szCs w:val="20"/>
          <w:lang w:val="es-ES" w:bidi="en-US"/>
        </w:rPr>
        <w:t xml:space="preserve"> prórrogas al Estado para la suspensión del plazo previsto en el artículo 51 de la Convención Americana. En dichas solicitudes de prórroga el Estado colombiano reiteró su voluntad de cumplir con las recomendaciones. Asimismo, el Estado renunció expresamente a interponer excepciones preliminares por incumplimiento del referido plazo en la eventualidad de que el caso fuera sometido a la Corte Interamericana.</w:t>
      </w:r>
    </w:p>
    <w:p w14:paraId="7D992B6F" w14:textId="77777777" w:rsidR="00077631" w:rsidRPr="00E0440B" w:rsidRDefault="00077631" w:rsidP="00077631">
      <w:pPr>
        <w:ind w:left="720"/>
        <w:jc w:val="both"/>
        <w:rPr>
          <w:rFonts w:asciiTheme="majorHAnsi" w:hAnsiTheme="majorHAnsi" w:cs="Verdana"/>
          <w:sz w:val="20"/>
          <w:szCs w:val="20"/>
          <w:lang w:val="es-ES" w:bidi="en-US"/>
        </w:rPr>
      </w:pPr>
    </w:p>
    <w:p w14:paraId="314A1D46" w14:textId="6DD3409C" w:rsidR="00077631" w:rsidRPr="00E0440B" w:rsidRDefault="008C1CE9"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El 13 de mayo de 2019 el Estado emitió la Resolución 2323 con concepto favorable en los términos de la Ley 288 de 1996 al cumplimiento del Informe de Fondo No. 62</w:t>
      </w:r>
      <w:r w:rsidRPr="00E0440B">
        <w:rPr>
          <w:rFonts w:asciiTheme="majorHAnsi" w:hAnsiTheme="majorHAnsi" w:cs="Verdana"/>
          <w:sz w:val="20"/>
          <w:szCs w:val="20"/>
          <w:lang w:val="es-US" w:bidi="en-US"/>
        </w:rPr>
        <w:t>/</w:t>
      </w:r>
      <w:r w:rsidRPr="00E0440B">
        <w:rPr>
          <w:rFonts w:asciiTheme="majorHAnsi" w:hAnsiTheme="majorHAnsi" w:cs="Verdana"/>
          <w:sz w:val="20"/>
          <w:szCs w:val="20"/>
          <w:lang w:val="es-ES" w:bidi="en-US"/>
        </w:rPr>
        <w:t xml:space="preserve">18.  </w:t>
      </w:r>
      <w:r w:rsidR="00077631" w:rsidRPr="00E0440B">
        <w:rPr>
          <w:rFonts w:asciiTheme="majorHAnsi" w:hAnsiTheme="majorHAnsi" w:cs="Verdana"/>
          <w:sz w:val="20"/>
          <w:szCs w:val="20"/>
          <w:lang w:val="es-ES" w:bidi="en-US"/>
        </w:rPr>
        <w:t>El 29 de mayo de 2019 las partes firmaron un acuerdo de cumplimiento de las recomendaciones emitidas por la Comisión</w:t>
      </w:r>
      <w:r w:rsidR="00472707" w:rsidRPr="00E0440B">
        <w:rPr>
          <w:rFonts w:asciiTheme="majorHAnsi" w:hAnsiTheme="majorHAnsi" w:cs="Verdana"/>
          <w:sz w:val="20"/>
          <w:szCs w:val="20"/>
          <w:lang w:val="es-ES" w:bidi="en-US"/>
        </w:rPr>
        <w:t xml:space="preserve">, en el cual </w:t>
      </w:r>
      <w:r w:rsidR="00077631" w:rsidRPr="00E0440B">
        <w:rPr>
          <w:rFonts w:asciiTheme="majorHAnsi" w:hAnsiTheme="majorHAnsi" w:cs="Verdana"/>
          <w:sz w:val="20"/>
          <w:szCs w:val="20"/>
          <w:lang w:val="es-ES" w:bidi="en-US"/>
        </w:rPr>
        <w:t>el Estado se compromet</w:t>
      </w:r>
      <w:r w:rsidR="00A6087E" w:rsidRPr="00E0440B">
        <w:rPr>
          <w:rFonts w:asciiTheme="majorHAnsi" w:hAnsiTheme="majorHAnsi" w:cs="Verdana"/>
          <w:sz w:val="20"/>
          <w:szCs w:val="20"/>
          <w:lang w:val="es-ES" w:bidi="en-US"/>
        </w:rPr>
        <w:t>ió</w:t>
      </w:r>
      <w:r w:rsidR="00077631" w:rsidRPr="00E0440B">
        <w:rPr>
          <w:rFonts w:asciiTheme="majorHAnsi" w:hAnsiTheme="majorHAnsi" w:cs="Verdana"/>
          <w:sz w:val="20"/>
          <w:szCs w:val="20"/>
          <w:lang w:val="es-ES" w:bidi="en-US"/>
        </w:rPr>
        <w:t xml:space="preserve"> a avanzar en su cumplimiento en el término de un año. Asimismo, acordaron que el mecanismo de verificación de cumplimiento sea a través de las facultades otorgadas </w:t>
      </w:r>
      <w:r w:rsidR="001407F1" w:rsidRPr="00E0440B">
        <w:rPr>
          <w:rFonts w:asciiTheme="majorHAnsi" w:hAnsiTheme="majorHAnsi" w:cs="Verdana"/>
          <w:sz w:val="20"/>
          <w:szCs w:val="20"/>
          <w:lang w:val="es-ES" w:bidi="en-US"/>
        </w:rPr>
        <w:t>a la CIDH en</w:t>
      </w:r>
      <w:r w:rsidR="00077631" w:rsidRPr="00E0440B">
        <w:rPr>
          <w:rFonts w:asciiTheme="majorHAnsi" w:hAnsiTheme="majorHAnsi" w:cs="Verdana"/>
          <w:sz w:val="20"/>
          <w:szCs w:val="20"/>
          <w:lang w:val="es-ES" w:bidi="en-US"/>
        </w:rPr>
        <w:t xml:space="preserve"> el artículo 51 de la Convención Americana.</w:t>
      </w:r>
    </w:p>
    <w:p w14:paraId="619FED8F" w14:textId="77777777" w:rsidR="001407F1" w:rsidRPr="00E0440B" w:rsidRDefault="001407F1" w:rsidP="001407F1">
      <w:pPr>
        <w:pStyle w:val="ListParagraph"/>
        <w:rPr>
          <w:rFonts w:asciiTheme="majorHAnsi" w:hAnsiTheme="majorHAnsi" w:cs="Verdana"/>
          <w:sz w:val="20"/>
          <w:szCs w:val="20"/>
          <w:lang w:val="es-ES" w:bidi="en-US"/>
        </w:rPr>
      </w:pPr>
    </w:p>
    <w:p w14:paraId="15D32E32" w14:textId="00A5AD0B" w:rsidR="001407F1" w:rsidRPr="00E0440B" w:rsidRDefault="001407F1"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 xml:space="preserve">Con relación a la primera recomendación se acordó </w:t>
      </w:r>
      <w:r w:rsidR="00D90B9F" w:rsidRPr="00E0440B">
        <w:rPr>
          <w:rFonts w:asciiTheme="majorHAnsi" w:hAnsiTheme="majorHAnsi" w:cs="Verdana"/>
          <w:sz w:val="20"/>
          <w:szCs w:val="20"/>
          <w:lang w:val="es-ES" w:bidi="en-US"/>
        </w:rPr>
        <w:t xml:space="preserve">el pago de la reparación pecuniaria y dos medidas de satisfacción: </w:t>
      </w:r>
      <w:r w:rsidR="00257E87" w:rsidRPr="00E0440B">
        <w:rPr>
          <w:rFonts w:asciiTheme="majorHAnsi" w:hAnsiTheme="majorHAnsi" w:cs="Verdana"/>
          <w:sz w:val="20"/>
          <w:szCs w:val="20"/>
          <w:lang w:val="es-ES" w:bidi="en-US"/>
        </w:rPr>
        <w:t xml:space="preserve">el reconocimiento de responsabilidad que se llevaría a cabo en acto privado </w:t>
      </w:r>
      <w:r w:rsidRPr="00E0440B">
        <w:rPr>
          <w:rFonts w:asciiTheme="majorHAnsi" w:hAnsiTheme="majorHAnsi" w:cs="Verdana"/>
          <w:sz w:val="20"/>
          <w:szCs w:val="20"/>
          <w:lang w:val="es-ES" w:bidi="en-US"/>
        </w:rPr>
        <w:t xml:space="preserve">el 8 de julio de 2019 y </w:t>
      </w:r>
      <w:r w:rsidR="005D44D5" w:rsidRPr="00E0440B">
        <w:rPr>
          <w:rFonts w:asciiTheme="majorHAnsi" w:hAnsiTheme="majorHAnsi" w:cs="Verdana"/>
          <w:sz w:val="20"/>
          <w:szCs w:val="20"/>
          <w:lang w:val="es-ES" w:bidi="en-US"/>
        </w:rPr>
        <w:t>el</w:t>
      </w:r>
      <w:r w:rsidRPr="00E0440B">
        <w:rPr>
          <w:rFonts w:asciiTheme="majorHAnsi" w:hAnsiTheme="majorHAnsi" w:cs="Verdana"/>
          <w:sz w:val="20"/>
          <w:szCs w:val="20"/>
          <w:lang w:val="es-ES" w:bidi="en-US"/>
        </w:rPr>
        <w:t xml:space="preserve"> otorga</w:t>
      </w:r>
      <w:r w:rsidR="005D44D5" w:rsidRPr="00E0440B">
        <w:rPr>
          <w:rFonts w:asciiTheme="majorHAnsi" w:hAnsiTheme="majorHAnsi" w:cs="Verdana"/>
          <w:sz w:val="20"/>
          <w:szCs w:val="20"/>
          <w:lang w:val="es-ES" w:bidi="en-US"/>
        </w:rPr>
        <w:t>miento</w:t>
      </w:r>
      <w:r w:rsidRPr="00E0440B">
        <w:rPr>
          <w:rFonts w:asciiTheme="majorHAnsi" w:hAnsiTheme="majorHAnsi" w:cs="Verdana"/>
          <w:sz w:val="20"/>
          <w:szCs w:val="20"/>
          <w:lang w:val="es-ES" w:bidi="en-US"/>
        </w:rPr>
        <w:t xml:space="preserve"> al señor Morales Díaz la Orden Nacional </w:t>
      </w:r>
      <w:r w:rsidR="005D44D5" w:rsidRPr="00E0440B">
        <w:rPr>
          <w:rFonts w:asciiTheme="majorHAnsi" w:hAnsiTheme="majorHAnsi" w:cs="Verdana"/>
          <w:sz w:val="20"/>
          <w:szCs w:val="20"/>
          <w:lang w:val="es-ES" w:bidi="en-US"/>
        </w:rPr>
        <w:t>a</w:t>
      </w:r>
      <w:r w:rsidRPr="00E0440B">
        <w:rPr>
          <w:rFonts w:asciiTheme="majorHAnsi" w:hAnsiTheme="majorHAnsi" w:cs="Verdana"/>
          <w:sz w:val="20"/>
          <w:szCs w:val="20"/>
          <w:lang w:val="es-ES" w:bidi="en-US"/>
        </w:rPr>
        <w:t>l Mérito en el Grado de Caballero.</w:t>
      </w:r>
    </w:p>
    <w:p w14:paraId="1FBB562F" w14:textId="77777777" w:rsidR="001407F1" w:rsidRPr="00E0440B" w:rsidRDefault="001407F1" w:rsidP="001407F1">
      <w:pPr>
        <w:pStyle w:val="ListParagraph"/>
        <w:rPr>
          <w:rFonts w:asciiTheme="majorHAnsi" w:hAnsiTheme="majorHAnsi" w:cs="Verdana"/>
          <w:sz w:val="20"/>
          <w:szCs w:val="20"/>
          <w:lang w:val="es-ES" w:bidi="en-US"/>
        </w:rPr>
      </w:pPr>
    </w:p>
    <w:p w14:paraId="6E0A646B" w14:textId="0C987E0C" w:rsidR="001407F1" w:rsidRPr="00E0440B" w:rsidRDefault="001407F1"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 xml:space="preserve">Con relación a la segunda recomendación se acordó solicitar a la Policía Nacional </w:t>
      </w:r>
      <w:r w:rsidR="0002024B" w:rsidRPr="00E0440B">
        <w:rPr>
          <w:rFonts w:asciiTheme="majorHAnsi" w:hAnsiTheme="majorHAnsi" w:cs="Verdana"/>
          <w:sz w:val="20"/>
          <w:szCs w:val="20"/>
          <w:lang w:val="es-ES" w:bidi="en-US"/>
        </w:rPr>
        <w:t xml:space="preserve">de Valledupar, Bogotá y Villavicencio </w:t>
      </w:r>
      <w:r w:rsidRPr="00E0440B">
        <w:rPr>
          <w:rFonts w:asciiTheme="majorHAnsi" w:hAnsiTheme="majorHAnsi" w:cs="Verdana"/>
          <w:sz w:val="20"/>
          <w:szCs w:val="20"/>
          <w:lang w:val="es-ES" w:bidi="en-US"/>
        </w:rPr>
        <w:t>que realice rondas esporádicas durante el tiempo que el señor Morales Díaz permanezca en Colombia.</w:t>
      </w:r>
    </w:p>
    <w:p w14:paraId="5A5A5EB8" w14:textId="77777777" w:rsidR="001407F1" w:rsidRPr="00E0440B" w:rsidRDefault="001407F1" w:rsidP="001407F1">
      <w:pPr>
        <w:pStyle w:val="ListParagraph"/>
        <w:rPr>
          <w:rFonts w:asciiTheme="majorHAnsi" w:hAnsiTheme="majorHAnsi" w:cs="Verdana"/>
          <w:sz w:val="20"/>
          <w:szCs w:val="20"/>
          <w:lang w:val="es-ES" w:bidi="en-US"/>
        </w:rPr>
      </w:pPr>
    </w:p>
    <w:p w14:paraId="1E310A07" w14:textId="42CD5299" w:rsidR="001407F1" w:rsidRPr="00E0440B" w:rsidRDefault="001407F1"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Con relación a la tercera recomendación,</w:t>
      </w:r>
      <w:r w:rsidR="008635D9" w:rsidRPr="00E0440B">
        <w:rPr>
          <w:rFonts w:asciiTheme="majorHAnsi" w:hAnsiTheme="majorHAnsi" w:cs="Verdana"/>
          <w:sz w:val="20"/>
          <w:szCs w:val="20"/>
          <w:lang w:val="es-ES" w:bidi="en-US"/>
        </w:rPr>
        <w:t xml:space="preserve"> </w:t>
      </w:r>
      <w:r w:rsidRPr="00E0440B">
        <w:rPr>
          <w:rFonts w:asciiTheme="majorHAnsi" w:hAnsiTheme="majorHAnsi" w:cs="Verdana"/>
          <w:sz w:val="20"/>
          <w:szCs w:val="20"/>
          <w:lang w:val="es-ES" w:bidi="en-US"/>
        </w:rPr>
        <w:t>el Estado</w:t>
      </w:r>
      <w:r w:rsidR="00A82026" w:rsidRPr="00E0440B">
        <w:rPr>
          <w:rFonts w:asciiTheme="majorHAnsi" w:hAnsiTheme="majorHAnsi" w:cs="Verdana"/>
          <w:sz w:val="20"/>
          <w:szCs w:val="20"/>
          <w:lang w:val="es-ES" w:bidi="en-US"/>
        </w:rPr>
        <w:t xml:space="preserve"> informó que ofició a la Fiscalía General de la Nación </w:t>
      </w:r>
      <w:r w:rsidR="00D330C8" w:rsidRPr="00E0440B">
        <w:rPr>
          <w:rFonts w:asciiTheme="majorHAnsi" w:hAnsiTheme="majorHAnsi" w:cs="Verdana"/>
          <w:sz w:val="20"/>
          <w:szCs w:val="20"/>
          <w:lang w:val="es-ES" w:bidi="en-US"/>
        </w:rPr>
        <w:t xml:space="preserve">para </w:t>
      </w:r>
      <w:r w:rsidR="002C2966" w:rsidRPr="00E0440B">
        <w:rPr>
          <w:rFonts w:asciiTheme="majorHAnsi" w:hAnsiTheme="majorHAnsi" w:cs="Verdana"/>
          <w:sz w:val="20"/>
          <w:szCs w:val="20"/>
          <w:lang w:val="es-ES" w:bidi="en-US"/>
        </w:rPr>
        <w:t xml:space="preserve">el análisis de </w:t>
      </w:r>
      <w:r w:rsidR="00D330C8" w:rsidRPr="00E0440B">
        <w:rPr>
          <w:rFonts w:asciiTheme="majorHAnsi" w:hAnsiTheme="majorHAnsi" w:cs="Verdana"/>
          <w:sz w:val="20"/>
          <w:szCs w:val="20"/>
          <w:lang w:val="es-ES" w:bidi="en-US"/>
        </w:rPr>
        <w:t>su cumplimiento</w:t>
      </w:r>
      <w:r w:rsidR="00545531" w:rsidRPr="00E0440B">
        <w:rPr>
          <w:rFonts w:asciiTheme="majorHAnsi" w:hAnsiTheme="majorHAnsi" w:cs="Verdana"/>
          <w:sz w:val="20"/>
          <w:szCs w:val="20"/>
          <w:lang w:val="es-ES" w:bidi="en-US"/>
        </w:rPr>
        <w:t>;</w:t>
      </w:r>
      <w:r w:rsidR="006C63D0" w:rsidRPr="00E0440B">
        <w:rPr>
          <w:rFonts w:asciiTheme="majorHAnsi" w:hAnsiTheme="majorHAnsi" w:cs="Verdana"/>
          <w:sz w:val="20"/>
          <w:szCs w:val="20"/>
          <w:lang w:val="es-ES" w:bidi="en-US"/>
        </w:rPr>
        <w:t xml:space="preserve"> la cual</w:t>
      </w:r>
      <w:r w:rsidR="00545531" w:rsidRPr="00E0440B">
        <w:rPr>
          <w:rFonts w:asciiTheme="majorHAnsi" w:hAnsiTheme="majorHAnsi" w:cs="Verdana"/>
          <w:sz w:val="20"/>
          <w:szCs w:val="20"/>
          <w:lang w:val="es-ES" w:bidi="en-US"/>
        </w:rPr>
        <w:t>,</w:t>
      </w:r>
      <w:r w:rsidR="006C63D0" w:rsidRPr="00E0440B">
        <w:rPr>
          <w:rFonts w:asciiTheme="majorHAnsi" w:hAnsiTheme="majorHAnsi" w:cs="Verdana"/>
          <w:sz w:val="20"/>
          <w:szCs w:val="20"/>
          <w:lang w:val="es-ES" w:bidi="en-US"/>
        </w:rPr>
        <w:t xml:space="preserve"> luego de analizar el caso</w:t>
      </w:r>
      <w:r w:rsidR="00545531" w:rsidRPr="00E0440B">
        <w:rPr>
          <w:rFonts w:asciiTheme="majorHAnsi" w:hAnsiTheme="majorHAnsi" w:cs="Verdana"/>
          <w:sz w:val="20"/>
          <w:szCs w:val="20"/>
          <w:lang w:val="es-ES" w:bidi="en-US"/>
        </w:rPr>
        <w:t>,</w:t>
      </w:r>
      <w:r w:rsidR="006C63D0" w:rsidRPr="00E0440B">
        <w:rPr>
          <w:rFonts w:asciiTheme="majorHAnsi" w:hAnsiTheme="majorHAnsi" w:cs="Verdana"/>
          <w:sz w:val="20"/>
          <w:szCs w:val="20"/>
          <w:lang w:val="es-ES" w:bidi="en-US"/>
        </w:rPr>
        <w:t xml:space="preserve"> concluyó que resulta</w:t>
      </w:r>
      <w:r w:rsidR="00545531" w:rsidRPr="00E0440B">
        <w:rPr>
          <w:rFonts w:asciiTheme="majorHAnsi" w:hAnsiTheme="majorHAnsi" w:cs="Verdana"/>
          <w:sz w:val="20"/>
          <w:szCs w:val="20"/>
          <w:lang w:val="es-ES" w:bidi="en-US"/>
        </w:rPr>
        <w:t>ba</w:t>
      </w:r>
      <w:r w:rsidR="006C63D0" w:rsidRPr="00E0440B">
        <w:rPr>
          <w:rFonts w:asciiTheme="majorHAnsi" w:hAnsiTheme="majorHAnsi" w:cs="Verdana"/>
          <w:sz w:val="20"/>
          <w:szCs w:val="20"/>
          <w:lang w:val="es-ES" w:bidi="en-US"/>
        </w:rPr>
        <w:t xml:space="preserve"> improcedente </w:t>
      </w:r>
      <w:r w:rsidR="0033112D" w:rsidRPr="00E0440B">
        <w:rPr>
          <w:rFonts w:asciiTheme="majorHAnsi" w:hAnsiTheme="majorHAnsi" w:cs="Verdana"/>
          <w:sz w:val="20"/>
          <w:szCs w:val="20"/>
          <w:lang w:val="es-ES" w:bidi="en-US"/>
        </w:rPr>
        <w:t xml:space="preserve">cualquier tipo de sugerencia investigativa ya que no </w:t>
      </w:r>
      <w:r w:rsidR="00094E0C" w:rsidRPr="00E0440B">
        <w:rPr>
          <w:rFonts w:asciiTheme="majorHAnsi" w:hAnsiTheme="majorHAnsi" w:cs="Verdana"/>
          <w:sz w:val="20"/>
          <w:szCs w:val="20"/>
          <w:lang w:val="es-ES" w:bidi="en-US"/>
        </w:rPr>
        <w:t xml:space="preserve">tendría </w:t>
      </w:r>
      <w:r w:rsidRPr="00E0440B">
        <w:rPr>
          <w:rFonts w:asciiTheme="majorHAnsi" w:hAnsiTheme="majorHAnsi" w:cs="Verdana"/>
          <w:sz w:val="20"/>
          <w:szCs w:val="20"/>
          <w:lang w:val="es-ES" w:bidi="en-US"/>
        </w:rPr>
        <w:t xml:space="preserve">viabilidad criminalística </w:t>
      </w:r>
      <w:r w:rsidR="001B003A" w:rsidRPr="00E0440B">
        <w:rPr>
          <w:rFonts w:asciiTheme="majorHAnsi" w:hAnsiTheme="majorHAnsi" w:cs="Verdana"/>
          <w:sz w:val="20"/>
          <w:szCs w:val="20"/>
          <w:lang w:val="es-ES" w:bidi="en-US"/>
        </w:rPr>
        <w:t>por e</w:t>
      </w:r>
      <w:r w:rsidRPr="00E0440B">
        <w:rPr>
          <w:rFonts w:asciiTheme="majorHAnsi" w:hAnsiTheme="majorHAnsi" w:cs="Verdana"/>
          <w:sz w:val="20"/>
          <w:szCs w:val="20"/>
          <w:lang w:val="es-ES" w:bidi="en-US"/>
        </w:rPr>
        <w:t xml:space="preserve">l </w:t>
      </w:r>
      <w:r w:rsidRPr="00E0440B">
        <w:rPr>
          <w:rFonts w:asciiTheme="majorHAnsi" w:hAnsiTheme="majorHAnsi" w:cs="Verdana"/>
          <w:sz w:val="20"/>
          <w:szCs w:val="20"/>
          <w:lang w:val="es-ES" w:bidi="en-US"/>
        </w:rPr>
        <w:lastRenderedPageBreak/>
        <w:t>tiempo</w:t>
      </w:r>
      <w:r w:rsidR="00F70692" w:rsidRPr="00E0440B">
        <w:rPr>
          <w:rFonts w:asciiTheme="majorHAnsi" w:hAnsiTheme="majorHAnsi" w:cs="Verdana"/>
          <w:sz w:val="20"/>
          <w:szCs w:val="20"/>
          <w:lang w:val="es-ES" w:bidi="en-US"/>
        </w:rPr>
        <w:t xml:space="preserve"> transcurrido</w:t>
      </w:r>
      <w:r w:rsidR="00E21134" w:rsidRPr="00E0440B">
        <w:rPr>
          <w:rFonts w:asciiTheme="majorHAnsi" w:hAnsiTheme="majorHAnsi" w:cs="Verdana"/>
          <w:sz w:val="20"/>
          <w:szCs w:val="20"/>
          <w:lang w:val="es-ES" w:bidi="en-US"/>
        </w:rPr>
        <w:t>. En vista de esto</w:t>
      </w:r>
      <w:r w:rsidR="00F70692" w:rsidRPr="00E0440B">
        <w:rPr>
          <w:rFonts w:asciiTheme="majorHAnsi" w:hAnsiTheme="majorHAnsi" w:cs="Verdana"/>
          <w:sz w:val="20"/>
          <w:szCs w:val="20"/>
          <w:lang w:val="es-ES" w:bidi="en-US"/>
        </w:rPr>
        <w:t xml:space="preserve"> </w:t>
      </w:r>
      <w:r w:rsidRPr="00E0440B">
        <w:rPr>
          <w:rFonts w:asciiTheme="majorHAnsi" w:hAnsiTheme="majorHAnsi" w:cs="Verdana"/>
          <w:sz w:val="20"/>
          <w:szCs w:val="20"/>
          <w:lang w:val="es-ES" w:bidi="en-US"/>
        </w:rPr>
        <w:t xml:space="preserve">y que el señor Morales Díaz no estaba interesado en </w:t>
      </w:r>
      <w:r w:rsidR="001B003A" w:rsidRPr="00E0440B">
        <w:rPr>
          <w:rFonts w:asciiTheme="majorHAnsi" w:hAnsiTheme="majorHAnsi" w:cs="Verdana"/>
          <w:sz w:val="20"/>
          <w:szCs w:val="20"/>
          <w:lang w:val="es-ES" w:bidi="en-US"/>
        </w:rPr>
        <w:t>su</w:t>
      </w:r>
      <w:r w:rsidRPr="00E0440B">
        <w:rPr>
          <w:rFonts w:asciiTheme="majorHAnsi" w:hAnsiTheme="majorHAnsi" w:cs="Verdana"/>
          <w:sz w:val="20"/>
          <w:szCs w:val="20"/>
          <w:lang w:val="es-ES" w:bidi="en-US"/>
        </w:rPr>
        <w:t xml:space="preserve"> reapertura</w:t>
      </w:r>
      <w:r w:rsidR="00125FA8" w:rsidRPr="00E0440B">
        <w:rPr>
          <w:rFonts w:asciiTheme="majorHAnsi" w:hAnsiTheme="majorHAnsi" w:cs="Verdana"/>
          <w:sz w:val="20"/>
          <w:szCs w:val="20"/>
          <w:lang w:val="es-ES" w:bidi="en-US"/>
        </w:rPr>
        <w:t xml:space="preserve">, </w:t>
      </w:r>
      <w:r w:rsidR="009563AD" w:rsidRPr="00E0440B">
        <w:rPr>
          <w:rFonts w:asciiTheme="majorHAnsi" w:hAnsiTheme="majorHAnsi" w:cs="Verdana"/>
          <w:sz w:val="20"/>
          <w:szCs w:val="20"/>
          <w:lang w:val="es-ES" w:bidi="en-US"/>
        </w:rPr>
        <w:t>en atención a que los delitos podrían estar prescritos, las partes solicitaron a la CIDH que declare esta recomendación como cumplida</w:t>
      </w:r>
      <w:r w:rsidRPr="00E0440B">
        <w:rPr>
          <w:rFonts w:asciiTheme="majorHAnsi" w:hAnsiTheme="majorHAnsi" w:cs="Verdana"/>
          <w:sz w:val="20"/>
          <w:szCs w:val="20"/>
          <w:lang w:val="es-ES" w:bidi="en-US"/>
        </w:rPr>
        <w:t>.</w:t>
      </w:r>
    </w:p>
    <w:p w14:paraId="301E636C" w14:textId="77777777" w:rsidR="001B003A" w:rsidRPr="00E0440B" w:rsidRDefault="001B003A" w:rsidP="001B003A">
      <w:pPr>
        <w:pStyle w:val="ListParagraph"/>
        <w:rPr>
          <w:rFonts w:asciiTheme="majorHAnsi" w:hAnsiTheme="majorHAnsi" w:cs="Verdana"/>
          <w:sz w:val="20"/>
          <w:szCs w:val="20"/>
          <w:lang w:val="es-ES" w:bidi="en-US"/>
        </w:rPr>
      </w:pPr>
    </w:p>
    <w:p w14:paraId="69066AE4" w14:textId="29B5A820" w:rsidR="001B003A" w:rsidRPr="00E0440B" w:rsidRDefault="001B003A" w:rsidP="00404A0F">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 xml:space="preserve">Con relación a la cuarta recomendación el Estado </w:t>
      </w:r>
      <w:r w:rsidR="00960B31" w:rsidRPr="00E0440B">
        <w:rPr>
          <w:rFonts w:asciiTheme="majorHAnsi" w:hAnsiTheme="majorHAnsi" w:cs="Verdana"/>
          <w:sz w:val="20"/>
          <w:szCs w:val="20"/>
          <w:lang w:val="es-ES" w:bidi="en-US"/>
        </w:rPr>
        <w:t xml:space="preserve">se comprometió a oficiar </w:t>
      </w:r>
      <w:r w:rsidRPr="00E0440B">
        <w:rPr>
          <w:rFonts w:asciiTheme="majorHAnsi" w:hAnsiTheme="majorHAnsi" w:cs="Verdana"/>
          <w:sz w:val="20"/>
          <w:szCs w:val="20"/>
          <w:lang w:val="es-ES" w:bidi="en-US"/>
        </w:rPr>
        <w:t xml:space="preserve">a la Procuraduría General de la Nación a fin de que determine </w:t>
      </w:r>
      <w:r w:rsidR="00B0298B" w:rsidRPr="00E0440B">
        <w:rPr>
          <w:rFonts w:asciiTheme="majorHAnsi" w:hAnsiTheme="majorHAnsi" w:cs="Verdana"/>
          <w:sz w:val="20"/>
          <w:szCs w:val="20"/>
          <w:lang w:val="es-ES" w:bidi="en-US"/>
        </w:rPr>
        <w:t xml:space="preserve">la viabilidad de iniciar </w:t>
      </w:r>
      <w:r w:rsidR="00825D71" w:rsidRPr="00E0440B">
        <w:rPr>
          <w:rFonts w:asciiTheme="majorHAnsi" w:hAnsiTheme="majorHAnsi" w:cs="Verdana"/>
          <w:sz w:val="20"/>
          <w:szCs w:val="20"/>
          <w:lang w:val="es-ES" w:bidi="en-US"/>
        </w:rPr>
        <w:t>acciones disciplinarias.</w:t>
      </w:r>
    </w:p>
    <w:p w14:paraId="368B4AEE" w14:textId="77777777" w:rsidR="00825D71" w:rsidRPr="00E0440B" w:rsidRDefault="00825D71" w:rsidP="00825D71">
      <w:pPr>
        <w:jc w:val="both"/>
        <w:rPr>
          <w:rFonts w:asciiTheme="majorHAnsi" w:hAnsiTheme="majorHAnsi" w:cs="Verdana"/>
          <w:sz w:val="20"/>
          <w:szCs w:val="20"/>
          <w:lang w:val="es-ES" w:bidi="en-US"/>
        </w:rPr>
      </w:pPr>
    </w:p>
    <w:p w14:paraId="2AFF108E" w14:textId="59E69C22" w:rsidR="001B003A" w:rsidRPr="00E0440B" w:rsidRDefault="001B003A" w:rsidP="001B003A">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Con relación a la quinta recomendación el Estado indicó que cuenta con un marco en materia de protección ante situaciones de riesgo</w:t>
      </w:r>
      <w:r w:rsidR="00EC11A2" w:rsidRPr="00E0440B">
        <w:rPr>
          <w:rFonts w:asciiTheme="majorHAnsi" w:hAnsiTheme="majorHAnsi" w:cs="Verdana"/>
          <w:sz w:val="20"/>
          <w:szCs w:val="20"/>
          <w:lang w:val="es-ES" w:bidi="en-US"/>
        </w:rPr>
        <w:t>,</w:t>
      </w:r>
      <w:r w:rsidRPr="00E0440B">
        <w:rPr>
          <w:rFonts w:asciiTheme="majorHAnsi" w:hAnsiTheme="majorHAnsi" w:cs="Verdana"/>
          <w:sz w:val="20"/>
          <w:szCs w:val="20"/>
          <w:lang w:val="es-ES" w:bidi="en-US"/>
        </w:rPr>
        <w:t xml:space="preserve"> que funciona de manera coordinada y ordenada, compatible con la recomendación en materia de garantías de no repetición</w:t>
      </w:r>
      <w:r w:rsidR="00EC11A2" w:rsidRPr="00E0440B">
        <w:rPr>
          <w:rFonts w:asciiTheme="majorHAnsi" w:hAnsiTheme="majorHAnsi" w:cs="Verdana"/>
          <w:sz w:val="20"/>
          <w:szCs w:val="20"/>
          <w:lang w:val="es-ES" w:bidi="en-US"/>
        </w:rPr>
        <w:t>;</w:t>
      </w:r>
      <w:r w:rsidRPr="00E0440B">
        <w:rPr>
          <w:rFonts w:asciiTheme="majorHAnsi" w:hAnsiTheme="majorHAnsi" w:cs="Verdana"/>
          <w:sz w:val="20"/>
          <w:szCs w:val="20"/>
          <w:lang w:val="es-ES" w:bidi="en-US"/>
        </w:rPr>
        <w:t xml:space="preserve"> por lo que </w:t>
      </w:r>
      <w:r w:rsidR="00DB2C81" w:rsidRPr="00E0440B">
        <w:rPr>
          <w:rFonts w:asciiTheme="majorHAnsi" w:hAnsiTheme="majorHAnsi" w:cs="Verdana"/>
          <w:sz w:val="20"/>
          <w:szCs w:val="20"/>
          <w:lang w:val="es-ES" w:bidi="en-US"/>
        </w:rPr>
        <w:t xml:space="preserve">considera que </w:t>
      </w:r>
      <w:r w:rsidRPr="00E0440B">
        <w:rPr>
          <w:rFonts w:asciiTheme="majorHAnsi" w:hAnsiTheme="majorHAnsi" w:cs="Verdana"/>
          <w:sz w:val="20"/>
          <w:szCs w:val="20"/>
          <w:lang w:val="es-ES" w:bidi="en-US"/>
        </w:rPr>
        <w:t>no hay necesidad de adoptar medidas adicionales.</w:t>
      </w:r>
      <w:r w:rsidR="00603D4D" w:rsidRPr="00E0440B">
        <w:rPr>
          <w:rFonts w:asciiTheme="majorHAnsi" w:hAnsiTheme="majorHAnsi" w:cs="Verdana"/>
          <w:sz w:val="20"/>
          <w:szCs w:val="20"/>
          <w:lang w:val="es-ES" w:bidi="en-US"/>
        </w:rPr>
        <w:t xml:space="preserve"> E</w:t>
      </w:r>
      <w:r w:rsidR="00803AC3" w:rsidRPr="00E0440B">
        <w:rPr>
          <w:rFonts w:asciiTheme="majorHAnsi" w:hAnsiTheme="majorHAnsi" w:cs="Verdana"/>
          <w:sz w:val="20"/>
          <w:szCs w:val="20"/>
          <w:lang w:val="es-ES" w:bidi="en-US"/>
        </w:rPr>
        <w:t>n su nota de 12 de octubre de 2018</w:t>
      </w:r>
      <w:r w:rsidR="00EC11A2" w:rsidRPr="00E0440B">
        <w:rPr>
          <w:rFonts w:asciiTheme="majorHAnsi" w:hAnsiTheme="majorHAnsi" w:cs="Verdana"/>
          <w:sz w:val="20"/>
          <w:szCs w:val="20"/>
          <w:lang w:val="es-ES" w:bidi="en-US"/>
        </w:rPr>
        <w:t>,</w:t>
      </w:r>
      <w:r w:rsidR="00803AC3" w:rsidRPr="00E0440B">
        <w:rPr>
          <w:rFonts w:asciiTheme="majorHAnsi" w:hAnsiTheme="majorHAnsi" w:cs="Verdana"/>
          <w:sz w:val="20"/>
          <w:szCs w:val="20"/>
          <w:lang w:val="es-ES" w:bidi="en-US"/>
        </w:rPr>
        <w:t xml:space="preserve"> el</w:t>
      </w:r>
      <w:r w:rsidR="00603D4D" w:rsidRPr="00E0440B">
        <w:rPr>
          <w:rFonts w:asciiTheme="majorHAnsi" w:hAnsiTheme="majorHAnsi" w:cs="Verdana"/>
          <w:sz w:val="20"/>
          <w:szCs w:val="20"/>
          <w:lang w:val="es-ES" w:bidi="en-US"/>
        </w:rPr>
        <w:t xml:space="preserve"> E</w:t>
      </w:r>
      <w:r w:rsidR="004D132C" w:rsidRPr="00E0440B">
        <w:rPr>
          <w:rFonts w:asciiTheme="majorHAnsi" w:hAnsiTheme="majorHAnsi" w:cs="Verdana"/>
          <w:sz w:val="20"/>
          <w:szCs w:val="20"/>
          <w:lang w:val="es-ES" w:bidi="en-US"/>
        </w:rPr>
        <w:t>sta</w:t>
      </w:r>
      <w:r w:rsidR="00603D4D" w:rsidRPr="00E0440B">
        <w:rPr>
          <w:rFonts w:asciiTheme="majorHAnsi" w:hAnsiTheme="majorHAnsi" w:cs="Verdana"/>
          <w:sz w:val="20"/>
          <w:szCs w:val="20"/>
          <w:lang w:val="es-ES" w:bidi="en-US"/>
        </w:rPr>
        <w:t>do detalló</w:t>
      </w:r>
      <w:r w:rsidR="004D132C" w:rsidRPr="00E0440B">
        <w:rPr>
          <w:rFonts w:asciiTheme="majorHAnsi" w:hAnsiTheme="majorHAnsi" w:cs="Verdana"/>
          <w:sz w:val="20"/>
          <w:szCs w:val="20"/>
          <w:lang w:val="es-ES" w:bidi="en-US"/>
        </w:rPr>
        <w:t xml:space="preserve"> información sobre su m</w:t>
      </w:r>
      <w:r w:rsidR="00603D4D" w:rsidRPr="00E0440B">
        <w:rPr>
          <w:rFonts w:asciiTheme="majorHAnsi" w:hAnsiTheme="majorHAnsi" w:cs="Verdana"/>
          <w:sz w:val="20"/>
          <w:szCs w:val="20"/>
          <w:lang w:val="es-ES" w:bidi="en-US"/>
        </w:rPr>
        <w:t xml:space="preserve">arco jurídico en materia de protección; </w:t>
      </w:r>
      <w:r w:rsidR="004D132C" w:rsidRPr="00E0440B">
        <w:rPr>
          <w:rFonts w:asciiTheme="majorHAnsi" w:hAnsiTheme="majorHAnsi" w:cs="Verdana"/>
          <w:sz w:val="20"/>
          <w:szCs w:val="20"/>
          <w:lang w:val="es-ES" w:bidi="en-US"/>
        </w:rPr>
        <w:t xml:space="preserve">el </w:t>
      </w:r>
      <w:r w:rsidR="00603D4D" w:rsidRPr="00E0440B">
        <w:rPr>
          <w:rFonts w:asciiTheme="majorHAnsi" w:hAnsiTheme="majorHAnsi" w:cs="Verdana"/>
          <w:sz w:val="20"/>
          <w:szCs w:val="20"/>
          <w:lang w:val="es-ES" w:bidi="en-US"/>
        </w:rPr>
        <w:t>Programa de Prevención y Protección de la Unidad Nacional de Protección</w:t>
      </w:r>
      <w:r w:rsidR="00244E92" w:rsidRPr="00E0440B">
        <w:rPr>
          <w:rFonts w:asciiTheme="majorHAnsi" w:hAnsiTheme="majorHAnsi" w:cs="Verdana"/>
          <w:sz w:val="20"/>
          <w:szCs w:val="20"/>
          <w:lang w:val="es-ES" w:bidi="en-US"/>
        </w:rPr>
        <w:t xml:space="preserve"> creada en 2011</w:t>
      </w:r>
      <w:r w:rsidR="00603D4D" w:rsidRPr="00E0440B">
        <w:rPr>
          <w:rFonts w:asciiTheme="majorHAnsi" w:hAnsiTheme="majorHAnsi" w:cs="Verdana"/>
          <w:sz w:val="20"/>
          <w:szCs w:val="20"/>
          <w:lang w:val="es-ES" w:bidi="en-US"/>
        </w:rPr>
        <w:t xml:space="preserve">; </w:t>
      </w:r>
      <w:r w:rsidR="004D132C" w:rsidRPr="00E0440B">
        <w:rPr>
          <w:rFonts w:asciiTheme="majorHAnsi" w:hAnsiTheme="majorHAnsi" w:cs="Verdana"/>
          <w:sz w:val="20"/>
          <w:szCs w:val="20"/>
          <w:lang w:val="es-ES" w:bidi="en-US"/>
        </w:rPr>
        <w:t xml:space="preserve">el </w:t>
      </w:r>
      <w:r w:rsidR="00603D4D" w:rsidRPr="00E0440B">
        <w:rPr>
          <w:rFonts w:asciiTheme="majorHAnsi" w:hAnsiTheme="majorHAnsi" w:cs="Verdana"/>
          <w:sz w:val="20"/>
          <w:szCs w:val="20"/>
          <w:lang w:val="es-ES" w:bidi="en-US"/>
        </w:rPr>
        <w:t>Programa de Protección a Testigos, Víctimas, Intervinientes en el Proceso y Funcionarios de la Fiscalía General de la Nación</w:t>
      </w:r>
      <w:r w:rsidR="004D132C" w:rsidRPr="00E0440B">
        <w:rPr>
          <w:rFonts w:asciiTheme="majorHAnsi" w:hAnsiTheme="majorHAnsi" w:cs="Verdana"/>
          <w:sz w:val="20"/>
          <w:szCs w:val="20"/>
          <w:lang w:val="es-ES" w:bidi="en-US"/>
        </w:rPr>
        <w:t xml:space="preserve"> y las m</w:t>
      </w:r>
      <w:r w:rsidR="00603D4D" w:rsidRPr="00E0440B">
        <w:rPr>
          <w:rFonts w:asciiTheme="majorHAnsi" w:hAnsiTheme="majorHAnsi" w:cs="Verdana"/>
          <w:sz w:val="20"/>
          <w:szCs w:val="20"/>
          <w:lang w:val="es-ES" w:bidi="en-US"/>
        </w:rPr>
        <w:t xml:space="preserve">edidas </w:t>
      </w:r>
      <w:r w:rsidR="004D132C" w:rsidRPr="00E0440B">
        <w:rPr>
          <w:rFonts w:asciiTheme="majorHAnsi" w:hAnsiTheme="majorHAnsi" w:cs="Verdana"/>
          <w:sz w:val="20"/>
          <w:szCs w:val="20"/>
          <w:lang w:val="es-ES" w:bidi="en-US"/>
        </w:rPr>
        <w:t xml:space="preserve">de protección </w:t>
      </w:r>
      <w:r w:rsidR="00603D4D" w:rsidRPr="00E0440B">
        <w:rPr>
          <w:rFonts w:asciiTheme="majorHAnsi" w:hAnsiTheme="majorHAnsi" w:cs="Verdana"/>
          <w:sz w:val="20"/>
          <w:szCs w:val="20"/>
          <w:lang w:val="es-ES" w:bidi="en-US"/>
        </w:rPr>
        <w:t>a cargo de la Policía Nacional.</w:t>
      </w:r>
      <w:r w:rsidR="007465A3" w:rsidRPr="00E0440B">
        <w:rPr>
          <w:rFonts w:asciiTheme="majorHAnsi" w:hAnsiTheme="majorHAnsi" w:cs="Verdana"/>
          <w:sz w:val="20"/>
          <w:szCs w:val="20"/>
          <w:lang w:val="es-ES" w:bidi="en-US"/>
        </w:rPr>
        <w:t xml:space="preserve"> </w:t>
      </w:r>
      <w:r w:rsidR="00F47A06" w:rsidRPr="00E0440B">
        <w:rPr>
          <w:rFonts w:asciiTheme="majorHAnsi" w:hAnsiTheme="majorHAnsi" w:cs="Verdana"/>
          <w:sz w:val="20"/>
          <w:szCs w:val="20"/>
          <w:lang w:val="es-ES" w:bidi="en-US"/>
        </w:rPr>
        <w:t>Las partes</w:t>
      </w:r>
      <w:r w:rsidR="00901330" w:rsidRPr="00E0440B">
        <w:rPr>
          <w:rFonts w:asciiTheme="majorHAnsi" w:hAnsiTheme="majorHAnsi" w:cs="Verdana"/>
          <w:sz w:val="20"/>
          <w:szCs w:val="20"/>
          <w:lang w:val="es-ES" w:bidi="en-US"/>
        </w:rPr>
        <w:t xml:space="preserve"> acord</w:t>
      </w:r>
      <w:r w:rsidR="00F47A06" w:rsidRPr="00E0440B">
        <w:rPr>
          <w:rFonts w:asciiTheme="majorHAnsi" w:hAnsiTheme="majorHAnsi" w:cs="Verdana"/>
          <w:sz w:val="20"/>
          <w:szCs w:val="20"/>
          <w:lang w:val="es-ES" w:bidi="en-US"/>
        </w:rPr>
        <w:t>aron</w:t>
      </w:r>
      <w:r w:rsidR="00901330" w:rsidRPr="00E0440B">
        <w:rPr>
          <w:rFonts w:asciiTheme="majorHAnsi" w:hAnsiTheme="majorHAnsi" w:cs="Verdana"/>
          <w:sz w:val="20"/>
          <w:szCs w:val="20"/>
          <w:lang w:val="es-ES" w:bidi="en-US"/>
        </w:rPr>
        <w:t xml:space="preserve"> que el mecanismo de verificación de cumplimiento </w:t>
      </w:r>
      <w:r w:rsidR="00296F1A" w:rsidRPr="00E0440B">
        <w:rPr>
          <w:rFonts w:asciiTheme="majorHAnsi" w:hAnsiTheme="majorHAnsi" w:cs="Verdana"/>
          <w:sz w:val="20"/>
          <w:szCs w:val="20"/>
          <w:lang w:val="es-ES" w:bidi="en-US"/>
        </w:rPr>
        <w:t xml:space="preserve">de este punto </w:t>
      </w:r>
      <w:r w:rsidR="00901330" w:rsidRPr="00E0440B">
        <w:rPr>
          <w:rFonts w:asciiTheme="majorHAnsi" w:hAnsiTheme="majorHAnsi" w:cs="Verdana"/>
          <w:sz w:val="20"/>
          <w:szCs w:val="20"/>
          <w:lang w:val="es-ES" w:bidi="en-US"/>
        </w:rPr>
        <w:t xml:space="preserve">se </w:t>
      </w:r>
      <w:r w:rsidR="00F95644" w:rsidRPr="00E0440B">
        <w:rPr>
          <w:rFonts w:asciiTheme="majorHAnsi" w:hAnsiTheme="majorHAnsi" w:cs="Verdana"/>
          <w:sz w:val="20"/>
          <w:szCs w:val="20"/>
          <w:lang w:val="es-ES" w:bidi="en-US"/>
        </w:rPr>
        <w:t>realice</w:t>
      </w:r>
      <w:r w:rsidR="00901330" w:rsidRPr="00E0440B">
        <w:rPr>
          <w:rFonts w:asciiTheme="majorHAnsi" w:hAnsiTheme="majorHAnsi" w:cs="Verdana"/>
          <w:sz w:val="20"/>
          <w:szCs w:val="20"/>
          <w:lang w:val="es-ES" w:bidi="en-US"/>
        </w:rPr>
        <w:t xml:space="preserve"> a través de</w:t>
      </w:r>
      <w:r w:rsidR="00F95644" w:rsidRPr="00E0440B">
        <w:rPr>
          <w:rFonts w:asciiTheme="majorHAnsi" w:hAnsiTheme="majorHAnsi" w:cs="Verdana"/>
          <w:sz w:val="20"/>
          <w:szCs w:val="20"/>
          <w:lang w:val="es-ES" w:bidi="en-US"/>
        </w:rPr>
        <w:t xml:space="preserve"> las facultades de la CIDH establecidas en el artículo 51 de la Convención Americana y de los artículos 47 y 48 de su </w:t>
      </w:r>
      <w:r w:rsidR="00A70D5F" w:rsidRPr="00E0440B">
        <w:rPr>
          <w:rFonts w:asciiTheme="majorHAnsi" w:hAnsiTheme="majorHAnsi" w:cs="Verdana"/>
          <w:sz w:val="20"/>
          <w:szCs w:val="20"/>
          <w:lang w:val="es-ES" w:bidi="en-US"/>
        </w:rPr>
        <w:t>R</w:t>
      </w:r>
      <w:r w:rsidR="00F95644" w:rsidRPr="00E0440B">
        <w:rPr>
          <w:rFonts w:asciiTheme="majorHAnsi" w:hAnsiTheme="majorHAnsi" w:cs="Verdana"/>
          <w:sz w:val="20"/>
          <w:szCs w:val="20"/>
          <w:lang w:val="es-ES" w:bidi="en-US"/>
        </w:rPr>
        <w:t>eglamento.</w:t>
      </w:r>
      <w:r w:rsidR="00901330" w:rsidRPr="00E0440B">
        <w:rPr>
          <w:rFonts w:asciiTheme="majorHAnsi" w:hAnsiTheme="majorHAnsi" w:cs="Verdana"/>
          <w:sz w:val="20"/>
          <w:szCs w:val="20"/>
          <w:lang w:val="es-ES" w:bidi="en-US"/>
        </w:rPr>
        <w:t xml:space="preserve"> </w:t>
      </w:r>
    </w:p>
    <w:p w14:paraId="04F58F32" w14:textId="77777777" w:rsidR="00947203" w:rsidRPr="00E0440B" w:rsidRDefault="00947203" w:rsidP="00947203">
      <w:pPr>
        <w:pStyle w:val="ListParagraph"/>
        <w:rPr>
          <w:rFonts w:asciiTheme="majorHAnsi" w:hAnsiTheme="majorHAnsi" w:cs="Verdana"/>
          <w:sz w:val="20"/>
          <w:szCs w:val="20"/>
          <w:lang w:val="es-ES" w:bidi="en-US"/>
        </w:rPr>
      </w:pPr>
    </w:p>
    <w:p w14:paraId="31D5E9F2" w14:textId="5FDB596F" w:rsidR="001B003A" w:rsidRPr="00E0440B" w:rsidRDefault="00947203" w:rsidP="005F2782">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 xml:space="preserve">Tras evaluar </w:t>
      </w:r>
      <w:r w:rsidR="001B003A" w:rsidRPr="00E0440B">
        <w:rPr>
          <w:rFonts w:asciiTheme="majorHAnsi" w:hAnsiTheme="majorHAnsi" w:cs="Verdana"/>
          <w:sz w:val="20"/>
          <w:szCs w:val="20"/>
          <w:lang w:val="es-ES" w:bidi="en-US"/>
        </w:rPr>
        <w:t>esta</w:t>
      </w:r>
      <w:r w:rsidRPr="00E0440B">
        <w:rPr>
          <w:rFonts w:asciiTheme="majorHAnsi" w:hAnsiTheme="majorHAnsi" w:cs="Verdana"/>
          <w:sz w:val="20"/>
          <w:szCs w:val="20"/>
          <w:lang w:val="es-ES" w:bidi="en-US"/>
        </w:rPr>
        <w:t xml:space="preserve"> información</w:t>
      </w:r>
      <w:r w:rsidR="00793181" w:rsidRPr="00E0440B">
        <w:rPr>
          <w:rFonts w:asciiTheme="majorHAnsi" w:hAnsiTheme="majorHAnsi" w:cs="Verdana"/>
          <w:sz w:val="20"/>
          <w:szCs w:val="20"/>
          <w:lang w:val="es-ES" w:bidi="en-US"/>
        </w:rPr>
        <w:t>,</w:t>
      </w:r>
      <w:r w:rsidR="001B003A" w:rsidRPr="00E0440B">
        <w:rPr>
          <w:rFonts w:asciiTheme="majorHAnsi" w:hAnsiTheme="majorHAnsi" w:cs="Verdana"/>
          <w:sz w:val="20"/>
          <w:szCs w:val="20"/>
          <w:lang w:val="es-ES" w:bidi="en-US"/>
        </w:rPr>
        <w:t xml:space="preserve"> y considerar la solicitud de la víctima de proceder a la publicación del Informe de Fondo,</w:t>
      </w:r>
      <w:r w:rsidRPr="00E0440B">
        <w:rPr>
          <w:rFonts w:asciiTheme="majorHAnsi" w:hAnsiTheme="majorHAnsi" w:cs="Verdana"/>
          <w:sz w:val="20"/>
          <w:szCs w:val="20"/>
          <w:lang w:val="es-ES" w:bidi="en-US"/>
        </w:rPr>
        <w:t xml:space="preserve"> </w:t>
      </w:r>
      <w:r w:rsidR="001420A0" w:rsidRPr="00E0440B">
        <w:rPr>
          <w:rFonts w:asciiTheme="majorHAnsi" w:hAnsiTheme="majorHAnsi" w:cs="Verdana"/>
          <w:sz w:val="20"/>
          <w:szCs w:val="20"/>
          <w:lang w:val="es-ES" w:bidi="en-US"/>
        </w:rPr>
        <w:t xml:space="preserve">el 6 de agosto de 2019 </w:t>
      </w:r>
      <w:r w:rsidRPr="00E0440B">
        <w:rPr>
          <w:rFonts w:asciiTheme="majorHAnsi" w:hAnsiTheme="majorHAnsi" w:cs="Verdana"/>
          <w:sz w:val="20"/>
          <w:szCs w:val="20"/>
          <w:lang w:val="es-ES" w:bidi="en-US"/>
        </w:rPr>
        <w:t>la Comisión decidió</w:t>
      </w:r>
      <w:r w:rsidR="00077631" w:rsidRPr="00E0440B">
        <w:rPr>
          <w:rFonts w:asciiTheme="majorHAnsi" w:hAnsiTheme="majorHAnsi" w:cs="Verdana"/>
          <w:sz w:val="20"/>
          <w:szCs w:val="20"/>
          <w:lang w:val="es-ES" w:bidi="en-US"/>
        </w:rPr>
        <w:t>,</w:t>
      </w:r>
      <w:r w:rsidRPr="00E0440B">
        <w:rPr>
          <w:rFonts w:asciiTheme="majorHAnsi" w:hAnsiTheme="majorHAnsi" w:cs="Verdana"/>
          <w:sz w:val="20"/>
          <w:szCs w:val="20"/>
          <w:lang w:val="es-ES" w:bidi="en-US"/>
        </w:rPr>
        <w:t xml:space="preserve"> por mayoría absoluta</w:t>
      </w:r>
      <w:r w:rsidR="001420A0" w:rsidRPr="00E0440B">
        <w:rPr>
          <w:rFonts w:asciiTheme="majorHAnsi" w:hAnsiTheme="majorHAnsi" w:cs="Verdana"/>
          <w:sz w:val="20"/>
          <w:szCs w:val="20"/>
          <w:lang w:val="es-ES" w:bidi="en-US"/>
        </w:rPr>
        <w:t>,</w:t>
      </w:r>
      <w:r w:rsidRPr="00E0440B">
        <w:rPr>
          <w:rFonts w:asciiTheme="majorHAnsi" w:hAnsiTheme="majorHAnsi" w:cs="Verdana"/>
          <w:sz w:val="20"/>
          <w:szCs w:val="20"/>
          <w:lang w:val="es-ES" w:bidi="en-US"/>
        </w:rPr>
        <w:t xml:space="preserve"> no enviar el caso a la Corte Interamericana y proceder hacia la publicación del </w:t>
      </w:r>
      <w:r w:rsidR="001420A0" w:rsidRPr="00E0440B">
        <w:rPr>
          <w:rFonts w:asciiTheme="majorHAnsi" w:hAnsiTheme="majorHAnsi" w:cs="Verdana"/>
          <w:sz w:val="20"/>
          <w:szCs w:val="20"/>
          <w:lang w:val="es-ES" w:bidi="en-US"/>
        </w:rPr>
        <w:t>I</w:t>
      </w:r>
      <w:r w:rsidRPr="00E0440B">
        <w:rPr>
          <w:rFonts w:asciiTheme="majorHAnsi" w:hAnsiTheme="majorHAnsi" w:cs="Verdana"/>
          <w:sz w:val="20"/>
          <w:szCs w:val="20"/>
          <w:lang w:val="es-ES" w:bidi="en-US"/>
        </w:rPr>
        <w:t xml:space="preserve">nforme de </w:t>
      </w:r>
      <w:r w:rsidR="001420A0" w:rsidRPr="00E0440B">
        <w:rPr>
          <w:rFonts w:asciiTheme="majorHAnsi" w:hAnsiTheme="majorHAnsi" w:cs="Verdana"/>
          <w:sz w:val="20"/>
          <w:szCs w:val="20"/>
          <w:lang w:val="es-ES" w:bidi="en-US"/>
        </w:rPr>
        <w:t>F</w:t>
      </w:r>
      <w:r w:rsidRPr="00E0440B">
        <w:rPr>
          <w:rFonts w:asciiTheme="majorHAnsi" w:hAnsiTheme="majorHAnsi" w:cs="Verdana"/>
          <w:sz w:val="20"/>
          <w:szCs w:val="20"/>
          <w:lang w:val="es-ES" w:bidi="en-US"/>
        </w:rPr>
        <w:t xml:space="preserve">ondo. </w:t>
      </w:r>
    </w:p>
    <w:p w14:paraId="4B022344" w14:textId="77777777" w:rsidR="00A61B38" w:rsidRPr="00E0440B" w:rsidRDefault="00A61B38" w:rsidP="00440AE9">
      <w:pPr>
        <w:rPr>
          <w:rFonts w:asciiTheme="majorHAnsi" w:hAnsiTheme="majorHAnsi" w:cs="Verdana"/>
          <w:sz w:val="20"/>
          <w:szCs w:val="20"/>
          <w:lang w:val="es-ES" w:bidi="en-US"/>
        </w:rPr>
      </w:pPr>
    </w:p>
    <w:p w14:paraId="02247D8D" w14:textId="016BC9A4" w:rsidR="00440AE9" w:rsidRPr="00E0440B" w:rsidRDefault="004A6A15" w:rsidP="004E7E8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En relación con la</w:t>
      </w:r>
      <w:r w:rsidRPr="00E0440B">
        <w:rPr>
          <w:rFonts w:asciiTheme="majorHAnsi" w:hAnsiTheme="majorHAnsi" w:cs="Verdana"/>
          <w:b/>
          <w:bCs/>
          <w:sz w:val="20"/>
          <w:szCs w:val="20"/>
          <w:lang w:val="es-ES" w:bidi="en-US"/>
        </w:rPr>
        <w:t xml:space="preserve"> primera recomendación</w:t>
      </w:r>
      <w:r w:rsidRPr="00E0440B">
        <w:rPr>
          <w:rFonts w:asciiTheme="majorHAnsi" w:hAnsiTheme="majorHAnsi" w:cs="Verdana"/>
          <w:sz w:val="20"/>
          <w:szCs w:val="20"/>
          <w:lang w:val="es-ES" w:bidi="en-US"/>
        </w:rPr>
        <w:t>, l</w:t>
      </w:r>
      <w:r w:rsidR="008C334E" w:rsidRPr="00E0440B">
        <w:rPr>
          <w:rFonts w:asciiTheme="majorHAnsi" w:hAnsiTheme="majorHAnsi" w:cs="Verdana"/>
          <w:sz w:val="20"/>
          <w:szCs w:val="20"/>
          <w:lang w:val="es-ES" w:bidi="en-US"/>
        </w:rPr>
        <w:t>a</w:t>
      </w:r>
      <w:r w:rsidR="004E7E83" w:rsidRPr="00E0440B">
        <w:rPr>
          <w:rFonts w:asciiTheme="majorHAnsi" w:hAnsiTheme="majorHAnsi" w:cs="Verdana"/>
          <w:sz w:val="20"/>
          <w:szCs w:val="20"/>
          <w:lang w:val="es-ES" w:bidi="en-US"/>
        </w:rPr>
        <w:t xml:space="preserve"> Comisión nota que</w:t>
      </w:r>
      <w:r w:rsidR="00440AE9" w:rsidRPr="00E0440B">
        <w:rPr>
          <w:rFonts w:asciiTheme="majorHAnsi" w:hAnsiTheme="majorHAnsi" w:cs="Verdana"/>
          <w:sz w:val="20"/>
          <w:szCs w:val="20"/>
          <w:lang w:val="es-ES" w:bidi="en-US"/>
        </w:rPr>
        <w:t xml:space="preserve"> el 8 de julio de 2019 se llevó a cabo el acto privado de reconocimiento de responsabilidad y solicitud de perdón en el auditorio principal de la Agencia Nacional de Defensa Jurídica del Estado (ANDJE). Al respecto, el señor Morales Díaz indicó que el pergamino de disculpas que le fue entregado en dicho acto contenía errores ortográficos, carecía de fecha y firma, por lo que no cumpl</w:t>
      </w:r>
      <w:r w:rsidR="00793181" w:rsidRPr="00E0440B">
        <w:rPr>
          <w:rFonts w:asciiTheme="majorHAnsi" w:hAnsiTheme="majorHAnsi" w:cs="Verdana"/>
          <w:sz w:val="20"/>
          <w:szCs w:val="20"/>
          <w:lang w:val="es-ES" w:bidi="en-US"/>
        </w:rPr>
        <w:t>ía</w:t>
      </w:r>
      <w:r w:rsidR="00440AE9" w:rsidRPr="00E0440B">
        <w:rPr>
          <w:rFonts w:asciiTheme="majorHAnsi" w:hAnsiTheme="majorHAnsi" w:cs="Verdana"/>
          <w:sz w:val="20"/>
          <w:szCs w:val="20"/>
          <w:lang w:val="es-ES" w:bidi="en-US"/>
        </w:rPr>
        <w:t xml:space="preserve"> su cometido. </w:t>
      </w:r>
      <w:r w:rsidR="007B3FC3" w:rsidRPr="00E0440B">
        <w:rPr>
          <w:rFonts w:asciiTheme="majorHAnsi" w:hAnsiTheme="majorHAnsi" w:cs="Verdana"/>
          <w:sz w:val="20"/>
          <w:szCs w:val="20"/>
          <w:lang w:val="es-ES" w:bidi="en-US"/>
        </w:rPr>
        <w:t xml:space="preserve">Refirió </w:t>
      </w:r>
      <w:r w:rsidR="00440AE9" w:rsidRPr="00E0440B">
        <w:rPr>
          <w:rFonts w:asciiTheme="majorHAnsi" w:hAnsiTheme="majorHAnsi" w:cs="Verdana"/>
          <w:sz w:val="20"/>
          <w:szCs w:val="20"/>
          <w:lang w:val="es-ES" w:bidi="en-US"/>
        </w:rPr>
        <w:t>que él tuvo que costear su traslado y el de su familia a Colombia para participar en el citado acto.</w:t>
      </w:r>
    </w:p>
    <w:p w14:paraId="4CF142DE" w14:textId="77777777" w:rsidR="00440AE9" w:rsidRPr="00E0440B" w:rsidRDefault="00440AE9" w:rsidP="00440AE9">
      <w:pPr>
        <w:pStyle w:val="ListParagraph"/>
        <w:rPr>
          <w:rFonts w:asciiTheme="majorHAnsi" w:hAnsiTheme="majorHAnsi" w:cs="Verdana"/>
          <w:sz w:val="20"/>
          <w:szCs w:val="20"/>
          <w:lang w:val="es-ES" w:bidi="en-US"/>
        </w:rPr>
      </w:pPr>
    </w:p>
    <w:p w14:paraId="1C88E692" w14:textId="273811A0" w:rsidR="00A61B38" w:rsidRPr="00E0440B" w:rsidRDefault="00A602BC" w:rsidP="00947203">
      <w:pPr>
        <w:numPr>
          <w:ilvl w:val="0"/>
          <w:numId w:val="56"/>
        </w:numPr>
        <w:ind w:left="0" w:firstLine="720"/>
        <w:jc w:val="both"/>
        <w:rPr>
          <w:rFonts w:asciiTheme="majorHAnsi" w:hAnsiTheme="majorHAnsi" w:cs="Verdana"/>
          <w:sz w:val="20"/>
          <w:szCs w:val="20"/>
          <w:lang w:val="es-ES" w:bidi="en-US"/>
        </w:rPr>
      </w:pPr>
      <w:r w:rsidRPr="00E0440B">
        <w:rPr>
          <w:rFonts w:asciiTheme="majorHAnsi" w:hAnsiTheme="majorHAnsi" w:cs="Verdana"/>
          <w:sz w:val="20"/>
          <w:szCs w:val="20"/>
          <w:lang w:val="es-ES" w:bidi="en-US"/>
        </w:rPr>
        <w:t>Sobre la reparación pecuniaria</w:t>
      </w:r>
      <w:r w:rsidR="004E7E83" w:rsidRPr="00E0440B">
        <w:rPr>
          <w:rFonts w:asciiTheme="majorHAnsi" w:hAnsiTheme="majorHAnsi" w:cs="Verdana"/>
          <w:sz w:val="20"/>
          <w:szCs w:val="20"/>
          <w:lang w:val="es-ES" w:bidi="en-US"/>
        </w:rPr>
        <w:t xml:space="preserve">, </w:t>
      </w:r>
      <w:r w:rsidRPr="00E0440B">
        <w:rPr>
          <w:rFonts w:asciiTheme="majorHAnsi" w:hAnsiTheme="majorHAnsi" w:cs="Verdana"/>
          <w:sz w:val="20"/>
          <w:szCs w:val="20"/>
          <w:lang w:val="es-ES" w:bidi="en-US"/>
        </w:rPr>
        <w:t xml:space="preserve">la CIDH nota que </w:t>
      </w:r>
      <w:r w:rsidR="006204E5" w:rsidRPr="00E0440B">
        <w:rPr>
          <w:rFonts w:asciiTheme="majorHAnsi" w:hAnsiTheme="majorHAnsi" w:cs="Verdana"/>
          <w:sz w:val="20"/>
          <w:szCs w:val="20"/>
          <w:lang w:val="es-ES" w:bidi="en-US"/>
        </w:rPr>
        <w:t xml:space="preserve">en el marco del procedimiento de la Ley 288 de 1996, el 16 de marzo de 2021, el Estado presentó </w:t>
      </w:r>
      <w:r w:rsidR="008376AE" w:rsidRPr="00E0440B">
        <w:rPr>
          <w:rFonts w:asciiTheme="majorHAnsi" w:hAnsiTheme="majorHAnsi" w:cs="Verdana"/>
          <w:sz w:val="20"/>
          <w:szCs w:val="20"/>
          <w:lang w:val="es-ES" w:bidi="en-US"/>
        </w:rPr>
        <w:t xml:space="preserve">al señor Morales Díaz </w:t>
      </w:r>
      <w:r w:rsidR="006204E5" w:rsidRPr="00E0440B">
        <w:rPr>
          <w:rFonts w:asciiTheme="majorHAnsi" w:hAnsiTheme="majorHAnsi" w:cs="Verdana"/>
          <w:sz w:val="20"/>
          <w:szCs w:val="20"/>
          <w:lang w:val="es-ES" w:bidi="en-US"/>
        </w:rPr>
        <w:t xml:space="preserve">una propuesta de reparación pecuniaria </w:t>
      </w:r>
      <w:r w:rsidR="00FB16CA" w:rsidRPr="00E0440B">
        <w:rPr>
          <w:rFonts w:asciiTheme="majorHAnsi" w:hAnsiTheme="majorHAnsi" w:cs="Verdana"/>
          <w:sz w:val="20"/>
          <w:szCs w:val="20"/>
          <w:lang w:val="es-ES" w:bidi="en-US"/>
        </w:rPr>
        <w:t xml:space="preserve">por daño moral, daño emergente y lucro cesante </w:t>
      </w:r>
      <w:r w:rsidR="008376AE" w:rsidRPr="00E0440B">
        <w:rPr>
          <w:rFonts w:asciiTheme="majorHAnsi" w:hAnsiTheme="majorHAnsi" w:cs="Verdana"/>
          <w:sz w:val="20"/>
          <w:szCs w:val="20"/>
          <w:lang w:val="es-ES" w:bidi="en-US"/>
        </w:rPr>
        <w:t>de</w:t>
      </w:r>
      <w:r w:rsidR="00756B0B" w:rsidRPr="00E0440B">
        <w:rPr>
          <w:rFonts w:asciiTheme="majorHAnsi" w:hAnsiTheme="majorHAnsi" w:cs="Verdana"/>
          <w:sz w:val="20"/>
          <w:szCs w:val="20"/>
          <w:lang w:val="es-ES" w:bidi="en-US"/>
        </w:rPr>
        <w:t xml:space="preserve"> $ 72.174.891 Pesos </w:t>
      </w:r>
      <w:r w:rsidR="008376AE" w:rsidRPr="00E0440B">
        <w:rPr>
          <w:rFonts w:asciiTheme="majorHAnsi" w:hAnsiTheme="majorHAnsi" w:cs="Verdana"/>
          <w:sz w:val="20"/>
          <w:szCs w:val="20"/>
          <w:lang w:val="es-ES" w:bidi="en-US"/>
        </w:rPr>
        <w:t>c</w:t>
      </w:r>
      <w:r w:rsidR="00756B0B" w:rsidRPr="00E0440B">
        <w:rPr>
          <w:rFonts w:asciiTheme="majorHAnsi" w:hAnsiTheme="majorHAnsi" w:cs="Verdana"/>
          <w:sz w:val="20"/>
          <w:szCs w:val="20"/>
          <w:lang w:val="es-ES" w:bidi="en-US"/>
        </w:rPr>
        <w:t>olombianos</w:t>
      </w:r>
      <w:r w:rsidR="006204E5" w:rsidRPr="00E0440B">
        <w:rPr>
          <w:rFonts w:asciiTheme="majorHAnsi" w:hAnsiTheme="majorHAnsi" w:cs="Verdana"/>
          <w:sz w:val="20"/>
          <w:szCs w:val="20"/>
          <w:lang w:val="es-ES" w:bidi="en-US"/>
        </w:rPr>
        <w:t xml:space="preserve"> que incluía daño moral y emergente y lucro cesante</w:t>
      </w:r>
      <w:r w:rsidR="000816EC" w:rsidRPr="00E0440B">
        <w:rPr>
          <w:rFonts w:asciiTheme="majorHAnsi" w:hAnsiTheme="majorHAnsi" w:cs="Verdana"/>
          <w:sz w:val="20"/>
          <w:szCs w:val="20"/>
          <w:lang w:val="es-ES" w:bidi="en-US"/>
        </w:rPr>
        <w:t xml:space="preserve">, con la cual el señor Morales Díaz no estuvo de acuerdo. En la audiencia de conciliación de 23 de julio de 2021 el señor Morales Díaz </w:t>
      </w:r>
      <w:r w:rsidR="00B809E6" w:rsidRPr="00E0440B">
        <w:rPr>
          <w:rFonts w:asciiTheme="majorHAnsi" w:hAnsiTheme="majorHAnsi" w:cs="Verdana"/>
          <w:sz w:val="20"/>
          <w:szCs w:val="20"/>
          <w:lang w:val="es-ES" w:bidi="en-US"/>
        </w:rPr>
        <w:t>sostu</w:t>
      </w:r>
      <w:r w:rsidR="008A1E6B" w:rsidRPr="00E0440B">
        <w:rPr>
          <w:rFonts w:asciiTheme="majorHAnsi" w:hAnsiTheme="majorHAnsi" w:cs="Verdana"/>
          <w:sz w:val="20"/>
          <w:szCs w:val="20"/>
          <w:lang w:val="es-ES" w:bidi="en-US"/>
        </w:rPr>
        <w:t>vo</w:t>
      </w:r>
      <w:r w:rsidR="00B809E6" w:rsidRPr="00E0440B">
        <w:rPr>
          <w:rFonts w:asciiTheme="majorHAnsi" w:hAnsiTheme="majorHAnsi" w:cs="Verdana"/>
          <w:sz w:val="20"/>
          <w:szCs w:val="20"/>
          <w:lang w:val="es-ES" w:bidi="en-US"/>
        </w:rPr>
        <w:t xml:space="preserve"> </w:t>
      </w:r>
      <w:r w:rsidR="000816EC" w:rsidRPr="00E0440B">
        <w:rPr>
          <w:rFonts w:asciiTheme="majorHAnsi" w:hAnsiTheme="majorHAnsi" w:cs="Verdana"/>
          <w:sz w:val="20"/>
          <w:szCs w:val="20"/>
          <w:lang w:val="es-ES" w:bidi="en-US"/>
        </w:rPr>
        <w:t xml:space="preserve">que no se tuvo en cuenta la prueba aportada, la pérdida de oportunidad en su profesión y la tasación de los perjuicios morales y económicos causados por el daño; manifestando su ánimo de no conciliar. </w:t>
      </w:r>
    </w:p>
    <w:p w14:paraId="558CF2B0" w14:textId="77777777" w:rsidR="000816EC" w:rsidRPr="00E0440B" w:rsidRDefault="000816EC" w:rsidP="000816EC">
      <w:pPr>
        <w:pStyle w:val="ListParagraph"/>
        <w:rPr>
          <w:rFonts w:asciiTheme="majorHAnsi" w:hAnsiTheme="majorHAnsi" w:cs="Verdana"/>
          <w:sz w:val="20"/>
          <w:szCs w:val="20"/>
          <w:lang w:val="es-ES" w:bidi="en-US"/>
        </w:rPr>
      </w:pPr>
    </w:p>
    <w:p w14:paraId="75EE645B" w14:textId="0AF0DB5A" w:rsidR="000816EC" w:rsidRPr="00E0440B" w:rsidRDefault="000816EC" w:rsidP="00947203">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 w:bidi="en-US"/>
        </w:rPr>
        <w:t xml:space="preserve">Al considerar </w:t>
      </w:r>
      <w:r w:rsidR="000462B3" w:rsidRPr="00E0440B">
        <w:rPr>
          <w:rFonts w:asciiTheme="majorHAnsi" w:hAnsiTheme="majorHAnsi" w:cs="Verdana"/>
          <w:sz w:val="20"/>
          <w:szCs w:val="20"/>
          <w:lang w:val="es-ES" w:bidi="en-US"/>
        </w:rPr>
        <w:t xml:space="preserve">que el Estado no ha cumplido con el acuerdo de cumplimiento de las recomendaciones, en varias oportunidades el señor Morales Díaz </w:t>
      </w:r>
      <w:r w:rsidR="0012749C" w:rsidRPr="00E0440B">
        <w:rPr>
          <w:rFonts w:asciiTheme="majorHAnsi" w:hAnsiTheme="majorHAnsi" w:cs="Verdana"/>
          <w:sz w:val="20"/>
          <w:szCs w:val="20"/>
          <w:lang w:val="es-ES" w:bidi="en-US"/>
        </w:rPr>
        <w:t>solicitó</w:t>
      </w:r>
      <w:r w:rsidR="000462B3" w:rsidRPr="00E0440B">
        <w:rPr>
          <w:rFonts w:asciiTheme="majorHAnsi" w:hAnsiTheme="majorHAnsi" w:cs="Verdana"/>
          <w:sz w:val="20"/>
          <w:szCs w:val="20"/>
          <w:lang w:val="es-ES" w:bidi="en-US"/>
        </w:rPr>
        <w:t xml:space="preserve"> a la CIDH </w:t>
      </w:r>
      <w:r w:rsidR="000462B3" w:rsidRPr="00E0440B">
        <w:rPr>
          <w:rFonts w:asciiTheme="majorHAnsi" w:hAnsiTheme="majorHAnsi" w:cs="Verdana"/>
          <w:sz w:val="20"/>
          <w:szCs w:val="20"/>
          <w:lang w:val="es-ES_tradnl" w:bidi="en-US"/>
        </w:rPr>
        <w:t xml:space="preserve">“el envío del expediente a la Corte Interamericana de Derechos Humanos”. Ante su solicitud, el 9 de septiembre de 2021, la CIDH reiteró lo indicado en su comunicación del 6 de agosto de 2019, en la que se </w:t>
      </w:r>
      <w:r w:rsidR="000F001E" w:rsidRPr="00E0440B">
        <w:rPr>
          <w:rFonts w:asciiTheme="majorHAnsi" w:hAnsiTheme="majorHAnsi" w:cs="Verdana"/>
          <w:sz w:val="20"/>
          <w:szCs w:val="20"/>
          <w:lang w:val="es-ES_tradnl" w:bidi="en-US"/>
        </w:rPr>
        <w:t xml:space="preserve">explicó </w:t>
      </w:r>
      <w:r w:rsidR="000462B3" w:rsidRPr="00E0440B">
        <w:rPr>
          <w:rFonts w:asciiTheme="majorHAnsi" w:hAnsiTheme="majorHAnsi" w:cs="Verdana"/>
          <w:sz w:val="20"/>
          <w:szCs w:val="20"/>
          <w:lang w:val="es-ES_tradnl" w:bidi="en-US"/>
        </w:rPr>
        <w:t>a las partes que la CIDH</w:t>
      </w:r>
      <w:r w:rsidR="000F001E" w:rsidRPr="00E0440B">
        <w:rPr>
          <w:rFonts w:asciiTheme="majorHAnsi" w:hAnsiTheme="majorHAnsi" w:cs="Verdana"/>
          <w:sz w:val="20"/>
          <w:szCs w:val="20"/>
          <w:lang w:val="es-ES_tradnl" w:bidi="en-US"/>
        </w:rPr>
        <w:t xml:space="preserve"> había decidido</w:t>
      </w:r>
      <w:r w:rsidR="000462B3" w:rsidRPr="00E0440B">
        <w:rPr>
          <w:rFonts w:asciiTheme="majorHAnsi" w:hAnsiTheme="majorHAnsi" w:cs="Verdana"/>
          <w:sz w:val="20"/>
          <w:szCs w:val="20"/>
          <w:lang w:val="es-ES_tradnl" w:bidi="en-US"/>
        </w:rPr>
        <w:t xml:space="preserve"> no enviar el caso a la Corte y proceder hacia la publicación del Informe de Fondo.</w:t>
      </w:r>
    </w:p>
    <w:p w14:paraId="06050EDD" w14:textId="77777777" w:rsidR="000462B3" w:rsidRPr="00E0440B" w:rsidRDefault="000462B3" w:rsidP="000462B3">
      <w:pPr>
        <w:pStyle w:val="ListParagraph"/>
        <w:rPr>
          <w:rFonts w:asciiTheme="majorHAnsi" w:hAnsiTheme="majorHAnsi" w:cs="Verdana"/>
          <w:sz w:val="20"/>
          <w:szCs w:val="20"/>
          <w:lang w:val="es-ES_tradnl" w:bidi="en-US"/>
        </w:rPr>
      </w:pPr>
    </w:p>
    <w:p w14:paraId="06910F4F" w14:textId="551BC8FC" w:rsidR="000462B3" w:rsidRPr="00E0440B" w:rsidRDefault="000462B3" w:rsidP="004F0D5A">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 w:bidi="en-US"/>
        </w:rPr>
        <w:t>El</w:t>
      </w:r>
      <w:r w:rsidRPr="00E0440B">
        <w:rPr>
          <w:rFonts w:asciiTheme="majorHAnsi" w:hAnsiTheme="majorHAnsi" w:cs="Verdana"/>
          <w:sz w:val="20"/>
          <w:szCs w:val="20"/>
          <w:lang w:val="es-ES_tradnl" w:bidi="en-US"/>
        </w:rPr>
        <w:t xml:space="preserve"> 17 de marzo de 2022 el Estado informó a la CIDH que</w:t>
      </w:r>
      <w:r w:rsidR="000F001E" w:rsidRPr="00E0440B">
        <w:rPr>
          <w:rFonts w:asciiTheme="majorHAnsi" w:hAnsiTheme="majorHAnsi" w:cs="Verdana"/>
          <w:sz w:val="20"/>
          <w:szCs w:val="20"/>
          <w:lang w:val="es-ES_tradnl" w:bidi="en-US"/>
        </w:rPr>
        <w:t>,</w:t>
      </w:r>
      <w:r w:rsidRPr="00E0440B">
        <w:rPr>
          <w:rFonts w:asciiTheme="majorHAnsi" w:hAnsiTheme="majorHAnsi" w:cs="Verdana"/>
          <w:sz w:val="20"/>
          <w:szCs w:val="20"/>
          <w:lang w:val="es-ES_tradnl" w:bidi="en-US"/>
        </w:rPr>
        <w:t xml:space="preserve"> </w:t>
      </w:r>
      <w:r w:rsidR="00F77A62" w:rsidRPr="00E0440B">
        <w:rPr>
          <w:rFonts w:asciiTheme="majorHAnsi" w:hAnsiTheme="majorHAnsi" w:cs="Verdana"/>
          <w:sz w:val="20"/>
          <w:szCs w:val="20"/>
          <w:lang w:val="es-ES_tradnl" w:bidi="en-US"/>
        </w:rPr>
        <w:t>al no llegarse a un acuerdo conciliatorio</w:t>
      </w:r>
      <w:r w:rsidR="00056916" w:rsidRPr="00E0440B">
        <w:rPr>
          <w:rFonts w:asciiTheme="majorHAnsi" w:hAnsiTheme="majorHAnsi" w:cs="Verdana"/>
          <w:sz w:val="20"/>
          <w:szCs w:val="20"/>
          <w:lang w:val="es-ES_tradnl" w:bidi="en-US"/>
        </w:rPr>
        <w:t>,</w:t>
      </w:r>
      <w:r w:rsidR="00F77A62" w:rsidRPr="00E0440B">
        <w:rPr>
          <w:rFonts w:asciiTheme="majorHAnsi" w:hAnsiTheme="majorHAnsi" w:cs="Verdana"/>
          <w:sz w:val="20"/>
          <w:szCs w:val="20"/>
          <w:lang w:val="es-ES_tradnl" w:bidi="en-US"/>
        </w:rPr>
        <w:t xml:space="preserve"> el 28 de febrero de 2022 el A</w:t>
      </w:r>
      <w:r w:rsidR="00E25D1D" w:rsidRPr="00E0440B">
        <w:rPr>
          <w:rFonts w:asciiTheme="majorHAnsi" w:hAnsiTheme="majorHAnsi" w:cs="Verdana"/>
          <w:sz w:val="20"/>
          <w:szCs w:val="20"/>
          <w:lang w:val="es-ES_tradnl" w:bidi="en-US"/>
        </w:rPr>
        <w:t>ND</w:t>
      </w:r>
      <w:r w:rsidR="00F77A62" w:rsidRPr="00E0440B">
        <w:rPr>
          <w:rFonts w:asciiTheme="majorHAnsi" w:hAnsiTheme="majorHAnsi" w:cs="Verdana"/>
          <w:sz w:val="20"/>
          <w:szCs w:val="20"/>
          <w:lang w:val="es-ES_tradnl" w:bidi="en-US"/>
        </w:rPr>
        <w:t>JE radicó ante el Tribunal Administrativo de Cundinamarca el incidente de liquidación de perjuicios de acuerdo con la ley 288 de 1996, a fin de que un juez determine y fije los montos a cancelar.</w:t>
      </w:r>
      <w:r w:rsidR="00933B0F" w:rsidRPr="00E0440B">
        <w:rPr>
          <w:rFonts w:asciiTheme="majorHAnsi" w:hAnsiTheme="majorHAnsi" w:cs="Verdana"/>
          <w:sz w:val="20"/>
          <w:szCs w:val="20"/>
          <w:lang w:val="es-ES_tradnl" w:bidi="en-US"/>
        </w:rPr>
        <w:t xml:space="preserve"> </w:t>
      </w:r>
      <w:r w:rsidR="00B46C92" w:rsidRPr="00E0440B">
        <w:rPr>
          <w:rFonts w:asciiTheme="majorHAnsi" w:hAnsiTheme="majorHAnsi" w:cs="Verdana"/>
          <w:sz w:val="20"/>
          <w:szCs w:val="20"/>
          <w:lang w:val="es-ES_tradnl" w:bidi="en-US"/>
        </w:rPr>
        <w:t>Dicho expediente ingresó</w:t>
      </w:r>
      <w:r w:rsidR="00AF0617" w:rsidRPr="00E0440B">
        <w:rPr>
          <w:rFonts w:asciiTheme="majorHAnsi" w:hAnsiTheme="majorHAnsi" w:cs="Verdana"/>
          <w:sz w:val="20"/>
          <w:szCs w:val="20"/>
          <w:lang w:val="es-ES_tradnl" w:bidi="en-US"/>
        </w:rPr>
        <w:t xml:space="preserve"> </w:t>
      </w:r>
      <w:r w:rsidR="00933B0F" w:rsidRPr="00E0440B">
        <w:rPr>
          <w:rFonts w:asciiTheme="majorHAnsi" w:hAnsiTheme="majorHAnsi" w:cs="Verdana"/>
          <w:sz w:val="20"/>
          <w:szCs w:val="20"/>
          <w:lang w:val="es-ES_tradnl" w:bidi="en-US"/>
        </w:rPr>
        <w:t>al despacho del Tribunal el 17 de agosto de 2023.</w:t>
      </w:r>
    </w:p>
    <w:p w14:paraId="75CDCE5C" w14:textId="77777777" w:rsidR="00707E32" w:rsidRPr="00E0440B" w:rsidRDefault="00707E32" w:rsidP="00135EAF">
      <w:pPr>
        <w:rPr>
          <w:rFonts w:asciiTheme="majorHAnsi" w:hAnsiTheme="majorHAnsi" w:cs="Verdana"/>
          <w:sz w:val="20"/>
          <w:szCs w:val="20"/>
          <w:lang w:val="es-ES_tradnl" w:bidi="en-US"/>
        </w:rPr>
      </w:pPr>
    </w:p>
    <w:p w14:paraId="01F97C2A" w14:textId="6C1F3832" w:rsidR="00271B20" w:rsidRPr="00E0440B" w:rsidRDefault="00BE6D20" w:rsidP="00947203">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_tradnl" w:bidi="en-US"/>
        </w:rPr>
        <w:t xml:space="preserve">Sobre la medida de satisfacción </w:t>
      </w:r>
      <w:r w:rsidR="00707E32" w:rsidRPr="00E0440B">
        <w:rPr>
          <w:rFonts w:asciiTheme="majorHAnsi" w:hAnsiTheme="majorHAnsi" w:cs="Verdana"/>
          <w:sz w:val="20"/>
          <w:szCs w:val="20"/>
          <w:lang w:val="es-ES_tradnl" w:bidi="en-US"/>
        </w:rPr>
        <w:t xml:space="preserve">el Estado </w:t>
      </w:r>
      <w:r w:rsidRPr="00E0440B">
        <w:rPr>
          <w:rFonts w:asciiTheme="majorHAnsi" w:hAnsiTheme="majorHAnsi" w:cs="Verdana"/>
          <w:sz w:val="20"/>
          <w:szCs w:val="20"/>
          <w:lang w:val="es-ES_tradnl" w:bidi="en-US"/>
        </w:rPr>
        <w:t xml:space="preserve">indicó que el Presidente de Colombia confirió la Orden Nacional al Mérito en el Grado de Caballero al señor Morales </w:t>
      </w:r>
      <w:r w:rsidR="00056916" w:rsidRPr="00E0440B">
        <w:rPr>
          <w:rFonts w:asciiTheme="majorHAnsi" w:hAnsiTheme="majorHAnsi" w:cs="Verdana"/>
          <w:sz w:val="20"/>
          <w:szCs w:val="20"/>
          <w:lang w:val="es-ES_tradnl" w:bidi="en-US"/>
        </w:rPr>
        <w:t>D</w:t>
      </w:r>
      <w:r w:rsidRPr="00E0440B">
        <w:rPr>
          <w:rFonts w:asciiTheme="majorHAnsi" w:hAnsiTheme="majorHAnsi" w:cs="Verdana"/>
          <w:sz w:val="20"/>
          <w:szCs w:val="20"/>
          <w:lang w:val="es-ES_tradnl" w:bidi="en-US"/>
        </w:rPr>
        <w:t>ía</w:t>
      </w:r>
      <w:r w:rsidR="00056916" w:rsidRPr="00E0440B">
        <w:rPr>
          <w:rFonts w:asciiTheme="majorHAnsi" w:hAnsiTheme="majorHAnsi" w:cs="Verdana"/>
          <w:sz w:val="20"/>
          <w:szCs w:val="20"/>
          <w:lang w:val="es-ES_tradnl" w:bidi="en-US"/>
        </w:rPr>
        <w:t>z</w:t>
      </w:r>
      <w:r w:rsidRPr="00E0440B">
        <w:rPr>
          <w:rFonts w:asciiTheme="majorHAnsi" w:hAnsiTheme="majorHAnsi" w:cs="Verdana"/>
          <w:sz w:val="20"/>
          <w:szCs w:val="20"/>
          <w:lang w:val="es-ES_tradnl" w:bidi="en-US"/>
        </w:rPr>
        <w:t xml:space="preserve"> mediante Decreto 1172 de 11 de julio de 2022.</w:t>
      </w:r>
      <w:r w:rsidR="00CF73B8" w:rsidRPr="00E0440B">
        <w:rPr>
          <w:rFonts w:asciiTheme="majorHAnsi" w:hAnsiTheme="majorHAnsi" w:cs="Verdana"/>
          <w:sz w:val="20"/>
          <w:szCs w:val="20"/>
          <w:lang w:val="es-ES_tradnl" w:bidi="en-US"/>
        </w:rPr>
        <w:t xml:space="preserve"> El 9 de diciembre de 2022 el Estado </w:t>
      </w:r>
      <w:r w:rsidR="00042D90" w:rsidRPr="00E0440B">
        <w:rPr>
          <w:rFonts w:asciiTheme="majorHAnsi" w:hAnsiTheme="majorHAnsi" w:cs="Verdana"/>
          <w:sz w:val="20"/>
          <w:szCs w:val="20"/>
          <w:lang w:val="es-ES_tradnl" w:bidi="en-US"/>
        </w:rPr>
        <w:t xml:space="preserve">reportó </w:t>
      </w:r>
      <w:r w:rsidR="00CF73B8" w:rsidRPr="00E0440B">
        <w:rPr>
          <w:rFonts w:asciiTheme="majorHAnsi" w:hAnsiTheme="majorHAnsi" w:cs="Verdana"/>
          <w:sz w:val="20"/>
          <w:szCs w:val="20"/>
          <w:lang w:val="es-ES_tradnl" w:bidi="en-US"/>
        </w:rPr>
        <w:t>que el 29 de noviembre de ese año se realizó la ceremo</w:t>
      </w:r>
      <w:r w:rsidR="00933B0F" w:rsidRPr="00E0440B">
        <w:rPr>
          <w:rFonts w:asciiTheme="majorHAnsi" w:hAnsiTheme="majorHAnsi" w:cs="Verdana"/>
          <w:sz w:val="20"/>
          <w:szCs w:val="20"/>
          <w:lang w:val="es-ES_tradnl" w:bidi="en-US"/>
        </w:rPr>
        <w:t>n</w:t>
      </w:r>
      <w:r w:rsidR="00CF73B8" w:rsidRPr="00E0440B">
        <w:rPr>
          <w:rFonts w:asciiTheme="majorHAnsi" w:hAnsiTheme="majorHAnsi" w:cs="Verdana"/>
          <w:sz w:val="20"/>
          <w:szCs w:val="20"/>
          <w:lang w:val="es-ES_tradnl" w:bidi="en-US"/>
        </w:rPr>
        <w:t xml:space="preserve">ia de condecoración </w:t>
      </w:r>
      <w:r w:rsidR="00933B0F" w:rsidRPr="00E0440B">
        <w:rPr>
          <w:rFonts w:asciiTheme="majorHAnsi" w:hAnsiTheme="majorHAnsi" w:cs="Verdana"/>
          <w:sz w:val="20"/>
          <w:szCs w:val="20"/>
          <w:lang w:val="es-ES_tradnl" w:bidi="en-US"/>
        </w:rPr>
        <w:t>en la Embajada de Colombia en Canadá.</w:t>
      </w:r>
      <w:r w:rsidR="006D2625" w:rsidRPr="00E0440B">
        <w:rPr>
          <w:rFonts w:asciiTheme="majorHAnsi" w:hAnsiTheme="majorHAnsi" w:cs="Verdana"/>
          <w:sz w:val="20"/>
          <w:szCs w:val="20"/>
          <w:lang w:val="es-ES_tradnl" w:bidi="en-US"/>
        </w:rPr>
        <w:t xml:space="preserve"> En vista de que la reparación pecuniaria </w:t>
      </w:r>
      <w:r w:rsidR="005B71FF" w:rsidRPr="00E0440B">
        <w:rPr>
          <w:rFonts w:asciiTheme="majorHAnsi" w:hAnsiTheme="majorHAnsi" w:cs="Verdana"/>
          <w:sz w:val="20"/>
          <w:szCs w:val="20"/>
          <w:lang w:val="es-ES_tradnl" w:bidi="en-US"/>
        </w:rPr>
        <w:t>aún</w:t>
      </w:r>
      <w:r w:rsidR="006D2625" w:rsidRPr="00E0440B">
        <w:rPr>
          <w:rFonts w:asciiTheme="majorHAnsi" w:hAnsiTheme="majorHAnsi" w:cs="Verdana"/>
          <w:sz w:val="20"/>
          <w:szCs w:val="20"/>
          <w:lang w:val="es-ES_tradnl" w:bidi="en-US"/>
        </w:rPr>
        <w:t xml:space="preserve"> no ha sido paga</w:t>
      </w:r>
      <w:r w:rsidR="007C7155" w:rsidRPr="00E0440B">
        <w:rPr>
          <w:rFonts w:asciiTheme="majorHAnsi" w:hAnsiTheme="majorHAnsi" w:cs="Verdana"/>
          <w:sz w:val="20"/>
          <w:szCs w:val="20"/>
          <w:lang w:val="es-ES_tradnl" w:bidi="en-US"/>
        </w:rPr>
        <w:t>da a la víctima, la Comisión considera que esta recomendación está parcialmente cumplida.</w:t>
      </w:r>
    </w:p>
    <w:p w14:paraId="4CF4420A" w14:textId="77777777" w:rsidR="00BE6D20" w:rsidRPr="00E0440B" w:rsidRDefault="00BE6D20" w:rsidP="00BE6D20">
      <w:pPr>
        <w:pStyle w:val="ListParagraph"/>
        <w:rPr>
          <w:rFonts w:asciiTheme="majorHAnsi" w:hAnsiTheme="majorHAnsi" w:cs="Verdana"/>
          <w:sz w:val="20"/>
          <w:szCs w:val="20"/>
          <w:lang w:val="es-ES_tradnl" w:bidi="en-US"/>
        </w:rPr>
      </w:pPr>
    </w:p>
    <w:p w14:paraId="56089EAE" w14:textId="30AC7DA2" w:rsidR="00CB0786" w:rsidRPr="00E0440B" w:rsidRDefault="00CB0786" w:rsidP="0091527A">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_tradnl" w:bidi="en-US"/>
        </w:rPr>
        <w:t xml:space="preserve">Sobre </w:t>
      </w:r>
      <w:r w:rsidRPr="00E0440B">
        <w:rPr>
          <w:rFonts w:asciiTheme="majorHAnsi" w:hAnsiTheme="majorHAnsi" w:cs="Verdana"/>
          <w:b/>
          <w:bCs/>
          <w:sz w:val="20"/>
          <w:szCs w:val="20"/>
          <w:lang w:val="es-ES_tradnl" w:bidi="en-US"/>
        </w:rPr>
        <w:t>la</w:t>
      </w:r>
      <w:r w:rsidR="002A76C5" w:rsidRPr="00E0440B">
        <w:rPr>
          <w:rFonts w:asciiTheme="majorHAnsi" w:hAnsiTheme="majorHAnsi" w:cs="Verdana"/>
          <w:b/>
          <w:bCs/>
          <w:sz w:val="20"/>
          <w:szCs w:val="20"/>
          <w:lang w:val="es-ES_tradnl" w:bidi="en-US"/>
        </w:rPr>
        <w:t xml:space="preserve"> segunda</w:t>
      </w:r>
      <w:r w:rsidRPr="00E0440B">
        <w:rPr>
          <w:rFonts w:asciiTheme="majorHAnsi" w:hAnsiTheme="majorHAnsi" w:cs="Verdana"/>
          <w:b/>
          <w:bCs/>
          <w:sz w:val="20"/>
          <w:szCs w:val="20"/>
          <w:lang w:val="es-ES_tradnl" w:bidi="en-US"/>
        </w:rPr>
        <w:t xml:space="preserve"> recomendaci</w:t>
      </w:r>
      <w:r w:rsidR="006D2625" w:rsidRPr="00E0440B">
        <w:rPr>
          <w:rFonts w:asciiTheme="majorHAnsi" w:hAnsiTheme="majorHAnsi" w:cs="Verdana"/>
          <w:b/>
          <w:bCs/>
          <w:sz w:val="20"/>
          <w:szCs w:val="20"/>
          <w:lang w:val="es-ES_tradnl" w:bidi="en-US"/>
        </w:rPr>
        <w:t>ón</w:t>
      </w:r>
      <w:r w:rsidRPr="00E0440B">
        <w:rPr>
          <w:rFonts w:asciiTheme="majorHAnsi" w:hAnsiTheme="majorHAnsi" w:cs="Verdana"/>
          <w:sz w:val="20"/>
          <w:szCs w:val="20"/>
          <w:lang w:val="es-ES_tradnl" w:bidi="en-US"/>
        </w:rPr>
        <w:t xml:space="preserve">, el 9 de diciembre de 2022 el Estado informó que las rondas policiales se cumplieron durante la estadía del señor Morales Díaz en Colombia en 2020, lo cual fue </w:t>
      </w:r>
      <w:r w:rsidRPr="00E0440B">
        <w:rPr>
          <w:rFonts w:asciiTheme="majorHAnsi" w:hAnsiTheme="majorHAnsi" w:cs="Verdana"/>
          <w:sz w:val="20"/>
          <w:szCs w:val="20"/>
          <w:lang w:val="es-ES_tradnl" w:bidi="en-US"/>
        </w:rPr>
        <w:lastRenderedPageBreak/>
        <w:t>corroborado por la víctima.</w:t>
      </w:r>
      <w:r w:rsidR="007C7155" w:rsidRPr="00E0440B">
        <w:rPr>
          <w:rFonts w:asciiTheme="majorHAnsi" w:hAnsiTheme="majorHAnsi" w:cs="Verdana"/>
          <w:sz w:val="20"/>
          <w:szCs w:val="20"/>
          <w:lang w:val="es-ES_tradnl" w:bidi="en-US"/>
        </w:rPr>
        <w:t xml:space="preserve"> En vista de esto, la Comisión </w:t>
      </w:r>
      <w:r w:rsidR="000816B9" w:rsidRPr="00E0440B">
        <w:rPr>
          <w:rFonts w:asciiTheme="majorHAnsi" w:hAnsiTheme="majorHAnsi" w:cs="Verdana"/>
          <w:sz w:val="20"/>
          <w:szCs w:val="20"/>
          <w:lang w:val="es-ES_tradnl" w:bidi="en-US"/>
        </w:rPr>
        <w:t xml:space="preserve">concluye </w:t>
      </w:r>
      <w:r w:rsidR="007C7155" w:rsidRPr="00E0440B">
        <w:rPr>
          <w:rFonts w:asciiTheme="majorHAnsi" w:hAnsiTheme="majorHAnsi" w:cs="Verdana"/>
          <w:sz w:val="20"/>
          <w:szCs w:val="20"/>
          <w:lang w:val="es-ES_tradnl" w:bidi="en-US"/>
        </w:rPr>
        <w:t xml:space="preserve">que </w:t>
      </w:r>
      <w:r w:rsidR="00BC373F" w:rsidRPr="00E0440B">
        <w:rPr>
          <w:rFonts w:asciiTheme="majorHAnsi" w:hAnsiTheme="majorHAnsi" w:cs="Verdana"/>
          <w:sz w:val="20"/>
          <w:szCs w:val="20"/>
          <w:lang w:val="es-ES_tradnl" w:bidi="en-US"/>
        </w:rPr>
        <w:t>el E</w:t>
      </w:r>
      <w:r w:rsidR="00DA3132" w:rsidRPr="00E0440B">
        <w:rPr>
          <w:rFonts w:asciiTheme="majorHAnsi" w:hAnsiTheme="majorHAnsi" w:cs="Verdana"/>
          <w:sz w:val="20"/>
          <w:szCs w:val="20"/>
          <w:lang w:val="es-ES_tradnl" w:bidi="en-US"/>
        </w:rPr>
        <w:t>s</w:t>
      </w:r>
      <w:r w:rsidR="00BC373F" w:rsidRPr="00E0440B">
        <w:rPr>
          <w:rFonts w:asciiTheme="majorHAnsi" w:hAnsiTheme="majorHAnsi" w:cs="Verdana"/>
          <w:sz w:val="20"/>
          <w:szCs w:val="20"/>
          <w:lang w:val="es-ES_tradnl" w:bidi="en-US"/>
        </w:rPr>
        <w:t>t</w:t>
      </w:r>
      <w:r w:rsidR="00DA3132" w:rsidRPr="00E0440B">
        <w:rPr>
          <w:rFonts w:asciiTheme="majorHAnsi" w:hAnsiTheme="majorHAnsi" w:cs="Verdana"/>
          <w:sz w:val="20"/>
          <w:szCs w:val="20"/>
          <w:lang w:val="es-ES_tradnl" w:bidi="en-US"/>
        </w:rPr>
        <w:t>a</w:t>
      </w:r>
      <w:r w:rsidR="00BC373F" w:rsidRPr="00E0440B">
        <w:rPr>
          <w:rFonts w:asciiTheme="majorHAnsi" w:hAnsiTheme="majorHAnsi" w:cs="Verdana"/>
          <w:sz w:val="20"/>
          <w:szCs w:val="20"/>
          <w:lang w:val="es-ES_tradnl" w:bidi="en-US"/>
        </w:rPr>
        <w:t>do brindó la protección acordada</w:t>
      </w:r>
      <w:r w:rsidR="00DA3132" w:rsidRPr="00E0440B">
        <w:rPr>
          <w:rFonts w:asciiTheme="majorHAnsi" w:hAnsiTheme="majorHAnsi" w:cs="Verdana"/>
          <w:sz w:val="20"/>
          <w:szCs w:val="20"/>
          <w:lang w:val="es-ES_tradnl" w:bidi="en-US"/>
        </w:rPr>
        <w:t xml:space="preserve"> en cumplimiento de esta recomendación</w:t>
      </w:r>
      <w:r w:rsidR="007C7155" w:rsidRPr="00E0440B">
        <w:rPr>
          <w:rFonts w:asciiTheme="majorHAnsi" w:hAnsiTheme="majorHAnsi" w:cs="Verdana"/>
          <w:sz w:val="20"/>
          <w:szCs w:val="20"/>
          <w:lang w:val="es-ES_tradnl" w:bidi="en-US"/>
        </w:rPr>
        <w:t>.</w:t>
      </w:r>
      <w:r w:rsidR="002544E4" w:rsidRPr="00E0440B">
        <w:rPr>
          <w:rFonts w:asciiTheme="majorHAnsi" w:hAnsiTheme="majorHAnsi" w:cs="Verdana"/>
          <w:sz w:val="20"/>
          <w:szCs w:val="20"/>
          <w:lang w:val="es-ES_tradnl" w:bidi="en-US"/>
        </w:rPr>
        <w:t xml:space="preserve"> Sin perjuicio de este cumplimiento; y debido a la naturaleza de esta recomendación, las rondas policiales que fueron acordadas entre las partes deben ser implementadas cada vez que </w:t>
      </w:r>
      <w:r w:rsidR="00DA3132" w:rsidRPr="00E0440B">
        <w:rPr>
          <w:rFonts w:asciiTheme="majorHAnsi" w:hAnsiTheme="majorHAnsi" w:cs="Verdana"/>
          <w:sz w:val="20"/>
          <w:szCs w:val="20"/>
          <w:lang w:val="es-ES_tradnl" w:bidi="en-US"/>
        </w:rPr>
        <w:t>el señor Morales Díaz</w:t>
      </w:r>
      <w:r w:rsidR="002544E4" w:rsidRPr="00E0440B">
        <w:rPr>
          <w:rFonts w:asciiTheme="majorHAnsi" w:hAnsiTheme="majorHAnsi" w:cs="Verdana"/>
          <w:sz w:val="20"/>
          <w:szCs w:val="20"/>
          <w:lang w:val="es-ES_tradnl" w:bidi="en-US"/>
        </w:rPr>
        <w:t xml:space="preserve"> se encuentre en Colombia, de ser requerido por </w:t>
      </w:r>
      <w:r w:rsidR="003213FB" w:rsidRPr="00E0440B">
        <w:rPr>
          <w:rFonts w:asciiTheme="majorHAnsi" w:hAnsiTheme="majorHAnsi" w:cs="Verdana"/>
          <w:sz w:val="20"/>
          <w:szCs w:val="20"/>
          <w:lang w:val="es-ES_tradnl" w:bidi="en-US"/>
        </w:rPr>
        <w:t>él</w:t>
      </w:r>
      <w:r w:rsidR="002544E4" w:rsidRPr="00E0440B">
        <w:rPr>
          <w:rFonts w:asciiTheme="majorHAnsi" w:hAnsiTheme="majorHAnsi" w:cs="Verdana"/>
          <w:sz w:val="20"/>
          <w:szCs w:val="20"/>
          <w:lang w:val="es-ES_tradnl" w:bidi="en-US"/>
        </w:rPr>
        <w:t>.</w:t>
      </w:r>
    </w:p>
    <w:p w14:paraId="32E95BA0" w14:textId="77777777" w:rsidR="000213E2" w:rsidRPr="00E0440B" w:rsidRDefault="000213E2" w:rsidP="000213E2">
      <w:pPr>
        <w:pStyle w:val="ListParagraph"/>
        <w:rPr>
          <w:rFonts w:asciiTheme="majorHAnsi" w:hAnsiTheme="majorHAnsi" w:cs="Verdana"/>
          <w:sz w:val="20"/>
          <w:szCs w:val="20"/>
          <w:lang w:val="es-ES_tradnl" w:bidi="en-US"/>
        </w:rPr>
      </w:pPr>
    </w:p>
    <w:p w14:paraId="2BD27D69" w14:textId="31AE8981" w:rsidR="003831ED" w:rsidRPr="00E0440B" w:rsidRDefault="000213E2" w:rsidP="003831ED">
      <w:pPr>
        <w:numPr>
          <w:ilvl w:val="0"/>
          <w:numId w:val="56"/>
        </w:numPr>
        <w:ind w:left="0" w:firstLine="720"/>
        <w:jc w:val="both"/>
        <w:rPr>
          <w:rFonts w:asciiTheme="majorHAnsi" w:hAnsiTheme="majorHAnsi" w:cs="Verdana"/>
          <w:sz w:val="20"/>
          <w:szCs w:val="20"/>
          <w:lang w:val="es-US" w:bidi="en-US"/>
        </w:rPr>
      </w:pPr>
      <w:r w:rsidRPr="00E0440B">
        <w:rPr>
          <w:rFonts w:asciiTheme="majorHAnsi" w:hAnsiTheme="majorHAnsi" w:cs="Verdana"/>
          <w:sz w:val="20"/>
          <w:szCs w:val="20"/>
          <w:lang w:val="es-ES_tradnl" w:bidi="en-US"/>
        </w:rPr>
        <w:t xml:space="preserve">Sobre la </w:t>
      </w:r>
      <w:r w:rsidRPr="00E0440B">
        <w:rPr>
          <w:rFonts w:asciiTheme="majorHAnsi" w:hAnsiTheme="majorHAnsi" w:cs="Verdana"/>
          <w:b/>
          <w:bCs/>
          <w:sz w:val="20"/>
          <w:szCs w:val="20"/>
          <w:lang w:val="es-ES_tradnl" w:bidi="en-US"/>
        </w:rPr>
        <w:t>tercera recomendación</w:t>
      </w:r>
      <w:r w:rsidRPr="00E0440B">
        <w:rPr>
          <w:rFonts w:asciiTheme="majorHAnsi" w:hAnsiTheme="majorHAnsi" w:cs="Verdana"/>
          <w:sz w:val="20"/>
          <w:szCs w:val="20"/>
          <w:lang w:val="es-ES_tradnl" w:bidi="en-US"/>
        </w:rPr>
        <w:t xml:space="preserve">, dada </w:t>
      </w:r>
      <w:r w:rsidR="001A183B" w:rsidRPr="00E0440B">
        <w:rPr>
          <w:rFonts w:asciiTheme="majorHAnsi" w:hAnsiTheme="majorHAnsi" w:cs="Verdana"/>
          <w:sz w:val="20"/>
          <w:szCs w:val="20"/>
          <w:lang w:val="es-ES_tradnl" w:bidi="en-US"/>
        </w:rPr>
        <w:t xml:space="preserve">la gestión estatal para su cumplimiento, </w:t>
      </w:r>
      <w:r w:rsidRPr="00E0440B">
        <w:rPr>
          <w:rFonts w:asciiTheme="majorHAnsi" w:hAnsiTheme="majorHAnsi" w:cs="Verdana"/>
          <w:sz w:val="20"/>
          <w:szCs w:val="20"/>
          <w:lang w:val="es-ES_tradnl" w:bidi="en-US"/>
        </w:rPr>
        <w:t>la posible prescripción de las acciones penales</w:t>
      </w:r>
      <w:r w:rsidR="001A183B" w:rsidRPr="00E0440B">
        <w:rPr>
          <w:rFonts w:asciiTheme="majorHAnsi" w:hAnsiTheme="majorHAnsi" w:cs="Verdana"/>
          <w:sz w:val="20"/>
          <w:szCs w:val="20"/>
          <w:lang w:val="es-ES_tradnl" w:bidi="en-US"/>
        </w:rPr>
        <w:t>;</w:t>
      </w:r>
      <w:r w:rsidRPr="00E0440B">
        <w:rPr>
          <w:rFonts w:asciiTheme="majorHAnsi" w:hAnsiTheme="majorHAnsi" w:cs="Verdana"/>
          <w:sz w:val="20"/>
          <w:szCs w:val="20"/>
          <w:lang w:val="es-ES_tradnl" w:bidi="en-US"/>
        </w:rPr>
        <w:t xml:space="preserve"> y que </w:t>
      </w:r>
      <w:r w:rsidR="00674EE1" w:rsidRPr="00E0440B">
        <w:rPr>
          <w:rFonts w:asciiTheme="majorHAnsi" w:hAnsiTheme="majorHAnsi" w:cs="Verdana"/>
          <w:sz w:val="20"/>
          <w:szCs w:val="20"/>
          <w:lang w:val="es-ES_tradnl" w:bidi="en-US"/>
        </w:rPr>
        <w:t xml:space="preserve">la víctima no está interesada en la reapertura de la investigación, la Comisión </w:t>
      </w:r>
      <w:r w:rsidR="00CA450D" w:rsidRPr="00E0440B">
        <w:rPr>
          <w:rFonts w:asciiTheme="majorHAnsi" w:hAnsiTheme="majorHAnsi" w:cs="Verdana"/>
          <w:sz w:val="20"/>
          <w:szCs w:val="20"/>
          <w:lang w:val="es-ES_tradnl" w:bidi="en-US"/>
        </w:rPr>
        <w:t xml:space="preserve">considera que </w:t>
      </w:r>
      <w:r w:rsidR="009763C8" w:rsidRPr="00E0440B">
        <w:rPr>
          <w:rFonts w:asciiTheme="majorHAnsi" w:hAnsiTheme="majorHAnsi" w:cs="Verdana"/>
          <w:sz w:val="20"/>
          <w:szCs w:val="20"/>
          <w:lang w:val="es-ES_tradnl" w:bidi="en-US"/>
        </w:rPr>
        <w:t xml:space="preserve">el Estado no requiere </w:t>
      </w:r>
      <w:r w:rsidR="00F30C37" w:rsidRPr="00E0440B">
        <w:rPr>
          <w:rFonts w:asciiTheme="majorHAnsi" w:hAnsiTheme="majorHAnsi" w:cs="Verdana"/>
          <w:sz w:val="20"/>
          <w:szCs w:val="20"/>
          <w:lang w:val="es-ES_tradnl" w:bidi="en-US"/>
        </w:rPr>
        <w:t xml:space="preserve">impulsar </w:t>
      </w:r>
      <w:r w:rsidR="00F9706E" w:rsidRPr="00E0440B">
        <w:rPr>
          <w:rFonts w:asciiTheme="majorHAnsi" w:hAnsiTheme="majorHAnsi" w:cs="Verdana"/>
          <w:sz w:val="20"/>
          <w:szCs w:val="20"/>
          <w:lang w:val="es-ES_tradnl" w:bidi="en-US"/>
        </w:rPr>
        <w:t>otras acciones encaminadas a</w:t>
      </w:r>
      <w:r w:rsidR="00B14613" w:rsidRPr="00E0440B">
        <w:rPr>
          <w:rFonts w:asciiTheme="majorHAnsi" w:hAnsiTheme="majorHAnsi" w:cs="Verdana"/>
          <w:sz w:val="20"/>
          <w:szCs w:val="20"/>
          <w:lang w:val="es-ES_tradnl" w:bidi="en-US"/>
        </w:rPr>
        <w:t xml:space="preserve"> su </w:t>
      </w:r>
      <w:r w:rsidR="00F9706E" w:rsidRPr="00E0440B">
        <w:rPr>
          <w:rFonts w:asciiTheme="majorHAnsi" w:hAnsiTheme="majorHAnsi" w:cs="Verdana"/>
          <w:sz w:val="20"/>
          <w:szCs w:val="20"/>
          <w:lang w:val="es-ES_tradnl" w:bidi="en-US"/>
        </w:rPr>
        <w:t>cumplimiento</w:t>
      </w:r>
      <w:r w:rsidR="00F30C37" w:rsidRPr="00E0440B">
        <w:rPr>
          <w:rFonts w:asciiTheme="majorHAnsi" w:hAnsiTheme="majorHAnsi" w:cs="Verdana"/>
          <w:sz w:val="20"/>
          <w:szCs w:val="20"/>
          <w:lang w:val="es-ES_tradnl" w:bidi="en-US"/>
        </w:rPr>
        <w:t>. C</w:t>
      </w:r>
      <w:r w:rsidR="003831ED" w:rsidRPr="00E0440B">
        <w:rPr>
          <w:rFonts w:asciiTheme="majorHAnsi" w:hAnsiTheme="majorHAnsi" w:cs="Verdana"/>
          <w:sz w:val="20"/>
          <w:szCs w:val="20"/>
          <w:lang w:val="es-US" w:bidi="en-US"/>
        </w:rPr>
        <w:t xml:space="preserve">onsecuentemente, en vista de lo solicitado por las partes y teniendo en cuenta la naturaleza de la violación, en las circunstancias de este caso, </w:t>
      </w:r>
      <w:r w:rsidR="005871B5" w:rsidRPr="00E0440B">
        <w:rPr>
          <w:rFonts w:asciiTheme="majorHAnsi" w:hAnsiTheme="majorHAnsi" w:cs="Verdana"/>
          <w:sz w:val="20"/>
          <w:szCs w:val="20"/>
          <w:lang w:val="es-US" w:bidi="en-US"/>
        </w:rPr>
        <w:t>no se realizará</w:t>
      </w:r>
      <w:r w:rsidR="003831ED" w:rsidRPr="00E0440B">
        <w:rPr>
          <w:rFonts w:asciiTheme="majorHAnsi" w:hAnsiTheme="majorHAnsi" w:cs="Verdana"/>
          <w:sz w:val="20"/>
          <w:szCs w:val="20"/>
          <w:lang w:val="es-US" w:bidi="en-US"/>
        </w:rPr>
        <w:t xml:space="preserve"> seguimiento</w:t>
      </w:r>
      <w:r w:rsidR="005871B5" w:rsidRPr="00E0440B">
        <w:rPr>
          <w:rFonts w:asciiTheme="majorHAnsi" w:hAnsiTheme="majorHAnsi" w:cs="Verdana"/>
          <w:sz w:val="20"/>
          <w:szCs w:val="20"/>
          <w:lang w:val="es-US" w:bidi="en-US"/>
        </w:rPr>
        <w:t xml:space="preserve"> a esta recomendación</w:t>
      </w:r>
      <w:r w:rsidR="003831ED" w:rsidRPr="00E0440B">
        <w:rPr>
          <w:rFonts w:asciiTheme="majorHAnsi" w:hAnsiTheme="majorHAnsi" w:cs="Verdana"/>
          <w:sz w:val="20"/>
          <w:szCs w:val="20"/>
          <w:lang w:val="es-US" w:bidi="en-US"/>
        </w:rPr>
        <w:t>.</w:t>
      </w:r>
    </w:p>
    <w:p w14:paraId="20A919E5" w14:textId="4521FE62" w:rsidR="0091527A" w:rsidRPr="00E0440B" w:rsidRDefault="0091527A" w:rsidP="003831ED">
      <w:pPr>
        <w:ind w:left="720"/>
        <w:jc w:val="both"/>
        <w:rPr>
          <w:rFonts w:asciiTheme="majorHAnsi" w:hAnsiTheme="majorHAnsi" w:cs="Verdana"/>
          <w:sz w:val="20"/>
          <w:szCs w:val="20"/>
          <w:lang w:val="es-ES_tradnl" w:bidi="en-US"/>
        </w:rPr>
      </w:pPr>
    </w:p>
    <w:p w14:paraId="38DB37B1" w14:textId="73CDF82A" w:rsidR="00BE6D20" w:rsidRPr="00E0440B" w:rsidRDefault="00BE6D20" w:rsidP="00E61826">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_tradnl" w:bidi="en-US"/>
        </w:rPr>
        <w:t xml:space="preserve">Sobre la </w:t>
      </w:r>
      <w:r w:rsidR="00192370" w:rsidRPr="00E0440B">
        <w:rPr>
          <w:rFonts w:asciiTheme="majorHAnsi" w:hAnsiTheme="majorHAnsi" w:cs="Verdana"/>
          <w:b/>
          <w:bCs/>
          <w:sz w:val="20"/>
          <w:szCs w:val="20"/>
          <w:lang w:val="es-ES_tradnl" w:bidi="en-US"/>
        </w:rPr>
        <w:t xml:space="preserve">cuarta </w:t>
      </w:r>
      <w:r w:rsidRPr="00E0440B">
        <w:rPr>
          <w:rFonts w:asciiTheme="majorHAnsi" w:hAnsiTheme="majorHAnsi" w:cs="Verdana"/>
          <w:b/>
          <w:bCs/>
          <w:sz w:val="20"/>
          <w:szCs w:val="20"/>
          <w:lang w:val="es-ES_tradnl" w:bidi="en-US"/>
        </w:rPr>
        <w:t>recomendación</w:t>
      </w:r>
      <w:r w:rsidR="00CF73B8" w:rsidRPr="00E0440B">
        <w:rPr>
          <w:rFonts w:asciiTheme="majorHAnsi" w:hAnsiTheme="majorHAnsi" w:cs="Verdana"/>
          <w:sz w:val="20"/>
          <w:szCs w:val="20"/>
          <w:lang w:val="es-ES_tradnl" w:bidi="en-US"/>
        </w:rPr>
        <w:t>,</w:t>
      </w:r>
      <w:r w:rsidRPr="00E0440B">
        <w:rPr>
          <w:rFonts w:asciiTheme="majorHAnsi" w:hAnsiTheme="majorHAnsi" w:cs="Verdana"/>
          <w:sz w:val="20"/>
          <w:szCs w:val="20"/>
          <w:lang w:val="es-ES_tradnl" w:bidi="en-US"/>
        </w:rPr>
        <w:t xml:space="preserve"> </w:t>
      </w:r>
      <w:r w:rsidR="00CF73B8" w:rsidRPr="00E0440B">
        <w:rPr>
          <w:rFonts w:asciiTheme="majorHAnsi" w:hAnsiTheme="majorHAnsi" w:cs="Verdana"/>
          <w:sz w:val="20"/>
          <w:szCs w:val="20"/>
          <w:lang w:val="es-ES_tradnl" w:bidi="en-US"/>
        </w:rPr>
        <w:t xml:space="preserve">el 30 de agosto de 2022 </w:t>
      </w:r>
      <w:r w:rsidRPr="00E0440B">
        <w:rPr>
          <w:rFonts w:asciiTheme="majorHAnsi" w:hAnsiTheme="majorHAnsi" w:cs="Verdana"/>
          <w:sz w:val="20"/>
          <w:szCs w:val="20"/>
          <w:lang w:val="es-ES_tradnl" w:bidi="en-US"/>
        </w:rPr>
        <w:t xml:space="preserve">el Estado informó que la Procuraduría Delegada para la </w:t>
      </w:r>
      <w:r w:rsidR="003222BD" w:rsidRPr="00E0440B">
        <w:rPr>
          <w:rFonts w:asciiTheme="majorHAnsi" w:hAnsiTheme="majorHAnsi" w:cs="Verdana"/>
          <w:sz w:val="20"/>
          <w:szCs w:val="20"/>
          <w:lang w:val="es-ES_tradnl" w:bidi="en-US"/>
        </w:rPr>
        <w:t>V</w:t>
      </w:r>
      <w:r w:rsidRPr="00E0440B">
        <w:rPr>
          <w:rFonts w:asciiTheme="majorHAnsi" w:hAnsiTheme="majorHAnsi" w:cs="Verdana"/>
          <w:sz w:val="20"/>
          <w:szCs w:val="20"/>
          <w:lang w:val="es-ES_tradnl" w:bidi="en-US"/>
        </w:rPr>
        <w:t>igilancia Administrativa y Judicial, luego de analizar la documentación, declaró que transcurridos más de 17 años, se ha presentado el fenómeno jurídico de la caducidad, por lo que no puede proseguir acción disciplinaria alguna y disp</w:t>
      </w:r>
      <w:r w:rsidR="004E3283" w:rsidRPr="00E0440B">
        <w:rPr>
          <w:rFonts w:asciiTheme="majorHAnsi" w:hAnsiTheme="majorHAnsi" w:cs="Verdana"/>
          <w:sz w:val="20"/>
          <w:szCs w:val="20"/>
          <w:lang w:val="es-ES_tradnl" w:bidi="en-US"/>
        </w:rPr>
        <w:t>uso</w:t>
      </w:r>
      <w:r w:rsidRPr="00E0440B">
        <w:rPr>
          <w:rFonts w:asciiTheme="majorHAnsi" w:hAnsiTheme="majorHAnsi" w:cs="Verdana"/>
          <w:sz w:val="20"/>
          <w:szCs w:val="20"/>
          <w:lang w:val="es-ES_tradnl" w:bidi="en-US"/>
        </w:rPr>
        <w:t xml:space="preserve"> su archivo.</w:t>
      </w:r>
      <w:r w:rsidR="00E61826" w:rsidRPr="00E0440B">
        <w:rPr>
          <w:rFonts w:asciiTheme="majorHAnsi" w:hAnsiTheme="majorHAnsi" w:cs="Verdana"/>
          <w:sz w:val="20"/>
          <w:szCs w:val="20"/>
          <w:lang w:val="es-ES_tradnl" w:bidi="en-US"/>
        </w:rPr>
        <w:t xml:space="preserve"> En vista de esto, la Comisión considera que el Estado no requiere </w:t>
      </w:r>
      <w:r w:rsidR="00A45DF5" w:rsidRPr="00E0440B">
        <w:rPr>
          <w:rFonts w:asciiTheme="majorHAnsi" w:hAnsiTheme="majorHAnsi" w:cs="Verdana"/>
          <w:sz w:val="20"/>
          <w:szCs w:val="20"/>
          <w:lang w:val="es-ES_tradnl" w:bidi="en-US"/>
        </w:rPr>
        <w:t xml:space="preserve">impulsar </w:t>
      </w:r>
      <w:r w:rsidR="00E61826" w:rsidRPr="00E0440B">
        <w:rPr>
          <w:rFonts w:asciiTheme="majorHAnsi" w:hAnsiTheme="majorHAnsi" w:cs="Verdana"/>
          <w:sz w:val="20"/>
          <w:szCs w:val="20"/>
          <w:lang w:val="es-ES_tradnl" w:bidi="en-US"/>
        </w:rPr>
        <w:t>otras acciones encaminadas a su cumplimiento</w:t>
      </w:r>
      <w:r w:rsidR="00675680" w:rsidRPr="00E0440B">
        <w:rPr>
          <w:rFonts w:asciiTheme="majorHAnsi" w:hAnsiTheme="majorHAnsi" w:cs="Verdana"/>
          <w:sz w:val="20"/>
          <w:szCs w:val="20"/>
          <w:lang w:val="es-ES_tradnl" w:bidi="en-US"/>
        </w:rPr>
        <w:t>. C</w:t>
      </w:r>
      <w:r w:rsidR="00F64A51" w:rsidRPr="00E0440B">
        <w:rPr>
          <w:rFonts w:asciiTheme="majorHAnsi" w:hAnsiTheme="majorHAnsi" w:cs="Verdana"/>
          <w:sz w:val="20"/>
          <w:szCs w:val="20"/>
          <w:lang w:val="es-US" w:bidi="en-US"/>
        </w:rPr>
        <w:t>onsecuentemente</w:t>
      </w:r>
      <w:r w:rsidR="00DA3036" w:rsidRPr="00E0440B">
        <w:rPr>
          <w:rFonts w:asciiTheme="majorHAnsi" w:hAnsiTheme="majorHAnsi" w:cs="Verdana"/>
          <w:sz w:val="20"/>
          <w:szCs w:val="20"/>
          <w:lang w:val="es-US" w:bidi="en-US"/>
        </w:rPr>
        <w:t>, en las circunstancias de este caso, no se realizará seguimiento a esta recomendación</w:t>
      </w:r>
      <w:r w:rsidR="00E61826" w:rsidRPr="00E0440B">
        <w:rPr>
          <w:rFonts w:asciiTheme="majorHAnsi" w:hAnsiTheme="majorHAnsi" w:cs="Verdana"/>
          <w:sz w:val="20"/>
          <w:szCs w:val="20"/>
          <w:lang w:val="es-ES_tradnl" w:bidi="en-US"/>
        </w:rPr>
        <w:t>.</w:t>
      </w:r>
    </w:p>
    <w:p w14:paraId="3109EFB4" w14:textId="77777777" w:rsidR="002F7811" w:rsidRPr="00E0440B" w:rsidRDefault="002F7811" w:rsidP="002F7811">
      <w:pPr>
        <w:pStyle w:val="ListParagraph"/>
        <w:rPr>
          <w:rFonts w:asciiTheme="majorHAnsi" w:hAnsiTheme="majorHAnsi" w:cs="Verdana"/>
          <w:sz w:val="20"/>
          <w:szCs w:val="20"/>
          <w:lang w:val="es-ES_tradnl" w:bidi="en-US"/>
        </w:rPr>
      </w:pPr>
    </w:p>
    <w:p w14:paraId="6320A047" w14:textId="44FDCF7A" w:rsidR="00721181" w:rsidRPr="00E0440B" w:rsidRDefault="002F7811" w:rsidP="00C63EE8">
      <w:pPr>
        <w:numPr>
          <w:ilvl w:val="0"/>
          <w:numId w:val="56"/>
        </w:numPr>
        <w:ind w:left="0" w:firstLine="720"/>
        <w:jc w:val="both"/>
        <w:rPr>
          <w:rFonts w:asciiTheme="majorHAnsi" w:eastAsia="Cambria" w:hAnsiTheme="majorHAnsi" w:cs="Cambria"/>
          <w:sz w:val="20"/>
          <w:szCs w:val="20"/>
          <w:lang w:val="es-MX"/>
        </w:rPr>
      </w:pPr>
      <w:r w:rsidRPr="00E0440B">
        <w:rPr>
          <w:rFonts w:asciiTheme="majorHAnsi" w:hAnsiTheme="majorHAnsi" w:cs="Verdana"/>
          <w:sz w:val="20"/>
          <w:szCs w:val="20"/>
          <w:lang w:val="es-ES_tradnl" w:bidi="en-US"/>
        </w:rPr>
        <w:t xml:space="preserve">Sobre la </w:t>
      </w:r>
      <w:r w:rsidRPr="00E0440B">
        <w:rPr>
          <w:rFonts w:asciiTheme="majorHAnsi" w:hAnsiTheme="majorHAnsi" w:cs="Verdana"/>
          <w:b/>
          <w:bCs/>
          <w:sz w:val="20"/>
          <w:szCs w:val="20"/>
          <w:lang w:val="es-ES_tradnl" w:bidi="en-US"/>
        </w:rPr>
        <w:t>quinta recomendación</w:t>
      </w:r>
      <w:r w:rsidRPr="00E0440B">
        <w:rPr>
          <w:rFonts w:asciiTheme="majorHAnsi" w:hAnsiTheme="majorHAnsi" w:cs="Verdana"/>
          <w:sz w:val="20"/>
          <w:szCs w:val="20"/>
          <w:lang w:val="es-ES_tradnl" w:bidi="en-US"/>
        </w:rPr>
        <w:t xml:space="preserve">, </w:t>
      </w:r>
      <w:r w:rsidR="001C6BD8" w:rsidRPr="00E0440B">
        <w:rPr>
          <w:rFonts w:asciiTheme="majorHAnsi" w:hAnsiTheme="majorHAnsi" w:cs="Verdana"/>
          <w:sz w:val="20"/>
          <w:szCs w:val="20"/>
          <w:lang w:val="es-ES_tradnl" w:bidi="en-US"/>
        </w:rPr>
        <w:t xml:space="preserve">la Comisión nota </w:t>
      </w:r>
      <w:r w:rsidR="00226E47" w:rsidRPr="00E0440B">
        <w:rPr>
          <w:rFonts w:asciiTheme="majorHAnsi" w:hAnsiTheme="majorHAnsi" w:cs="Verdana"/>
          <w:sz w:val="20"/>
          <w:szCs w:val="20"/>
          <w:lang w:val="es-ES_tradnl" w:bidi="en-US"/>
        </w:rPr>
        <w:t xml:space="preserve">que Colombia cuenta con </w:t>
      </w:r>
      <w:r w:rsidR="007909ED" w:rsidRPr="00E0440B">
        <w:rPr>
          <w:rFonts w:asciiTheme="majorHAnsi" w:hAnsiTheme="majorHAnsi" w:cs="Verdana"/>
          <w:sz w:val="20"/>
          <w:szCs w:val="20"/>
          <w:lang w:val="es-ES_tradnl" w:bidi="en-US"/>
        </w:rPr>
        <w:t>un marco normativo e institucional de</w:t>
      </w:r>
      <w:r w:rsidR="00C27781" w:rsidRPr="00E0440B">
        <w:rPr>
          <w:rFonts w:asciiTheme="majorHAnsi" w:hAnsiTheme="majorHAnsi" w:cs="Verdana"/>
          <w:sz w:val="20"/>
          <w:szCs w:val="20"/>
          <w:lang w:val="es-ES_tradnl" w:bidi="en-US"/>
        </w:rPr>
        <w:t xml:space="preserve"> protecció</w:t>
      </w:r>
      <w:r w:rsidR="000651A1" w:rsidRPr="00E0440B">
        <w:rPr>
          <w:rFonts w:asciiTheme="majorHAnsi" w:hAnsiTheme="majorHAnsi" w:cs="Verdana"/>
          <w:sz w:val="20"/>
          <w:szCs w:val="20"/>
          <w:lang w:val="es-ES_tradnl" w:bidi="en-US"/>
        </w:rPr>
        <w:t>n</w:t>
      </w:r>
      <w:r w:rsidR="004A430D" w:rsidRPr="00E0440B">
        <w:rPr>
          <w:rFonts w:asciiTheme="majorHAnsi" w:hAnsiTheme="majorHAnsi" w:cs="Verdana"/>
          <w:sz w:val="20"/>
          <w:szCs w:val="20"/>
          <w:lang w:val="es-ES_tradnl" w:bidi="en-US"/>
        </w:rPr>
        <w:t xml:space="preserve"> </w:t>
      </w:r>
      <w:r w:rsidR="00D06387" w:rsidRPr="00E0440B">
        <w:rPr>
          <w:rFonts w:asciiTheme="majorHAnsi" w:hAnsiTheme="majorHAnsi" w:cs="Verdana"/>
          <w:sz w:val="20"/>
          <w:szCs w:val="20"/>
          <w:lang w:val="es-ES_tradnl" w:bidi="en-US"/>
        </w:rPr>
        <w:t>con la capacidad</w:t>
      </w:r>
      <w:r w:rsidR="004A430D" w:rsidRPr="00E0440B">
        <w:rPr>
          <w:rFonts w:asciiTheme="majorHAnsi" w:hAnsiTheme="majorHAnsi" w:cs="Verdana"/>
          <w:sz w:val="20"/>
          <w:szCs w:val="20"/>
          <w:lang w:val="es-ES_tradnl" w:bidi="en-US"/>
        </w:rPr>
        <w:t xml:space="preserve"> de </w:t>
      </w:r>
      <w:r w:rsidR="00A92BC7" w:rsidRPr="00E0440B">
        <w:rPr>
          <w:rFonts w:asciiTheme="majorHAnsi" w:eastAsia="Cambria" w:hAnsiTheme="majorHAnsi" w:cs="Cambria"/>
          <w:sz w:val="20"/>
          <w:szCs w:val="20"/>
          <w:lang w:val="es-MX"/>
        </w:rPr>
        <w:t xml:space="preserve">asegurar la debida coordinación institucional de los mecanismos existentes para identificar y calificar situaciones de riesgo a la vida e integridad personal; y </w:t>
      </w:r>
      <w:r w:rsidR="00CA3812" w:rsidRPr="00E0440B">
        <w:rPr>
          <w:rFonts w:asciiTheme="majorHAnsi" w:eastAsia="Cambria" w:hAnsiTheme="majorHAnsi" w:cs="Cambria"/>
          <w:sz w:val="20"/>
          <w:szCs w:val="20"/>
          <w:lang w:val="es-MX"/>
        </w:rPr>
        <w:t>de</w:t>
      </w:r>
      <w:r w:rsidR="00A92BC7" w:rsidRPr="00E0440B">
        <w:rPr>
          <w:rFonts w:asciiTheme="majorHAnsi" w:eastAsia="Cambria" w:hAnsiTheme="majorHAnsi" w:cs="Cambria"/>
          <w:sz w:val="20"/>
          <w:szCs w:val="20"/>
          <w:lang w:val="es-MX"/>
        </w:rPr>
        <w:t xml:space="preserve"> asegurar que ante situaciones de riesgo a la vida e integridad personal se brinde la debida protección a instancias del Estado. </w:t>
      </w:r>
      <w:r w:rsidR="00626E56" w:rsidRPr="00E0440B">
        <w:rPr>
          <w:rFonts w:asciiTheme="majorHAnsi" w:eastAsia="Cambria" w:hAnsiTheme="majorHAnsi" w:cs="Cambria"/>
          <w:sz w:val="20"/>
          <w:szCs w:val="20"/>
          <w:lang w:val="es-MX"/>
        </w:rPr>
        <w:t xml:space="preserve">La Comisión </w:t>
      </w:r>
      <w:r w:rsidR="00675680" w:rsidRPr="00E0440B">
        <w:rPr>
          <w:rFonts w:asciiTheme="majorHAnsi" w:eastAsia="Cambria" w:hAnsiTheme="majorHAnsi" w:cs="Cambria"/>
          <w:sz w:val="20"/>
          <w:szCs w:val="20"/>
          <w:lang w:val="es-MX"/>
        </w:rPr>
        <w:t xml:space="preserve">observa </w:t>
      </w:r>
      <w:r w:rsidR="00626E56" w:rsidRPr="00E0440B">
        <w:rPr>
          <w:rFonts w:asciiTheme="majorHAnsi" w:eastAsia="Cambria" w:hAnsiTheme="majorHAnsi" w:cs="Cambria"/>
          <w:sz w:val="20"/>
          <w:szCs w:val="20"/>
          <w:lang w:val="es-MX"/>
        </w:rPr>
        <w:t>que este marco</w:t>
      </w:r>
      <w:r w:rsidR="00B8444C" w:rsidRPr="00E0440B">
        <w:rPr>
          <w:rFonts w:asciiTheme="majorHAnsi" w:eastAsia="Cambria" w:hAnsiTheme="majorHAnsi" w:cs="Cambria"/>
          <w:sz w:val="20"/>
          <w:szCs w:val="20"/>
          <w:lang w:val="es-MX"/>
        </w:rPr>
        <w:t xml:space="preserve"> está previsto </w:t>
      </w:r>
      <w:r w:rsidR="0092266C" w:rsidRPr="00E0440B">
        <w:rPr>
          <w:rFonts w:asciiTheme="majorHAnsi" w:eastAsia="Cambria" w:hAnsiTheme="majorHAnsi" w:cs="Cambria"/>
          <w:sz w:val="20"/>
          <w:szCs w:val="20"/>
          <w:lang w:val="es-MX"/>
        </w:rPr>
        <w:t>para</w:t>
      </w:r>
      <w:r w:rsidR="00B8444C" w:rsidRPr="00E0440B">
        <w:rPr>
          <w:rFonts w:asciiTheme="majorHAnsi" w:eastAsia="Cambria" w:hAnsiTheme="majorHAnsi" w:cs="Cambria"/>
          <w:sz w:val="20"/>
          <w:szCs w:val="20"/>
          <w:lang w:val="es-MX"/>
        </w:rPr>
        <w:t xml:space="preserve"> </w:t>
      </w:r>
      <w:r w:rsidR="0092266C" w:rsidRPr="00E0440B">
        <w:rPr>
          <w:rFonts w:asciiTheme="majorHAnsi" w:eastAsia="Cambria" w:hAnsiTheme="majorHAnsi" w:cs="Cambria"/>
          <w:sz w:val="20"/>
          <w:szCs w:val="20"/>
          <w:lang w:val="es-MX"/>
        </w:rPr>
        <w:t xml:space="preserve">diferentes grupos </w:t>
      </w:r>
      <w:r w:rsidR="00A92BC7" w:rsidRPr="00E0440B">
        <w:rPr>
          <w:rFonts w:asciiTheme="majorHAnsi" w:eastAsia="Cambria" w:hAnsiTheme="majorHAnsi" w:cs="Cambria"/>
          <w:sz w:val="20"/>
          <w:szCs w:val="20"/>
          <w:lang w:val="es-MX"/>
        </w:rPr>
        <w:t>que requieran especial protección</w:t>
      </w:r>
      <w:r w:rsidR="0092266C" w:rsidRPr="00E0440B">
        <w:rPr>
          <w:rFonts w:asciiTheme="majorHAnsi" w:eastAsia="Cambria" w:hAnsiTheme="majorHAnsi" w:cs="Cambria"/>
          <w:sz w:val="20"/>
          <w:szCs w:val="20"/>
          <w:lang w:val="es-MX"/>
        </w:rPr>
        <w:t xml:space="preserve">, así como víctimas de violaciones de derechos humanos en general. Asimismo, </w:t>
      </w:r>
      <w:r w:rsidR="00675680" w:rsidRPr="00E0440B">
        <w:rPr>
          <w:rFonts w:asciiTheme="majorHAnsi" w:eastAsia="Cambria" w:hAnsiTheme="majorHAnsi" w:cs="Cambria"/>
          <w:sz w:val="20"/>
          <w:szCs w:val="20"/>
          <w:lang w:val="es-MX"/>
        </w:rPr>
        <w:t xml:space="preserve">advierte </w:t>
      </w:r>
      <w:r w:rsidR="0092266C" w:rsidRPr="00E0440B">
        <w:rPr>
          <w:rFonts w:asciiTheme="majorHAnsi" w:eastAsia="Cambria" w:hAnsiTheme="majorHAnsi" w:cs="Cambria"/>
          <w:sz w:val="20"/>
          <w:szCs w:val="20"/>
          <w:lang w:val="es-MX"/>
        </w:rPr>
        <w:t xml:space="preserve">que </w:t>
      </w:r>
      <w:r w:rsidR="007B7FBE" w:rsidRPr="00E0440B">
        <w:rPr>
          <w:rFonts w:asciiTheme="majorHAnsi" w:eastAsia="Cambria" w:hAnsiTheme="majorHAnsi" w:cs="Cambria"/>
          <w:sz w:val="20"/>
          <w:szCs w:val="20"/>
          <w:lang w:val="es-MX"/>
        </w:rPr>
        <w:t xml:space="preserve">en </w:t>
      </w:r>
      <w:r w:rsidR="00830239" w:rsidRPr="00E0440B">
        <w:rPr>
          <w:rFonts w:asciiTheme="majorHAnsi" w:eastAsia="Cambria" w:hAnsiTheme="majorHAnsi" w:cs="Cambria"/>
          <w:sz w:val="20"/>
          <w:szCs w:val="20"/>
          <w:lang w:val="es-MX"/>
        </w:rPr>
        <w:t xml:space="preserve">el citado marco </w:t>
      </w:r>
      <w:r w:rsidR="002B497F" w:rsidRPr="00E0440B">
        <w:rPr>
          <w:rFonts w:asciiTheme="majorHAnsi" w:eastAsia="Cambria" w:hAnsiTheme="majorHAnsi" w:cs="Cambria"/>
          <w:sz w:val="20"/>
          <w:szCs w:val="20"/>
          <w:lang w:val="es-US"/>
        </w:rPr>
        <w:t>los beneficiarios pueden acceder a un catálogo amplio de medidas de emergencia, prevención y protección que no se limitan únicamente a directrices de autoprotección</w:t>
      </w:r>
      <w:r w:rsidR="007B7FBE" w:rsidRPr="00E0440B">
        <w:rPr>
          <w:rFonts w:asciiTheme="majorHAnsi" w:eastAsia="Cambria" w:hAnsiTheme="majorHAnsi" w:cs="Cambria"/>
          <w:sz w:val="20"/>
          <w:szCs w:val="20"/>
          <w:lang w:val="es-US"/>
        </w:rPr>
        <w:t xml:space="preserve">. </w:t>
      </w:r>
      <w:r w:rsidR="008E4AC0" w:rsidRPr="00E0440B">
        <w:rPr>
          <w:rFonts w:asciiTheme="majorHAnsi" w:eastAsia="Cambria" w:hAnsiTheme="majorHAnsi" w:cs="Cambria"/>
          <w:sz w:val="20"/>
          <w:szCs w:val="20"/>
          <w:lang w:val="es-US"/>
        </w:rPr>
        <w:t>En vista de esto, la Comisión considera que el Estado ha dado cumplimiento a esta recomendación.</w:t>
      </w:r>
    </w:p>
    <w:p w14:paraId="12DEFB6B" w14:textId="77777777" w:rsidR="00056810" w:rsidRPr="00E0440B" w:rsidRDefault="00056810" w:rsidP="00056810">
      <w:pPr>
        <w:jc w:val="both"/>
        <w:rPr>
          <w:rFonts w:asciiTheme="majorHAnsi" w:hAnsiTheme="majorHAnsi" w:cs="Verdana"/>
          <w:sz w:val="20"/>
          <w:szCs w:val="20"/>
          <w:lang w:val="es-ES_tradnl" w:bidi="en-US"/>
        </w:rPr>
      </w:pPr>
    </w:p>
    <w:p w14:paraId="11D36B29" w14:textId="2DC827D7" w:rsidR="002B721B" w:rsidRPr="001E4EA1" w:rsidRDefault="00721181" w:rsidP="002B721B">
      <w:pPr>
        <w:numPr>
          <w:ilvl w:val="0"/>
          <w:numId w:val="56"/>
        </w:numPr>
        <w:ind w:left="0" w:firstLine="720"/>
        <w:jc w:val="both"/>
        <w:rPr>
          <w:rFonts w:asciiTheme="majorHAnsi" w:hAnsiTheme="majorHAnsi" w:cs="Verdana"/>
          <w:sz w:val="20"/>
          <w:szCs w:val="20"/>
          <w:lang w:val="es-ES_tradnl" w:bidi="en-US"/>
        </w:rPr>
      </w:pPr>
      <w:r w:rsidRPr="00E0440B">
        <w:rPr>
          <w:rFonts w:asciiTheme="majorHAnsi" w:hAnsiTheme="majorHAnsi" w:cs="Verdana"/>
          <w:sz w:val="20"/>
          <w:szCs w:val="20"/>
          <w:lang w:val="es-ES" w:bidi="en-US"/>
        </w:rPr>
        <w:t xml:space="preserve">La CIDH valora las medidas adoptadas por el Estado para cumplir con sus recomendaciones </w:t>
      </w:r>
      <w:r w:rsidR="004F58B4" w:rsidRPr="00E0440B">
        <w:rPr>
          <w:rFonts w:asciiTheme="majorHAnsi" w:hAnsiTheme="majorHAnsi" w:cs="Verdana"/>
          <w:sz w:val="20"/>
          <w:szCs w:val="20"/>
          <w:lang w:val="es-ES" w:bidi="en-US"/>
        </w:rPr>
        <w:t xml:space="preserve">y da por cumplidas las recomendaciones 2 a 5. La Comisión </w:t>
      </w:r>
      <w:r w:rsidR="002B6A2C" w:rsidRPr="00E0440B">
        <w:rPr>
          <w:rFonts w:asciiTheme="majorHAnsi" w:hAnsiTheme="majorHAnsi"/>
          <w:spacing w:val="-3"/>
          <w:sz w:val="20"/>
          <w:szCs w:val="20"/>
          <w:lang w:val="es-ES"/>
        </w:rPr>
        <w:t>observa que aún se encuentra pendiente de cumplimiento la primera recomendación relativa a la reparación integral, con respecto a la reparación pecuniaria, la cual resulta fundamental para lograr el cumplimiento total de las recomendaciones</w:t>
      </w:r>
      <w:r w:rsidR="002B6A2C" w:rsidRPr="00E0440B">
        <w:rPr>
          <w:rFonts w:asciiTheme="majorHAnsi" w:hAnsiTheme="majorHAnsi" w:cs="Verdana"/>
          <w:sz w:val="20"/>
          <w:szCs w:val="20"/>
          <w:lang w:val="es-ES_tradnl" w:bidi="en-US"/>
        </w:rPr>
        <w:t>.</w:t>
      </w:r>
    </w:p>
    <w:p w14:paraId="76C2AE60" w14:textId="77777777" w:rsidR="002B721B" w:rsidRPr="00A80D3D" w:rsidRDefault="002B721B" w:rsidP="00CC13A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Verdana"/>
          <w:sz w:val="20"/>
          <w:szCs w:val="20"/>
          <w:lang w:val="es-ES" w:bidi="en-US"/>
        </w:rPr>
      </w:pPr>
    </w:p>
    <w:p w14:paraId="0E05B1FA" w14:textId="3C64E1C9" w:rsidR="00C67DC1" w:rsidRPr="00FD1514" w:rsidRDefault="002B721B" w:rsidP="002B72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FD1514">
        <w:rPr>
          <w:rFonts w:asciiTheme="majorHAnsi" w:hAnsiTheme="majorHAnsi" w:cs="Verdana"/>
          <w:sz w:val="20"/>
          <w:szCs w:val="20"/>
          <w:lang w:val="es-ES" w:bidi="en-US"/>
        </w:rPr>
        <w:t xml:space="preserve">La Comisión adoptó el </w:t>
      </w:r>
      <w:r w:rsidR="00871B7B" w:rsidRPr="00FD1514">
        <w:rPr>
          <w:rFonts w:asciiTheme="majorHAnsi" w:hAnsiTheme="majorHAnsi" w:cs="Verdana"/>
          <w:sz w:val="20"/>
          <w:szCs w:val="20"/>
          <w:lang w:val="es-ES" w:bidi="en-US"/>
        </w:rPr>
        <w:t>I</w:t>
      </w:r>
      <w:r w:rsidRPr="00FD1514">
        <w:rPr>
          <w:rFonts w:asciiTheme="majorHAnsi" w:hAnsiTheme="majorHAnsi" w:cs="Verdana"/>
          <w:sz w:val="20"/>
          <w:szCs w:val="20"/>
          <w:lang w:val="es-ES" w:bidi="en-US"/>
        </w:rPr>
        <w:t xml:space="preserve">nforme de </w:t>
      </w:r>
      <w:r w:rsidR="00871B7B" w:rsidRPr="00FD1514">
        <w:rPr>
          <w:rFonts w:asciiTheme="majorHAnsi" w:hAnsiTheme="majorHAnsi" w:cs="Verdana"/>
          <w:sz w:val="20"/>
          <w:szCs w:val="20"/>
          <w:lang w:val="es-ES" w:bidi="en-US"/>
        </w:rPr>
        <w:t>F</w:t>
      </w:r>
      <w:r w:rsidRPr="00FD1514">
        <w:rPr>
          <w:rFonts w:asciiTheme="majorHAnsi" w:hAnsiTheme="majorHAnsi" w:cs="Verdana"/>
          <w:sz w:val="20"/>
          <w:szCs w:val="20"/>
          <w:lang w:val="es-ES" w:bidi="en-US"/>
        </w:rPr>
        <w:t xml:space="preserve">ondo </w:t>
      </w:r>
      <w:r w:rsidR="005B5A3F" w:rsidRPr="00FD1514">
        <w:rPr>
          <w:rFonts w:asciiTheme="majorHAnsi" w:hAnsiTheme="majorHAnsi" w:cs="Verdana"/>
          <w:sz w:val="20"/>
          <w:szCs w:val="20"/>
          <w:lang w:val="es-ES" w:bidi="en-US"/>
        </w:rPr>
        <w:t>(</w:t>
      </w:r>
      <w:r w:rsidR="00871B7B" w:rsidRPr="00FD1514">
        <w:rPr>
          <w:rFonts w:asciiTheme="majorHAnsi" w:hAnsiTheme="majorHAnsi" w:cs="Verdana"/>
          <w:sz w:val="20"/>
          <w:szCs w:val="20"/>
          <w:lang w:val="es-ES" w:bidi="en-US"/>
        </w:rPr>
        <w:t>F</w:t>
      </w:r>
      <w:r w:rsidRPr="00FD1514">
        <w:rPr>
          <w:rFonts w:asciiTheme="majorHAnsi" w:hAnsiTheme="majorHAnsi" w:cs="Verdana"/>
          <w:sz w:val="20"/>
          <w:szCs w:val="20"/>
          <w:lang w:val="es-ES" w:bidi="en-US"/>
        </w:rPr>
        <w:t>inal</w:t>
      </w:r>
      <w:r w:rsidR="005B5A3F" w:rsidRPr="00FD1514">
        <w:rPr>
          <w:rFonts w:asciiTheme="majorHAnsi" w:hAnsiTheme="majorHAnsi" w:cs="Verdana"/>
          <w:sz w:val="20"/>
          <w:szCs w:val="20"/>
          <w:lang w:val="es-ES" w:bidi="en-US"/>
        </w:rPr>
        <w:t>)</w:t>
      </w:r>
      <w:r w:rsidRPr="00FD1514">
        <w:rPr>
          <w:rFonts w:asciiTheme="majorHAnsi" w:hAnsiTheme="majorHAnsi" w:cs="Verdana"/>
          <w:sz w:val="20"/>
          <w:szCs w:val="20"/>
          <w:lang w:val="es-ES" w:bidi="en-US"/>
        </w:rPr>
        <w:t xml:space="preserve"> No. </w:t>
      </w:r>
      <w:r w:rsidR="009A43CC" w:rsidRPr="00FD1514">
        <w:rPr>
          <w:rFonts w:asciiTheme="majorHAnsi" w:hAnsiTheme="majorHAnsi" w:cs="Verdana"/>
          <w:sz w:val="20"/>
          <w:szCs w:val="20"/>
          <w:lang w:val="es-ES" w:bidi="en-US"/>
        </w:rPr>
        <w:t>44</w:t>
      </w:r>
      <w:r w:rsidRPr="00FD1514">
        <w:rPr>
          <w:rFonts w:asciiTheme="majorHAnsi" w:hAnsiTheme="majorHAnsi" w:cs="Verdana"/>
          <w:sz w:val="20"/>
          <w:szCs w:val="20"/>
          <w:lang w:val="es-ES" w:bidi="en-US"/>
        </w:rPr>
        <w:t>/2</w:t>
      </w:r>
      <w:r w:rsidR="009A43CC" w:rsidRPr="00FD1514">
        <w:rPr>
          <w:rFonts w:asciiTheme="majorHAnsi" w:hAnsiTheme="majorHAnsi" w:cs="Verdana"/>
          <w:sz w:val="20"/>
          <w:szCs w:val="20"/>
          <w:lang w:val="es-ES" w:bidi="en-US"/>
        </w:rPr>
        <w:t>5</w:t>
      </w:r>
      <w:r w:rsidRPr="00FD1514">
        <w:rPr>
          <w:rFonts w:asciiTheme="majorHAnsi" w:hAnsiTheme="majorHAnsi" w:cs="Verdana"/>
          <w:sz w:val="20"/>
          <w:szCs w:val="20"/>
          <w:lang w:val="es-ES" w:bidi="en-US"/>
        </w:rPr>
        <w:t xml:space="preserve"> el </w:t>
      </w:r>
      <w:r w:rsidR="009A43CC" w:rsidRPr="00FD1514">
        <w:rPr>
          <w:rFonts w:asciiTheme="majorHAnsi" w:hAnsiTheme="majorHAnsi" w:cs="Verdana"/>
          <w:sz w:val="20"/>
          <w:szCs w:val="20"/>
          <w:lang w:val="es-ES" w:bidi="en-US"/>
        </w:rPr>
        <w:t>14</w:t>
      </w:r>
      <w:r w:rsidRPr="00FD1514">
        <w:rPr>
          <w:rFonts w:asciiTheme="majorHAnsi" w:hAnsiTheme="majorHAnsi" w:cs="Verdana"/>
          <w:sz w:val="20"/>
          <w:szCs w:val="20"/>
          <w:lang w:val="es-ES" w:bidi="en-US"/>
        </w:rPr>
        <w:t xml:space="preserve"> de </w:t>
      </w:r>
      <w:r w:rsidR="009A43CC" w:rsidRPr="00FD1514">
        <w:rPr>
          <w:rFonts w:asciiTheme="majorHAnsi" w:hAnsiTheme="majorHAnsi" w:cs="Verdana"/>
          <w:sz w:val="20"/>
          <w:szCs w:val="20"/>
          <w:lang w:val="es-ES" w:bidi="en-US"/>
        </w:rPr>
        <w:t xml:space="preserve">abril </w:t>
      </w:r>
      <w:r w:rsidRPr="00FD1514">
        <w:rPr>
          <w:rFonts w:asciiTheme="majorHAnsi" w:hAnsiTheme="majorHAnsi" w:cs="Verdana"/>
          <w:sz w:val="20"/>
          <w:szCs w:val="20"/>
          <w:lang w:val="es-ES" w:bidi="en-US"/>
        </w:rPr>
        <w:t>de 202</w:t>
      </w:r>
      <w:r w:rsidR="009A43CC" w:rsidRPr="00FD1514">
        <w:rPr>
          <w:rFonts w:asciiTheme="majorHAnsi" w:hAnsiTheme="majorHAnsi" w:cs="Verdana"/>
          <w:sz w:val="20"/>
          <w:szCs w:val="20"/>
          <w:lang w:val="es-ES" w:bidi="en-US"/>
        </w:rPr>
        <w:t>5</w:t>
      </w:r>
      <w:r w:rsidR="00C67DC1" w:rsidRPr="00FD1514">
        <w:rPr>
          <w:rFonts w:asciiTheme="majorHAnsi" w:hAnsiTheme="majorHAnsi" w:cs="Verdana"/>
          <w:sz w:val="20"/>
          <w:szCs w:val="20"/>
          <w:lang w:val="es-ES" w:bidi="en-US"/>
        </w:rPr>
        <w:t>.</w:t>
      </w:r>
      <w:r w:rsidR="00E030D9" w:rsidRPr="00FD1514">
        <w:rPr>
          <w:rFonts w:asciiTheme="majorHAnsi" w:hAnsiTheme="majorHAnsi" w:cs="Verdana"/>
          <w:sz w:val="20"/>
          <w:szCs w:val="20"/>
          <w:lang w:val="es-ES" w:bidi="en-US"/>
        </w:rPr>
        <w:t xml:space="preserve"> </w:t>
      </w:r>
      <w:r w:rsidR="00C67DC1" w:rsidRPr="00FD1514">
        <w:rPr>
          <w:rFonts w:asciiTheme="majorHAnsi" w:hAnsiTheme="majorHAnsi" w:cs="Verdana"/>
          <w:sz w:val="20"/>
          <w:szCs w:val="20"/>
          <w:lang w:val="es-ES" w:bidi="en-US"/>
        </w:rPr>
        <w:t>En dicho informe la CIDH reiteró su primera recomendación:</w:t>
      </w:r>
    </w:p>
    <w:p w14:paraId="108BF66E" w14:textId="77777777" w:rsidR="00C67DC1" w:rsidRPr="00FD1514" w:rsidRDefault="00C67DC1" w:rsidP="00C67DC1">
      <w:pPr>
        <w:jc w:val="both"/>
        <w:rPr>
          <w:rFonts w:asciiTheme="majorHAnsi" w:eastAsia="Cambria" w:hAnsiTheme="majorHAnsi" w:cs="Cambria"/>
          <w:sz w:val="20"/>
          <w:szCs w:val="20"/>
          <w:lang w:val="es-MX"/>
        </w:rPr>
      </w:pPr>
    </w:p>
    <w:p w14:paraId="6479886A" w14:textId="489CA039" w:rsidR="00C67DC1" w:rsidRPr="00FD1514" w:rsidRDefault="00C67DC1" w:rsidP="00C67DC1">
      <w:pPr>
        <w:pStyle w:val="ListParagraph"/>
        <w:pBdr>
          <w:bar w:val="none" w:sz="0" w:color="auto"/>
        </w:pBdr>
        <w:ind w:left="1080"/>
        <w:contextualSpacing/>
        <w:jc w:val="both"/>
        <w:rPr>
          <w:rFonts w:asciiTheme="majorHAnsi" w:hAnsiTheme="majorHAnsi"/>
          <w:sz w:val="20"/>
          <w:szCs w:val="20"/>
          <w:lang w:val="es-MX"/>
        </w:rPr>
      </w:pPr>
      <w:r w:rsidRPr="00FD1514">
        <w:rPr>
          <w:rFonts w:asciiTheme="majorHAnsi" w:hAnsiTheme="majorHAnsi"/>
          <w:sz w:val="20"/>
          <w:szCs w:val="20"/>
          <w:lang w:val="es-MX"/>
        </w:rPr>
        <w:t xml:space="preserve">1. Reparar integralmente las violaciones de derechos humanos declaradas en el presente informe tanto en el aspecto material como inmaterial, incluyendo medidas de compensación y satisfacción. </w:t>
      </w:r>
    </w:p>
    <w:p w14:paraId="4FF706BC" w14:textId="77777777" w:rsidR="002B721B" w:rsidRPr="00FD1514" w:rsidRDefault="002B721B" w:rsidP="002B721B">
      <w:pPr>
        <w:jc w:val="both"/>
        <w:rPr>
          <w:rFonts w:asciiTheme="majorHAnsi" w:hAnsiTheme="majorHAnsi"/>
          <w:sz w:val="20"/>
          <w:szCs w:val="20"/>
          <w:lang w:val="es-ES"/>
        </w:rPr>
      </w:pPr>
    </w:p>
    <w:p w14:paraId="52CA2FDD" w14:textId="0CD53681" w:rsidR="002B721B" w:rsidRPr="00FD1514" w:rsidRDefault="002B721B" w:rsidP="002B721B">
      <w:pPr>
        <w:pStyle w:val="Heading1"/>
        <w:rPr>
          <w:lang w:val="es-US"/>
        </w:rPr>
      </w:pPr>
      <w:bookmarkStart w:id="23" w:name="_Toc83747595"/>
      <w:bookmarkStart w:id="24" w:name="_Toc194050570"/>
      <w:bookmarkStart w:id="25" w:name="_Toc196308638"/>
      <w:bookmarkStart w:id="26" w:name="_Toc202349291"/>
      <w:r w:rsidRPr="00FD1514">
        <w:rPr>
          <w:lang w:val="es-US"/>
        </w:rPr>
        <w:t xml:space="preserve">ACTUACIONES POSTERIORES AL INFORME No. </w:t>
      </w:r>
      <w:r w:rsidR="00DF5458" w:rsidRPr="00FD1514">
        <w:rPr>
          <w:lang w:val="es-US"/>
        </w:rPr>
        <w:t>44</w:t>
      </w:r>
      <w:r w:rsidRPr="00FD1514">
        <w:rPr>
          <w:lang w:val="es-US"/>
        </w:rPr>
        <w:t>/2</w:t>
      </w:r>
      <w:r w:rsidR="001E4EA1" w:rsidRPr="00FD1514">
        <w:rPr>
          <w:lang w:val="es-US"/>
        </w:rPr>
        <w:t>5</w:t>
      </w:r>
      <w:r w:rsidRPr="00FD1514">
        <w:rPr>
          <w:lang w:val="es-US"/>
        </w:rPr>
        <w:t xml:space="preserve"> E INFORMACIÓN SOBRE CUMPLIMIENTO</w:t>
      </w:r>
      <w:bookmarkEnd w:id="23"/>
      <w:bookmarkEnd w:id="24"/>
      <w:bookmarkEnd w:id="25"/>
      <w:bookmarkEnd w:id="26"/>
    </w:p>
    <w:p w14:paraId="319B1BC2" w14:textId="77777777" w:rsidR="002B721B" w:rsidRPr="00FD1514" w:rsidRDefault="002B721B" w:rsidP="002B72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rPr>
      </w:pPr>
    </w:p>
    <w:p w14:paraId="32724745" w14:textId="5C23ACBF" w:rsidR="00B84CC7" w:rsidRPr="00FD1514" w:rsidRDefault="005B5A3F" w:rsidP="00B84C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FD1514">
        <w:rPr>
          <w:rFonts w:asciiTheme="majorHAnsi" w:hAnsiTheme="majorHAnsi"/>
          <w:sz w:val="20"/>
          <w:szCs w:val="20"/>
          <w:lang w:val="es-ES"/>
        </w:rPr>
        <w:t xml:space="preserve">La Comisión transmitió el Informe </w:t>
      </w:r>
      <w:r w:rsidR="000461C4" w:rsidRPr="00FD1514">
        <w:rPr>
          <w:rFonts w:asciiTheme="majorHAnsi" w:hAnsiTheme="majorHAnsi"/>
          <w:sz w:val="20"/>
          <w:szCs w:val="20"/>
          <w:lang w:val="es-ES"/>
        </w:rPr>
        <w:t xml:space="preserve">de Fondo </w:t>
      </w:r>
      <w:r w:rsidRPr="00FD1514">
        <w:rPr>
          <w:rFonts w:asciiTheme="majorHAnsi" w:hAnsiTheme="majorHAnsi"/>
          <w:sz w:val="20"/>
          <w:szCs w:val="20"/>
          <w:lang w:val="es-ES"/>
        </w:rPr>
        <w:t>(</w:t>
      </w:r>
      <w:r w:rsidR="000461C4" w:rsidRPr="00FD1514">
        <w:rPr>
          <w:rFonts w:asciiTheme="majorHAnsi" w:hAnsiTheme="majorHAnsi"/>
          <w:sz w:val="20"/>
          <w:szCs w:val="20"/>
          <w:lang w:val="es-ES"/>
        </w:rPr>
        <w:t>F</w:t>
      </w:r>
      <w:r w:rsidRPr="00FD1514">
        <w:rPr>
          <w:rFonts w:asciiTheme="majorHAnsi" w:hAnsiTheme="majorHAnsi"/>
          <w:sz w:val="20"/>
          <w:szCs w:val="20"/>
          <w:lang w:val="es-ES"/>
        </w:rPr>
        <w:t>inal) No. 44/25 al Estado el 16 de abril de 2025 otorgándole el plazo de tres semanas para informar sobre las medidas adoptadas para el cumplimiento de la recomendación pendiente.</w:t>
      </w:r>
      <w:r w:rsidR="00B84CC7" w:rsidRPr="00FD1514">
        <w:rPr>
          <w:rFonts w:asciiTheme="majorHAnsi" w:hAnsiTheme="majorHAnsi"/>
          <w:sz w:val="20"/>
          <w:szCs w:val="20"/>
          <w:lang w:val="es-ES"/>
        </w:rPr>
        <w:t xml:space="preserve"> </w:t>
      </w:r>
      <w:r w:rsidR="00FE2CFF" w:rsidRPr="00FD1514">
        <w:rPr>
          <w:rFonts w:asciiTheme="majorHAnsi" w:hAnsiTheme="majorHAnsi" w:cs="Verdana"/>
          <w:sz w:val="20"/>
          <w:szCs w:val="20"/>
          <w:lang w:val="es-ES" w:bidi="en-US"/>
        </w:rPr>
        <w:t>El 7 de mayo de 2025 l</w:t>
      </w:r>
      <w:r w:rsidR="002B721B" w:rsidRPr="00FD1514">
        <w:rPr>
          <w:rFonts w:asciiTheme="majorHAnsi" w:hAnsiTheme="majorHAnsi" w:cs="Verdana"/>
          <w:sz w:val="20"/>
          <w:szCs w:val="20"/>
          <w:lang w:val="es-ES" w:bidi="en-US"/>
        </w:rPr>
        <w:t xml:space="preserve">a Comisión recibió </w:t>
      </w:r>
      <w:r w:rsidR="00B84CC7" w:rsidRPr="00FD1514">
        <w:rPr>
          <w:rFonts w:asciiTheme="majorHAnsi" w:hAnsiTheme="majorHAnsi" w:cs="Verdana"/>
          <w:sz w:val="20"/>
          <w:szCs w:val="20"/>
          <w:lang w:val="es-ES" w:bidi="en-US"/>
        </w:rPr>
        <w:t>el</w:t>
      </w:r>
      <w:r w:rsidR="002B721B" w:rsidRPr="00FD1514">
        <w:rPr>
          <w:rFonts w:asciiTheme="majorHAnsi" w:hAnsiTheme="majorHAnsi" w:cs="Verdana"/>
          <w:sz w:val="20"/>
          <w:szCs w:val="20"/>
          <w:lang w:val="es-ES" w:bidi="en-US"/>
        </w:rPr>
        <w:t xml:space="preserve"> informe </w:t>
      </w:r>
      <w:r w:rsidR="00B84CC7" w:rsidRPr="00FD1514">
        <w:rPr>
          <w:rFonts w:asciiTheme="majorHAnsi" w:hAnsiTheme="majorHAnsi" w:cs="Verdana"/>
          <w:sz w:val="20"/>
          <w:szCs w:val="20"/>
          <w:lang w:val="es-ES" w:bidi="en-US"/>
        </w:rPr>
        <w:t xml:space="preserve">estatal, </w:t>
      </w:r>
      <w:r w:rsidR="002B721B" w:rsidRPr="00FD1514">
        <w:rPr>
          <w:rFonts w:asciiTheme="majorHAnsi" w:hAnsiTheme="majorHAnsi" w:cs="Verdana"/>
          <w:sz w:val="20"/>
          <w:szCs w:val="20"/>
          <w:lang w:val="es-ES" w:bidi="en-US"/>
        </w:rPr>
        <w:t>comunicaci</w:t>
      </w:r>
      <w:r w:rsidR="007D7C7B" w:rsidRPr="00FD1514">
        <w:rPr>
          <w:rFonts w:asciiTheme="majorHAnsi" w:hAnsiTheme="majorHAnsi" w:cs="Verdana"/>
          <w:sz w:val="20"/>
          <w:szCs w:val="20"/>
          <w:lang w:val="es-ES" w:bidi="en-US"/>
        </w:rPr>
        <w:t>ón</w:t>
      </w:r>
      <w:r w:rsidR="002B721B" w:rsidRPr="00FD1514">
        <w:rPr>
          <w:rFonts w:asciiTheme="majorHAnsi" w:hAnsiTheme="majorHAnsi" w:cs="Verdana"/>
          <w:sz w:val="20"/>
          <w:szCs w:val="20"/>
          <w:lang w:val="es-ES" w:bidi="en-US"/>
        </w:rPr>
        <w:t xml:space="preserve"> </w:t>
      </w:r>
      <w:r w:rsidR="00B84CC7" w:rsidRPr="00FD1514">
        <w:rPr>
          <w:rFonts w:asciiTheme="majorHAnsi" w:hAnsiTheme="majorHAnsi" w:cs="Verdana"/>
          <w:sz w:val="20"/>
          <w:szCs w:val="20"/>
          <w:lang w:val="es-ES" w:bidi="en-US"/>
        </w:rPr>
        <w:t xml:space="preserve">que </w:t>
      </w:r>
      <w:r w:rsidR="002B721B" w:rsidRPr="00FD1514">
        <w:rPr>
          <w:rFonts w:asciiTheme="majorHAnsi" w:hAnsiTheme="majorHAnsi" w:cs="Verdana"/>
          <w:sz w:val="20"/>
          <w:szCs w:val="20"/>
          <w:lang w:val="es-ES" w:bidi="en-US"/>
        </w:rPr>
        <w:t xml:space="preserve">fue traslada </w:t>
      </w:r>
      <w:r w:rsidR="00742059" w:rsidRPr="00FD1514">
        <w:rPr>
          <w:rFonts w:asciiTheme="majorHAnsi" w:hAnsiTheme="majorHAnsi" w:cs="Verdana"/>
          <w:sz w:val="20"/>
          <w:szCs w:val="20"/>
          <w:lang w:val="es-ES" w:bidi="en-US"/>
        </w:rPr>
        <w:t xml:space="preserve">para el conocimiento de </w:t>
      </w:r>
      <w:r w:rsidR="002B721B" w:rsidRPr="00FD1514">
        <w:rPr>
          <w:rFonts w:asciiTheme="majorHAnsi" w:hAnsiTheme="majorHAnsi" w:cs="Verdana"/>
          <w:sz w:val="20"/>
          <w:szCs w:val="20"/>
          <w:lang w:val="es-ES" w:bidi="en-US"/>
        </w:rPr>
        <w:t>la parte</w:t>
      </w:r>
      <w:r w:rsidR="007D7C7B" w:rsidRPr="00FD1514">
        <w:rPr>
          <w:rFonts w:asciiTheme="majorHAnsi" w:hAnsiTheme="majorHAnsi" w:cs="Verdana"/>
          <w:sz w:val="20"/>
          <w:szCs w:val="20"/>
          <w:lang w:val="es-ES" w:bidi="en-US"/>
        </w:rPr>
        <w:t xml:space="preserve"> peticionaria</w:t>
      </w:r>
      <w:r w:rsidR="002B721B" w:rsidRPr="00FD1514">
        <w:rPr>
          <w:rFonts w:asciiTheme="majorHAnsi" w:hAnsiTheme="majorHAnsi" w:cs="Verdana"/>
          <w:sz w:val="20"/>
          <w:szCs w:val="20"/>
          <w:lang w:val="es-ES" w:bidi="en-US"/>
        </w:rPr>
        <w:t xml:space="preserve">. </w:t>
      </w:r>
    </w:p>
    <w:p w14:paraId="183E374C" w14:textId="77777777" w:rsidR="004D41D7" w:rsidRPr="00FD1514" w:rsidRDefault="004D41D7" w:rsidP="00BB11D7">
      <w:pPr>
        <w:rPr>
          <w:rFonts w:asciiTheme="majorHAnsi" w:hAnsiTheme="majorHAnsi" w:cs="Verdana"/>
          <w:sz w:val="20"/>
          <w:szCs w:val="20"/>
          <w:lang w:val="es-US" w:bidi="en-US"/>
        </w:rPr>
      </w:pPr>
    </w:p>
    <w:p w14:paraId="4064A131" w14:textId="1B688F61" w:rsidR="001D69C4" w:rsidRPr="00FD1514" w:rsidRDefault="00B97E9A" w:rsidP="00B97E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FD1514">
        <w:rPr>
          <w:rFonts w:asciiTheme="majorHAnsi" w:hAnsiTheme="majorHAnsi" w:cs="Verdana"/>
          <w:sz w:val="20"/>
          <w:szCs w:val="20"/>
          <w:lang w:val="es-ES" w:bidi="en-US"/>
        </w:rPr>
        <w:t>El Estado informó que e</w:t>
      </w:r>
      <w:r w:rsidR="001D69C4" w:rsidRPr="00FD1514">
        <w:rPr>
          <w:rFonts w:asciiTheme="majorHAnsi" w:hAnsiTheme="majorHAnsi" w:cs="Verdana"/>
          <w:sz w:val="20"/>
          <w:szCs w:val="20"/>
          <w:lang w:val="es-ES" w:bidi="en-US"/>
        </w:rPr>
        <w:t>l 5 de abril de 2024</w:t>
      </w:r>
      <w:r w:rsidRPr="00FD1514">
        <w:rPr>
          <w:rFonts w:asciiTheme="majorHAnsi" w:hAnsiTheme="majorHAnsi" w:cs="Verdana"/>
          <w:sz w:val="20"/>
          <w:szCs w:val="20"/>
          <w:lang w:val="es-ES" w:bidi="en-US"/>
        </w:rPr>
        <w:t xml:space="preserve"> la</w:t>
      </w:r>
      <w:r w:rsidR="001D69C4" w:rsidRPr="00FD1514">
        <w:rPr>
          <w:rFonts w:asciiTheme="majorHAnsi" w:hAnsiTheme="majorHAnsi" w:cs="Verdana"/>
          <w:sz w:val="20"/>
          <w:szCs w:val="20"/>
          <w:lang w:val="es-ES" w:bidi="en-US"/>
        </w:rPr>
        <w:t xml:space="preserve"> Sección Tercera, Subsección A </w:t>
      </w:r>
      <w:r w:rsidR="0087351D" w:rsidRPr="00FD1514">
        <w:rPr>
          <w:rFonts w:asciiTheme="majorHAnsi" w:hAnsiTheme="majorHAnsi" w:cs="Verdana"/>
          <w:sz w:val="20"/>
          <w:szCs w:val="20"/>
          <w:lang w:val="es-ES" w:bidi="en-US"/>
        </w:rPr>
        <w:t xml:space="preserve">del Tribunal Administrativo de Cundinamarca </w:t>
      </w:r>
      <w:r w:rsidR="001D69C4" w:rsidRPr="00FD1514">
        <w:rPr>
          <w:rFonts w:asciiTheme="majorHAnsi" w:hAnsiTheme="majorHAnsi" w:cs="Verdana"/>
          <w:sz w:val="20"/>
          <w:szCs w:val="20"/>
          <w:lang w:val="es-ES" w:bidi="en-US"/>
        </w:rPr>
        <w:t>profirió auto decretando dos dictámenes periciales: i) el primero</w:t>
      </w:r>
      <w:r w:rsidR="00B2499E" w:rsidRPr="00FD1514">
        <w:rPr>
          <w:rFonts w:asciiTheme="majorHAnsi" w:hAnsiTheme="majorHAnsi" w:cs="Verdana"/>
          <w:sz w:val="20"/>
          <w:szCs w:val="20"/>
          <w:lang w:val="es-ES" w:bidi="en-US"/>
        </w:rPr>
        <w:t>,</w:t>
      </w:r>
      <w:r w:rsidR="001D69C4" w:rsidRPr="00FD1514">
        <w:rPr>
          <w:rFonts w:asciiTheme="majorHAnsi" w:hAnsiTheme="majorHAnsi" w:cs="Verdana"/>
          <w:sz w:val="20"/>
          <w:szCs w:val="20"/>
          <w:lang w:val="es-ES" w:bidi="en-US"/>
        </w:rPr>
        <w:t xml:space="preserve"> a cargo de un Avaluador de la Lonja Nacional de Avaluadores</w:t>
      </w:r>
      <w:r w:rsidR="00B2499E" w:rsidRPr="00FD1514">
        <w:rPr>
          <w:rFonts w:asciiTheme="majorHAnsi" w:hAnsiTheme="majorHAnsi" w:cs="Verdana"/>
          <w:sz w:val="20"/>
          <w:szCs w:val="20"/>
          <w:lang w:val="es-ES" w:bidi="en-US"/>
        </w:rPr>
        <w:t>,</w:t>
      </w:r>
      <w:r w:rsidR="001D69C4" w:rsidRPr="00FD1514">
        <w:rPr>
          <w:rFonts w:asciiTheme="majorHAnsi" w:hAnsiTheme="majorHAnsi" w:cs="Verdana"/>
          <w:sz w:val="20"/>
          <w:szCs w:val="20"/>
          <w:lang w:val="es-ES" w:bidi="en-US"/>
        </w:rPr>
        <w:t xml:space="preserve"> para que determinara aspectos como el perjuicio material causado al señor Morales Díaz en la modalidad de daño emergente y de lucro cesante (consolidado y futuro)</w:t>
      </w:r>
      <w:r w:rsidR="00B2499E" w:rsidRPr="00FD1514">
        <w:rPr>
          <w:rFonts w:asciiTheme="majorHAnsi" w:hAnsiTheme="majorHAnsi" w:cs="Verdana"/>
          <w:sz w:val="20"/>
          <w:szCs w:val="20"/>
          <w:lang w:val="es-ES" w:bidi="en-US"/>
        </w:rPr>
        <w:t>;</w:t>
      </w:r>
      <w:r w:rsidR="001D69C4" w:rsidRPr="00FD1514">
        <w:rPr>
          <w:rFonts w:asciiTheme="majorHAnsi" w:hAnsiTheme="majorHAnsi" w:cs="Verdana"/>
          <w:sz w:val="20"/>
          <w:szCs w:val="20"/>
          <w:lang w:val="es-ES" w:bidi="en-US"/>
        </w:rPr>
        <w:t xml:space="preserve"> y ii) el segundo</w:t>
      </w:r>
      <w:r w:rsidR="00B2499E" w:rsidRPr="00FD1514">
        <w:rPr>
          <w:rFonts w:asciiTheme="majorHAnsi" w:hAnsiTheme="majorHAnsi" w:cs="Verdana"/>
          <w:sz w:val="20"/>
          <w:szCs w:val="20"/>
          <w:lang w:val="es-ES" w:bidi="en-US"/>
        </w:rPr>
        <w:t>,</w:t>
      </w:r>
      <w:r w:rsidR="001D69C4" w:rsidRPr="00FD1514">
        <w:rPr>
          <w:rFonts w:asciiTheme="majorHAnsi" w:hAnsiTheme="majorHAnsi" w:cs="Verdana"/>
          <w:sz w:val="20"/>
          <w:szCs w:val="20"/>
          <w:lang w:val="es-ES" w:bidi="en-US"/>
        </w:rPr>
        <w:t xml:space="preserve"> a cargo de un psicólogo de la Universidad Nacional de Colombia</w:t>
      </w:r>
      <w:r w:rsidR="00B2499E" w:rsidRPr="00FD1514">
        <w:rPr>
          <w:rFonts w:asciiTheme="majorHAnsi" w:hAnsiTheme="majorHAnsi" w:cs="Verdana"/>
          <w:sz w:val="20"/>
          <w:szCs w:val="20"/>
          <w:lang w:val="es-ES" w:bidi="en-US"/>
        </w:rPr>
        <w:t>,</w:t>
      </w:r>
      <w:r w:rsidR="001D69C4" w:rsidRPr="00FD1514">
        <w:rPr>
          <w:rFonts w:asciiTheme="majorHAnsi" w:hAnsiTheme="majorHAnsi" w:cs="Verdana"/>
          <w:sz w:val="20"/>
          <w:szCs w:val="20"/>
          <w:lang w:val="es-ES" w:bidi="en-US"/>
        </w:rPr>
        <w:t xml:space="preserve"> para que, con base a la valoración psicológica y la historia clínica y antecedentes clínicos del señor </w:t>
      </w:r>
      <w:r w:rsidR="001D69C4" w:rsidRPr="00FD1514">
        <w:rPr>
          <w:rFonts w:asciiTheme="majorHAnsi" w:hAnsiTheme="majorHAnsi" w:cs="Verdana"/>
          <w:sz w:val="20"/>
          <w:szCs w:val="20"/>
          <w:lang w:val="es-US" w:bidi="en-US"/>
        </w:rPr>
        <w:t>Morales</w:t>
      </w:r>
      <w:r w:rsidR="001D69C4" w:rsidRPr="00FD1514">
        <w:rPr>
          <w:rFonts w:asciiTheme="majorHAnsi" w:hAnsiTheme="majorHAnsi" w:cs="Verdana"/>
          <w:sz w:val="20"/>
          <w:szCs w:val="20"/>
          <w:lang w:val="es-ES" w:bidi="en-US"/>
        </w:rPr>
        <w:t xml:space="preserve"> Díaz desde la fecha de los hechos a la actualidad, pudiera determinar las afectaciones morales o emocionales sufridos por la víctima.</w:t>
      </w:r>
    </w:p>
    <w:p w14:paraId="6AF5B3B4" w14:textId="77777777" w:rsidR="00B97E9A" w:rsidRPr="00FD1514" w:rsidRDefault="00B97E9A" w:rsidP="00B97E9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p>
    <w:p w14:paraId="24725951" w14:textId="26317A87" w:rsidR="002B721B" w:rsidRPr="00FD1514" w:rsidRDefault="000461C4" w:rsidP="003822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FD1514">
        <w:rPr>
          <w:rFonts w:asciiTheme="majorHAnsi" w:hAnsiTheme="majorHAnsi" w:cs="Verdana"/>
          <w:sz w:val="20"/>
          <w:szCs w:val="20"/>
          <w:lang w:val="es-US" w:bidi="en-US"/>
        </w:rPr>
        <w:lastRenderedPageBreak/>
        <w:t>El Estado i</w:t>
      </w:r>
      <w:r w:rsidR="004D41D7" w:rsidRPr="00FD1514">
        <w:rPr>
          <w:rFonts w:asciiTheme="majorHAnsi" w:hAnsiTheme="majorHAnsi" w:cs="Verdana"/>
          <w:sz w:val="20"/>
          <w:szCs w:val="20"/>
          <w:lang w:val="es-US" w:bidi="en-US"/>
        </w:rPr>
        <w:t>ndicó que e</w:t>
      </w:r>
      <w:r w:rsidR="00E60F50" w:rsidRPr="00FD1514">
        <w:rPr>
          <w:rFonts w:asciiTheme="majorHAnsi" w:hAnsiTheme="majorHAnsi" w:cs="Verdana"/>
          <w:sz w:val="20"/>
          <w:szCs w:val="20"/>
          <w:lang w:val="es-US" w:bidi="en-US"/>
        </w:rPr>
        <w:t>l 10 de abril de 2024, el señ</w:t>
      </w:r>
      <w:r w:rsidR="004D41D7" w:rsidRPr="00FD1514">
        <w:rPr>
          <w:rFonts w:asciiTheme="majorHAnsi" w:hAnsiTheme="majorHAnsi" w:cs="Verdana"/>
          <w:sz w:val="20"/>
          <w:szCs w:val="20"/>
          <w:lang w:val="es-US" w:bidi="en-US"/>
        </w:rPr>
        <w:t xml:space="preserve">or </w:t>
      </w:r>
      <w:r w:rsidR="00E60F50" w:rsidRPr="00FD1514">
        <w:rPr>
          <w:rFonts w:asciiTheme="majorHAnsi" w:hAnsiTheme="majorHAnsi" w:cs="Verdana"/>
          <w:sz w:val="20"/>
          <w:szCs w:val="20"/>
          <w:lang w:val="es-US" w:bidi="en-US"/>
        </w:rPr>
        <w:t xml:space="preserve">Morales Díaz interpuso </w:t>
      </w:r>
      <w:r w:rsidR="00EA628C" w:rsidRPr="00FD1514">
        <w:rPr>
          <w:rFonts w:asciiTheme="majorHAnsi" w:hAnsiTheme="majorHAnsi" w:cs="Verdana"/>
          <w:sz w:val="20"/>
          <w:szCs w:val="20"/>
          <w:lang w:val="es-US" w:bidi="en-US"/>
        </w:rPr>
        <w:t xml:space="preserve">un </w:t>
      </w:r>
      <w:r w:rsidR="00E60F50" w:rsidRPr="00FD1514">
        <w:rPr>
          <w:rFonts w:asciiTheme="majorHAnsi" w:hAnsiTheme="majorHAnsi" w:cs="Verdana"/>
          <w:sz w:val="20"/>
          <w:szCs w:val="20"/>
          <w:lang w:val="es-US" w:bidi="en-US"/>
        </w:rPr>
        <w:t>recurso de reposición y en subsidio apelación en contra del auto que decretó</w:t>
      </w:r>
      <w:r w:rsidR="00EA628C" w:rsidRPr="00FD1514">
        <w:rPr>
          <w:rFonts w:asciiTheme="majorHAnsi" w:hAnsiTheme="majorHAnsi" w:cs="Verdana"/>
          <w:sz w:val="20"/>
          <w:szCs w:val="20"/>
          <w:lang w:val="es-US" w:bidi="en-US"/>
        </w:rPr>
        <w:t xml:space="preserve"> la producción de</w:t>
      </w:r>
      <w:r w:rsidR="00E60F50" w:rsidRPr="00FD1514">
        <w:rPr>
          <w:rFonts w:asciiTheme="majorHAnsi" w:hAnsiTheme="majorHAnsi" w:cs="Verdana"/>
          <w:sz w:val="20"/>
          <w:szCs w:val="20"/>
          <w:lang w:val="es-US" w:bidi="en-US"/>
        </w:rPr>
        <w:t xml:space="preserve"> pruebas. </w:t>
      </w:r>
      <w:r w:rsidR="006C6D4D" w:rsidRPr="00FD1514">
        <w:rPr>
          <w:rFonts w:asciiTheme="majorHAnsi" w:hAnsiTheme="majorHAnsi" w:cs="Verdana"/>
          <w:sz w:val="20"/>
          <w:szCs w:val="20"/>
          <w:lang w:val="es-US" w:bidi="en-US"/>
        </w:rPr>
        <w:t xml:space="preserve">Refirió </w:t>
      </w:r>
      <w:r w:rsidRPr="00FD1514">
        <w:rPr>
          <w:rFonts w:asciiTheme="majorHAnsi" w:hAnsiTheme="majorHAnsi" w:cs="Verdana"/>
          <w:sz w:val="20"/>
          <w:szCs w:val="20"/>
          <w:lang w:val="es-US" w:bidi="en-US"/>
        </w:rPr>
        <w:t>que, e</w:t>
      </w:r>
      <w:r w:rsidR="00E60F50" w:rsidRPr="00FD1514">
        <w:rPr>
          <w:rFonts w:asciiTheme="majorHAnsi" w:hAnsiTheme="majorHAnsi" w:cs="Verdana"/>
          <w:sz w:val="20"/>
          <w:szCs w:val="20"/>
          <w:lang w:val="es-US" w:bidi="en-US"/>
        </w:rPr>
        <w:t xml:space="preserve">n </w:t>
      </w:r>
      <w:r w:rsidR="004D41D7" w:rsidRPr="00FD1514">
        <w:rPr>
          <w:rFonts w:asciiTheme="majorHAnsi" w:hAnsiTheme="majorHAnsi" w:cs="Verdana"/>
          <w:sz w:val="20"/>
          <w:szCs w:val="20"/>
          <w:lang w:val="es-US" w:bidi="en-US"/>
        </w:rPr>
        <w:t xml:space="preserve">su escrito, el </w:t>
      </w:r>
      <w:r w:rsidR="00E60F50" w:rsidRPr="00FD1514">
        <w:rPr>
          <w:rFonts w:asciiTheme="majorHAnsi" w:hAnsiTheme="majorHAnsi" w:cs="Verdana"/>
          <w:sz w:val="20"/>
          <w:szCs w:val="20"/>
          <w:lang w:val="es-US" w:bidi="en-US"/>
        </w:rPr>
        <w:t xml:space="preserve">señor Morales Díaz </w:t>
      </w:r>
      <w:r w:rsidR="006C6D4D" w:rsidRPr="00FD1514">
        <w:rPr>
          <w:rFonts w:asciiTheme="majorHAnsi" w:hAnsiTheme="majorHAnsi" w:cs="Verdana"/>
          <w:sz w:val="20"/>
          <w:szCs w:val="20"/>
          <w:lang w:val="es-US" w:bidi="en-US"/>
        </w:rPr>
        <w:t xml:space="preserve">sostuvo </w:t>
      </w:r>
      <w:r w:rsidR="00E60F50" w:rsidRPr="00FD1514">
        <w:rPr>
          <w:rFonts w:asciiTheme="majorHAnsi" w:hAnsiTheme="majorHAnsi" w:cs="Verdana"/>
          <w:sz w:val="20"/>
          <w:szCs w:val="20"/>
          <w:lang w:val="es-US" w:bidi="en-US"/>
        </w:rPr>
        <w:t xml:space="preserve">que el Tribunal Administrativo de Cundinamarca no tuvo en cuenta su lugar actual de residencia para la ejecución de los dictámenes periciales y tampoco ordenó el examen psicológico a sus familiares, los cuales, a su juicio, también son víctimas dentro del proceso. </w:t>
      </w:r>
      <w:r w:rsidR="007C61D1" w:rsidRPr="00FD1514">
        <w:rPr>
          <w:rFonts w:asciiTheme="majorHAnsi" w:hAnsiTheme="majorHAnsi" w:cs="Verdana"/>
          <w:sz w:val="20"/>
          <w:szCs w:val="20"/>
          <w:lang w:val="es-US" w:bidi="en-US"/>
        </w:rPr>
        <w:t>E</w:t>
      </w:r>
      <w:r w:rsidR="008B5ADA" w:rsidRPr="00FD1514">
        <w:rPr>
          <w:rFonts w:asciiTheme="majorHAnsi" w:hAnsiTheme="majorHAnsi" w:cs="Verdana"/>
          <w:sz w:val="20"/>
          <w:szCs w:val="20"/>
          <w:lang w:val="es-US" w:bidi="en-US"/>
        </w:rPr>
        <w:t>l</w:t>
      </w:r>
      <w:r w:rsidR="007C61D1" w:rsidRPr="00FD1514">
        <w:rPr>
          <w:rFonts w:asciiTheme="majorHAnsi" w:hAnsiTheme="majorHAnsi" w:cs="Verdana"/>
          <w:sz w:val="20"/>
          <w:szCs w:val="20"/>
          <w:lang w:val="es-US" w:bidi="en-US"/>
        </w:rPr>
        <w:t xml:space="preserve"> Estado informó que e</w:t>
      </w:r>
      <w:r w:rsidR="00E60F50" w:rsidRPr="00FD1514">
        <w:rPr>
          <w:rFonts w:asciiTheme="majorHAnsi" w:hAnsiTheme="majorHAnsi" w:cs="Verdana"/>
          <w:sz w:val="20"/>
          <w:szCs w:val="20"/>
          <w:lang w:val="es-US" w:bidi="en-US"/>
        </w:rPr>
        <w:t>l 28 de marzo de 2025, el expediente ingresó al despacho para decidir el recurso de reposición interpuesto por el señor Morales Díaz.</w:t>
      </w:r>
      <w:r w:rsidR="00E60F50" w:rsidRPr="00FD1514">
        <w:rPr>
          <w:rFonts w:asciiTheme="majorHAnsi" w:hAnsiTheme="majorHAnsi" w:cs="Verdana"/>
          <w:sz w:val="20"/>
          <w:szCs w:val="20"/>
          <w:lang w:val="es-ES" w:bidi="en-US"/>
        </w:rPr>
        <w:t xml:space="preserve"> </w:t>
      </w:r>
    </w:p>
    <w:p w14:paraId="07BA2761" w14:textId="77777777" w:rsidR="00656704" w:rsidRPr="00FD1514" w:rsidRDefault="00656704" w:rsidP="006567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14:paraId="52A2E760" w14:textId="02B9BFDC" w:rsidR="00AD594A" w:rsidRPr="00FE699D" w:rsidRDefault="00656704" w:rsidP="00770A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US" w:bidi="en-US"/>
        </w:rPr>
      </w:pPr>
      <w:r w:rsidRPr="00FD1514">
        <w:rPr>
          <w:rFonts w:asciiTheme="majorHAnsi" w:hAnsiTheme="majorHAnsi" w:cs="Verdana"/>
          <w:sz w:val="20"/>
          <w:szCs w:val="20"/>
          <w:lang w:val="es-ES" w:bidi="en-US"/>
        </w:rPr>
        <w:t>El Estado</w:t>
      </w:r>
      <w:r w:rsidRPr="00FE699D">
        <w:rPr>
          <w:rFonts w:asciiTheme="majorHAnsi" w:hAnsiTheme="majorHAnsi" w:cs="Verdana"/>
          <w:sz w:val="20"/>
          <w:szCs w:val="20"/>
          <w:lang w:val="es-ES" w:bidi="en-US"/>
        </w:rPr>
        <w:t xml:space="preserve"> </w:t>
      </w:r>
      <w:r w:rsidR="00FC1EB9" w:rsidRPr="00FE699D">
        <w:rPr>
          <w:rFonts w:asciiTheme="majorHAnsi" w:hAnsiTheme="majorHAnsi" w:cs="Verdana"/>
          <w:sz w:val="20"/>
          <w:szCs w:val="20"/>
          <w:lang w:val="es-ES" w:bidi="en-US"/>
        </w:rPr>
        <w:t xml:space="preserve">resaltó </w:t>
      </w:r>
      <w:r w:rsidRPr="00FE699D">
        <w:rPr>
          <w:rFonts w:asciiTheme="majorHAnsi" w:hAnsiTheme="majorHAnsi" w:cs="Verdana"/>
          <w:sz w:val="20"/>
          <w:szCs w:val="20"/>
          <w:lang w:val="es-ES" w:bidi="en-US"/>
        </w:rPr>
        <w:t>que</w:t>
      </w:r>
      <w:r w:rsidRPr="00FE699D">
        <w:rPr>
          <w:rFonts w:asciiTheme="majorHAnsi" w:hAnsiTheme="majorHAnsi" w:cs="Verdana"/>
          <w:sz w:val="20"/>
          <w:szCs w:val="20"/>
          <w:lang w:val="es-US" w:bidi="en-US"/>
        </w:rPr>
        <w:t xml:space="preserve"> se encuentra a la espera de la decisión que para el efecto sea proferida por el Tribunal Administrativo de Cundinamarca</w:t>
      </w:r>
      <w:r w:rsidR="00A97E0A" w:rsidRPr="00FE699D">
        <w:rPr>
          <w:rFonts w:asciiTheme="majorHAnsi" w:hAnsiTheme="majorHAnsi" w:cs="Verdana"/>
          <w:sz w:val="20"/>
          <w:szCs w:val="20"/>
          <w:lang w:val="es-US" w:bidi="en-US"/>
        </w:rPr>
        <w:t>,</w:t>
      </w:r>
      <w:r w:rsidRPr="00FE699D">
        <w:rPr>
          <w:rFonts w:asciiTheme="majorHAnsi" w:hAnsiTheme="majorHAnsi" w:cs="Verdana"/>
          <w:sz w:val="20"/>
          <w:szCs w:val="20"/>
          <w:lang w:val="es-US" w:bidi="en-US"/>
        </w:rPr>
        <w:t xml:space="preserve"> </w:t>
      </w:r>
      <w:r w:rsidR="00426099" w:rsidRPr="00FE699D">
        <w:rPr>
          <w:rFonts w:asciiTheme="majorHAnsi" w:hAnsiTheme="majorHAnsi" w:cs="Verdana"/>
          <w:sz w:val="20"/>
          <w:szCs w:val="20"/>
          <w:lang w:val="es-US" w:bidi="en-US"/>
        </w:rPr>
        <w:t>y que</w:t>
      </w:r>
      <w:r w:rsidRPr="00FE699D">
        <w:rPr>
          <w:rFonts w:asciiTheme="majorHAnsi" w:hAnsiTheme="majorHAnsi" w:cs="Verdana"/>
          <w:sz w:val="20"/>
          <w:szCs w:val="20"/>
          <w:lang w:val="es-US" w:bidi="en-US"/>
        </w:rPr>
        <w:t xml:space="preserve"> </w:t>
      </w:r>
      <w:r w:rsidR="00A97E0A" w:rsidRPr="00FE699D">
        <w:rPr>
          <w:rFonts w:asciiTheme="majorHAnsi" w:hAnsiTheme="majorHAnsi" w:cs="Verdana"/>
          <w:sz w:val="20"/>
          <w:szCs w:val="20"/>
          <w:lang w:val="es-US" w:bidi="en-US"/>
        </w:rPr>
        <w:t xml:space="preserve"> transmitirá </w:t>
      </w:r>
      <w:r w:rsidRPr="00FE699D">
        <w:rPr>
          <w:rFonts w:asciiTheme="majorHAnsi" w:hAnsiTheme="majorHAnsi" w:cs="Verdana"/>
          <w:sz w:val="20"/>
          <w:szCs w:val="20"/>
          <w:lang w:val="es-US" w:bidi="en-US"/>
        </w:rPr>
        <w:t>a la Comisión los avances en este proceso.</w:t>
      </w:r>
    </w:p>
    <w:p w14:paraId="5CD8B190" w14:textId="77777777" w:rsidR="00656704" w:rsidRPr="00FE699D" w:rsidRDefault="00656704" w:rsidP="006567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US" w:bidi="en-US"/>
        </w:rPr>
      </w:pPr>
    </w:p>
    <w:p w14:paraId="08451203" w14:textId="03033548" w:rsidR="002936AA" w:rsidRPr="00FE699D" w:rsidRDefault="00DF0497" w:rsidP="00426099">
      <w:pPr>
        <w:pStyle w:val="Heading1"/>
        <w:ind w:left="1440" w:hanging="720"/>
      </w:pPr>
      <w:bookmarkStart w:id="27" w:name="_Toc202349292"/>
      <w:r w:rsidRPr="00FE699D">
        <w:t>C</w:t>
      </w:r>
      <w:r w:rsidR="002936AA" w:rsidRPr="00FE699D">
        <w:t>ONCLUSIONES Y RECOMENDACI</w:t>
      </w:r>
      <w:r w:rsidR="00B10D5F" w:rsidRPr="00FE699D">
        <w:t>ÓN</w:t>
      </w:r>
      <w:r w:rsidR="005B4402" w:rsidRPr="00FE699D">
        <w:t xml:space="preserve"> FINAL</w:t>
      </w:r>
      <w:bookmarkEnd w:id="27"/>
    </w:p>
    <w:p w14:paraId="5CD0A194" w14:textId="77777777" w:rsidR="002936AA" w:rsidRPr="00FE699D" w:rsidRDefault="002936AA" w:rsidP="002936AA">
      <w:pPr>
        <w:jc w:val="both"/>
        <w:rPr>
          <w:rFonts w:asciiTheme="majorHAnsi" w:eastAsia="Cambria" w:hAnsiTheme="majorHAnsi" w:cs="Cambria"/>
          <w:sz w:val="20"/>
          <w:szCs w:val="20"/>
        </w:rPr>
      </w:pPr>
    </w:p>
    <w:p w14:paraId="66B6E345" w14:textId="414D2A1C" w:rsidR="00BA7248" w:rsidRPr="00FE699D" w:rsidRDefault="002936AA" w:rsidP="00BA72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mbria"/>
          <w:sz w:val="20"/>
          <w:szCs w:val="20"/>
          <w:u w:color="000000"/>
          <w:lang w:val="es-VE" w:eastAsia="es-ES"/>
        </w:rPr>
      </w:pPr>
      <w:r w:rsidRPr="00FE699D">
        <w:rPr>
          <w:rFonts w:asciiTheme="majorHAnsi" w:eastAsia="Cambria" w:hAnsiTheme="majorHAnsi" w:cs="Cambria"/>
          <w:color w:val="000000"/>
          <w:sz w:val="20"/>
          <w:szCs w:val="20"/>
          <w:u w:color="000000"/>
          <w:lang w:val="es-MX" w:eastAsia="es-ES"/>
        </w:rPr>
        <w:t xml:space="preserve">La </w:t>
      </w:r>
      <w:r w:rsidRPr="00FE699D">
        <w:rPr>
          <w:rFonts w:asciiTheme="majorHAnsi" w:eastAsia="Cambria" w:hAnsiTheme="majorHAnsi" w:cs="Cambria"/>
          <w:sz w:val="20"/>
          <w:szCs w:val="20"/>
          <w:u w:color="000000"/>
          <w:lang w:val="es-MX" w:eastAsia="es-ES"/>
        </w:rPr>
        <w:t xml:space="preserve">Comisión concluye que </w:t>
      </w:r>
      <w:r w:rsidRPr="00FE699D">
        <w:rPr>
          <w:rFonts w:asciiTheme="majorHAnsi" w:eastAsia="Cambria" w:hAnsiTheme="majorHAnsi" w:cs="Cambria"/>
          <w:sz w:val="20"/>
          <w:szCs w:val="20"/>
          <w:u w:color="000000"/>
          <w:lang w:val="es-VE" w:eastAsia="es-ES"/>
        </w:rPr>
        <w:t>el Estado de Colombia es responsable por la violación de los artículos 4</w:t>
      </w:r>
      <w:r w:rsidR="006A5ECD" w:rsidRPr="00FE699D">
        <w:rPr>
          <w:rFonts w:asciiTheme="majorHAnsi" w:eastAsia="Cambria" w:hAnsiTheme="majorHAnsi" w:cs="Cambria"/>
          <w:sz w:val="20"/>
          <w:szCs w:val="20"/>
          <w:u w:color="000000"/>
          <w:lang w:val="es-VE" w:eastAsia="es-ES"/>
        </w:rPr>
        <w:t>.1</w:t>
      </w:r>
      <w:r w:rsidRPr="00FE699D">
        <w:rPr>
          <w:rFonts w:asciiTheme="majorHAnsi" w:eastAsia="Cambria" w:hAnsiTheme="majorHAnsi" w:cs="Cambria"/>
          <w:sz w:val="20"/>
          <w:szCs w:val="20"/>
          <w:u w:color="000000"/>
          <w:lang w:val="es-VE" w:eastAsia="es-ES"/>
        </w:rPr>
        <w:t>(vida), 5</w:t>
      </w:r>
      <w:r w:rsidR="006A5ECD" w:rsidRPr="00FE699D">
        <w:rPr>
          <w:rFonts w:asciiTheme="majorHAnsi" w:eastAsia="Cambria" w:hAnsiTheme="majorHAnsi" w:cs="Cambria"/>
          <w:sz w:val="20"/>
          <w:szCs w:val="20"/>
          <w:u w:color="000000"/>
          <w:lang w:val="es-VE" w:eastAsia="es-ES"/>
        </w:rPr>
        <w:t>.1</w:t>
      </w:r>
      <w:r w:rsidRPr="00FE699D">
        <w:rPr>
          <w:rFonts w:asciiTheme="majorHAnsi" w:eastAsia="Cambria" w:hAnsiTheme="majorHAnsi" w:cs="Cambria"/>
          <w:sz w:val="20"/>
          <w:szCs w:val="20"/>
          <w:u w:color="000000"/>
          <w:lang w:val="es-VE" w:eastAsia="es-ES"/>
        </w:rPr>
        <w:t xml:space="preserve"> (integridad personal), 8</w:t>
      </w:r>
      <w:r w:rsidR="004E28CC" w:rsidRPr="00FE699D">
        <w:rPr>
          <w:rFonts w:asciiTheme="majorHAnsi" w:eastAsia="Cambria" w:hAnsiTheme="majorHAnsi" w:cs="Cambria"/>
          <w:sz w:val="20"/>
          <w:szCs w:val="20"/>
          <w:u w:color="000000"/>
          <w:lang w:val="es-VE" w:eastAsia="es-ES"/>
        </w:rPr>
        <w:t>.1</w:t>
      </w:r>
      <w:r w:rsidRPr="00FE699D">
        <w:rPr>
          <w:rFonts w:asciiTheme="majorHAnsi" w:eastAsia="Cambria" w:hAnsiTheme="majorHAnsi" w:cs="Cambria"/>
          <w:sz w:val="20"/>
          <w:szCs w:val="20"/>
          <w:u w:color="000000"/>
          <w:lang w:val="es-VE" w:eastAsia="es-ES"/>
        </w:rPr>
        <w:t xml:space="preserve"> (garantías judiciales), 22</w:t>
      </w:r>
      <w:r w:rsidR="006A5ECD" w:rsidRPr="00FE699D">
        <w:rPr>
          <w:rFonts w:asciiTheme="majorHAnsi" w:eastAsia="Cambria" w:hAnsiTheme="majorHAnsi" w:cs="Cambria"/>
          <w:sz w:val="20"/>
          <w:szCs w:val="20"/>
          <w:u w:color="000000"/>
          <w:lang w:val="es-VE" w:eastAsia="es-ES"/>
        </w:rPr>
        <w:t>.1</w:t>
      </w:r>
      <w:r w:rsidRPr="00FE699D">
        <w:rPr>
          <w:rFonts w:asciiTheme="majorHAnsi" w:eastAsia="Cambria" w:hAnsiTheme="majorHAnsi" w:cs="Cambria"/>
          <w:sz w:val="20"/>
          <w:szCs w:val="20"/>
          <w:u w:color="000000"/>
          <w:lang w:val="es-VE" w:eastAsia="es-ES"/>
        </w:rPr>
        <w:t xml:space="preserve"> (circulación y residencia) y 25</w:t>
      </w:r>
      <w:r w:rsidR="004E28CC" w:rsidRPr="00FE699D">
        <w:rPr>
          <w:rFonts w:asciiTheme="majorHAnsi" w:eastAsia="Cambria" w:hAnsiTheme="majorHAnsi" w:cs="Cambria"/>
          <w:sz w:val="20"/>
          <w:szCs w:val="20"/>
          <w:u w:color="000000"/>
          <w:lang w:val="es-VE" w:eastAsia="es-ES"/>
        </w:rPr>
        <w:t>.1</w:t>
      </w:r>
      <w:r w:rsidRPr="00FE699D">
        <w:rPr>
          <w:rFonts w:asciiTheme="majorHAnsi" w:eastAsia="Cambria" w:hAnsiTheme="majorHAnsi" w:cs="Cambria"/>
          <w:sz w:val="20"/>
          <w:szCs w:val="20"/>
          <w:u w:color="000000"/>
          <w:lang w:val="es-VE" w:eastAsia="es-ES"/>
        </w:rPr>
        <w:t xml:space="preserve"> (protección judicial) de la Convención Americana sobre Derechos Humanos, en relación con las obligaciones establecidas en el artículo 1.1 del mismo instrumento. </w:t>
      </w:r>
    </w:p>
    <w:p w14:paraId="760472E9" w14:textId="77777777" w:rsidR="00BA7248" w:rsidRPr="00FE699D" w:rsidRDefault="00BA7248" w:rsidP="00BA72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_tradnl" w:bidi="en-US"/>
        </w:rPr>
      </w:pPr>
    </w:p>
    <w:p w14:paraId="33E9A1B9" w14:textId="012941D0" w:rsidR="00426099" w:rsidRPr="00FE699D" w:rsidRDefault="00871B7B" w:rsidP="00871B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mbria"/>
          <w:sz w:val="20"/>
          <w:szCs w:val="20"/>
          <w:u w:color="000000"/>
          <w:lang w:val="es-VE" w:eastAsia="es-ES"/>
        </w:rPr>
      </w:pPr>
      <w:r w:rsidRPr="00FE699D">
        <w:rPr>
          <w:rFonts w:asciiTheme="majorHAnsi" w:eastAsia="Cambria" w:hAnsiTheme="majorHAnsi" w:cs="Cambria"/>
          <w:sz w:val="20"/>
          <w:szCs w:val="20"/>
          <w:u w:color="000000"/>
          <w:lang w:val="es-VE" w:eastAsia="es-ES"/>
        </w:rPr>
        <w:t xml:space="preserve">En virtud de las anteriores conclusiones y </w:t>
      </w:r>
      <w:r w:rsidRPr="00FE699D">
        <w:rPr>
          <w:rFonts w:asciiTheme="majorHAnsi" w:eastAsia="Cambria" w:hAnsiTheme="majorHAnsi" w:cs="Cambria"/>
          <w:color w:val="000000"/>
          <w:sz w:val="20"/>
          <w:szCs w:val="20"/>
          <w:u w:color="000000"/>
          <w:lang w:val="es-MX" w:eastAsia="es-ES"/>
        </w:rPr>
        <w:t>dado</w:t>
      </w:r>
      <w:r w:rsidR="00BA7248" w:rsidRPr="00FE699D">
        <w:rPr>
          <w:rFonts w:asciiTheme="majorHAnsi" w:eastAsia="Cambria" w:hAnsiTheme="majorHAnsi" w:cs="Cambria"/>
          <w:sz w:val="20"/>
          <w:szCs w:val="20"/>
          <w:u w:color="000000"/>
          <w:lang w:val="es-VE" w:eastAsia="es-ES"/>
        </w:rPr>
        <w:t xml:space="preserve"> que la reparación determinada en su Informe de Fondo (final) </w:t>
      </w:r>
      <w:r w:rsidR="00BA7248" w:rsidRPr="00FE699D">
        <w:rPr>
          <w:rFonts w:asciiTheme="majorHAnsi" w:hAnsiTheme="majorHAnsi"/>
          <w:spacing w:val="-3"/>
          <w:sz w:val="20"/>
          <w:szCs w:val="20"/>
          <w:lang w:val="es-ES"/>
        </w:rPr>
        <w:t xml:space="preserve">relativa a la reparación integral, con respecto a la reparación pecuniaria, </w:t>
      </w:r>
      <w:r w:rsidR="00BA7248" w:rsidRPr="00FE699D">
        <w:rPr>
          <w:rFonts w:asciiTheme="majorHAnsi" w:eastAsia="Cambria" w:hAnsiTheme="majorHAnsi" w:cs="Cambria"/>
          <w:sz w:val="20"/>
          <w:szCs w:val="20"/>
          <w:u w:color="000000"/>
          <w:lang w:val="es-VE" w:eastAsia="es-ES"/>
        </w:rPr>
        <w:t>aún se encuentra pendiente de cumplimiento</w:t>
      </w:r>
      <w:r w:rsidR="00BA7248" w:rsidRPr="00FE699D">
        <w:rPr>
          <w:rFonts w:asciiTheme="majorHAnsi" w:eastAsia="Cambria" w:hAnsiTheme="majorHAnsi" w:cs="Cambria"/>
          <w:sz w:val="20"/>
          <w:szCs w:val="20"/>
          <w:u w:color="000000"/>
          <w:lang w:val="es-US" w:eastAsia="es-ES"/>
        </w:rPr>
        <w:t>;</w:t>
      </w:r>
      <w:r w:rsidR="00BA7248" w:rsidRPr="00FE699D">
        <w:rPr>
          <w:rFonts w:asciiTheme="majorHAnsi" w:eastAsia="Cambria" w:hAnsiTheme="majorHAnsi" w:cs="Cambria"/>
          <w:sz w:val="20"/>
          <w:szCs w:val="20"/>
          <w:u w:color="000000"/>
          <w:lang w:val="es-VE" w:eastAsia="es-ES"/>
        </w:rPr>
        <w:t xml:space="preserve"> </w:t>
      </w:r>
    </w:p>
    <w:p w14:paraId="5A14C1D5" w14:textId="77777777" w:rsidR="00871B7B" w:rsidRPr="00FE699D" w:rsidRDefault="00871B7B" w:rsidP="00871B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sz w:val="20"/>
          <w:szCs w:val="20"/>
          <w:u w:color="000000"/>
          <w:lang w:val="es-VE" w:eastAsia="es-ES"/>
        </w:rPr>
      </w:pPr>
    </w:p>
    <w:p w14:paraId="70164DE0" w14:textId="2B01FC1E" w:rsidR="002936AA" w:rsidRPr="00FE699D" w:rsidRDefault="002936AA" w:rsidP="002936AA">
      <w:pPr>
        <w:spacing w:line="345" w:lineRule="auto"/>
        <w:ind w:firstLine="720"/>
        <w:jc w:val="both"/>
        <w:rPr>
          <w:rFonts w:asciiTheme="majorHAnsi" w:eastAsia="Cambria" w:hAnsiTheme="majorHAnsi" w:cs="Cambria"/>
          <w:b/>
          <w:sz w:val="20"/>
          <w:szCs w:val="20"/>
          <w:lang w:val="es-MX"/>
        </w:rPr>
      </w:pPr>
      <w:r w:rsidRPr="00FE699D">
        <w:rPr>
          <w:rFonts w:asciiTheme="majorHAnsi" w:eastAsia="Cambria" w:hAnsiTheme="majorHAnsi" w:cs="Cambria"/>
          <w:b/>
          <w:sz w:val="20"/>
          <w:szCs w:val="20"/>
          <w:lang w:val="es-MX"/>
        </w:rPr>
        <w:t>LA COMISIÓN INTERAMERICANA DE DERECHOS HUMANOS RE</w:t>
      </w:r>
      <w:r w:rsidR="005B4402" w:rsidRPr="00FE699D">
        <w:rPr>
          <w:rFonts w:asciiTheme="majorHAnsi" w:eastAsia="Cambria" w:hAnsiTheme="majorHAnsi" w:cs="Cambria"/>
          <w:b/>
          <w:sz w:val="20"/>
          <w:szCs w:val="20"/>
          <w:lang w:val="es-MX"/>
        </w:rPr>
        <w:t>ITERA</w:t>
      </w:r>
      <w:r w:rsidRPr="00FE699D">
        <w:rPr>
          <w:rFonts w:asciiTheme="majorHAnsi" w:eastAsia="Cambria" w:hAnsiTheme="majorHAnsi" w:cs="Cambria"/>
          <w:b/>
          <w:sz w:val="20"/>
          <w:szCs w:val="20"/>
          <w:lang w:val="es-MX"/>
        </w:rPr>
        <w:t xml:space="preserve"> AL ESTADO DE COLOMBIA</w:t>
      </w:r>
      <w:r w:rsidR="00BA7248" w:rsidRPr="00FE699D">
        <w:rPr>
          <w:rFonts w:asciiTheme="majorHAnsi" w:eastAsia="Cambria" w:hAnsiTheme="majorHAnsi" w:cs="Cambria"/>
          <w:b/>
          <w:sz w:val="20"/>
          <w:szCs w:val="20"/>
          <w:lang w:val="es-MX"/>
        </w:rPr>
        <w:t xml:space="preserve"> SU RECOMENDACIÓN DE</w:t>
      </w:r>
      <w:r w:rsidRPr="00FE699D">
        <w:rPr>
          <w:rFonts w:asciiTheme="majorHAnsi" w:eastAsia="Cambria" w:hAnsiTheme="majorHAnsi" w:cs="Cambria"/>
          <w:b/>
          <w:sz w:val="20"/>
          <w:szCs w:val="20"/>
          <w:lang w:val="es-MX"/>
        </w:rPr>
        <w:t>:</w:t>
      </w:r>
    </w:p>
    <w:p w14:paraId="22B68A48" w14:textId="77777777" w:rsidR="002936AA" w:rsidRPr="00FE699D" w:rsidRDefault="002936AA" w:rsidP="002936AA">
      <w:pPr>
        <w:jc w:val="both"/>
        <w:rPr>
          <w:rFonts w:asciiTheme="majorHAnsi" w:eastAsia="Cambria" w:hAnsiTheme="majorHAnsi" w:cs="Cambria"/>
          <w:sz w:val="20"/>
          <w:szCs w:val="20"/>
          <w:lang w:val="es-MX"/>
        </w:rPr>
      </w:pPr>
    </w:p>
    <w:p w14:paraId="4FE3A207" w14:textId="64F764B8" w:rsidR="002936AA" w:rsidRPr="00FE699D" w:rsidRDefault="002936AA" w:rsidP="00C643C3">
      <w:pPr>
        <w:pStyle w:val="ListParagraph"/>
        <w:numPr>
          <w:ilvl w:val="0"/>
          <w:numId w:val="67"/>
        </w:numPr>
        <w:pBdr>
          <w:bar w:val="none" w:sz="0" w:color="auto"/>
        </w:pBdr>
        <w:ind w:left="0" w:firstLine="720"/>
        <w:contextualSpacing/>
        <w:jc w:val="both"/>
        <w:rPr>
          <w:rFonts w:asciiTheme="majorHAnsi" w:hAnsiTheme="majorHAnsi"/>
          <w:sz w:val="20"/>
          <w:szCs w:val="20"/>
          <w:lang w:val="es-MX"/>
        </w:rPr>
      </w:pPr>
      <w:r w:rsidRPr="00FE699D">
        <w:rPr>
          <w:rFonts w:asciiTheme="majorHAnsi" w:hAnsiTheme="majorHAnsi"/>
          <w:sz w:val="20"/>
          <w:szCs w:val="20"/>
          <w:lang w:val="es-MX"/>
        </w:rPr>
        <w:t xml:space="preserve">Reparar integralmente las violaciones de derechos humanos declaradas en el presente informe tanto en el aspecto material como inmaterial, incluyendo medidas de compensación y satisfacción. </w:t>
      </w:r>
    </w:p>
    <w:p w14:paraId="66F77A1D" w14:textId="77777777" w:rsidR="004325DA" w:rsidRPr="00FE699D" w:rsidRDefault="004325DA" w:rsidP="00871B7B">
      <w:pPr>
        <w:jc w:val="both"/>
        <w:rPr>
          <w:rFonts w:asciiTheme="majorHAnsi" w:eastAsia="Times New Roman" w:hAnsiTheme="majorHAnsi"/>
          <w:color w:val="000000" w:themeColor="text1"/>
          <w:sz w:val="16"/>
          <w:szCs w:val="16"/>
          <w:bdr w:val="none" w:sz="0" w:space="0" w:color="auto"/>
          <w:lang w:val="es-ES_tradnl"/>
        </w:rPr>
      </w:pPr>
    </w:p>
    <w:p w14:paraId="22A7A2B1" w14:textId="77777777" w:rsidR="00871B7B" w:rsidRPr="00FE699D" w:rsidRDefault="00871B7B" w:rsidP="00871B7B">
      <w:pPr>
        <w:jc w:val="both"/>
        <w:rPr>
          <w:rFonts w:asciiTheme="majorHAnsi" w:eastAsia="Times New Roman" w:hAnsiTheme="majorHAnsi"/>
          <w:color w:val="000000" w:themeColor="text1"/>
          <w:sz w:val="16"/>
          <w:szCs w:val="16"/>
          <w:bdr w:val="none" w:sz="0" w:space="0" w:color="auto"/>
          <w:lang w:val="es-ES_tradnl"/>
        </w:rPr>
      </w:pPr>
    </w:p>
    <w:p w14:paraId="3F149B3A" w14:textId="77777777" w:rsidR="004325DA" w:rsidRPr="00FE699D" w:rsidRDefault="004325DA" w:rsidP="00FD0DD7">
      <w:pPr>
        <w:pStyle w:val="Heading1"/>
        <w:ind w:left="1440" w:hanging="720"/>
        <w:rPr>
          <w:rFonts w:eastAsiaTheme="majorEastAsia"/>
        </w:rPr>
      </w:pPr>
      <w:bookmarkStart w:id="28" w:name="_Toc11052104"/>
      <w:bookmarkStart w:id="29" w:name="_Toc11060948"/>
      <w:bookmarkStart w:id="30" w:name="_Toc194050572"/>
      <w:bookmarkStart w:id="31" w:name="_Toc196308640"/>
      <w:bookmarkStart w:id="32" w:name="_Toc202349293"/>
      <w:r w:rsidRPr="00FE699D">
        <w:t>PUBLICACIÓN</w:t>
      </w:r>
      <w:bookmarkEnd w:id="28"/>
      <w:bookmarkEnd w:id="29"/>
      <w:bookmarkEnd w:id="30"/>
      <w:bookmarkEnd w:id="31"/>
      <w:bookmarkEnd w:id="32"/>
    </w:p>
    <w:p w14:paraId="1493E11B" w14:textId="77777777" w:rsidR="004325DA" w:rsidRPr="00FE699D" w:rsidRDefault="004325DA" w:rsidP="004325DA">
      <w:pPr>
        <w:jc w:val="both"/>
        <w:rPr>
          <w:rFonts w:asciiTheme="majorHAnsi" w:eastAsia="Times New Roman" w:hAnsiTheme="majorHAnsi" w:cs="Tahoma"/>
          <w:color w:val="000000"/>
          <w:sz w:val="16"/>
          <w:szCs w:val="16"/>
          <w:u w:color="000000"/>
          <w:bdr w:val="none" w:sz="0" w:space="0" w:color="auto" w:frame="1"/>
          <w:lang w:val="es-ES_tradnl"/>
        </w:rPr>
      </w:pPr>
    </w:p>
    <w:p w14:paraId="6620C7D9" w14:textId="77777777" w:rsidR="00871B7B" w:rsidRPr="00FE699D" w:rsidRDefault="00871B7B" w:rsidP="004325DA">
      <w:pPr>
        <w:jc w:val="both"/>
        <w:rPr>
          <w:rFonts w:asciiTheme="majorHAnsi" w:eastAsia="Times New Roman" w:hAnsiTheme="majorHAnsi" w:cs="Tahoma"/>
          <w:color w:val="000000"/>
          <w:sz w:val="16"/>
          <w:szCs w:val="16"/>
          <w:u w:color="000000"/>
          <w:bdr w:val="none" w:sz="0" w:space="0" w:color="auto" w:frame="1"/>
          <w:lang w:val="es-ES_tradnl"/>
        </w:rPr>
      </w:pPr>
    </w:p>
    <w:p w14:paraId="082F84E8" w14:textId="69267A4B" w:rsidR="004325DA" w:rsidRPr="00DE215D" w:rsidRDefault="004325DA" w:rsidP="00BA72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_tradnl"/>
        </w:rPr>
      </w:pPr>
      <w:r w:rsidRPr="00FE699D">
        <w:rPr>
          <w:rFonts w:asciiTheme="majorHAnsi" w:hAnsiTheme="majorHAnsi"/>
          <w:sz w:val="20"/>
          <w:szCs w:val="20"/>
          <w:lang w:val="es-ES_tradnl"/>
        </w:rPr>
        <w:t>D</w:t>
      </w:r>
      <w:r w:rsidRPr="00FE699D">
        <w:rPr>
          <w:rFonts w:asciiTheme="majorHAnsi" w:hAnsiTheme="majorHAnsi"/>
          <w:sz w:val="20"/>
          <w:szCs w:val="20"/>
          <w:lang w:val="es-US"/>
        </w:rPr>
        <w:t xml:space="preserve">e acuerdo con lo </w:t>
      </w:r>
      <w:r w:rsidR="003B158E" w:rsidRPr="00FE699D">
        <w:rPr>
          <w:rFonts w:asciiTheme="majorHAnsi" w:hAnsiTheme="majorHAnsi"/>
          <w:sz w:val="20"/>
          <w:szCs w:val="20"/>
          <w:lang w:val="es-US"/>
        </w:rPr>
        <w:t xml:space="preserve">desarrollado </w:t>
      </w:r>
      <w:r w:rsidRPr="00FE699D">
        <w:rPr>
          <w:rFonts w:asciiTheme="majorHAnsi" w:hAnsiTheme="majorHAnsi"/>
          <w:sz w:val="20"/>
          <w:szCs w:val="20"/>
          <w:lang w:val="es-US"/>
        </w:rPr>
        <w:t>y de conformidad con lo dispuesto en el artículo 51.3 de la Convención Americana</w:t>
      </w:r>
      <w:r w:rsidR="00D95A92" w:rsidRPr="00D95A92">
        <w:rPr>
          <w:rFonts w:ascii="Cambria" w:hAnsi="Cambria"/>
          <w:color w:val="000000"/>
          <w:sz w:val="20"/>
          <w:szCs w:val="20"/>
          <w:lang w:val="es-AR"/>
        </w:rPr>
        <w:t xml:space="preserve"> y 47.3 de su Reglamento</w:t>
      </w:r>
      <w:r w:rsidRPr="00FE699D">
        <w:rPr>
          <w:rFonts w:asciiTheme="majorHAnsi" w:hAnsiTheme="majorHAnsi"/>
          <w:sz w:val="20"/>
          <w:szCs w:val="20"/>
          <w:lang w:val="es-US"/>
        </w:rPr>
        <w:t xml:space="preserve">, la Comisión Interamericana de Derechos Humanos decide publicar este informe e incluirlo en su Informe Anual a la Asamblea General de la Organización de Estados Americanos. La Comisión Interamericana, de </w:t>
      </w:r>
      <w:r w:rsidR="00647249" w:rsidRPr="00FE699D">
        <w:rPr>
          <w:rFonts w:asciiTheme="majorHAnsi" w:hAnsiTheme="majorHAnsi"/>
          <w:sz w:val="20"/>
          <w:szCs w:val="20"/>
          <w:lang w:val="es-US"/>
        </w:rPr>
        <w:t xml:space="preserve">conformidad </w:t>
      </w:r>
      <w:r w:rsidRPr="00FE699D">
        <w:rPr>
          <w:rFonts w:asciiTheme="majorHAnsi" w:hAnsiTheme="majorHAnsi"/>
          <w:sz w:val="20"/>
          <w:szCs w:val="20"/>
          <w:lang w:val="es-US"/>
        </w:rPr>
        <w:t xml:space="preserve">con las normas establecidas en los instrumentos que regulan su mandato, continuará evaluando que el Estado de </w:t>
      </w:r>
      <w:r w:rsidR="00FD0DD7" w:rsidRPr="00FE699D">
        <w:rPr>
          <w:rFonts w:asciiTheme="majorHAnsi" w:hAnsiTheme="majorHAnsi"/>
          <w:sz w:val="20"/>
          <w:szCs w:val="20"/>
          <w:lang w:val="es-US"/>
        </w:rPr>
        <w:t xml:space="preserve">Colombia </w:t>
      </w:r>
      <w:r w:rsidRPr="00FE699D">
        <w:rPr>
          <w:rFonts w:asciiTheme="majorHAnsi" w:hAnsiTheme="majorHAnsi"/>
          <w:sz w:val="20"/>
          <w:szCs w:val="20"/>
          <w:lang w:val="es-US"/>
        </w:rPr>
        <w:t xml:space="preserve">repare integralmente a la víctima </w:t>
      </w:r>
      <w:r w:rsidR="00647249" w:rsidRPr="00FE699D">
        <w:rPr>
          <w:rFonts w:asciiTheme="majorHAnsi" w:hAnsiTheme="majorHAnsi"/>
          <w:sz w:val="20"/>
          <w:szCs w:val="20"/>
          <w:lang w:val="es-US"/>
        </w:rPr>
        <w:t>según</w:t>
      </w:r>
      <w:r w:rsidRPr="00FE699D">
        <w:rPr>
          <w:rFonts w:asciiTheme="majorHAnsi" w:hAnsiTheme="majorHAnsi"/>
          <w:sz w:val="20"/>
          <w:szCs w:val="20"/>
          <w:lang w:val="es-US"/>
        </w:rPr>
        <w:t xml:space="preserve"> lo establecido en la recomendación arriba señalada, hasta que determine que se le ha dado un total cumplimiento.</w:t>
      </w:r>
    </w:p>
    <w:p w14:paraId="21A78825" w14:textId="3A5DD263" w:rsidR="00DE215D" w:rsidRPr="00FE699D" w:rsidRDefault="00DE215D" w:rsidP="00DE215D">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lang w:val="es-ES_tradnl"/>
        </w:rPr>
      </w:pPr>
    </w:p>
    <w:p w14:paraId="5E5DAE2C" w14:textId="006C7933" w:rsidR="00DE215D" w:rsidRPr="00DE215D" w:rsidRDefault="00DE215D" w:rsidP="00DE215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jc w:val="both"/>
        <w:rPr>
          <w:rFonts w:asciiTheme="majorHAnsi" w:hAnsiTheme="majorHAnsi"/>
          <w:sz w:val="20"/>
          <w:szCs w:val="20"/>
          <w:lang w:val="es-ES_tradnl"/>
        </w:rPr>
      </w:pPr>
      <w:r>
        <w:rPr>
          <w:rFonts w:asciiTheme="majorHAnsi" w:hAnsiTheme="majorHAnsi"/>
          <w:sz w:val="20"/>
          <w:szCs w:val="20"/>
          <w:lang w:val="es-ES_tradnl"/>
        </w:rPr>
        <w:tab/>
      </w:r>
      <w:r w:rsidRPr="00DE215D">
        <w:rPr>
          <w:rFonts w:asciiTheme="majorHAnsi" w:hAnsiTheme="majorHAnsi"/>
          <w:sz w:val="20"/>
          <w:szCs w:val="20"/>
          <w:lang w:val="es-ES_tradnl"/>
        </w:rPr>
        <w:t>Aprobado por la Comisión Interamericana de Derechos Humanos a los 2</w:t>
      </w:r>
      <w:r>
        <w:rPr>
          <w:rFonts w:asciiTheme="majorHAnsi" w:hAnsiTheme="majorHAnsi"/>
          <w:sz w:val="20"/>
          <w:szCs w:val="20"/>
          <w:lang w:val="es-ES_tradnl"/>
        </w:rPr>
        <w:t>6</w:t>
      </w:r>
      <w:r w:rsidRPr="00DE215D">
        <w:rPr>
          <w:rFonts w:asciiTheme="majorHAnsi" w:hAnsiTheme="majorHAnsi"/>
          <w:sz w:val="20"/>
          <w:szCs w:val="20"/>
          <w:lang w:val="es-ES_tradnl"/>
        </w:rPr>
        <w:t xml:space="preserve"> días del mes de junio de 2025. (Firmado): José Luis Caballero Ochoa, Presidente; Andrea Pochak, Primera Vicepresidenta; Arif Bulkan, Segundo Vicepresidente; Edgard Stuardo Ralón Orellana, Roberta Clarke y Gloria Monique De Mees, Miembros de la Comisión.</w:t>
      </w:r>
    </w:p>
    <w:p w14:paraId="020E20E1" w14:textId="77777777" w:rsidR="00666D05" w:rsidRPr="00653322" w:rsidRDefault="00666D05" w:rsidP="00666D05">
      <w:pPr>
        <w:tabs>
          <w:tab w:val="center" w:pos="5040"/>
        </w:tabs>
        <w:jc w:val="center"/>
        <w:rPr>
          <w:rFonts w:ascii="Cambria" w:hAnsi="Cambria"/>
          <w:lang w:val="es-ES_tradnl"/>
        </w:rPr>
      </w:pPr>
      <w:bookmarkStart w:id="33" w:name="_Hlk197422485"/>
      <w:bookmarkStart w:id="34" w:name="_Hlk199498034"/>
      <w:bookmarkStart w:id="35" w:name="_Hlk200616905"/>
    </w:p>
    <w:p w14:paraId="73100BF6" w14:textId="77777777" w:rsidR="00666D05" w:rsidRDefault="00666D05" w:rsidP="00666D05">
      <w:pPr>
        <w:tabs>
          <w:tab w:val="center" w:pos="5040"/>
        </w:tabs>
        <w:jc w:val="center"/>
        <w:rPr>
          <w:rFonts w:ascii="Cambria" w:hAnsi="Cambria"/>
          <w:lang w:val="es-CO"/>
        </w:rPr>
      </w:pPr>
    </w:p>
    <w:bookmarkEnd w:id="33"/>
    <w:bookmarkEnd w:id="34"/>
    <w:bookmarkEnd w:id="35"/>
    <w:p w14:paraId="220C1558" w14:textId="4C14328E" w:rsidR="009A5691" w:rsidRPr="004325DA" w:rsidRDefault="009A5691" w:rsidP="00666D05">
      <w:pPr>
        <w:jc w:val="center"/>
        <w:rPr>
          <w:rFonts w:asciiTheme="majorHAnsi" w:hAnsiTheme="majorHAnsi"/>
          <w:sz w:val="20"/>
          <w:szCs w:val="20"/>
          <w:lang w:val="es-ES_tradnl"/>
        </w:rPr>
      </w:pPr>
    </w:p>
    <w:sectPr w:rsidR="009A5691" w:rsidRPr="004325DA" w:rsidSect="00CE401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E37A" w14:textId="77777777" w:rsidR="00017F85" w:rsidRDefault="00017F85">
      <w:r>
        <w:separator/>
      </w:r>
    </w:p>
  </w:endnote>
  <w:endnote w:type="continuationSeparator" w:id="0">
    <w:p w14:paraId="41E492CF" w14:textId="77777777" w:rsidR="00017F85" w:rsidRDefault="000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28E4FB2" w14:textId="77777777" w:rsidR="003F7533" w:rsidRPr="00934A2C" w:rsidRDefault="003F753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12</w:t>
        </w:r>
        <w:r w:rsidRPr="00934A2C">
          <w:rPr>
            <w:noProof/>
            <w:sz w:val="16"/>
            <w:szCs w:val="22"/>
          </w:rPr>
          <w:fldChar w:fldCharType="end"/>
        </w:r>
      </w:p>
    </w:sdtContent>
  </w:sdt>
  <w:p w14:paraId="08945AB3" w14:textId="77777777" w:rsidR="003F7533" w:rsidRDefault="003F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2DB9" w14:textId="77777777" w:rsidR="003F7533" w:rsidRPr="00934A2C" w:rsidRDefault="003F7533">
    <w:pPr>
      <w:pStyle w:val="Footer"/>
      <w:jc w:val="center"/>
      <w:rPr>
        <w:sz w:val="16"/>
        <w:szCs w:val="22"/>
      </w:rPr>
    </w:pPr>
  </w:p>
  <w:p w14:paraId="7460ECF1" w14:textId="77777777" w:rsidR="003F7533" w:rsidRDefault="003F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C7C9" w14:textId="77777777" w:rsidR="00017F85" w:rsidRPr="000F35ED" w:rsidRDefault="00017F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E94A17" w14:textId="77777777" w:rsidR="00017F85" w:rsidRPr="000F35ED" w:rsidRDefault="00017F85" w:rsidP="000F35ED">
      <w:pPr>
        <w:rPr>
          <w:rFonts w:asciiTheme="majorHAnsi" w:hAnsiTheme="majorHAnsi"/>
          <w:sz w:val="16"/>
          <w:szCs w:val="16"/>
        </w:rPr>
      </w:pPr>
      <w:r w:rsidRPr="000F35ED">
        <w:rPr>
          <w:rFonts w:asciiTheme="majorHAnsi" w:hAnsiTheme="majorHAnsi"/>
          <w:sz w:val="16"/>
          <w:szCs w:val="16"/>
        </w:rPr>
        <w:separator/>
      </w:r>
    </w:p>
    <w:p w14:paraId="35CC3996" w14:textId="77777777" w:rsidR="00017F85" w:rsidRPr="000F35ED" w:rsidRDefault="00017F8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C5C9B83" w14:textId="77777777" w:rsidR="00017F85" w:rsidRPr="000F35ED" w:rsidRDefault="00017F8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B6622" w14:textId="6D603B4F" w:rsidR="00941E75" w:rsidRPr="00DB6A3A" w:rsidRDefault="00941E75" w:rsidP="00941E75">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US"/>
        </w:rPr>
        <w:t xml:space="preserve"> </w:t>
      </w:r>
      <w:r w:rsidRPr="00DB6A3A">
        <w:rPr>
          <w:rFonts w:ascii="Cambria" w:hAnsi="Cambria"/>
          <w:sz w:val="16"/>
          <w:szCs w:val="16"/>
          <w:lang w:val="es-CO"/>
        </w:rPr>
        <w:t xml:space="preserve">Conforme a lo dispuesto en el artículo 17.2 del Reglamento de la Comisión, </w:t>
      </w:r>
      <w:r w:rsidRPr="005C1AC8">
        <w:rPr>
          <w:rFonts w:ascii="Cambria" w:hAnsi="Cambria"/>
          <w:sz w:val="16"/>
          <w:szCs w:val="16"/>
          <w:lang w:val="es-CO"/>
        </w:rPr>
        <w:t xml:space="preserve">el Comisionado </w:t>
      </w:r>
      <w:bookmarkStart w:id="3" w:name="LuisVargas"/>
      <w:bookmarkEnd w:id="3"/>
      <w:r w:rsidR="005A35F3" w:rsidRPr="00FE699D">
        <w:rPr>
          <w:rFonts w:ascii="Cambria" w:hAnsi="Cambria"/>
          <w:bCs/>
          <w:sz w:val="16"/>
          <w:szCs w:val="16"/>
          <w:lang w:val="es-MX"/>
        </w:rPr>
        <w:t>Carlos Bernal Pulido</w:t>
      </w:r>
      <w:r w:rsidRPr="00FE699D">
        <w:rPr>
          <w:rFonts w:ascii="Cambria" w:hAnsi="Cambria"/>
          <w:sz w:val="16"/>
          <w:szCs w:val="16"/>
          <w:lang w:val="es-CO"/>
        </w:rPr>
        <w:t>,</w:t>
      </w:r>
      <w:r w:rsidRPr="00DB6A3A">
        <w:rPr>
          <w:rFonts w:ascii="Cambria" w:hAnsi="Cambria"/>
          <w:sz w:val="16"/>
          <w:szCs w:val="16"/>
          <w:lang w:val="es-CO"/>
        </w:rPr>
        <w:t xml:space="preserve"> de nacionalidad </w:t>
      </w:r>
      <w:r w:rsidRPr="00DB6A3A">
        <w:rPr>
          <w:rFonts w:ascii="Cambria" w:hAnsi="Cambria"/>
          <w:sz w:val="16"/>
          <w:szCs w:val="16"/>
          <w:lang w:val="es-MX"/>
        </w:rPr>
        <w:t xml:space="preserve">colombiana, no participó en el debate ni en la decisión del presente caso. </w:t>
      </w:r>
    </w:p>
  </w:footnote>
  <w:footnote w:id="3">
    <w:p w14:paraId="5643DF47" w14:textId="77777777" w:rsidR="003F7533" w:rsidRPr="00DB6A3A" w:rsidRDefault="003F7533" w:rsidP="000C7CAA">
      <w:pPr>
        <w:pStyle w:val="FootnoteText"/>
        <w:jc w:val="both"/>
        <w:rPr>
          <w:rStyle w:val="FootnoteReference"/>
          <w:rFonts w:ascii="Cambria" w:hAnsi="Cambria"/>
          <w:sz w:val="16"/>
          <w:szCs w:val="16"/>
          <w:lang w:val="es-MX"/>
        </w:rPr>
      </w:pPr>
      <w:r w:rsidRPr="00941E75">
        <w:rPr>
          <w:rFonts w:ascii="Cambria" w:hAnsi="Cambria"/>
          <w:sz w:val="16"/>
          <w:szCs w:val="16"/>
          <w:vertAlign w:val="superscript"/>
        </w:rPr>
        <w:footnoteRef/>
      </w:r>
      <w:r w:rsidRPr="00DB6A3A">
        <w:rPr>
          <w:rFonts w:ascii="Cambria" w:hAnsi="Cambria"/>
          <w:sz w:val="16"/>
          <w:szCs w:val="16"/>
          <w:lang w:val="es-CO"/>
        </w:rPr>
        <w:t xml:space="preserve"> CIDH. Informe No. 105/13. Caso 12.396. </w:t>
      </w:r>
      <w:r w:rsidRPr="00DB6A3A">
        <w:rPr>
          <w:rFonts w:ascii="Cambria" w:hAnsi="Cambria"/>
          <w:sz w:val="16"/>
          <w:szCs w:val="16"/>
          <w:lang w:val="es-MX"/>
        </w:rPr>
        <w:t xml:space="preserve">Oscar Alfonso Morales Díaz y familiares. Admisibilidad. 5 de noviembre de 2013. La CIDH </w:t>
      </w:r>
      <w:r w:rsidRPr="00DB6A3A">
        <w:rPr>
          <w:rFonts w:ascii="Cambria" w:hAnsi="Cambria"/>
          <w:sz w:val="16"/>
          <w:szCs w:val="16"/>
          <w:lang w:val="es-CO"/>
        </w:rPr>
        <w:t xml:space="preserve">declaró </w:t>
      </w:r>
      <w:r w:rsidRPr="00DB6A3A">
        <w:rPr>
          <w:rFonts w:ascii="Cambria" w:hAnsi="Cambria"/>
          <w:sz w:val="16"/>
          <w:szCs w:val="16"/>
          <w:lang w:val="es-MX"/>
        </w:rPr>
        <w:t>admisibles los artículos 4, 5, 8, 21, 22 y 25 y declaró inadmisible</w:t>
      </w:r>
      <w:r w:rsidRPr="00DB6A3A">
        <w:rPr>
          <w:rFonts w:ascii="Cambria" w:hAnsi="Cambria"/>
          <w:sz w:val="16"/>
          <w:szCs w:val="16"/>
          <w:lang w:val="es-CO"/>
        </w:rPr>
        <w:t xml:space="preserve"> el artículo 6 del Protocolo de San Salvador.</w:t>
      </w:r>
    </w:p>
  </w:footnote>
  <w:footnote w:id="4">
    <w:p w14:paraId="04D99DDC" w14:textId="77777777"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El Estado solicitó a la Comisión varias prórrogas para pronunciarse al respecto. Nunca se inició un proceso de diálogo con el peticionario. </w:t>
      </w:r>
    </w:p>
  </w:footnote>
  <w:footnote w:id="5">
    <w:p w14:paraId="2B89A616" w14:textId="37C16763"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1</w:t>
      </w:r>
      <w:r w:rsidRPr="00DB6A3A">
        <w:rPr>
          <w:rFonts w:ascii="Cambria" w:hAnsi="Cambria"/>
          <w:sz w:val="16"/>
          <w:szCs w:val="16"/>
          <w:lang w:val="es-MX"/>
        </w:rPr>
        <w:t xml:space="preserve">. Observaciones presentadas por el Estado. Nota DIDHD/GOI N. 68959/2592 de 10 de octubre de 2012. </w:t>
      </w:r>
    </w:p>
  </w:footnote>
  <w:footnote w:id="6">
    <w:p w14:paraId="5AB5776D" w14:textId="2A7BE210"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2</w:t>
      </w:r>
      <w:r w:rsidRPr="00DB6A3A">
        <w:rPr>
          <w:rFonts w:ascii="Cambria" w:hAnsi="Cambria"/>
          <w:sz w:val="16"/>
          <w:szCs w:val="16"/>
          <w:lang w:val="es-CO"/>
        </w:rPr>
        <w:t>. Escrito de la Presidencia de la República de Colombia dirigido a la Embajada de Canadá en Colombia de 16 de agosto de 2000. Anexo a la petición inicial de 10 de octubre de 2000.</w:t>
      </w:r>
      <w:r w:rsidRPr="00DB6A3A">
        <w:rPr>
          <w:rFonts w:ascii="Cambria" w:hAnsi="Cambria"/>
          <w:sz w:val="16"/>
          <w:szCs w:val="16"/>
          <w:lang w:val="es-MX"/>
        </w:rPr>
        <w:t xml:space="preserve"> </w:t>
      </w:r>
    </w:p>
  </w:footnote>
  <w:footnote w:id="7">
    <w:p w14:paraId="7EB37DD7" w14:textId="50D6C419"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1</w:t>
      </w:r>
      <w:r w:rsidRPr="00DB6A3A">
        <w:rPr>
          <w:rFonts w:ascii="Cambria" w:hAnsi="Cambria"/>
          <w:sz w:val="16"/>
          <w:szCs w:val="16"/>
          <w:lang w:val="es-MX"/>
        </w:rPr>
        <w:t>. Observaciones presentadas por el Estado. Nota DIDHD/GOI N. 68959/2592, de 10 octubre de 2012.</w:t>
      </w:r>
    </w:p>
  </w:footnote>
  <w:footnote w:id="8">
    <w:p w14:paraId="46EF9ADD" w14:textId="3D20E1ED"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3</w:t>
      </w:r>
      <w:r w:rsidRPr="00DB6A3A">
        <w:rPr>
          <w:rFonts w:ascii="Cambria" w:hAnsi="Cambria"/>
          <w:sz w:val="16"/>
          <w:szCs w:val="16"/>
          <w:lang w:val="es-CO"/>
        </w:rPr>
        <w:t>. Complemento a la petición inicial. Escrito</w:t>
      </w:r>
      <w:r>
        <w:rPr>
          <w:rFonts w:ascii="Cambria" w:hAnsi="Cambria"/>
          <w:sz w:val="16"/>
          <w:szCs w:val="16"/>
          <w:lang w:val="es-CO"/>
        </w:rPr>
        <w:t xml:space="preserve"> presentado por el peticionario</w:t>
      </w:r>
      <w:r w:rsidRPr="00DB6A3A">
        <w:rPr>
          <w:rFonts w:ascii="Cambria" w:hAnsi="Cambria"/>
          <w:sz w:val="16"/>
          <w:szCs w:val="16"/>
          <w:lang w:val="es-CO"/>
        </w:rPr>
        <w:t xml:space="preserve"> de 23 de octubre de 2000.</w:t>
      </w:r>
      <w:r w:rsidRPr="00DB6A3A">
        <w:rPr>
          <w:rFonts w:ascii="Cambria" w:hAnsi="Cambria"/>
          <w:sz w:val="16"/>
          <w:szCs w:val="16"/>
          <w:lang w:val="es-MX"/>
        </w:rPr>
        <w:t xml:space="preserve"> </w:t>
      </w:r>
    </w:p>
  </w:footnote>
  <w:footnote w:id="9">
    <w:p w14:paraId="7114F091" w14:textId="4AF49816"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3</w:t>
      </w:r>
      <w:r w:rsidRPr="00DB6A3A">
        <w:rPr>
          <w:rFonts w:ascii="Cambria" w:hAnsi="Cambria"/>
          <w:sz w:val="16"/>
          <w:szCs w:val="16"/>
          <w:lang w:val="es-MX"/>
        </w:rPr>
        <w:t xml:space="preserve">. Complemento a la petición inicial. Escrito </w:t>
      </w:r>
      <w:r>
        <w:rPr>
          <w:rFonts w:ascii="Cambria" w:hAnsi="Cambria"/>
          <w:sz w:val="16"/>
          <w:szCs w:val="16"/>
          <w:lang w:val="es-MX"/>
        </w:rPr>
        <w:t xml:space="preserve">presentado por el peticionario </w:t>
      </w:r>
      <w:r w:rsidRPr="00DB6A3A">
        <w:rPr>
          <w:rFonts w:ascii="Cambria" w:hAnsi="Cambria"/>
          <w:sz w:val="16"/>
          <w:szCs w:val="16"/>
          <w:lang w:val="es-MX"/>
        </w:rPr>
        <w:t>de 23 de octubre de 2000.</w:t>
      </w:r>
    </w:p>
  </w:footnote>
  <w:footnote w:id="10">
    <w:p w14:paraId="4B5DD42D" w14:textId="2D527477"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4</w:t>
      </w:r>
      <w:r w:rsidRPr="00DB6A3A">
        <w:rPr>
          <w:rFonts w:ascii="Cambria" w:hAnsi="Cambria"/>
          <w:sz w:val="16"/>
          <w:szCs w:val="16"/>
          <w:lang w:val="es-CO"/>
        </w:rPr>
        <w:t>. Escrito del Programa Presidencial de Lucha Contra la Corrupción dirigido a Oscar Alfonso Morales Díaz. Anexo a la petición inicial de 10 de octubre de 2000.</w:t>
      </w:r>
    </w:p>
  </w:footnote>
  <w:footnote w:id="11">
    <w:p w14:paraId="69A19298" w14:textId="0501A359"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5</w:t>
      </w:r>
      <w:r w:rsidRPr="00DB6A3A">
        <w:rPr>
          <w:rFonts w:ascii="Cambria" w:hAnsi="Cambria"/>
          <w:sz w:val="16"/>
          <w:szCs w:val="16"/>
          <w:lang w:val="es-CO"/>
        </w:rPr>
        <w:t xml:space="preserve">. “IDU tiene 527 pleitos”, nota de prensa, de 12 de junio de 2000, Diario El Tiempo. Anexo a la petición inicial de 10 de octubre de 2000. </w:t>
      </w:r>
      <w:r w:rsidRPr="00DB6A3A">
        <w:rPr>
          <w:rFonts w:ascii="Cambria" w:hAnsi="Cambria"/>
          <w:sz w:val="16"/>
          <w:szCs w:val="16"/>
          <w:lang w:val="es-MX"/>
        </w:rPr>
        <w:t xml:space="preserve"> “Pleitos del IDU”,</w:t>
      </w:r>
      <w:r w:rsidRPr="00DB6A3A">
        <w:rPr>
          <w:rFonts w:ascii="Cambria" w:hAnsi="Cambria"/>
          <w:sz w:val="16"/>
          <w:szCs w:val="16"/>
          <w:lang w:val="es-CO"/>
        </w:rPr>
        <w:t xml:space="preserve"> nota de prensa de 18 de junio de 2000. “IDU, en los tribunales”, nota de prensa. Anexo a la petición inicial de 10 de octubre de 2000.</w:t>
      </w:r>
    </w:p>
  </w:footnote>
  <w:footnote w:id="12">
    <w:p w14:paraId="7681BFA9" w14:textId="2AE44920"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5</w:t>
      </w:r>
      <w:r w:rsidRPr="00DB6A3A">
        <w:rPr>
          <w:rFonts w:ascii="Cambria" w:hAnsi="Cambria"/>
          <w:sz w:val="16"/>
          <w:szCs w:val="16"/>
          <w:lang w:val="es-CO"/>
        </w:rPr>
        <w:t>. “IDU tiene 527 pleitos”, nota de prensa de Diario El Tiempo, de fecha lunes 12 de junio de 2000. Anexo a la petición inicial de 10 de octubre de 2000.</w:t>
      </w:r>
    </w:p>
  </w:footnote>
  <w:footnote w:id="13">
    <w:p w14:paraId="6AA2AC8E" w14:textId="5A00C565"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3</w:t>
      </w:r>
      <w:r w:rsidRPr="00DB6A3A">
        <w:rPr>
          <w:rFonts w:ascii="Cambria" w:hAnsi="Cambria"/>
          <w:sz w:val="16"/>
          <w:szCs w:val="16"/>
          <w:lang w:val="es-CO"/>
        </w:rPr>
        <w:t>. Complemento a la petición inicial. Escrito presentado por el peticionario de 23 de octubre de 2000.</w:t>
      </w:r>
    </w:p>
  </w:footnote>
  <w:footnote w:id="14">
    <w:p w14:paraId="7DC2AEA8" w14:textId="37D706A9"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6</w:t>
      </w:r>
      <w:r w:rsidRPr="00DB6A3A">
        <w:rPr>
          <w:rFonts w:ascii="Cambria" w:hAnsi="Cambria"/>
          <w:sz w:val="16"/>
          <w:szCs w:val="16"/>
          <w:lang w:val="es-CO"/>
        </w:rPr>
        <w:t>. Denuncia de amenazas presentada por el señor Oscar Alfonso Morales Díaz ante el Programa Presidencial de Lucha Contra la Corrupción de 30 de junio de 2000, radicado 1740. Anexo a la petición inicial de 10 de octubre de 2000.</w:t>
      </w:r>
    </w:p>
  </w:footnote>
  <w:footnote w:id="15">
    <w:p w14:paraId="30B35287" w14:textId="25E1F350"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4</w:t>
      </w:r>
      <w:r w:rsidRPr="00DB6A3A">
        <w:rPr>
          <w:rFonts w:ascii="Cambria" w:hAnsi="Cambria"/>
          <w:sz w:val="16"/>
          <w:szCs w:val="16"/>
          <w:lang w:val="es-CO"/>
        </w:rPr>
        <w:t>. Escrito del Programa Presidencial de Lucha contra la Corrupción dirigido a Oscar Alfonso Morales Díaz. Anexo a la petición inicial de 10 de octubre de 2000.</w:t>
      </w:r>
    </w:p>
  </w:footnote>
  <w:footnote w:id="16">
    <w:p w14:paraId="6A71C34E" w14:textId="12D62885"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7</w:t>
      </w:r>
      <w:r w:rsidRPr="00DB6A3A">
        <w:rPr>
          <w:rFonts w:ascii="Cambria" w:hAnsi="Cambria"/>
          <w:sz w:val="16"/>
          <w:szCs w:val="16"/>
          <w:lang w:val="es-CO"/>
        </w:rPr>
        <w:t>. Denuncia por amenazas ante la Procuraduría General de la Nación por parte de Oscar Alfonso Morales Díaz. Anexo a escrito presentado por el peticionario de 10 de julio de 2003.</w:t>
      </w:r>
    </w:p>
  </w:footnote>
  <w:footnote w:id="17">
    <w:p w14:paraId="295E855E" w14:textId="1BC76CF0"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8</w:t>
      </w:r>
      <w:r w:rsidRPr="00DB6A3A">
        <w:rPr>
          <w:rFonts w:ascii="Cambria" w:hAnsi="Cambria"/>
          <w:sz w:val="16"/>
          <w:szCs w:val="16"/>
          <w:lang w:val="es-MX"/>
        </w:rPr>
        <w:t>. Observaciones sobre fondo presentadas por el Estado. Nota 20175010031361-GDI de 15 de mayo de 2017.</w:t>
      </w:r>
    </w:p>
  </w:footnote>
  <w:footnote w:id="18">
    <w:p w14:paraId="2A2F2E8F" w14:textId="1EE6F024"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Pr>
          <w:rFonts w:ascii="Cambria" w:hAnsi="Cambria"/>
          <w:sz w:val="16"/>
          <w:szCs w:val="16"/>
          <w:lang w:val="es-MX"/>
        </w:rPr>
        <w:t xml:space="preserve"> Anexo 8</w:t>
      </w:r>
      <w:r w:rsidRPr="00DB6A3A">
        <w:rPr>
          <w:rFonts w:ascii="Cambria" w:hAnsi="Cambria"/>
          <w:sz w:val="16"/>
          <w:szCs w:val="16"/>
          <w:lang w:val="es-MX"/>
        </w:rPr>
        <w:t>. Observaciones sobre fondo presentadas por el Estado. Nota 20175010031361-GDI de 15 de mayo de 2017</w:t>
      </w:r>
      <w:r w:rsidRPr="00DB6A3A">
        <w:rPr>
          <w:rFonts w:ascii="Cambria" w:hAnsi="Cambria"/>
          <w:sz w:val="16"/>
          <w:szCs w:val="16"/>
          <w:lang w:val="es-CO"/>
        </w:rPr>
        <w:t>.</w:t>
      </w:r>
    </w:p>
  </w:footnote>
  <w:footnote w:id="19">
    <w:p w14:paraId="6F19DB65" w14:textId="0E195F5C"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9</w:t>
      </w:r>
      <w:r w:rsidRPr="00DB6A3A">
        <w:rPr>
          <w:rFonts w:ascii="Cambria" w:hAnsi="Cambria"/>
          <w:sz w:val="16"/>
          <w:szCs w:val="16"/>
          <w:lang w:val="es-MX"/>
        </w:rPr>
        <w:t xml:space="preserve">. Escrito dirigido a la Defensoría del Pueblo, de 7 de julio de 2000. Anexo a petición inicial. </w:t>
      </w:r>
    </w:p>
  </w:footnote>
  <w:footnote w:id="20">
    <w:p w14:paraId="4E029B6A" w14:textId="72966374"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Anexo </w:t>
      </w:r>
      <w:r>
        <w:rPr>
          <w:rFonts w:ascii="Cambria" w:hAnsi="Cambria"/>
          <w:sz w:val="16"/>
          <w:szCs w:val="16"/>
          <w:lang w:val="es-MX"/>
        </w:rPr>
        <w:t>8</w:t>
      </w:r>
      <w:r w:rsidRPr="00DB6A3A">
        <w:rPr>
          <w:rFonts w:ascii="Cambria" w:hAnsi="Cambria"/>
          <w:sz w:val="16"/>
          <w:szCs w:val="16"/>
          <w:lang w:val="es-MX"/>
        </w:rPr>
        <w:t>. Observaciones sobre fondo presentadas por el Estado. Nota 20175010031361-GDI de 15 de mayo de 2017</w:t>
      </w:r>
      <w:r w:rsidRPr="00DB6A3A">
        <w:rPr>
          <w:rFonts w:ascii="Cambria" w:hAnsi="Cambria"/>
          <w:sz w:val="16"/>
          <w:szCs w:val="16"/>
          <w:lang w:val="es-CO"/>
        </w:rPr>
        <w:t xml:space="preserve">. </w:t>
      </w:r>
    </w:p>
  </w:footnote>
  <w:footnote w:id="21">
    <w:p w14:paraId="551116BC" w14:textId="3C127DEE"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CO"/>
        </w:rPr>
        <w:t xml:space="preserve">Anexo </w:t>
      </w:r>
      <w:r>
        <w:rPr>
          <w:rFonts w:ascii="Cambria" w:hAnsi="Cambria"/>
          <w:sz w:val="16"/>
          <w:szCs w:val="16"/>
          <w:lang w:val="es-CO"/>
        </w:rPr>
        <w:t>10</w:t>
      </w:r>
      <w:r w:rsidRPr="00DB6A3A">
        <w:rPr>
          <w:rFonts w:ascii="Cambria" w:hAnsi="Cambria"/>
          <w:sz w:val="16"/>
          <w:szCs w:val="16"/>
          <w:lang w:val="es-CO"/>
        </w:rPr>
        <w:t>. Denuncia Penal por Tentativa de Homicidio interpuesta por Oscar Alfonso Morales Díaz ante la URI (Unidad de Reacción Inmediata) Kennedy – Fiscal Seccional 310. Anexo a la petición inicial de 10 de octubre de 2000.</w:t>
      </w:r>
    </w:p>
  </w:footnote>
  <w:footnote w:id="22">
    <w:p w14:paraId="0BA2135A" w14:textId="3C8A7059"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8</w:t>
      </w:r>
      <w:r w:rsidRPr="00DB6A3A">
        <w:rPr>
          <w:rFonts w:ascii="Cambria" w:hAnsi="Cambria"/>
          <w:sz w:val="16"/>
          <w:szCs w:val="16"/>
          <w:lang w:val="es-CO"/>
        </w:rPr>
        <w:t xml:space="preserve">. </w:t>
      </w:r>
      <w:r w:rsidRPr="00DB6A3A">
        <w:rPr>
          <w:rFonts w:ascii="Cambria" w:hAnsi="Cambria"/>
          <w:sz w:val="16"/>
          <w:szCs w:val="16"/>
          <w:lang w:val="es-MX"/>
        </w:rPr>
        <w:t>Observaciones presentadas por el Estado. Nota 20175010031361-GDI de 15 de mayo de 2017</w:t>
      </w:r>
      <w:r w:rsidRPr="00DB6A3A">
        <w:rPr>
          <w:rFonts w:ascii="Cambria" w:hAnsi="Cambria"/>
          <w:sz w:val="16"/>
          <w:szCs w:val="16"/>
          <w:lang w:val="es-CO"/>
        </w:rPr>
        <w:t>.</w:t>
      </w:r>
    </w:p>
  </w:footnote>
  <w:footnote w:id="23">
    <w:p w14:paraId="63CD0A22" w14:textId="22DC97E2"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8</w:t>
      </w:r>
      <w:r w:rsidRPr="00DB6A3A">
        <w:rPr>
          <w:rFonts w:ascii="Cambria" w:hAnsi="Cambria"/>
          <w:sz w:val="16"/>
          <w:szCs w:val="16"/>
          <w:lang w:val="es-CO"/>
        </w:rPr>
        <w:t xml:space="preserve">. </w:t>
      </w:r>
      <w:r w:rsidRPr="00DB6A3A">
        <w:rPr>
          <w:rFonts w:ascii="Cambria" w:hAnsi="Cambria"/>
          <w:sz w:val="16"/>
          <w:szCs w:val="16"/>
          <w:lang w:val="es-MX"/>
        </w:rPr>
        <w:t>Observaciones presentadas por el Estado. Nota 20175010031361-GDI de 15 de mayo de 2017</w:t>
      </w:r>
      <w:r w:rsidRPr="00DB6A3A">
        <w:rPr>
          <w:rFonts w:ascii="Cambria" w:hAnsi="Cambria"/>
          <w:sz w:val="16"/>
          <w:szCs w:val="16"/>
          <w:lang w:val="es-CO"/>
        </w:rPr>
        <w:t xml:space="preserve">. </w:t>
      </w:r>
    </w:p>
  </w:footnote>
  <w:footnote w:id="24">
    <w:p w14:paraId="4C0A9B29" w14:textId="695E090F"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3</w:t>
      </w:r>
      <w:r w:rsidRPr="00DB6A3A">
        <w:rPr>
          <w:rFonts w:ascii="Cambria" w:hAnsi="Cambria"/>
          <w:sz w:val="16"/>
          <w:szCs w:val="16"/>
          <w:lang w:val="es-CO"/>
        </w:rPr>
        <w:t>. Complemento a la petición inicial. Escrito</w:t>
      </w:r>
      <w:r>
        <w:rPr>
          <w:rFonts w:ascii="Cambria" w:hAnsi="Cambria"/>
          <w:sz w:val="16"/>
          <w:szCs w:val="16"/>
          <w:lang w:val="es-CO"/>
        </w:rPr>
        <w:t xml:space="preserve"> presentado por el peticionario</w:t>
      </w:r>
      <w:r w:rsidRPr="00DB6A3A">
        <w:rPr>
          <w:rFonts w:ascii="Cambria" w:hAnsi="Cambria"/>
          <w:sz w:val="16"/>
          <w:szCs w:val="16"/>
          <w:lang w:val="es-CO"/>
        </w:rPr>
        <w:t xml:space="preserve"> de 23 de octubre de 20</w:t>
      </w:r>
      <w:r>
        <w:rPr>
          <w:rFonts w:ascii="Cambria" w:hAnsi="Cambria"/>
          <w:sz w:val="16"/>
          <w:szCs w:val="16"/>
          <w:lang w:val="es-CO"/>
        </w:rPr>
        <w:t>00</w:t>
      </w:r>
      <w:r w:rsidRPr="00DB6A3A">
        <w:rPr>
          <w:rFonts w:ascii="Cambria" w:hAnsi="Cambria"/>
          <w:sz w:val="16"/>
          <w:szCs w:val="16"/>
          <w:lang w:val="es-CO"/>
        </w:rPr>
        <w:t>.</w:t>
      </w:r>
    </w:p>
  </w:footnote>
  <w:footnote w:id="25">
    <w:p w14:paraId="4DEF4172" w14:textId="12770E09"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8</w:t>
      </w:r>
      <w:r w:rsidRPr="00DB6A3A">
        <w:rPr>
          <w:rFonts w:ascii="Cambria" w:hAnsi="Cambria"/>
          <w:sz w:val="16"/>
          <w:szCs w:val="16"/>
          <w:lang w:val="es-CO"/>
        </w:rPr>
        <w:t xml:space="preserve">. </w:t>
      </w:r>
      <w:r w:rsidRPr="00DB6A3A">
        <w:rPr>
          <w:rFonts w:ascii="Cambria" w:hAnsi="Cambria"/>
          <w:sz w:val="16"/>
          <w:szCs w:val="16"/>
          <w:lang w:val="es-MX"/>
        </w:rPr>
        <w:t>Observaciones sobre fondo presentadas por el Estado. Nota 20175010031361-GDI de 15 de mayo de 2017</w:t>
      </w:r>
      <w:r w:rsidRPr="00DB6A3A">
        <w:rPr>
          <w:rFonts w:ascii="Cambria" w:hAnsi="Cambria"/>
          <w:sz w:val="16"/>
          <w:szCs w:val="16"/>
          <w:lang w:val="es-CO"/>
        </w:rPr>
        <w:t xml:space="preserve">. </w:t>
      </w:r>
    </w:p>
  </w:footnote>
  <w:footnote w:id="26">
    <w:p w14:paraId="6EAE8C2D" w14:textId="43149AB5"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11</w:t>
      </w:r>
      <w:r w:rsidRPr="00DB6A3A">
        <w:rPr>
          <w:rFonts w:ascii="Cambria" w:hAnsi="Cambria"/>
          <w:sz w:val="16"/>
          <w:szCs w:val="16"/>
          <w:lang w:val="es-CO"/>
        </w:rPr>
        <w:t>. Observaciones sobre admisibilidad presentadas por el Estado. Nota DDJ-2013-003-000502 de 28 de febrero de 2013.</w:t>
      </w:r>
    </w:p>
  </w:footnote>
  <w:footnote w:id="27">
    <w:p w14:paraId="39448B6A" w14:textId="578E71D8"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12</w:t>
      </w:r>
      <w:r w:rsidRPr="00DB6A3A">
        <w:rPr>
          <w:rFonts w:ascii="Cambria" w:hAnsi="Cambria"/>
          <w:sz w:val="16"/>
          <w:szCs w:val="16"/>
          <w:lang w:val="es-MX"/>
        </w:rPr>
        <w:t>. Escrito de la Oficina de Protección y Asistencia de la Fiscalía General de la Nación dirigido al peticionario de fecha 14 de julio de 2000. Escrito presentado con la petición inicial de 10 de octubre de 2000.</w:t>
      </w:r>
    </w:p>
  </w:footnote>
  <w:footnote w:id="28">
    <w:p w14:paraId="15A53F19" w14:textId="0685D081"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Pr>
          <w:rFonts w:ascii="Cambria" w:hAnsi="Cambria"/>
          <w:sz w:val="16"/>
          <w:szCs w:val="16"/>
          <w:lang w:val="es-MX"/>
        </w:rPr>
        <w:t xml:space="preserve">Anexo 8. </w:t>
      </w:r>
      <w:r w:rsidRPr="00DB6A3A">
        <w:rPr>
          <w:rFonts w:ascii="Cambria" w:hAnsi="Cambria"/>
          <w:sz w:val="16"/>
          <w:szCs w:val="16"/>
          <w:lang w:val="es-MX"/>
        </w:rPr>
        <w:t>Observaciones sobre fondo presentadas por el Estado. Nota 20175010031361-GDI de 15 de mayo de 2017</w:t>
      </w:r>
      <w:r w:rsidRPr="00DB6A3A">
        <w:rPr>
          <w:rFonts w:ascii="Cambria" w:hAnsi="Cambria"/>
          <w:sz w:val="16"/>
          <w:szCs w:val="16"/>
          <w:lang w:val="es-CO"/>
        </w:rPr>
        <w:t>.</w:t>
      </w:r>
    </w:p>
  </w:footnote>
  <w:footnote w:id="29">
    <w:p w14:paraId="7F725089" w14:textId="5AC9EF8F"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2</w:t>
      </w:r>
      <w:r w:rsidRPr="00DB6A3A">
        <w:rPr>
          <w:rFonts w:ascii="Cambria" w:hAnsi="Cambria"/>
          <w:sz w:val="16"/>
          <w:szCs w:val="16"/>
          <w:lang w:val="es-CO"/>
        </w:rPr>
        <w:t>. Escrito de la Presidencia de la República de Colombia dirigido a la Embajada de Canadá en Colombia de 16 de agosto de 2000. Anexo a la petición inicial de 10 de octubre de 2000.</w:t>
      </w:r>
    </w:p>
  </w:footnote>
  <w:footnote w:id="30">
    <w:p w14:paraId="5F888949" w14:textId="4E3A6A08"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8</w:t>
      </w:r>
      <w:r w:rsidRPr="00DB6A3A">
        <w:rPr>
          <w:rFonts w:ascii="Cambria" w:hAnsi="Cambria"/>
          <w:sz w:val="16"/>
          <w:szCs w:val="16"/>
          <w:lang w:val="es-MX"/>
        </w:rPr>
        <w:t>. Observaciones sobre fondo presentadas por el Estado. Nota 20175010031361-GDI de 15 de mayo de 2017</w:t>
      </w:r>
      <w:r w:rsidRPr="00DB6A3A">
        <w:rPr>
          <w:rFonts w:ascii="Cambria" w:hAnsi="Cambria"/>
          <w:sz w:val="16"/>
          <w:szCs w:val="16"/>
          <w:lang w:val="es-CO"/>
        </w:rPr>
        <w:t>.</w:t>
      </w:r>
    </w:p>
  </w:footnote>
  <w:footnote w:id="31">
    <w:p w14:paraId="1407968E" w14:textId="2CD4D708"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13</w:t>
      </w:r>
      <w:r w:rsidRPr="00DB6A3A">
        <w:rPr>
          <w:rFonts w:ascii="Cambria" w:hAnsi="Cambria"/>
          <w:sz w:val="16"/>
          <w:szCs w:val="16"/>
          <w:lang w:val="es-MX"/>
        </w:rPr>
        <w:t>. Escrito enviado por el Teniente Coronel José David Guzmán Patiño, Director de Protección, al Doctor G. Bernard Gilchrist B., Director del Programa Presidencial de Lucha Contra la Corrupción, Presidencia de la República. Escrito adjunto a la petición inicial de 10 de octubre de 2000.</w:t>
      </w:r>
    </w:p>
  </w:footnote>
  <w:footnote w:id="32">
    <w:p w14:paraId="022781AF" w14:textId="493D0D02"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14</w:t>
      </w:r>
      <w:r w:rsidRPr="00DB6A3A">
        <w:rPr>
          <w:rFonts w:ascii="Cambria" w:hAnsi="Cambria"/>
          <w:sz w:val="16"/>
          <w:szCs w:val="16"/>
          <w:lang w:val="es-CO"/>
        </w:rPr>
        <w:t>. Certificación otorgada por el Programa de protección y asistencia de la FGN de 1 de agosto de 2000. Escrito adjunto a la petición inicial de 10 de octubre de 2000.</w:t>
      </w:r>
    </w:p>
  </w:footnote>
  <w:footnote w:id="33">
    <w:p w14:paraId="40A6BD9D" w14:textId="53152312"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15</w:t>
      </w:r>
      <w:r w:rsidRPr="00DB6A3A">
        <w:rPr>
          <w:rFonts w:ascii="Cambria" w:hAnsi="Cambria"/>
          <w:sz w:val="16"/>
          <w:szCs w:val="16"/>
          <w:lang w:val="es-CO"/>
        </w:rPr>
        <w:t>. Petición inicial. Escrito de 10 de octubre de 2000.</w:t>
      </w:r>
    </w:p>
  </w:footnote>
  <w:footnote w:id="34">
    <w:p w14:paraId="57C4FBDD" w14:textId="3CDD2C44"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16</w:t>
      </w:r>
      <w:r w:rsidRPr="00DB6A3A">
        <w:rPr>
          <w:rFonts w:ascii="Cambria" w:hAnsi="Cambria"/>
          <w:sz w:val="16"/>
          <w:szCs w:val="16"/>
          <w:lang w:val="es-MX"/>
        </w:rPr>
        <w:t>. Observaciones presentadas por el peticionario. Escrito de 25 de diciembre de 2012.</w:t>
      </w:r>
    </w:p>
  </w:footnote>
  <w:footnote w:id="35">
    <w:p w14:paraId="3AFF373C" w14:textId="4B604BBB"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Pr>
          <w:rFonts w:ascii="Cambria" w:hAnsi="Cambria"/>
          <w:sz w:val="16"/>
          <w:szCs w:val="16"/>
          <w:lang w:val="es-MX"/>
        </w:rPr>
        <w:t xml:space="preserve"> Anexo 8</w:t>
      </w:r>
      <w:r w:rsidRPr="00DB6A3A">
        <w:rPr>
          <w:rFonts w:ascii="Cambria" w:hAnsi="Cambria"/>
          <w:sz w:val="16"/>
          <w:szCs w:val="16"/>
          <w:lang w:val="es-MX"/>
        </w:rPr>
        <w:t>. Observaciones presentadas por el Estado. Nota 20175010031361-GDI de 15 de mayo de 2017</w:t>
      </w:r>
      <w:r w:rsidRPr="00DB6A3A">
        <w:rPr>
          <w:rFonts w:ascii="Cambria" w:hAnsi="Cambria"/>
          <w:sz w:val="16"/>
          <w:szCs w:val="16"/>
          <w:lang w:val="es-CO"/>
        </w:rPr>
        <w:t xml:space="preserve">. </w:t>
      </w:r>
    </w:p>
  </w:footnote>
  <w:footnote w:id="36">
    <w:p w14:paraId="6BF6CC7D" w14:textId="624643FB"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Pr>
          <w:rFonts w:ascii="Cambria" w:hAnsi="Cambria"/>
          <w:sz w:val="16"/>
          <w:szCs w:val="16"/>
          <w:lang w:val="es-CO"/>
        </w:rPr>
        <w:t>Anexo 17</w:t>
      </w:r>
      <w:r w:rsidRPr="00DB6A3A">
        <w:rPr>
          <w:rFonts w:ascii="Cambria" w:hAnsi="Cambria"/>
          <w:sz w:val="16"/>
          <w:szCs w:val="16"/>
          <w:lang w:val="es-CO"/>
        </w:rPr>
        <w:t xml:space="preserve">. </w:t>
      </w:r>
      <w:r w:rsidRPr="00DB6A3A">
        <w:rPr>
          <w:rFonts w:ascii="Cambria" w:hAnsi="Cambria"/>
          <w:sz w:val="16"/>
          <w:szCs w:val="16"/>
          <w:lang w:val="es-MX"/>
        </w:rPr>
        <w:t xml:space="preserve">Escrito enviado por el Comandante de la Policía Metropolitana de Bogotá a G. Bernard Gilchrist, Director del Programa de Lucha Contra la Corrupción. </w:t>
      </w:r>
      <w:r>
        <w:rPr>
          <w:rFonts w:ascii="Cambria" w:hAnsi="Cambria"/>
          <w:sz w:val="16"/>
          <w:szCs w:val="16"/>
          <w:lang w:val="es-MX"/>
        </w:rPr>
        <w:t>Anexo a comunicación del peticionario d</w:t>
      </w:r>
      <w:r w:rsidRPr="00DB6A3A">
        <w:rPr>
          <w:rFonts w:ascii="Cambria" w:hAnsi="Cambria"/>
          <w:sz w:val="16"/>
          <w:szCs w:val="16"/>
          <w:lang w:val="es-MX"/>
        </w:rPr>
        <w:t>e 10</w:t>
      </w:r>
      <w:r>
        <w:rPr>
          <w:rFonts w:ascii="Cambria" w:hAnsi="Cambria"/>
          <w:sz w:val="16"/>
          <w:szCs w:val="16"/>
          <w:lang w:val="es-MX"/>
        </w:rPr>
        <w:t xml:space="preserve"> de</w:t>
      </w:r>
      <w:r w:rsidRPr="00DB6A3A">
        <w:rPr>
          <w:rFonts w:ascii="Cambria" w:hAnsi="Cambria"/>
          <w:sz w:val="16"/>
          <w:szCs w:val="16"/>
          <w:lang w:val="es-MX"/>
        </w:rPr>
        <w:t xml:space="preserve"> julio de 2003</w:t>
      </w:r>
      <w:r w:rsidRPr="00DB6A3A">
        <w:rPr>
          <w:rFonts w:ascii="Cambria" w:hAnsi="Cambria"/>
          <w:sz w:val="16"/>
          <w:szCs w:val="16"/>
          <w:lang w:val="es-CO"/>
        </w:rPr>
        <w:t>.</w:t>
      </w:r>
    </w:p>
  </w:footnote>
  <w:footnote w:id="37">
    <w:p w14:paraId="760FD37D" w14:textId="0C61E718"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8</w:t>
      </w:r>
      <w:r w:rsidRPr="00DB6A3A">
        <w:rPr>
          <w:rFonts w:ascii="Cambria" w:hAnsi="Cambria"/>
          <w:sz w:val="16"/>
          <w:szCs w:val="16"/>
          <w:lang w:val="es-MX"/>
        </w:rPr>
        <w:t>. Observaciones presentadas por el Estado. Nota 20175010031361-GDI de 15 de mayo de 2017</w:t>
      </w:r>
      <w:r w:rsidRPr="00DB6A3A">
        <w:rPr>
          <w:rFonts w:ascii="Cambria" w:hAnsi="Cambria"/>
          <w:sz w:val="16"/>
          <w:szCs w:val="16"/>
          <w:lang w:val="es-CO"/>
        </w:rPr>
        <w:t xml:space="preserve">. </w:t>
      </w:r>
    </w:p>
  </w:footnote>
  <w:footnote w:id="38">
    <w:p w14:paraId="58315AD2" w14:textId="353808C6"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8</w:t>
      </w:r>
      <w:r w:rsidRPr="00DB6A3A">
        <w:rPr>
          <w:rFonts w:ascii="Cambria" w:hAnsi="Cambria"/>
          <w:sz w:val="16"/>
          <w:szCs w:val="16"/>
          <w:lang w:val="es-CO"/>
        </w:rPr>
        <w:t xml:space="preserve">. </w:t>
      </w:r>
      <w:r w:rsidRPr="00DB6A3A">
        <w:rPr>
          <w:rFonts w:ascii="Cambria" w:hAnsi="Cambria"/>
          <w:sz w:val="16"/>
          <w:szCs w:val="16"/>
          <w:lang w:val="es-MX"/>
        </w:rPr>
        <w:t>Observaciones presentadas por el Estado. Nota 20175010031361-GDI de 15 de mayo de 2017</w:t>
      </w:r>
      <w:r w:rsidRPr="00DB6A3A">
        <w:rPr>
          <w:rFonts w:ascii="Cambria" w:hAnsi="Cambria"/>
          <w:sz w:val="16"/>
          <w:szCs w:val="16"/>
          <w:lang w:val="es-CO"/>
        </w:rPr>
        <w:t xml:space="preserve">. </w:t>
      </w:r>
    </w:p>
  </w:footnote>
  <w:footnote w:id="39">
    <w:p w14:paraId="7876003B" w14:textId="743DD660"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Pr>
          <w:rFonts w:ascii="Cambria" w:hAnsi="Cambria"/>
          <w:sz w:val="16"/>
          <w:szCs w:val="16"/>
          <w:lang w:val="es-MX"/>
        </w:rPr>
        <w:t xml:space="preserve"> Anexo 18</w:t>
      </w:r>
      <w:r w:rsidRPr="00DB6A3A">
        <w:rPr>
          <w:rFonts w:ascii="Cambria" w:hAnsi="Cambria"/>
          <w:sz w:val="16"/>
          <w:szCs w:val="16"/>
          <w:lang w:val="es-MX"/>
        </w:rPr>
        <w:t>. Observaciones presentadas por el peticionario. Escrito de 4 de septiembre de 2015.</w:t>
      </w:r>
    </w:p>
  </w:footnote>
  <w:footnote w:id="40">
    <w:p w14:paraId="61F3BE62" w14:textId="68B3EB10"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Anexo </w:t>
      </w:r>
      <w:r>
        <w:rPr>
          <w:rFonts w:ascii="Cambria" w:hAnsi="Cambria"/>
          <w:sz w:val="16"/>
          <w:szCs w:val="16"/>
          <w:lang w:val="es-MX"/>
        </w:rPr>
        <w:t>8</w:t>
      </w:r>
      <w:r w:rsidRPr="00DB6A3A">
        <w:rPr>
          <w:rFonts w:ascii="Cambria" w:hAnsi="Cambria"/>
          <w:sz w:val="16"/>
          <w:szCs w:val="16"/>
          <w:lang w:val="es-MX"/>
        </w:rPr>
        <w:t>. Observaciones presentadas por el Estado. Nota 20175010031361-GDI de 15 de mayo de 2017</w:t>
      </w:r>
    </w:p>
  </w:footnote>
  <w:footnote w:id="41">
    <w:p w14:paraId="5EDBA59E" w14:textId="15C5D090"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8</w:t>
      </w:r>
      <w:r w:rsidRPr="00DB6A3A">
        <w:rPr>
          <w:rFonts w:ascii="Cambria" w:hAnsi="Cambria"/>
          <w:sz w:val="16"/>
          <w:szCs w:val="16"/>
          <w:lang w:val="es-CO"/>
        </w:rPr>
        <w:t xml:space="preserve">. </w:t>
      </w:r>
      <w:r w:rsidRPr="00DB6A3A">
        <w:rPr>
          <w:rFonts w:ascii="Cambria" w:hAnsi="Cambria"/>
          <w:sz w:val="16"/>
          <w:szCs w:val="16"/>
          <w:lang w:val="es-MX"/>
        </w:rPr>
        <w:t>Observaciones presentadas por el Estado. Nota 20175010031361-GDI de 15 de mayo de 2017</w:t>
      </w:r>
      <w:r w:rsidRPr="00DB6A3A">
        <w:rPr>
          <w:rFonts w:ascii="Cambria" w:hAnsi="Cambria"/>
          <w:sz w:val="16"/>
          <w:szCs w:val="16"/>
          <w:lang w:val="es-CO"/>
        </w:rPr>
        <w:t xml:space="preserve">. </w:t>
      </w:r>
    </w:p>
  </w:footnote>
  <w:footnote w:id="42">
    <w:p w14:paraId="2B6D8D72" w14:textId="7F70D8E1"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Pr>
          <w:rFonts w:ascii="Cambria" w:hAnsi="Cambria"/>
          <w:sz w:val="16"/>
          <w:szCs w:val="16"/>
          <w:lang w:val="es-MX"/>
        </w:rPr>
        <w:t xml:space="preserve"> Anexo 11</w:t>
      </w:r>
      <w:r w:rsidRPr="00DB6A3A">
        <w:rPr>
          <w:rFonts w:ascii="Cambria" w:hAnsi="Cambria"/>
          <w:sz w:val="16"/>
          <w:szCs w:val="16"/>
          <w:lang w:val="es-MX"/>
        </w:rPr>
        <w:t>. Observaciones presentadas por el Estado. Nota DDJ-2013-000502 de 28 de febrero de 2013.</w:t>
      </w:r>
    </w:p>
  </w:footnote>
  <w:footnote w:id="43">
    <w:p w14:paraId="24D8093C" w14:textId="28C3ED3C"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Pr>
          <w:rFonts w:ascii="Cambria" w:hAnsi="Cambria"/>
          <w:sz w:val="16"/>
          <w:szCs w:val="16"/>
          <w:lang w:val="es-CO"/>
        </w:rPr>
        <w:t>Anexo 8</w:t>
      </w:r>
      <w:r w:rsidRPr="00DB6A3A">
        <w:rPr>
          <w:rFonts w:ascii="Cambria" w:hAnsi="Cambria"/>
          <w:sz w:val="16"/>
          <w:szCs w:val="16"/>
          <w:lang w:val="es-CO"/>
        </w:rPr>
        <w:t xml:space="preserve">. </w:t>
      </w:r>
      <w:r w:rsidRPr="00DB6A3A">
        <w:rPr>
          <w:rFonts w:ascii="Cambria" w:hAnsi="Cambria"/>
          <w:sz w:val="16"/>
          <w:szCs w:val="16"/>
          <w:lang w:val="es-MX"/>
        </w:rPr>
        <w:t>Observaciones presentadas por el Estado. Nota 20175010031361-GDI de 15 de mayo de 2017</w:t>
      </w:r>
      <w:r w:rsidRPr="00DB6A3A">
        <w:rPr>
          <w:rFonts w:ascii="Cambria" w:hAnsi="Cambria"/>
          <w:sz w:val="16"/>
          <w:szCs w:val="16"/>
          <w:lang w:val="es-CO"/>
        </w:rPr>
        <w:t xml:space="preserve">. </w:t>
      </w:r>
    </w:p>
  </w:footnote>
  <w:footnote w:id="44">
    <w:p w14:paraId="0EE70CD4" w14:textId="1256A874"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2</w:t>
      </w:r>
      <w:r w:rsidRPr="00DB6A3A">
        <w:rPr>
          <w:rFonts w:ascii="Cambria" w:hAnsi="Cambria"/>
          <w:sz w:val="16"/>
          <w:szCs w:val="16"/>
          <w:lang w:val="es-CO"/>
        </w:rPr>
        <w:t>. Escrito de la Presidencia de la República de Colombia dirigido a la Embajada de Canadá en Colombia de 16 de agosto de 2000. Adjunto a la petición inicial de 10 de octubre de 2000.</w:t>
      </w:r>
    </w:p>
  </w:footnote>
  <w:footnote w:id="45">
    <w:p w14:paraId="50E3E62C" w14:textId="2475C5BF"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2</w:t>
      </w:r>
      <w:r w:rsidRPr="00DB6A3A">
        <w:rPr>
          <w:rFonts w:ascii="Cambria" w:hAnsi="Cambria"/>
          <w:sz w:val="16"/>
          <w:szCs w:val="16"/>
          <w:lang w:val="es-CO"/>
        </w:rPr>
        <w:t>. Escrito de la Presidencia de la República de Colombia dirigido a la Embajada de Canadá en Colombia de 16 de agosto de 2000. Adjunto a la petición inicial de 10 de octubre de 2000.</w:t>
      </w:r>
    </w:p>
  </w:footnote>
  <w:footnote w:id="46">
    <w:p w14:paraId="520218EC" w14:textId="2995E356"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MX"/>
        </w:rPr>
        <w:t xml:space="preserve">Anexo </w:t>
      </w:r>
      <w:r>
        <w:rPr>
          <w:rFonts w:ascii="Cambria" w:hAnsi="Cambria"/>
          <w:sz w:val="16"/>
          <w:szCs w:val="16"/>
          <w:lang w:val="es-MX"/>
        </w:rPr>
        <w:t>18</w:t>
      </w:r>
      <w:r w:rsidRPr="00DB6A3A">
        <w:rPr>
          <w:rFonts w:ascii="Cambria" w:hAnsi="Cambria"/>
          <w:sz w:val="16"/>
          <w:szCs w:val="16"/>
          <w:lang w:val="es-MX"/>
        </w:rPr>
        <w:t>. Observaciones sobre fondo presentadas por el peticionario. Escrito de 4 de septiembre de 2015.</w:t>
      </w:r>
    </w:p>
  </w:footnote>
  <w:footnote w:id="47">
    <w:p w14:paraId="35830800" w14:textId="4CD2CF74"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eastAsia="Arial Unicode MS" w:hAnsi="Cambria" w:cs="Times New Roman"/>
          <w:color w:val="auto"/>
          <w:sz w:val="16"/>
          <w:szCs w:val="16"/>
          <w:lang w:eastAsia="en-US"/>
        </w:rPr>
        <w:footnoteRef/>
      </w:r>
      <w:r w:rsidRPr="00DB6A3A">
        <w:rPr>
          <w:rFonts w:ascii="Cambria" w:hAnsi="Cambria"/>
          <w:sz w:val="16"/>
          <w:szCs w:val="16"/>
          <w:lang w:val="es-MX"/>
        </w:rPr>
        <w:t xml:space="preserve"> </w:t>
      </w:r>
      <w:r w:rsidRPr="00DB6A3A">
        <w:rPr>
          <w:rFonts w:ascii="Cambria" w:hAnsi="Cambria"/>
          <w:sz w:val="16"/>
          <w:szCs w:val="16"/>
          <w:lang w:val="es-CO"/>
        </w:rPr>
        <w:t xml:space="preserve">Anexo </w:t>
      </w:r>
      <w:r>
        <w:rPr>
          <w:rFonts w:ascii="Cambria" w:hAnsi="Cambria"/>
          <w:sz w:val="16"/>
          <w:szCs w:val="16"/>
          <w:lang w:val="es-CO"/>
        </w:rPr>
        <w:t>3</w:t>
      </w:r>
      <w:r w:rsidRPr="00DB6A3A">
        <w:rPr>
          <w:rFonts w:ascii="Cambria" w:hAnsi="Cambria"/>
          <w:sz w:val="16"/>
          <w:szCs w:val="16"/>
          <w:lang w:val="es-CO"/>
        </w:rPr>
        <w:t xml:space="preserve">. Complemento a la petición inicial. Escrito </w:t>
      </w:r>
      <w:r>
        <w:rPr>
          <w:rFonts w:ascii="Cambria" w:hAnsi="Cambria"/>
          <w:sz w:val="16"/>
          <w:szCs w:val="16"/>
          <w:lang w:val="es-CO"/>
        </w:rPr>
        <w:t xml:space="preserve">presentado por el peticionario </w:t>
      </w:r>
      <w:r w:rsidRPr="00DB6A3A">
        <w:rPr>
          <w:rFonts w:ascii="Cambria" w:hAnsi="Cambria"/>
          <w:sz w:val="16"/>
          <w:szCs w:val="16"/>
          <w:lang w:val="es-CO"/>
        </w:rPr>
        <w:t xml:space="preserve">de 23 de octubre de 2000. </w:t>
      </w:r>
    </w:p>
  </w:footnote>
  <w:footnote w:id="48">
    <w:p w14:paraId="7ED6C1E9" w14:textId="1179B3ED"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eastAsia="Arial Unicode MS" w:hAnsi="Cambria" w:cs="Times New Roman"/>
          <w:color w:val="auto"/>
          <w:sz w:val="16"/>
          <w:szCs w:val="16"/>
          <w:lang w:eastAsia="en-US"/>
        </w:rPr>
        <w:footnoteRef/>
      </w:r>
      <w:r w:rsidRPr="00DB6A3A">
        <w:rPr>
          <w:rStyle w:val="FootnoteReference"/>
          <w:rFonts w:ascii="Cambria" w:eastAsia="Arial Unicode MS" w:hAnsi="Cambria" w:cs="Times New Roman"/>
          <w:color w:val="auto"/>
          <w:sz w:val="16"/>
          <w:szCs w:val="16"/>
          <w:lang w:val="es-MX" w:eastAsia="en-US"/>
        </w:rPr>
        <w:t xml:space="preserve"> </w:t>
      </w:r>
      <w:r w:rsidRPr="00DB6A3A">
        <w:rPr>
          <w:rFonts w:ascii="Cambria" w:hAnsi="Cambria"/>
          <w:sz w:val="16"/>
          <w:szCs w:val="16"/>
          <w:lang w:val="es-CO"/>
        </w:rPr>
        <w:t xml:space="preserve">Anexo </w:t>
      </w:r>
      <w:r>
        <w:rPr>
          <w:rFonts w:ascii="Cambria" w:hAnsi="Cambria"/>
          <w:sz w:val="16"/>
          <w:szCs w:val="16"/>
          <w:lang w:val="es-CO"/>
        </w:rPr>
        <w:t>19</w:t>
      </w:r>
      <w:r w:rsidRPr="00DB6A3A">
        <w:rPr>
          <w:rFonts w:ascii="Cambria" w:hAnsi="Cambria"/>
          <w:sz w:val="16"/>
          <w:szCs w:val="16"/>
          <w:lang w:val="es-CO"/>
        </w:rPr>
        <w:t>. Escrito del peticionario recibido el 18 de octubre de 2017.</w:t>
      </w:r>
    </w:p>
  </w:footnote>
  <w:footnote w:id="49">
    <w:p w14:paraId="0FDA06A7" w14:textId="77777777" w:rsidR="003F7533" w:rsidRPr="00DB6A3A" w:rsidRDefault="003F7533" w:rsidP="000C7CAA">
      <w:pPr>
        <w:shd w:val="clear" w:color="auto" w:fill="FFFFFF"/>
        <w:tabs>
          <w:tab w:val="left" w:pos="144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El artículo 4.1  de la Convención Americana establece en lo pertinente, lo siguiente: “Toda persona tiene derecho a que se respete su vida.</w:t>
      </w:r>
      <w:r w:rsidRPr="00DB6A3A">
        <w:rPr>
          <w:rFonts w:ascii="Cambria" w:eastAsia="Tahoma" w:hAnsi="Cambria" w:cs="Tahoma"/>
          <w:color w:val="000000"/>
          <w:sz w:val="16"/>
          <w:szCs w:val="16"/>
          <w:lang w:val="es-MX"/>
        </w:rPr>
        <w:t xml:space="preserve"> </w:t>
      </w:r>
      <w:r w:rsidRPr="00DB6A3A">
        <w:rPr>
          <w:rFonts w:ascii="Cambria" w:eastAsia="Cambria" w:hAnsi="Cambria" w:cs="Cambria"/>
          <w:sz w:val="16"/>
          <w:szCs w:val="16"/>
          <w:lang w:val="es-MX"/>
        </w:rPr>
        <w:t>Este derecho estará protegido por la ley y, en general, a partir del momento de la concepción.  Nadie puede ser privado de la vida arbitrariamente”.</w:t>
      </w:r>
    </w:p>
  </w:footnote>
  <w:footnote w:id="50">
    <w:p w14:paraId="3A3DE3A6" w14:textId="77777777" w:rsidR="003F7533" w:rsidRPr="00DB6A3A" w:rsidRDefault="003F7533" w:rsidP="000C7CAA">
      <w:pPr>
        <w:shd w:val="clear" w:color="auto" w:fill="FFFFFF"/>
        <w:tabs>
          <w:tab w:val="left" w:pos="144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El artículo 5.1 de la Convención Americana establece en lo pertinente, lo siguiente: “Toda persona tiene derecho a que se respete su integridad física, psíquica y moral”.  </w:t>
      </w:r>
    </w:p>
  </w:footnote>
  <w:footnote w:id="51">
    <w:p w14:paraId="1C96AB6B" w14:textId="77777777" w:rsidR="003F7533" w:rsidRPr="00DB6A3A" w:rsidRDefault="003F7533" w:rsidP="000C7CAA">
      <w:pPr>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libri" w:hAnsi="Cambria" w:cs="Calibri"/>
          <w:color w:val="000000"/>
          <w:sz w:val="16"/>
          <w:szCs w:val="16"/>
          <w:lang w:val="es-MX"/>
        </w:rPr>
        <w:t xml:space="preserve"> </w:t>
      </w:r>
      <w:r w:rsidRPr="00DB6A3A">
        <w:rPr>
          <w:rFonts w:ascii="Cambria" w:eastAsia="Cambria" w:hAnsi="Cambria" w:cs="Cambria"/>
          <w:color w:val="000000"/>
          <w:sz w:val="16"/>
          <w:szCs w:val="16"/>
          <w:lang w:val="es-MX"/>
        </w:rPr>
        <w:t>El artículo 22.1  de la Convención Americana establece: “[t]oda persona que se halle legalmente en el territorio de un Estado tiene derecho a circular por el mismo y, a residir en él con sujeción a las disposiciones legales.</w:t>
      </w:r>
    </w:p>
  </w:footnote>
  <w:footnote w:id="52">
    <w:p w14:paraId="73532CDF" w14:textId="77777777" w:rsidR="003F7533" w:rsidRPr="00DB6A3A" w:rsidRDefault="003F7533" w:rsidP="000C7CAA">
      <w:pPr>
        <w:shd w:val="clear" w:color="auto" w:fill="FFFFFF"/>
        <w:tabs>
          <w:tab w:val="left" w:pos="144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El artículo 1.1 de la Convención Americana establece en lo pertinente, lo siguiente: “Los Estados Partes en esta Convención se comprometen a respetar los derechos y libertades reconocidos en ella y a garantizar su libre y pleno ejercicio a toda persona que esté sujeta a su jurisdicción</w:t>
      </w:r>
      <w:r w:rsidRPr="00DB6A3A">
        <w:rPr>
          <w:rFonts w:ascii="Cambria" w:eastAsia="Tahoma" w:hAnsi="Cambria" w:cs="Tahoma"/>
          <w:color w:val="000000"/>
          <w:sz w:val="16"/>
          <w:szCs w:val="16"/>
          <w:lang w:val="es-MX"/>
        </w:rPr>
        <w:t xml:space="preserve"> </w:t>
      </w:r>
      <w:r w:rsidRPr="00DB6A3A">
        <w:rPr>
          <w:rFonts w:ascii="Cambria" w:eastAsia="Cambria" w:hAnsi="Cambria" w:cs="Cambria"/>
          <w:sz w:val="16"/>
          <w:szCs w:val="16"/>
          <w:lang w:val="es-MX"/>
        </w:rPr>
        <w:t>, sin discriminación alguna por motivos de raza, color, sexo, idioma, religión, opiniones políticas o de cualquier otra índole, origen nacional o social, posición económica, nacimiento o cualquier otra condición social”.</w:t>
      </w:r>
    </w:p>
  </w:footnote>
  <w:footnote w:id="53">
    <w:p w14:paraId="0556FE0E" w14:textId="675DC192"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CO"/>
        </w:rPr>
        <w:t xml:space="preserve"> CIDH. Informe No. 35/17. Caso 12.713. Informe de Fondo (Publicación). José Rusbel Lara y otros. Colombia. 21 de marzo de 2017. Párr. 149. Citando. </w:t>
      </w:r>
      <w:r w:rsidRPr="00DB6A3A">
        <w:rPr>
          <w:rFonts w:ascii="Cambria" w:hAnsi="Cambria" w:cs="Arial"/>
          <w:sz w:val="16"/>
          <w:szCs w:val="16"/>
          <w:lang w:val="es-ES"/>
        </w:rPr>
        <w:t xml:space="preserve">Corte IDH, </w:t>
      </w:r>
      <w:r w:rsidRPr="00DB6A3A">
        <w:rPr>
          <w:rFonts w:ascii="Cambria" w:hAnsi="Cambria" w:cs="Arial"/>
          <w:i/>
          <w:sz w:val="16"/>
          <w:szCs w:val="16"/>
          <w:lang w:val="es-ES"/>
        </w:rPr>
        <w:t>Caso de la Masacre de Pueblo Bello vs. Colombia</w:t>
      </w:r>
      <w:r w:rsidRPr="00DB6A3A">
        <w:rPr>
          <w:rFonts w:ascii="Cambria" w:hAnsi="Cambria" w:cs="Arial"/>
          <w:sz w:val="16"/>
          <w:szCs w:val="16"/>
          <w:lang w:val="es-ES"/>
        </w:rPr>
        <w:t xml:space="preserve">. Sentencia de 31 de enero de 2006. Serie C No. 140, párr. 119. </w:t>
      </w:r>
    </w:p>
  </w:footnote>
  <w:footnote w:id="54">
    <w:p w14:paraId="61C2D539" w14:textId="5CF3C681" w:rsidR="003F7533" w:rsidRPr="00DB6A3A" w:rsidRDefault="003F7533" w:rsidP="000C7CAA">
      <w:pPr>
        <w:jc w:val="both"/>
        <w:rPr>
          <w:rFonts w:ascii="Cambria" w:hAnsi="Cambria"/>
          <w:i/>
          <w:color w:val="000000" w:themeColor="text1"/>
          <w:sz w:val="16"/>
          <w:szCs w:val="16"/>
          <w:lang w:val="es-ES"/>
        </w:rPr>
      </w:pPr>
      <w:r w:rsidRPr="00DB6A3A">
        <w:rPr>
          <w:rStyle w:val="FootnoteReference"/>
          <w:rFonts w:ascii="Cambria" w:hAnsi="Cambria"/>
          <w:sz w:val="16"/>
          <w:szCs w:val="16"/>
        </w:rPr>
        <w:footnoteRef/>
      </w:r>
      <w:r w:rsidRPr="00DB6A3A">
        <w:rPr>
          <w:rFonts w:ascii="Cambria" w:hAnsi="Cambria"/>
          <w:sz w:val="16"/>
          <w:szCs w:val="16"/>
          <w:lang w:val="es-ES"/>
        </w:rPr>
        <w:t xml:space="preserve"> </w:t>
      </w:r>
      <w:r w:rsidRPr="00DB6A3A">
        <w:rPr>
          <w:rFonts w:ascii="Cambria" w:hAnsi="Cambria"/>
          <w:sz w:val="16"/>
          <w:szCs w:val="16"/>
          <w:lang w:val="es-CO"/>
        </w:rPr>
        <w:t xml:space="preserve">CIDH. Informe No. 35/17. Caso 12.713. Informe de Fondo (Publicación). José Rusbel Lara y otros. Colombia. 21 de marzo de 2017. Párr. 149. Citando. </w:t>
      </w:r>
      <w:r w:rsidRPr="00DB6A3A">
        <w:rPr>
          <w:rFonts w:ascii="Cambria" w:hAnsi="Cambria"/>
          <w:sz w:val="16"/>
          <w:szCs w:val="16"/>
          <w:lang w:val="es-ES"/>
        </w:rPr>
        <w:t xml:space="preserve">Corte IDH, </w:t>
      </w:r>
      <w:r w:rsidRPr="00DB6A3A">
        <w:rPr>
          <w:rFonts w:ascii="Cambria" w:hAnsi="Cambria"/>
          <w:bCs/>
          <w:i/>
          <w:sz w:val="16"/>
          <w:szCs w:val="16"/>
          <w:lang w:val="es-ES"/>
        </w:rPr>
        <w:t>Caso González y otras (“Campo Algodonero”) Vs. México</w:t>
      </w:r>
      <w:r w:rsidRPr="00DB6A3A">
        <w:rPr>
          <w:rFonts w:ascii="Cambria" w:hAnsi="Cambria"/>
          <w:b/>
          <w:bCs/>
          <w:sz w:val="16"/>
          <w:szCs w:val="16"/>
          <w:lang w:val="es-ES"/>
        </w:rPr>
        <w:t xml:space="preserve">. </w:t>
      </w:r>
      <w:r w:rsidRPr="00DB6A3A">
        <w:rPr>
          <w:rFonts w:ascii="Cambria" w:hAnsi="Cambria"/>
          <w:sz w:val="16"/>
          <w:szCs w:val="16"/>
          <w:lang w:val="es-ES"/>
        </w:rPr>
        <w:t xml:space="preserve">Excepción Preliminar, Fondo, Reparaciones y Costas. Sentencia de 16 de noviembre de 2009. Serie C No. 205, párr. 243. </w:t>
      </w:r>
      <w:r w:rsidRPr="00DB6A3A">
        <w:rPr>
          <w:rFonts w:ascii="Cambria" w:hAnsi="Cambria"/>
          <w:i/>
          <w:sz w:val="16"/>
          <w:szCs w:val="16"/>
          <w:lang w:val="es-ES"/>
        </w:rPr>
        <w:t>Cfr. Caso Baldeón García Vs. Perú. Fondo, Reparaciones y Costas.</w:t>
      </w:r>
      <w:r w:rsidRPr="00DB6A3A">
        <w:rPr>
          <w:rFonts w:ascii="Cambria" w:hAnsi="Cambria"/>
          <w:sz w:val="16"/>
          <w:szCs w:val="16"/>
          <w:lang w:val="es-ES"/>
        </w:rPr>
        <w:t xml:space="preserve"> Sentencia de 6 de abril de 2006. Serie C No. 147</w:t>
      </w:r>
      <w:r w:rsidRPr="00DB6A3A">
        <w:rPr>
          <w:rFonts w:ascii="Cambria" w:hAnsi="Cambria"/>
          <w:i/>
          <w:sz w:val="16"/>
          <w:szCs w:val="16"/>
          <w:lang w:val="es-ES"/>
        </w:rPr>
        <w:t xml:space="preserve">, </w:t>
      </w:r>
      <w:r w:rsidRPr="00DB6A3A">
        <w:rPr>
          <w:rFonts w:ascii="Cambria" w:hAnsi="Cambria"/>
          <w:sz w:val="16"/>
          <w:szCs w:val="16"/>
          <w:lang w:val="es-ES"/>
        </w:rPr>
        <w:t>párr. 81</w:t>
      </w:r>
      <w:r w:rsidRPr="00DB6A3A">
        <w:rPr>
          <w:rFonts w:ascii="Cambria" w:hAnsi="Cambria"/>
          <w:i/>
          <w:sz w:val="16"/>
          <w:szCs w:val="16"/>
          <w:lang w:val="es-ES"/>
        </w:rPr>
        <w:t>; Caso Comunidad Indígena Sawhoyamaxa Vs. Paraguay. Fondo, Reparaciones y Costas</w:t>
      </w:r>
      <w:r w:rsidRPr="00DB6A3A">
        <w:rPr>
          <w:rFonts w:ascii="Cambria" w:hAnsi="Cambria"/>
          <w:sz w:val="16"/>
          <w:szCs w:val="16"/>
          <w:lang w:val="es-ES"/>
        </w:rPr>
        <w:t xml:space="preserve">. Sentencia de 29 de marzo de 2006. Serie C No. 146, párr. 154; y </w:t>
      </w:r>
      <w:r w:rsidRPr="00DB6A3A">
        <w:rPr>
          <w:rFonts w:ascii="Cambria" w:hAnsi="Cambria"/>
          <w:i/>
          <w:sz w:val="16"/>
          <w:szCs w:val="16"/>
          <w:lang w:val="es-ES"/>
        </w:rPr>
        <w:t>Caso de la Masacre de Pueblo Bello Vs. Colombia</w:t>
      </w:r>
      <w:r w:rsidRPr="00DB6A3A">
        <w:rPr>
          <w:rFonts w:ascii="Cambria" w:hAnsi="Cambria"/>
          <w:sz w:val="16"/>
          <w:szCs w:val="16"/>
          <w:lang w:val="es-ES"/>
        </w:rPr>
        <w:t xml:space="preserve">. </w:t>
      </w:r>
      <w:r w:rsidRPr="00DB6A3A">
        <w:rPr>
          <w:rFonts w:ascii="Cambria" w:hAnsi="Cambria"/>
          <w:i/>
          <w:sz w:val="16"/>
          <w:szCs w:val="16"/>
          <w:lang w:val="es-ES"/>
        </w:rPr>
        <w:t>Fondo, Reparaciones y Costas.</w:t>
      </w:r>
      <w:r w:rsidRPr="00DB6A3A">
        <w:rPr>
          <w:rFonts w:ascii="Cambria" w:hAnsi="Cambria"/>
          <w:sz w:val="16"/>
          <w:szCs w:val="16"/>
          <w:lang w:val="es-ES"/>
        </w:rPr>
        <w:t xml:space="preserve"> Sentencia de 31 de enero de </w:t>
      </w:r>
      <w:r w:rsidRPr="00DB6A3A">
        <w:rPr>
          <w:rFonts w:ascii="Cambria" w:hAnsi="Cambria"/>
          <w:color w:val="000000" w:themeColor="text1"/>
          <w:sz w:val="16"/>
          <w:szCs w:val="16"/>
          <w:lang w:val="es-ES"/>
        </w:rPr>
        <w:t>2006. Serie C No. 140, párr. 111.</w:t>
      </w:r>
    </w:p>
  </w:footnote>
  <w:footnote w:id="55">
    <w:p w14:paraId="13208288" w14:textId="01271CEA" w:rsidR="003F7533" w:rsidRPr="00DB6A3A" w:rsidRDefault="003F7533" w:rsidP="000C7CAA">
      <w:pPr>
        <w:pStyle w:val="FootnoteText"/>
        <w:jc w:val="both"/>
        <w:rPr>
          <w:rFonts w:ascii="Cambria" w:hAnsi="Cambria"/>
          <w:color w:val="000000" w:themeColor="text1"/>
          <w:sz w:val="16"/>
          <w:szCs w:val="16"/>
          <w:lang w:val="es-US"/>
        </w:rPr>
      </w:pPr>
      <w:r w:rsidRPr="00DB6A3A">
        <w:rPr>
          <w:rStyle w:val="FootnoteReference"/>
          <w:rFonts w:ascii="Cambria" w:hAnsi="Cambria"/>
          <w:color w:val="000000" w:themeColor="text1"/>
          <w:sz w:val="16"/>
          <w:szCs w:val="16"/>
        </w:rPr>
        <w:footnoteRef/>
      </w:r>
      <w:r w:rsidRPr="00DB6A3A">
        <w:rPr>
          <w:rFonts w:ascii="Cambria" w:hAnsi="Cambria"/>
          <w:color w:val="000000" w:themeColor="text1"/>
          <w:sz w:val="16"/>
          <w:szCs w:val="16"/>
          <w:lang w:val="es-US"/>
        </w:rPr>
        <w:t xml:space="preserve"> CIDH</w:t>
      </w:r>
      <w:r>
        <w:rPr>
          <w:rFonts w:ascii="Cambria" w:hAnsi="Cambria"/>
          <w:color w:val="000000" w:themeColor="text1"/>
          <w:sz w:val="16"/>
          <w:szCs w:val="16"/>
          <w:lang w:val="es-US"/>
        </w:rPr>
        <w:t>.</w:t>
      </w:r>
      <w:r w:rsidRPr="00DB6A3A">
        <w:rPr>
          <w:rFonts w:ascii="Cambria" w:hAnsi="Cambria"/>
          <w:color w:val="000000" w:themeColor="text1"/>
          <w:sz w:val="16"/>
          <w:szCs w:val="16"/>
          <w:lang w:val="es-US"/>
        </w:rPr>
        <w:t xml:space="preserve"> Informe No 65/01. Caso 11.073. Fondo. Juan Humberto Sánchez. Honduras. 6 de marzo de 2001, parr.88.   </w:t>
      </w:r>
    </w:p>
  </w:footnote>
  <w:footnote w:id="56">
    <w:p w14:paraId="613C46CA" w14:textId="77777777" w:rsidR="003F7533" w:rsidRPr="00DB6A3A" w:rsidRDefault="003F7533" w:rsidP="000C7CAA">
      <w:pPr>
        <w:ind w:right="11"/>
        <w:jc w:val="both"/>
        <w:rPr>
          <w:rFonts w:ascii="Cambria" w:hAnsi="Cambria"/>
          <w:color w:val="000000" w:themeColor="text1"/>
          <w:sz w:val="16"/>
          <w:szCs w:val="16"/>
          <w:lang w:val="es-US"/>
        </w:rPr>
      </w:pPr>
      <w:r w:rsidRPr="00DB6A3A">
        <w:rPr>
          <w:rStyle w:val="FootnoteReference"/>
          <w:rFonts w:ascii="Cambria" w:hAnsi="Cambria"/>
          <w:color w:val="000000" w:themeColor="text1"/>
          <w:sz w:val="16"/>
          <w:szCs w:val="16"/>
        </w:rPr>
        <w:footnoteRef/>
      </w:r>
      <w:r w:rsidRPr="00DB6A3A">
        <w:rPr>
          <w:rFonts w:ascii="Cambria" w:hAnsi="Cambria"/>
          <w:color w:val="000000" w:themeColor="text1"/>
          <w:sz w:val="16"/>
          <w:szCs w:val="16"/>
          <w:lang w:val="es-US"/>
        </w:rPr>
        <w:t xml:space="preserve"> </w:t>
      </w:r>
      <w:r w:rsidRPr="00DB6A3A">
        <w:rPr>
          <w:rFonts w:ascii="Cambria" w:hAnsi="Cambria"/>
          <w:color w:val="000000" w:themeColor="text1"/>
          <w:sz w:val="16"/>
          <w:szCs w:val="16"/>
          <w:lang w:val="es-ES_tradnl"/>
        </w:rPr>
        <w:t xml:space="preserve">Corte IDH. Caso Velásquez Rodríguez Vs. Honduras. </w:t>
      </w:r>
      <w:hyperlink r:id="rId1" w:history="1">
        <w:r w:rsidRPr="00DB6A3A">
          <w:rPr>
            <w:rStyle w:val="Hyperlink"/>
            <w:rFonts w:ascii="Cambria" w:hAnsi="Cambria" w:cs="Arial"/>
            <w:color w:val="000000" w:themeColor="text1"/>
            <w:sz w:val="16"/>
            <w:szCs w:val="16"/>
            <w:u w:val="none"/>
            <w:shd w:val="clear" w:color="auto" w:fill="FFFFFF"/>
            <w:lang w:val="es-ES_tradnl"/>
          </w:rPr>
          <w:t xml:space="preserve">Fondo. Sentencia de 29 de julio de 1988. </w:t>
        </w:r>
        <w:r w:rsidRPr="00DB6A3A">
          <w:rPr>
            <w:rStyle w:val="Hyperlink"/>
            <w:rFonts w:ascii="Cambria" w:hAnsi="Cambria" w:cs="Arial"/>
            <w:color w:val="000000" w:themeColor="text1"/>
            <w:sz w:val="16"/>
            <w:szCs w:val="16"/>
            <w:u w:val="none"/>
            <w:shd w:val="clear" w:color="auto" w:fill="FFFFFF"/>
            <w:lang w:val="es-US"/>
          </w:rPr>
          <w:t>Serie C No. 4</w:t>
        </w:r>
      </w:hyperlink>
      <w:r w:rsidRPr="00DB6A3A">
        <w:rPr>
          <w:rStyle w:val="Hyperlink"/>
          <w:rFonts w:ascii="Cambria" w:hAnsi="Cambria" w:cs="Arial"/>
          <w:color w:val="000000" w:themeColor="text1"/>
          <w:sz w:val="16"/>
          <w:szCs w:val="16"/>
          <w:u w:val="none"/>
          <w:shd w:val="clear" w:color="auto" w:fill="FFFFFF"/>
          <w:lang w:val="es-US"/>
        </w:rPr>
        <w:t xml:space="preserve">. Párr. 166. </w:t>
      </w:r>
    </w:p>
  </w:footnote>
  <w:footnote w:id="57">
    <w:p w14:paraId="1E7FEFC8" w14:textId="79D730CF" w:rsidR="003F7533" w:rsidRPr="00DB6A3A" w:rsidRDefault="003F7533" w:rsidP="000C7CAA">
      <w:pPr>
        <w:pStyle w:val="FootnoteText"/>
        <w:jc w:val="both"/>
        <w:rPr>
          <w:rFonts w:ascii="Cambria" w:hAnsi="Cambria"/>
          <w:color w:val="000000" w:themeColor="text1"/>
          <w:sz w:val="16"/>
          <w:szCs w:val="16"/>
          <w:lang w:val="es-ES"/>
        </w:rPr>
      </w:pPr>
      <w:r w:rsidRPr="00DB6A3A">
        <w:rPr>
          <w:rStyle w:val="FootnoteReference"/>
          <w:rFonts w:ascii="Cambria" w:hAnsi="Cambria"/>
          <w:color w:val="000000" w:themeColor="text1"/>
          <w:sz w:val="16"/>
          <w:szCs w:val="16"/>
        </w:rPr>
        <w:footnoteRef/>
      </w:r>
      <w:r w:rsidRPr="006562D4">
        <w:rPr>
          <w:rFonts w:ascii="Cambria" w:hAnsi="Cambria"/>
          <w:color w:val="000000" w:themeColor="text1"/>
          <w:sz w:val="16"/>
          <w:szCs w:val="16"/>
          <w:lang w:val="es-ES"/>
        </w:rPr>
        <w:t xml:space="preserve"> CIDH. Informe 80/11. Caso 12.626. Fondo. Jessica Le</w:t>
      </w:r>
      <w:r>
        <w:rPr>
          <w:rFonts w:ascii="Cambria" w:hAnsi="Cambria"/>
          <w:color w:val="000000" w:themeColor="text1"/>
          <w:sz w:val="16"/>
          <w:szCs w:val="16"/>
          <w:lang w:val="es-ES"/>
        </w:rPr>
        <w:t>nah</w:t>
      </w:r>
      <w:r w:rsidRPr="006562D4">
        <w:rPr>
          <w:rFonts w:ascii="Cambria" w:hAnsi="Cambria"/>
          <w:color w:val="000000" w:themeColor="text1"/>
          <w:sz w:val="16"/>
          <w:szCs w:val="16"/>
          <w:lang w:val="es-ES"/>
        </w:rPr>
        <w:t xml:space="preserve">an (Gonzales) y otros. Estados Unidos. 21 de julio de 2011. Párr. 119.   </w:t>
      </w:r>
    </w:p>
  </w:footnote>
  <w:footnote w:id="58">
    <w:p w14:paraId="607493BD" w14:textId="77777777" w:rsidR="003F7533" w:rsidRPr="005E4E9F" w:rsidRDefault="003F7533" w:rsidP="000C7CAA">
      <w:pPr>
        <w:jc w:val="both"/>
        <w:rPr>
          <w:rFonts w:ascii="Cambria" w:hAnsi="Cambria"/>
          <w:color w:val="000000" w:themeColor="text1"/>
          <w:sz w:val="16"/>
          <w:szCs w:val="16"/>
          <w:lang w:val="es-US"/>
        </w:rPr>
      </w:pPr>
      <w:r w:rsidRPr="00DB6A3A">
        <w:rPr>
          <w:rStyle w:val="FootnoteReference"/>
          <w:rFonts w:ascii="Cambria" w:hAnsi="Cambria"/>
          <w:color w:val="000000" w:themeColor="text1"/>
          <w:sz w:val="16"/>
          <w:szCs w:val="16"/>
        </w:rPr>
        <w:footnoteRef/>
      </w:r>
      <w:r w:rsidRPr="00DB6A3A">
        <w:rPr>
          <w:rFonts w:ascii="Cambria" w:hAnsi="Cambria"/>
          <w:color w:val="000000" w:themeColor="text1"/>
          <w:sz w:val="16"/>
          <w:szCs w:val="16"/>
          <w:lang w:val="es-ES"/>
        </w:rPr>
        <w:t xml:space="preserve"> </w:t>
      </w:r>
      <w:r w:rsidRPr="00DB6A3A">
        <w:rPr>
          <w:rFonts w:ascii="Cambria" w:hAnsi="Cambria"/>
          <w:color w:val="000000" w:themeColor="text1"/>
          <w:sz w:val="16"/>
          <w:szCs w:val="16"/>
          <w:lang w:val="es-ES_tradnl"/>
        </w:rPr>
        <w:t xml:space="preserve">Corte IDH. </w:t>
      </w:r>
      <w:r w:rsidRPr="00DB6A3A">
        <w:rPr>
          <w:rFonts w:ascii="Cambria" w:hAnsi="Cambria"/>
          <w:iCs/>
          <w:color w:val="000000" w:themeColor="text1"/>
          <w:sz w:val="16"/>
          <w:szCs w:val="16"/>
          <w:lang w:val="es-ES_tradnl"/>
        </w:rPr>
        <w:t>Caso</w:t>
      </w:r>
      <w:r w:rsidRPr="00DB6A3A">
        <w:rPr>
          <w:rFonts w:ascii="Cambria" w:hAnsi="Cambria"/>
          <w:color w:val="000000" w:themeColor="text1"/>
          <w:sz w:val="16"/>
          <w:szCs w:val="16"/>
          <w:lang w:val="es-ES_tradnl"/>
        </w:rPr>
        <w:t xml:space="preserve"> </w:t>
      </w:r>
      <w:r w:rsidRPr="00DB6A3A">
        <w:rPr>
          <w:rFonts w:ascii="Cambria" w:hAnsi="Cambria"/>
          <w:iCs/>
          <w:color w:val="000000" w:themeColor="text1"/>
          <w:sz w:val="16"/>
          <w:szCs w:val="16"/>
          <w:lang w:val="es-ES_tradnl"/>
        </w:rPr>
        <w:t>de la Masacre de Pueblo Bello</w:t>
      </w:r>
      <w:r w:rsidRPr="00DB6A3A">
        <w:rPr>
          <w:rFonts w:ascii="Cambria" w:hAnsi="Cambria"/>
          <w:color w:val="000000" w:themeColor="text1"/>
          <w:sz w:val="16"/>
          <w:szCs w:val="16"/>
          <w:lang w:val="es-ES_tradnl"/>
        </w:rPr>
        <w:t xml:space="preserve">. Sentencia de 31 de enero de 2006. </w:t>
      </w:r>
      <w:r w:rsidRPr="005E4E9F">
        <w:rPr>
          <w:rFonts w:ascii="Cambria" w:hAnsi="Cambria"/>
          <w:color w:val="000000" w:themeColor="text1"/>
          <w:sz w:val="16"/>
          <w:szCs w:val="16"/>
          <w:lang w:val="es-US"/>
        </w:rPr>
        <w:t xml:space="preserve">Serie C No. 140. </w:t>
      </w:r>
      <w:r w:rsidRPr="00DB6A3A">
        <w:rPr>
          <w:rFonts w:ascii="Cambria" w:hAnsi="Cambria"/>
          <w:color w:val="000000" w:themeColor="text1"/>
          <w:sz w:val="16"/>
          <w:szCs w:val="16"/>
          <w:lang w:val="es-ES"/>
        </w:rPr>
        <w:t>Párr. 113.</w:t>
      </w:r>
    </w:p>
  </w:footnote>
  <w:footnote w:id="59">
    <w:p w14:paraId="7354AA20" w14:textId="5028B15E" w:rsidR="003F7533" w:rsidRPr="00DB6A3A" w:rsidRDefault="003F7533" w:rsidP="000C7CAA">
      <w:pPr>
        <w:pStyle w:val="FootnoteText"/>
        <w:tabs>
          <w:tab w:val="left" w:pos="720"/>
        </w:tabs>
        <w:jc w:val="both"/>
        <w:rPr>
          <w:rFonts w:ascii="Cambria" w:hAnsi="Cambria"/>
          <w:sz w:val="16"/>
          <w:szCs w:val="16"/>
          <w:lang w:val="es-ES"/>
        </w:rPr>
      </w:pPr>
      <w:r w:rsidRPr="00DB6A3A">
        <w:rPr>
          <w:rStyle w:val="FootnoteReference"/>
          <w:rFonts w:ascii="Cambria" w:hAnsi="Cambria"/>
          <w:color w:val="000000" w:themeColor="text1"/>
          <w:sz w:val="16"/>
          <w:szCs w:val="16"/>
        </w:rPr>
        <w:footnoteRef/>
      </w:r>
      <w:r w:rsidRPr="00DB6A3A">
        <w:rPr>
          <w:rFonts w:ascii="Cambria" w:hAnsi="Cambria"/>
          <w:color w:val="000000" w:themeColor="text1"/>
          <w:sz w:val="16"/>
          <w:szCs w:val="16"/>
          <w:lang w:val="es-ES"/>
        </w:rPr>
        <w:t xml:space="preserve"> </w:t>
      </w:r>
      <w:r w:rsidRPr="00DB6A3A">
        <w:rPr>
          <w:rFonts w:ascii="Cambria" w:hAnsi="Cambria"/>
          <w:color w:val="000000" w:themeColor="text1"/>
          <w:sz w:val="16"/>
          <w:szCs w:val="16"/>
          <w:lang w:val="es-ES_tradnl"/>
        </w:rPr>
        <w:t xml:space="preserve">Corte IDH, </w:t>
      </w:r>
      <w:r w:rsidRPr="00DB6A3A">
        <w:rPr>
          <w:rFonts w:ascii="Cambria" w:hAnsi="Cambria"/>
          <w:iCs/>
          <w:color w:val="000000" w:themeColor="text1"/>
          <w:sz w:val="16"/>
          <w:szCs w:val="16"/>
          <w:lang w:val="es-ES_tradnl"/>
        </w:rPr>
        <w:t>Caso de la “Masacre de Mapiripán”</w:t>
      </w:r>
      <w:r w:rsidRPr="00DB6A3A">
        <w:rPr>
          <w:rFonts w:ascii="Cambria" w:hAnsi="Cambria"/>
          <w:color w:val="000000" w:themeColor="text1"/>
          <w:sz w:val="16"/>
          <w:szCs w:val="16"/>
          <w:lang w:val="es-ES_tradnl"/>
        </w:rPr>
        <w:t xml:space="preserve">. Sentencia de 15 de septiembre </w:t>
      </w:r>
      <w:r w:rsidRPr="00DB6A3A">
        <w:rPr>
          <w:rFonts w:ascii="Cambria" w:hAnsi="Cambria"/>
          <w:sz w:val="16"/>
          <w:szCs w:val="16"/>
          <w:lang w:val="es-ES_tradnl"/>
        </w:rPr>
        <w:t>de 2005. Serie C No. 134</w:t>
      </w:r>
      <w:r>
        <w:rPr>
          <w:rFonts w:ascii="Cambria" w:hAnsi="Cambria"/>
          <w:sz w:val="16"/>
          <w:szCs w:val="16"/>
          <w:lang w:val="es-ES_tradnl"/>
        </w:rPr>
        <w:t>,</w:t>
      </w:r>
      <w:r w:rsidRPr="00DB6A3A">
        <w:rPr>
          <w:rFonts w:ascii="Cambria" w:hAnsi="Cambria"/>
          <w:sz w:val="16"/>
          <w:szCs w:val="16"/>
          <w:lang w:val="es-ES"/>
        </w:rPr>
        <w:t xml:space="preserve"> párr. 111.</w:t>
      </w:r>
    </w:p>
  </w:footnote>
  <w:footnote w:id="60">
    <w:p w14:paraId="120F801E" w14:textId="10AC40AA" w:rsidR="003F7533" w:rsidRPr="00DB6A3A" w:rsidRDefault="003F7533" w:rsidP="000C7CAA">
      <w:pPr>
        <w:pStyle w:val="FootnoteText"/>
        <w:tabs>
          <w:tab w:val="left" w:pos="720"/>
        </w:tabs>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ES"/>
        </w:rPr>
        <w:t xml:space="preserve"> </w:t>
      </w:r>
      <w:r w:rsidRPr="00DB6A3A">
        <w:rPr>
          <w:rFonts w:ascii="Cambria" w:hAnsi="Cambria"/>
          <w:sz w:val="16"/>
          <w:szCs w:val="16"/>
          <w:lang w:val="es-ES_tradnl"/>
        </w:rPr>
        <w:t xml:space="preserve">Corte IDH, </w:t>
      </w:r>
      <w:r w:rsidRPr="00DB6A3A">
        <w:rPr>
          <w:rFonts w:ascii="Cambria" w:hAnsi="Cambria"/>
          <w:iCs/>
          <w:sz w:val="16"/>
          <w:szCs w:val="16"/>
          <w:lang w:val="es-ES_tradnl"/>
        </w:rPr>
        <w:t>Caso</w:t>
      </w:r>
      <w:r w:rsidRPr="00DB6A3A">
        <w:rPr>
          <w:rFonts w:ascii="Cambria" w:hAnsi="Cambria"/>
          <w:sz w:val="16"/>
          <w:szCs w:val="16"/>
          <w:lang w:val="es-ES_tradnl"/>
        </w:rPr>
        <w:t xml:space="preserve"> </w:t>
      </w:r>
      <w:r w:rsidRPr="00DB6A3A">
        <w:rPr>
          <w:rFonts w:ascii="Cambria" w:hAnsi="Cambria"/>
          <w:iCs/>
          <w:sz w:val="16"/>
          <w:szCs w:val="16"/>
          <w:lang w:val="es-ES_tradnl"/>
        </w:rPr>
        <w:t>de la Masacre de Pueblo Bello</w:t>
      </w:r>
      <w:r w:rsidRPr="00DB6A3A">
        <w:rPr>
          <w:rFonts w:ascii="Cambria" w:hAnsi="Cambria"/>
          <w:sz w:val="16"/>
          <w:szCs w:val="16"/>
          <w:lang w:val="es-ES_tradnl"/>
        </w:rPr>
        <w:t xml:space="preserve">. </w:t>
      </w:r>
      <w:r w:rsidRPr="00DB6A3A">
        <w:rPr>
          <w:rFonts w:ascii="Cambria" w:hAnsi="Cambria"/>
          <w:color w:val="000000" w:themeColor="text1"/>
          <w:sz w:val="16"/>
          <w:szCs w:val="16"/>
          <w:lang w:val="es-ES_tradnl"/>
        </w:rPr>
        <w:t xml:space="preserve">Sentencia de 15 de septiembre </w:t>
      </w:r>
      <w:r w:rsidRPr="00DB6A3A">
        <w:rPr>
          <w:rFonts w:ascii="Cambria" w:hAnsi="Cambria"/>
          <w:sz w:val="16"/>
          <w:szCs w:val="16"/>
          <w:lang w:val="es-ES_tradnl"/>
        </w:rPr>
        <w:t>de 2005. Serie C No. 134</w:t>
      </w:r>
      <w:r>
        <w:rPr>
          <w:rFonts w:ascii="Cambria" w:hAnsi="Cambria"/>
          <w:sz w:val="16"/>
          <w:szCs w:val="16"/>
          <w:lang w:val="es-ES_tradnl"/>
        </w:rPr>
        <w:t>, p</w:t>
      </w:r>
      <w:r w:rsidRPr="00DB6A3A">
        <w:rPr>
          <w:rFonts w:ascii="Cambria" w:hAnsi="Cambria"/>
          <w:sz w:val="16"/>
          <w:szCs w:val="16"/>
          <w:lang w:val="es-CO"/>
        </w:rPr>
        <w:t>árr. 117.</w:t>
      </w:r>
    </w:p>
  </w:footnote>
  <w:footnote w:id="61">
    <w:p w14:paraId="77B2C75A" w14:textId="24573186" w:rsidR="003F7533" w:rsidRPr="00DB6A3A" w:rsidRDefault="003F7533" w:rsidP="000C7CAA">
      <w:pPr>
        <w:pStyle w:val="FootnoteText"/>
        <w:tabs>
          <w:tab w:val="left" w:pos="720"/>
        </w:tabs>
        <w:jc w:val="both"/>
        <w:rPr>
          <w:rFonts w:ascii="Cambria" w:hAnsi="Cambria"/>
          <w:sz w:val="16"/>
          <w:szCs w:val="16"/>
          <w:lang w:val="es-US"/>
        </w:rPr>
      </w:pPr>
      <w:r w:rsidRPr="00DB6A3A">
        <w:rPr>
          <w:rStyle w:val="FootnoteReference"/>
          <w:rFonts w:ascii="Cambria" w:hAnsi="Cambria"/>
          <w:sz w:val="16"/>
          <w:szCs w:val="16"/>
        </w:rPr>
        <w:footnoteRef/>
      </w:r>
      <w:r w:rsidRPr="00DB6A3A">
        <w:rPr>
          <w:rFonts w:ascii="Cambria" w:hAnsi="Cambria"/>
          <w:sz w:val="16"/>
          <w:szCs w:val="16"/>
          <w:lang w:val="es-CO"/>
        </w:rPr>
        <w:t xml:space="preserve"> Corte IDH. </w:t>
      </w:r>
      <w:r w:rsidRPr="00DB6A3A">
        <w:rPr>
          <w:rFonts w:ascii="Cambria" w:hAnsi="Cambria"/>
          <w:iCs/>
          <w:sz w:val="16"/>
          <w:szCs w:val="16"/>
          <w:lang w:val="es-ES_tradnl"/>
        </w:rPr>
        <w:t>Caso</w:t>
      </w:r>
      <w:r w:rsidRPr="00DB6A3A">
        <w:rPr>
          <w:rFonts w:ascii="Cambria" w:hAnsi="Cambria"/>
          <w:sz w:val="16"/>
          <w:szCs w:val="16"/>
          <w:lang w:val="es-ES_tradnl"/>
        </w:rPr>
        <w:t xml:space="preserve"> </w:t>
      </w:r>
      <w:r w:rsidRPr="00DB6A3A">
        <w:rPr>
          <w:rFonts w:ascii="Cambria" w:hAnsi="Cambria"/>
          <w:iCs/>
          <w:sz w:val="16"/>
          <w:szCs w:val="16"/>
          <w:lang w:val="es-ES_tradnl"/>
        </w:rPr>
        <w:t>de la Masacre de Pueblo Bello</w:t>
      </w:r>
      <w:r w:rsidRPr="00DB6A3A">
        <w:rPr>
          <w:rFonts w:ascii="Cambria" w:hAnsi="Cambria"/>
          <w:sz w:val="16"/>
          <w:szCs w:val="16"/>
          <w:lang w:val="es-ES_tradnl"/>
        </w:rPr>
        <w:t>.</w:t>
      </w:r>
      <w:r w:rsidRPr="000D4F1B">
        <w:rPr>
          <w:rFonts w:ascii="Cambria" w:hAnsi="Cambria"/>
          <w:color w:val="000000" w:themeColor="text1"/>
          <w:sz w:val="16"/>
          <w:szCs w:val="16"/>
          <w:lang w:val="es-ES_tradnl"/>
        </w:rPr>
        <w:t xml:space="preserve"> </w:t>
      </w:r>
      <w:r w:rsidRPr="00DB6A3A">
        <w:rPr>
          <w:rFonts w:ascii="Cambria" w:hAnsi="Cambria"/>
          <w:color w:val="000000" w:themeColor="text1"/>
          <w:sz w:val="16"/>
          <w:szCs w:val="16"/>
          <w:lang w:val="es-ES_tradnl"/>
        </w:rPr>
        <w:t xml:space="preserve">Sentencia de 15 de septiembre </w:t>
      </w:r>
      <w:r w:rsidRPr="00DB6A3A">
        <w:rPr>
          <w:rFonts w:ascii="Cambria" w:hAnsi="Cambria"/>
          <w:sz w:val="16"/>
          <w:szCs w:val="16"/>
          <w:lang w:val="es-ES_tradnl"/>
        </w:rPr>
        <w:t>de 2005. Serie C No. 134</w:t>
      </w:r>
      <w:r>
        <w:rPr>
          <w:rFonts w:ascii="Cambria" w:hAnsi="Cambria"/>
          <w:sz w:val="16"/>
          <w:szCs w:val="16"/>
          <w:lang w:val="es-ES_tradnl"/>
        </w:rPr>
        <w:t>, p</w:t>
      </w:r>
      <w:r w:rsidRPr="00DB6A3A">
        <w:rPr>
          <w:rFonts w:ascii="Cambria" w:hAnsi="Cambria"/>
          <w:sz w:val="16"/>
          <w:szCs w:val="16"/>
          <w:lang w:val="es-US"/>
        </w:rPr>
        <w:t>árr. 117.</w:t>
      </w:r>
    </w:p>
  </w:footnote>
  <w:footnote w:id="62">
    <w:p w14:paraId="2096BA56" w14:textId="77777777" w:rsidR="003F7533" w:rsidRPr="00DB6A3A" w:rsidRDefault="003F7533" w:rsidP="000C7CAA">
      <w:pPr>
        <w:jc w:val="both"/>
        <w:rPr>
          <w:rFonts w:ascii="Cambria" w:eastAsia="Times New Roman" w:hAnsi="Cambria"/>
          <w:sz w:val="16"/>
          <w:szCs w:val="16"/>
          <w:lang w:val="es-US"/>
        </w:rPr>
      </w:pPr>
      <w:r w:rsidRPr="00DB6A3A">
        <w:rPr>
          <w:rStyle w:val="FootnoteReference"/>
          <w:rFonts w:ascii="Cambria" w:hAnsi="Cambria"/>
          <w:sz w:val="16"/>
          <w:szCs w:val="16"/>
        </w:rPr>
        <w:footnoteRef/>
      </w:r>
      <w:r w:rsidRPr="00DB6A3A">
        <w:rPr>
          <w:rFonts w:ascii="Cambria" w:hAnsi="Cambria" w:cs="Arial"/>
          <w:sz w:val="16"/>
          <w:szCs w:val="16"/>
          <w:lang w:val="es-CR"/>
        </w:rPr>
        <w:t xml:space="preserve">La jurisprudencia de la Corte Europea respecto de los elementos señalando en el deber de prevención ha sido retomada por la Corte Interamericana en varias de sus sentencias. En este sentido ver: </w:t>
      </w:r>
      <w:r w:rsidRPr="00DB6A3A">
        <w:rPr>
          <w:rFonts w:ascii="Cambria" w:eastAsia="Times New Roman" w:hAnsi="Cambria"/>
          <w:bCs/>
          <w:color w:val="000000"/>
          <w:sz w:val="16"/>
          <w:szCs w:val="16"/>
          <w:shd w:val="clear" w:color="auto" w:fill="FFFFFF"/>
          <w:lang w:val="es-US"/>
        </w:rPr>
        <w:t>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Sentencia de 10 de octubre de 2013. Serie C No. 269, párr. 124.</w:t>
      </w:r>
    </w:p>
  </w:footnote>
  <w:footnote w:id="63">
    <w:p w14:paraId="1685D20F" w14:textId="77777777" w:rsidR="003F7533" w:rsidRPr="00DB6A3A" w:rsidRDefault="003F7533" w:rsidP="000C7CAA">
      <w:pPr>
        <w:pStyle w:val="ListParagraph"/>
        <w:ind w:left="0"/>
        <w:jc w:val="both"/>
        <w:rPr>
          <w:rFonts w:cs="Tahoma"/>
          <w:sz w:val="16"/>
          <w:szCs w:val="16"/>
          <w:lang w:val="es-US"/>
        </w:rPr>
      </w:pPr>
      <w:r w:rsidRPr="00DB6A3A">
        <w:rPr>
          <w:rStyle w:val="FootnoteReference"/>
          <w:sz w:val="16"/>
          <w:szCs w:val="16"/>
        </w:rPr>
        <w:footnoteRef/>
      </w:r>
      <w:r w:rsidRPr="00DB6A3A">
        <w:rPr>
          <w:sz w:val="16"/>
          <w:szCs w:val="16"/>
          <w:lang w:val="es-US"/>
        </w:rPr>
        <w:t xml:space="preserve"> </w:t>
      </w:r>
      <w:r w:rsidRPr="00DB6A3A">
        <w:rPr>
          <w:rFonts w:cs="Tahoma"/>
          <w:sz w:val="16"/>
          <w:szCs w:val="16"/>
          <w:lang w:val="es-US"/>
        </w:rPr>
        <w:t xml:space="preserve">CIDH. Informe No. 45/17. Caso 10.455. Fondo (Publicación). Valentín Basto Calderón y otros. Colombia. 25 de mayo de 2017. Párr. 139.  </w:t>
      </w:r>
    </w:p>
  </w:footnote>
  <w:footnote w:id="64">
    <w:p w14:paraId="26D838CF" w14:textId="77777777" w:rsidR="003F7533" w:rsidRPr="00DB6A3A" w:rsidRDefault="003F7533" w:rsidP="000C7CAA">
      <w:pPr>
        <w:pStyle w:val="FootnoteText"/>
        <w:jc w:val="both"/>
        <w:rPr>
          <w:rFonts w:ascii="Cambria" w:hAnsi="Cambria" w:cs="Arial"/>
          <w:sz w:val="16"/>
          <w:szCs w:val="16"/>
          <w:lang w:val="es-VE"/>
        </w:rPr>
      </w:pPr>
      <w:r w:rsidRPr="00DB6A3A">
        <w:rPr>
          <w:rStyle w:val="FootnoteReference"/>
          <w:rFonts w:ascii="Cambria" w:hAnsi="Cambria" w:cs="Arial"/>
          <w:color w:val="auto"/>
          <w:sz w:val="16"/>
          <w:szCs w:val="16"/>
          <w:lang w:val="es-ES"/>
        </w:rPr>
        <w:footnoteRef/>
      </w:r>
      <w:r w:rsidRPr="00F64A51">
        <w:rPr>
          <w:rFonts w:ascii="Cambria" w:hAnsi="Cambria" w:cs="Arial"/>
          <w:sz w:val="16"/>
          <w:szCs w:val="16"/>
          <w:lang w:val="es-US"/>
        </w:rPr>
        <w:t xml:space="preserve"> </w:t>
      </w:r>
      <w:r w:rsidRPr="00F64A51">
        <w:rPr>
          <w:rFonts w:ascii="Cambria" w:hAnsi="Cambria"/>
          <w:sz w:val="16"/>
          <w:szCs w:val="16"/>
          <w:lang w:val="es-US"/>
        </w:rPr>
        <w:t xml:space="preserve">Corte IDH, </w:t>
      </w:r>
      <w:r w:rsidRPr="00F64A51">
        <w:rPr>
          <w:rFonts w:ascii="Cambria" w:hAnsi="Cambria"/>
          <w:bCs/>
          <w:sz w:val="16"/>
          <w:szCs w:val="16"/>
          <w:lang w:val="es-US"/>
        </w:rPr>
        <w:t xml:space="preserve">Caso Gutiérrez Soler Vs. </w:t>
      </w:r>
      <w:r w:rsidRPr="00DB6A3A">
        <w:rPr>
          <w:rFonts w:ascii="Cambria" w:hAnsi="Cambria"/>
          <w:bCs/>
          <w:sz w:val="16"/>
          <w:szCs w:val="16"/>
          <w:lang w:val="es-ES"/>
        </w:rPr>
        <w:t xml:space="preserve">Colombia. </w:t>
      </w:r>
      <w:r w:rsidRPr="00DB6A3A">
        <w:rPr>
          <w:rFonts w:ascii="Cambria" w:hAnsi="Cambria"/>
          <w:sz w:val="16"/>
          <w:szCs w:val="16"/>
          <w:lang w:val="es-ES"/>
        </w:rPr>
        <w:t>Fondo, Reparaciones y Costas. Sentencia de 12 de septiembre de 2005. Serie C No. 132, párrs. 56-57</w:t>
      </w:r>
      <w:r w:rsidRPr="00DB6A3A">
        <w:rPr>
          <w:rFonts w:ascii="Cambria" w:hAnsi="Cambria" w:cs="Arial"/>
          <w:sz w:val="16"/>
          <w:szCs w:val="16"/>
          <w:lang w:val="es-ES"/>
        </w:rPr>
        <w:t xml:space="preserve">, </w:t>
      </w:r>
      <w:r w:rsidRPr="00DB6A3A">
        <w:rPr>
          <w:rFonts w:ascii="Cambria" w:hAnsi="Cambria" w:cs="Arial"/>
          <w:bCs/>
          <w:sz w:val="16"/>
          <w:szCs w:val="16"/>
          <w:lang w:val="es-ES"/>
        </w:rPr>
        <w:t xml:space="preserve">Caso Tibi Vs. Ecuador. </w:t>
      </w:r>
      <w:r w:rsidRPr="00DB6A3A">
        <w:rPr>
          <w:rFonts w:ascii="Cambria" w:hAnsi="Cambria" w:cs="Arial"/>
          <w:sz w:val="16"/>
          <w:szCs w:val="16"/>
          <w:lang w:val="es-ES"/>
        </w:rPr>
        <w:t xml:space="preserve">Excepciones Preliminares, Fondo, Reparaciones y Costas. Sentencia de 7 de septiembre de 2004. Serie C No. 114, párr. 147. Véase también </w:t>
      </w:r>
      <w:r w:rsidRPr="00DB6A3A">
        <w:rPr>
          <w:rFonts w:ascii="Cambria" w:hAnsi="Cambria"/>
          <w:sz w:val="16"/>
          <w:szCs w:val="16"/>
          <w:lang w:val="es-VE"/>
        </w:rPr>
        <w:t>CIDH, Segundo Informe sobre la situación de las defensoras y los defensores de derechos humanos en las Américas, OEA/ser.L/V/II.Doc.66, 31 de diciembre de 2011.</w:t>
      </w:r>
    </w:p>
  </w:footnote>
  <w:footnote w:id="65">
    <w:p w14:paraId="51F443DF" w14:textId="2B6F5ADA"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CO"/>
        </w:rPr>
        <w:t xml:space="preserve"> CIDH. </w:t>
      </w:r>
      <w:r w:rsidRPr="00DB6A3A">
        <w:rPr>
          <w:rFonts w:ascii="Cambria" w:hAnsi="Cambria"/>
          <w:i/>
          <w:sz w:val="16"/>
          <w:szCs w:val="16"/>
          <w:lang w:val="es-CO"/>
        </w:rPr>
        <w:t xml:space="preserve">Hacia una política integral de protección a personas defensoras de derechos humanos. </w:t>
      </w:r>
      <w:r w:rsidRPr="00DB6A3A">
        <w:rPr>
          <w:rFonts w:ascii="Cambria" w:hAnsi="Cambria" w:cs="Cambria"/>
          <w:sz w:val="16"/>
          <w:szCs w:val="16"/>
          <w:lang w:val="es-CO"/>
        </w:rPr>
        <w:t xml:space="preserve">OEA/Ser.L/V/II. Doc. 207/17. </w:t>
      </w:r>
      <w:r w:rsidRPr="00DB6A3A">
        <w:rPr>
          <w:rFonts w:ascii="Cambria" w:hAnsi="Cambria"/>
          <w:sz w:val="16"/>
          <w:szCs w:val="16"/>
          <w:lang w:val="es-CO"/>
        </w:rPr>
        <w:t xml:space="preserve">29 de diciembre de 2017. Párr. 262. </w:t>
      </w:r>
    </w:p>
  </w:footnote>
  <w:footnote w:id="66">
    <w:p w14:paraId="3EED5112" w14:textId="4D394F94"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eastAsia="Cambria" w:hAnsi="Cambria" w:cs="Cambria"/>
          <w:sz w:val="16"/>
          <w:szCs w:val="16"/>
          <w:lang w:val="es-MX"/>
        </w:rPr>
        <w:t>C</w:t>
      </w:r>
      <w:r>
        <w:rPr>
          <w:rFonts w:ascii="Cambria" w:eastAsia="Cambria" w:hAnsi="Cambria" w:cs="Cambria"/>
          <w:sz w:val="16"/>
          <w:szCs w:val="16"/>
          <w:lang w:val="es-MX"/>
        </w:rPr>
        <w:t>orte IDH. C</w:t>
      </w:r>
      <w:r w:rsidRPr="00DB6A3A">
        <w:rPr>
          <w:rFonts w:ascii="Cambria" w:eastAsia="Cambria" w:hAnsi="Cambria" w:cs="Cambria"/>
          <w:sz w:val="16"/>
          <w:szCs w:val="16"/>
          <w:lang w:val="es-MX"/>
        </w:rPr>
        <w:t>aso Vélez Restrepo y Familiares Vs. Colombia. Excepción Preliminar, Fondo, Reparaciones y Costas. Sentencia de 3 de septiembre de 2012. Serie C No. 248, párr. 201.</w:t>
      </w:r>
    </w:p>
  </w:footnote>
  <w:footnote w:id="67">
    <w:p w14:paraId="17490C72" w14:textId="77777777" w:rsidR="003F7533" w:rsidRPr="006562D4" w:rsidRDefault="003F7533" w:rsidP="00A37372">
      <w:pPr>
        <w:jc w:val="both"/>
        <w:rPr>
          <w:rFonts w:ascii="Cambria" w:eastAsia="Times New Roman" w:hAnsi="Cambria"/>
          <w:sz w:val="16"/>
          <w:szCs w:val="16"/>
          <w:bdr w:val="none" w:sz="0" w:space="0" w:color="auto"/>
          <w:lang w:val="es-ES"/>
        </w:rPr>
      </w:pPr>
      <w:r w:rsidRPr="00DB6A3A">
        <w:rPr>
          <w:rStyle w:val="FootnoteReference"/>
          <w:rFonts w:ascii="Cambria" w:hAnsi="Cambria"/>
          <w:sz w:val="16"/>
          <w:szCs w:val="16"/>
        </w:rPr>
        <w:footnoteRef/>
      </w:r>
      <w:r w:rsidRPr="006562D4">
        <w:rPr>
          <w:rFonts w:ascii="Cambria" w:hAnsi="Cambria"/>
          <w:sz w:val="16"/>
          <w:szCs w:val="16"/>
          <w:lang w:val="es-ES"/>
        </w:rPr>
        <w:t xml:space="preserve"> C</w:t>
      </w:r>
      <w:r w:rsidRPr="006562D4">
        <w:rPr>
          <w:rFonts w:ascii="Cambria" w:eastAsia="Times New Roman" w:hAnsi="Cambria"/>
          <w:bCs/>
          <w:color w:val="000000"/>
          <w:sz w:val="16"/>
          <w:szCs w:val="16"/>
          <w:bdr w:val="none" w:sz="0" w:space="0" w:color="auto"/>
          <w:lang w:val="es-ES"/>
        </w:rPr>
        <w:t xml:space="preserve">orte IDH. Caso de la Masacre de La Rochela Vs. Colombia. Fondo, Reparaciones y Costas. Sentencia de 11 de mayo de 2007. Serie C No. 163. Párr. 171. </w:t>
      </w:r>
      <w:r w:rsidRPr="006562D4">
        <w:rPr>
          <w:rFonts w:ascii="Cambria" w:eastAsia="Times New Roman" w:hAnsi="Cambria"/>
          <w:sz w:val="16"/>
          <w:szCs w:val="16"/>
          <w:bdr w:val="none" w:sz="0" w:space="0" w:color="auto"/>
          <w:lang w:val="es-ES"/>
        </w:rPr>
        <w:t xml:space="preserve">Citando. </w:t>
      </w:r>
      <w:r w:rsidRPr="006562D4">
        <w:rPr>
          <w:rFonts w:ascii="Cambria" w:hAnsi="Cambria"/>
          <w:i/>
          <w:sz w:val="16"/>
          <w:szCs w:val="16"/>
          <w:lang w:val="es-ES"/>
        </w:rPr>
        <w:t>Cfr. Caso Myrna Mack Chang</w:t>
      </w:r>
      <w:r w:rsidRPr="006562D4">
        <w:rPr>
          <w:rFonts w:ascii="Cambria" w:hAnsi="Cambria"/>
          <w:sz w:val="16"/>
          <w:szCs w:val="16"/>
          <w:lang w:val="es-ES"/>
        </w:rPr>
        <w:t>. Sentencia de 25 de noviembre de 2003. Serie C No. 101, párr. 199.</w:t>
      </w:r>
    </w:p>
  </w:footnote>
  <w:footnote w:id="68">
    <w:p w14:paraId="686F3299" w14:textId="2AAEBCDB" w:rsidR="003F7533" w:rsidRPr="00DB6A3A" w:rsidRDefault="003F7533" w:rsidP="00A37372">
      <w:pPr>
        <w:pStyle w:val="FootnoteText"/>
        <w:jc w:val="both"/>
        <w:rPr>
          <w:rFonts w:ascii="Cambria" w:hAnsi="Cambria"/>
          <w:sz w:val="16"/>
          <w:szCs w:val="16"/>
          <w:lang w:val="es-ES"/>
        </w:rPr>
      </w:pPr>
      <w:r w:rsidRPr="00DB6A3A">
        <w:rPr>
          <w:rStyle w:val="FootnoteReference"/>
          <w:rFonts w:ascii="Cambria" w:hAnsi="Cambria"/>
          <w:sz w:val="16"/>
          <w:szCs w:val="16"/>
        </w:rPr>
        <w:footnoteRef/>
      </w:r>
      <w:r w:rsidRPr="006562D4">
        <w:rPr>
          <w:rFonts w:ascii="Cambria" w:hAnsi="Cambria"/>
          <w:sz w:val="16"/>
          <w:szCs w:val="16"/>
          <w:lang w:val="es-ES"/>
        </w:rPr>
        <w:t xml:space="preserve"> </w:t>
      </w:r>
      <w:r w:rsidRPr="00DB6A3A">
        <w:rPr>
          <w:rFonts w:ascii="Cambria" w:hAnsi="Cambria"/>
          <w:sz w:val="16"/>
          <w:szCs w:val="16"/>
          <w:lang w:val="es-ES"/>
        </w:rPr>
        <w:t xml:space="preserve">CIDH. Resolución 1/18. Corrupción y Derechos Humanos. Aprobada el 2 de marzo de 2018. </w:t>
      </w:r>
    </w:p>
  </w:footnote>
  <w:footnote w:id="69">
    <w:p w14:paraId="798A3C45" w14:textId="5DB70D29" w:rsidR="003F7533" w:rsidRPr="00DB6A3A" w:rsidRDefault="003F7533" w:rsidP="000C7CAA">
      <w:pPr>
        <w:jc w:val="both"/>
        <w:rPr>
          <w:rFonts w:ascii="Cambria" w:eastAsia="Cambria" w:hAnsi="Cambria" w:cs="Cambria"/>
          <w:sz w:val="16"/>
          <w:szCs w:val="16"/>
          <w:lang w:val="es-MX"/>
        </w:rPr>
      </w:pPr>
      <w:r w:rsidRPr="00DB6A3A">
        <w:rPr>
          <w:rFonts w:ascii="Cambria" w:hAnsi="Cambria"/>
          <w:sz w:val="16"/>
          <w:szCs w:val="16"/>
          <w:vertAlign w:val="superscript"/>
        </w:rPr>
        <w:footnoteRef/>
      </w:r>
      <w:r w:rsidRPr="006562D4">
        <w:rPr>
          <w:rFonts w:ascii="Cambria" w:hAnsi="Cambria"/>
          <w:sz w:val="16"/>
          <w:szCs w:val="16"/>
          <w:vertAlign w:val="superscript"/>
          <w:lang w:val="pt-BR"/>
        </w:rPr>
        <w:t xml:space="preserve"> </w:t>
      </w:r>
      <w:r>
        <w:rPr>
          <w:rFonts w:ascii="Cambria" w:hAnsi="Cambria"/>
          <w:sz w:val="16"/>
          <w:szCs w:val="16"/>
          <w:vertAlign w:val="superscript"/>
          <w:lang w:val="pt-BR"/>
        </w:rPr>
        <w:t xml:space="preserve"> </w:t>
      </w:r>
      <w:r w:rsidRPr="006562D4">
        <w:rPr>
          <w:rFonts w:ascii="Cambria" w:eastAsia="Cambria" w:hAnsi="Cambria" w:cs="Cambria"/>
          <w:color w:val="000000"/>
          <w:sz w:val="16"/>
          <w:szCs w:val="16"/>
          <w:lang w:val="pt-BR"/>
        </w:rPr>
        <w:t>C</w:t>
      </w:r>
      <w:r>
        <w:rPr>
          <w:rFonts w:ascii="Cambria" w:eastAsia="Cambria" w:hAnsi="Cambria" w:cs="Cambria"/>
          <w:color w:val="000000"/>
          <w:sz w:val="16"/>
          <w:szCs w:val="16"/>
          <w:lang w:val="pt-BR"/>
        </w:rPr>
        <w:t>orte IDH</w:t>
      </w:r>
      <w:r w:rsidRPr="006562D4">
        <w:rPr>
          <w:rFonts w:ascii="Cambria" w:eastAsia="Cambria" w:hAnsi="Cambria" w:cs="Cambria"/>
          <w:color w:val="000000"/>
          <w:sz w:val="16"/>
          <w:szCs w:val="16"/>
          <w:lang w:val="pt-BR"/>
        </w:rPr>
        <w:t xml:space="preserve"> Manuel Cepeda Vargas Vs. </w:t>
      </w:r>
      <w:r w:rsidRPr="00DB6A3A">
        <w:rPr>
          <w:rFonts w:ascii="Cambria" w:eastAsia="Cambria" w:hAnsi="Cambria" w:cs="Cambria"/>
          <w:color w:val="000000"/>
          <w:sz w:val="16"/>
          <w:szCs w:val="16"/>
          <w:lang w:val="es-MX"/>
        </w:rPr>
        <w:t>Colombia.</w:t>
      </w:r>
      <w:r w:rsidRPr="00DB6A3A">
        <w:rPr>
          <w:rFonts w:ascii="Cambria" w:eastAsia="Cambria" w:hAnsi="Cambria" w:cs="Cambria"/>
          <w:b/>
          <w:color w:val="000000"/>
          <w:sz w:val="16"/>
          <w:szCs w:val="16"/>
          <w:lang w:val="es-MX"/>
        </w:rPr>
        <w:t xml:space="preserve"> </w:t>
      </w:r>
      <w:r w:rsidRPr="00DB6A3A">
        <w:rPr>
          <w:rFonts w:ascii="Cambria" w:eastAsia="Cambria" w:hAnsi="Cambria" w:cs="Cambria"/>
          <w:color w:val="000000"/>
          <w:sz w:val="16"/>
          <w:szCs w:val="16"/>
          <w:lang w:val="es-MX"/>
        </w:rPr>
        <w:t>Excepciones Preliminares, Fondo, Reparaciones y Costas, párr. 201, y Caso Fleury y otros Vs. Haití. Fondo y Reparaciones, párr. 94 y 95.</w:t>
      </w:r>
    </w:p>
  </w:footnote>
  <w:footnote w:id="70">
    <w:p w14:paraId="46269940" w14:textId="5FC06189"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eastAsia="Cambria" w:hAnsi="Cambria" w:cs="Cambria"/>
          <w:sz w:val="16"/>
          <w:szCs w:val="16"/>
          <w:lang w:val="es-MX"/>
        </w:rPr>
        <w:t xml:space="preserve">El artículo 8.1 de la Convención Americana establece en lo pertinente, lo siguiente: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71">
    <w:p w14:paraId="61A02FA3" w14:textId="59D51CD8"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w:t>
      </w:r>
      <w:r w:rsidRPr="00DB6A3A">
        <w:rPr>
          <w:rFonts w:ascii="Cambria" w:eastAsia="Cambria" w:hAnsi="Cambria" w:cs="Cambria"/>
          <w:sz w:val="16"/>
          <w:szCs w:val="16"/>
          <w:lang w:val="es-MX"/>
        </w:rPr>
        <w:t>El artículo 25.1 de la Convención Americana establece en lo pertinente, lo siguiente:”[t]oda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sidRPr="00DB6A3A">
        <w:rPr>
          <w:rFonts w:ascii="Cambria" w:eastAsia="Tahoma" w:hAnsi="Cambria" w:cs="Tahoma"/>
          <w:sz w:val="16"/>
          <w:szCs w:val="16"/>
          <w:lang w:val="es-MX"/>
        </w:rPr>
        <w:t xml:space="preserve">   </w:t>
      </w:r>
    </w:p>
  </w:footnote>
  <w:footnote w:id="72">
    <w:p w14:paraId="0BA99855" w14:textId="3176B604" w:rsidR="003F7533" w:rsidRPr="00DB6A3A" w:rsidRDefault="003F7533" w:rsidP="000C7CAA">
      <w:pPr>
        <w:tabs>
          <w:tab w:val="left" w:pos="36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Corte IDH, Caso Cantoral Huamaní y García Santa Cruz. Excepción Preliminar, Fondo, Reparaciones y Costas. Sentencia de 10 de julio de 2007. Serie C No. 167. Párr. 124; Corte IDH, Caso de la Masacre de la Rochela.  Sentencia de 11 de mayo de 2007.  Serie C. No. 163. Párr. 145; Corte IDH, Caso del Penal Miguel Castro Castro. Sentencia de 25 de noviembre de 2006. Serie C No. 160. Párr. 381; y Corte IDH, Caso Trabajadores Cesados del Congreso (Aguado Alfaro y otros). Sentencia de 24 de noviembre de 2006. Serie C No. 158, Párr. 106.</w:t>
      </w:r>
    </w:p>
  </w:footnote>
  <w:footnote w:id="73">
    <w:p w14:paraId="0445BE3D" w14:textId="174FDECC" w:rsidR="003F7533" w:rsidRPr="00DB6A3A" w:rsidRDefault="003F7533" w:rsidP="000C7CAA">
      <w:pPr>
        <w:tabs>
          <w:tab w:val="left" w:pos="360"/>
          <w:tab w:val="left" w:pos="72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color w:val="000000"/>
          <w:sz w:val="16"/>
          <w:szCs w:val="16"/>
          <w:lang w:val="es-MX"/>
        </w:rPr>
        <w:t xml:space="preserve"> Corte IDH, Caso Cantoral Huamaní y García Santa Cruz. Excepción Preliminar, Fondo, Reparaciones y Costas. Sentencia de 10 de julio de 2007. Serie C No. 167. Párr. 100.</w:t>
      </w:r>
    </w:p>
  </w:footnote>
  <w:footnote w:id="74">
    <w:p w14:paraId="029FD6F9" w14:textId="73E6709E" w:rsidR="003F7533" w:rsidRPr="00DB6A3A" w:rsidRDefault="003F7533" w:rsidP="000C7CAA">
      <w:pPr>
        <w:tabs>
          <w:tab w:val="left" w:pos="360"/>
          <w:tab w:val="left" w:pos="72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Corte IDH, Caso García Prieto y otros. Excepción Preliminar, Fondo, Reparaciones y Costas. Sentencia de 20 de noviembre de 2007. Serie C No. 168. Párr. 101; Corte IDH, Caso de los Hermanos Gómez Paquiyauri. Sentencia de 8 de julio de 2004. Serie C No. 110. Párr. 146; Corte IDH, Caso Cantoral Huamaní y García Santa Cruz, Excepción Preliminar, Fondo, Reparaciones y Costas. Sentencia de 10 de julio de 2007. Serie C No. 167. Párr. 130. </w:t>
      </w:r>
      <w:r w:rsidRPr="00DB6A3A">
        <w:rPr>
          <w:rFonts w:ascii="Cambria" w:eastAsia="Cambria" w:hAnsi="Cambria" w:cs="Cambria"/>
          <w:i/>
          <w:sz w:val="16"/>
          <w:szCs w:val="16"/>
          <w:lang w:val="es-MX"/>
        </w:rPr>
        <w:t xml:space="preserve"> </w:t>
      </w:r>
    </w:p>
  </w:footnote>
  <w:footnote w:id="75">
    <w:p w14:paraId="4906B365" w14:textId="69907475" w:rsidR="003F7533" w:rsidRPr="00DB6A3A" w:rsidRDefault="003F7533" w:rsidP="000C7CAA">
      <w:pPr>
        <w:tabs>
          <w:tab w:val="left" w:pos="36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Pr>
          <w:rFonts w:ascii="Cambria" w:eastAsia="Cambria" w:hAnsi="Cambria" w:cs="Cambria"/>
          <w:sz w:val="16"/>
          <w:szCs w:val="16"/>
          <w:lang w:val="es-MX"/>
        </w:rPr>
        <w:t xml:space="preserve"> </w:t>
      </w:r>
      <w:r w:rsidRPr="00DB6A3A">
        <w:rPr>
          <w:rFonts w:ascii="Cambria" w:eastAsia="Cambria" w:hAnsi="Cambria" w:cs="Cambria"/>
          <w:sz w:val="16"/>
          <w:szCs w:val="16"/>
          <w:lang w:val="es-MX"/>
        </w:rPr>
        <w:t>Corte IDH, Caso Bulacio. Sentencia de 18 de septiembre de 2003. Serie C No. 100. Párr. 114; Corte IDH, Caso de la Masacre de la Rochela.  Sentencia de 11 de mayo de 2007.  Serie C. No. 163.Párr. 146; Corte IDH, Caso del Penal Miguel Castro Castro. Sentencia de 25 de noviembre de 2006. Serie C No. 160. Párr. 382.</w:t>
      </w:r>
    </w:p>
  </w:footnote>
  <w:footnote w:id="76">
    <w:p w14:paraId="211D1897" w14:textId="72ECEAFE" w:rsidR="003F7533" w:rsidRPr="00DB6A3A" w:rsidRDefault="003F7533" w:rsidP="000C7CAA">
      <w:pPr>
        <w:tabs>
          <w:tab w:val="left" w:pos="360"/>
          <w:tab w:val="left" w:pos="72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Pr>
          <w:rFonts w:ascii="Cambria" w:eastAsia="Cambria" w:hAnsi="Cambria" w:cs="Cambria"/>
          <w:sz w:val="16"/>
          <w:szCs w:val="16"/>
          <w:lang w:val="es-MX"/>
        </w:rPr>
        <w:t xml:space="preserve"> </w:t>
      </w:r>
      <w:r w:rsidRPr="00DB6A3A">
        <w:rPr>
          <w:rFonts w:ascii="Cambria" w:eastAsia="Cambria" w:hAnsi="Cambria" w:cs="Cambria"/>
          <w:sz w:val="16"/>
          <w:szCs w:val="16"/>
          <w:lang w:val="es-MX"/>
        </w:rPr>
        <w:t>Corte IDH, Caso García Prieto y otros. Excepción Preliminar, Fondo, Reparaciones y Costas. Sentencia de 20 de noviembre de 2007. Serie C No. 168. Párr. 103; Corte IDH, Caso Bulacio. Excepciones Preliminares, Fondo, Reparaciones y Costas. Sentencia de 18 de Septiembre de 2003. Serie C No. 100, Párr. 114; y Corte IDH, Caso del Penal Miguel Castro Castro. Sentencia de 25 de noviembre de 2006. Serie C No. 160. Párr. 382.</w:t>
      </w:r>
    </w:p>
  </w:footnote>
  <w:footnote w:id="77">
    <w:p w14:paraId="49AAA432" w14:textId="3CC20AEF"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CIDH</w:t>
      </w:r>
      <w:r>
        <w:rPr>
          <w:rFonts w:ascii="Cambria" w:hAnsi="Cambria"/>
          <w:sz w:val="16"/>
          <w:szCs w:val="16"/>
          <w:lang w:val="es-MX"/>
        </w:rPr>
        <w:t>.</w:t>
      </w:r>
      <w:r w:rsidRPr="00DB6A3A">
        <w:rPr>
          <w:rFonts w:ascii="Cambria" w:hAnsi="Cambria"/>
          <w:sz w:val="16"/>
          <w:szCs w:val="16"/>
          <w:lang w:val="es-MX"/>
        </w:rPr>
        <w:t xml:space="preserve"> Informe sobre la Situación de Defensores y Defensoras de los Derechos Humanos en las Américas, párr. 47. </w:t>
      </w:r>
    </w:p>
  </w:footnote>
  <w:footnote w:id="78">
    <w:p w14:paraId="6E6DE5CA" w14:textId="200E2FF8" w:rsidR="003F7533" w:rsidRPr="00DB6A3A" w:rsidRDefault="003F7533" w:rsidP="000C7CAA">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MX"/>
        </w:rPr>
        <w:t xml:space="preserve"> CIDH</w:t>
      </w:r>
      <w:r>
        <w:rPr>
          <w:rFonts w:ascii="Cambria" w:hAnsi="Cambria"/>
          <w:sz w:val="16"/>
          <w:szCs w:val="16"/>
          <w:lang w:val="es-MX"/>
        </w:rPr>
        <w:t>.</w:t>
      </w:r>
      <w:r w:rsidRPr="00DB6A3A">
        <w:rPr>
          <w:rFonts w:ascii="Cambria" w:hAnsi="Cambria"/>
          <w:sz w:val="16"/>
          <w:szCs w:val="16"/>
          <w:lang w:val="es-MX"/>
        </w:rPr>
        <w:t xml:space="preserve"> Informe sobre la Situación de Defensores y Defensoras de los Derechos Humanos en las Américas, párr. 47</w:t>
      </w:r>
      <w:r>
        <w:rPr>
          <w:rFonts w:ascii="Cambria" w:hAnsi="Cambria"/>
          <w:sz w:val="16"/>
          <w:szCs w:val="16"/>
          <w:lang w:val="es-MX"/>
        </w:rPr>
        <w:t>.</w:t>
      </w:r>
    </w:p>
  </w:footnote>
  <w:footnote w:id="79">
    <w:p w14:paraId="74451CBD" w14:textId="10B351AC" w:rsidR="003F7533" w:rsidRPr="00DB6A3A" w:rsidRDefault="003F7533" w:rsidP="000C7CAA">
      <w:pPr>
        <w:tabs>
          <w:tab w:val="left" w:pos="360"/>
          <w:tab w:val="left" w:pos="720"/>
          <w:tab w:val="left" w:pos="900"/>
          <w:tab w:val="left" w:pos="1080"/>
        </w:tabs>
        <w:jc w:val="both"/>
        <w:rPr>
          <w:rFonts w:ascii="Cambria" w:eastAsia="Cambria" w:hAnsi="Cambria" w:cs="Cambria"/>
          <w:sz w:val="16"/>
          <w:szCs w:val="16"/>
          <w:lang w:val="es-MX"/>
        </w:rPr>
      </w:pPr>
      <w:r w:rsidRPr="00DB6A3A">
        <w:rPr>
          <w:rFonts w:ascii="Cambria" w:hAnsi="Cambria"/>
          <w:sz w:val="16"/>
          <w:szCs w:val="16"/>
          <w:vertAlign w:val="superscript"/>
        </w:rPr>
        <w:footnoteRef/>
      </w:r>
      <w:r w:rsidRPr="00DB6A3A">
        <w:rPr>
          <w:rFonts w:ascii="Cambria" w:eastAsia="Cambria" w:hAnsi="Cambria" w:cs="Cambria"/>
          <w:sz w:val="16"/>
          <w:szCs w:val="16"/>
          <w:lang w:val="es-MX"/>
        </w:rPr>
        <w:t xml:space="preserve"> Corte IDH, Caso García Prieto y otros. Excepción Preliminar, Fondo, Reparaciones y Costas. Sentencia de 20 de noviembre de 2007. Serie C No. 168. Párr. 101.  </w:t>
      </w:r>
    </w:p>
  </w:footnote>
  <w:footnote w:id="80">
    <w:p w14:paraId="07DF15A0" w14:textId="77777777" w:rsidR="003F7533" w:rsidRPr="00DB6A3A" w:rsidRDefault="003F7533" w:rsidP="000C7CAA">
      <w:pPr>
        <w:pStyle w:val="FootnoteText"/>
        <w:jc w:val="both"/>
        <w:rPr>
          <w:rFonts w:ascii="Cambria" w:hAnsi="Cambria"/>
          <w:sz w:val="16"/>
          <w:szCs w:val="16"/>
          <w:lang w:val="es-US"/>
        </w:rPr>
      </w:pPr>
      <w:r w:rsidRPr="00DB6A3A">
        <w:rPr>
          <w:rStyle w:val="FootnoteReference"/>
          <w:rFonts w:ascii="Cambria" w:hAnsi="Cambria"/>
          <w:sz w:val="16"/>
          <w:szCs w:val="16"/>
        </w:rPr>
        <w:footnoteRef/>
      </w:r>
      <w:r w:rsidRPr="00DB6A3A">
        <w:rPr>
          <w:rFonts w:ascii="Cambria" w:hAnsi="Cambria"/>
          <w:sz w:val="16"/>
          <w:szCs w:val="16"/>
          <w:lang w:val="es-MX"/>
        </w:rPr>
        <w:t xml:space="preserve"> CIDH. Informe No. 25/09 Fondo (Sebastião Camargo Filho) Brasil, 19 de marzo de 2009, párr. </w:t>
      </w:r>
      <w:r w:rsidRPr="00DB6A3A">
        <w:rPr>
          <w:rFonts w:ascii="Cambria" w:hAnsi="Cambria"/>
          <w:sz w:val="16"/>
          <w:szCs w:val="16"/>
          <w:lang w:val="es-ES_tradnl"/>
        </w:rPr>
        <w:t xml:space="preserve">109; </w:t>
      </w:r>
      <w:r w:rsidRPr="00DB6A3A">
        <w:rPr>
          <w:rFonts w:ascii="Cambria" w:hAnsi="Cambria" w:cs="Arial"/>
          <w:sz w:val="16"/>
          <w:szCs w:val="16"/>
          <w:lang w:val="es-US"/>
        </w:rPr>
        <w:t xml:space="preserve">Corte IDH, </w:t>
      </w:r>
      <w:r w:rsidRPr="00DB6A3A">
        <w:rPr>
          <w:rFonts w:ascii="Cambria" w:hAnsi="Cambria" w:cs="Arial"/>
          <w:iCs/>
          <w:sz w:val="16"/>
          <w:szCs w:val="16"/>
          <w:lang w:val="es-ES"/>
        </w:rPr>
        <w:t>Caso de los “Niños de la Calle” (Villagrán Morales y otros).</w:t>
      </w:r>
      <w:r w:rsidRPr="00DB6A3A">
        <w:rPr>
          <w:rFonts w:ascii="Cambria" w:hAnsi="Cambria" w:cs="Arial"/>
          <w:sz w:val="16"/>
          <w:szCs w:val="16"/>
          <w:lang w:val="es-ES"/>
        </w:rPr>
        <w:t xml:space="preserve"> Sentencia de 19 de noviembre de 1999. Serie C No. 63, párr. 230;</w:t>
      </w:r>
      <w:r w:rsidRPr="00DB6A3A">
        <w:rPr>
          <w:rFonts w:ascii="Cambria" w:hAnsi="Cambria"/>
          <w:spacing w:val="-4"/>
          <w:sz w:val="16"/>
          <w:szCs w:val="16"/>
          <w:lang w:val="es-CR"/>
        </w:rPr>
        <w:t xml:space="preserve"> </w:t>
      </w:r>
      <w:r w:rsidRPr="00DB6A3A">
        <w:rPr>
          <w:rFonts w:ascii="Cambria" w:hAnsi="Cambria"/>
          <w:sz w:val="16"/>
          <w:szCs w:val="16"/>
          <w:lang w:val="es-US"/>
        </w:rPr>
        <w:t xml:space="preserve">Corte IDH, Caso J. vs. Perú. Excepción preliminar, Fondo, Reparaciones y Costas. Sentencia de 27 de noviembre de 2013. Serie C No. 275, párr. </w:t>
      </w:r>
      <w:r w:rsidRPr="00DB6A3A">
        <w:rPr>
          <w:rFonts w:ascii="Cambria" w:hAnsi="Cambria"/>
          <w:spacing w:val="-4"/>
          <w:sz w:val="16"/>
          <w:szCs w:val="16"/>
          <w:lang w:val="es-CR"/>
        </w:rPr>
        <w:t>344, citando Corte IDH., Juan Humberto Sánchez vs. Honduras. Excepción Preliminar, Fondo, Reparaciones y Costas. Sentencia de 7 de junio de 2003. Serie C No. 99, párr. 128.</w:t>
      </w:r>
    </w:p>
  </w:footnote>
  <w:footnote w:id="81">
    <w:p w14:paraId="144D4D54" w14:textId="77777777" w:rsidR="003F7533" w:rsidRPr="00DB6A3A" w:rsidRDefault="003F7533" w:rsidP="000C7CAA">
      <w:pPr>
        <w:pStyle w:val="FootnoteText"/>
        <w:jc w:val="both"/>
        <w:rPr>
          <w:rFonts w:ascii="Cambria" w:hAnsi="Cambria"/>
          <w:sz w:val="16"/>
          <w:szCs w:val="16"/>
          <w:lang w:val="es-CO"/>
        </w:rPr>
      </w:pPr>
      <w:r w:rsidRPr="00DB6A3A">
        <w:rPr>
          <w:rStyle w:val="FootnoteReference"/>
          <w:rFonts w:ascii="Cambria" w:hAnsi="Cambria"/>
          <w:sz w:val="16"/>
          <w:szCs w:val="16"/>
        </w:rPr>
        <w:footnoteRef/>
      </w:r>
      <w:r w:rsidRPr="00DB6A3A">
        <w:rPr>
          <w:rFonts w:ascii="Cambria" w:hAnsi="Cambria"/>
          <w:sz w:val="16"/>
          <w:szCs w:val="16"/>
          <w:lang w:val="es-CO"/>
        </w:rPr>
        <w:t xml:space="preserve"> Corte IDH. Caso Rodríguez Vera (Desaparecidos del Palacio de Justicia) y otros Vs. Colombia</w:t>
      </w:r>
      <w:r w:rsidRPr="00DB6A3A">
        <w:rPr>
          <w:rFonts w:ascii="Cambria" w:hAnsi="Cambria"/>
          <w:bCs/>
          <w:spacing w:val="-4"/>
          <w:sz w:val="16"/>
          <w:szCs w:val="16"/>
          <w:lang w:val="es-CO"/>
        </w:rPr>
        <w:t xml:space="preserve">. </w:t>
      </w:r>
      <w:r w:rsidRPr="00DB6A3A">
        <w:rPr>
          <w:rFonts w:ascii="Cambria" w:hAnsi="Cambria" w:cs="Verdana"/>
          <w:bCs/>
          <w:iCs/>
          <w:snapToGrid w:val="0"/>
          <w:spacing w:val="-2"/>
          <w:sz w:val="16"/>
          <w:szCs w:val="16"/>
          <w:lang w:val="es-CO"/>
        </w:rPr>
        <w:t xml:space="preserve">Sentencia de 14 de noviembre de 2014. </w:t>
      </w:r>
      <w:r w:rsidRPr="00DB6A3A">
        <w:rPr>
          <w:rFonts w:ascii="Cambria" w:hAnsi="Cambria"/>
          <w:sz w:val="16"/>
          <w:szCs w:val="16"/>
          <w:lang w:val="es-CO"/>
        </w:rPr>
        <w:t>Párrafo 500.</w:t>
      </w:r>
    </w:p>
  </w:footnote>
  <w:footnote w:id="82">
    <w:p w14:paraId="06D06284" w14:textId="77777777" w:rsidR="003F7533" w:rsidRPr="000C7CAA" w:rsidRDefault="003F7533" w:rsidP="000C7CAA">
      <w:pPr>
        <w:pStyle w:val="FootnoteText"/>
        <w:jc w:val="both"/>
        <w:rPr>
          <w:rFonts w:ascii="Cambria" w:hAnsi="Cambria"/>
          <w:sz w:val="16"/>
          <w:szCs w:val="16"/>
          <w:lang w:val="es-ES"/>
        </w:rPr>
      </w:pPr>
      <w:r w:rsidRPr="00DB6A3A">
        <w:rPr>
          <w:rStyle w:val="FootnoteReference"/>
          <w:rFonts w:ascii="Cambria" w:hAnsi="Cambria"/>
          <w:sz w:val="16"/>
          <w:szCs w:val="16"/>
        </w:rPr>
        <w:footnoteRef/>
      </w:r>
      <w:r w:rsidRPr="00DB6A3A">
        <w:rPr>
          <w:rFonts w:ascii="Cambria" w:hAnsi="Cambria"/>
          <w:sz w:val="16"/>
          <w:szCs w:val="16"/>
          <w:lang w:val="es-CO"/>
        </w:rPr>
        <w:t xml:space="preserve"> </w:t>
      </w:r>
      <w:r w:rsidRPr="00DB6A3A">
        <w:rPr>
          <w:rFonts w:ascii="Cambria" w:hAnsi="Cambria"/>
          <w:sz w:val="16"/>
          <w:szCs w:val="16"/>
          <w:lang w:val="es-ES"/>
        </w:rPr>
        <w:t xml:space="preserve">CIDH. Informe 13/15. Admisibilidad y Fondo. Mayra Angelina Gutiérrez (Guatemala). 23 de marzo de 2015. Párr. 162; </w:t>
      </w:r>
      <w:r w:rsidRPr="00DB6A3A">
        <w:rPr>
          <w:rFonts w:ascii="Cambria" w:hAnsi="Cambria"/>
          <w:sz w:val="16"/>
          <w:szCs w:val="16"/>
          <w:lang w:val="es-CO"/>
        </w:rPr>
        <w:t xml:space="preserve">Corte IDH, </w:t>
      </w:r>
      <w:hyperlink r:id="rId2" w:history="1">
        <w:r w:rsidRPr="00DB6A3A">
          <w:rPr>
            <w:rStyle w:val="Hyperlink"/>
            <w:rFonts w:ascii="Cambria" w:hAnsi="Cambria" w:cs="Arial"/>
            <w:i/>
            <w:color w:val="auto"/>
            <w:sz w:val="16"/>
            <w:szCs w:val="16"/>
            <w:u w:val="none"/>
            <w:shd w:val="clear" w:color="auto" w:fill="FFFFFF"/>
            <w:lang w:val="es-CO"/>
          </w:rPr>
          <w:t xml:space="preserve">Caso J. Vs. </w:t>
        </w:r>
        <w:r w:rsidRPr="00DB6A3A">
          <w:rPr>
            <w:rStyle w:val="Hyperlink"/>
            <w:rFonts w:ascii="Cambria" w:hAnsi="Cambria" w:cs="Arial"/>
            <w:i/>
            <w:color w:val="auto"/>
            <w:sz w:val="16"/>
            <w:szCs w:val="16"/>
            <w:u w:val="none"/>
            <w:shd w:val="clear" w:color="auto" w:fill="FFFFFF"/>
            <w:lang w:val="es-ES"/>
          </w:rPr>
          <w:t>Perú</w:t>
        </w:r>
        <w:r w:rsidRPr="00DB6A3A">
          <w:rPr>
            <w:rStyle w:val="Hyperlink"/>
            <w:rFonts w:ascii="Cambria" w:hAnsi="Cambria" w:cs="Arial"/>
            <w:color w:val="auto"/>
            <w:sz w:val="16"/>
            <w:szCs w:val="16"/>
            <w:u w:val="none"/>
            <w:shd w:val="clear" w:color="auto" w:fill="FFFFFF"/>
            <w:lang w:val="es-ES"/>
          </w:rPr>
          <w:t>. Excepción Preliminar, Fondo, Reparaciones y Costas. Sentencia de 27 de noviembre de 2013. Serie C No. 275</w:t>
        </w:r>
      </w:hyperlink>
      <w:r w:rsidRPr="00DB6A3A">
        <w:rPr>
          <w:rFonts w:ascii="Cambria" w:hAnsi="Cambria"/>
          <w:sz w:val="16"/>
          <w:szCs w:val="16"/>
          <w:lang w:val="es-ES"/>
        </w:rPr>
        <w:t>, párr.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4620" w14:textId="77777777" w:rsidR="003F7533" w:rsidRDefault="003F7533" w:rsidP="005E49E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2C1172" w14:textId="77777777" w:rsidR="003F7533" w:rsidRDefault="003F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8542" w14:textId="77777777" w:rsidR="003F7533" w:rsidRDefault="003F7533" w:rsidP="00A50FCF">
    <w:pPr>
      <w:pStyle w:val="Header"/>
      <w:tabs>
        <w:tab w:val="clear" w:pos="4320"/>
        <w:tab w:val="clear" w:pos="8640"/>
      </w:tabs>
      <w:jc w:val="center"/>
      <w:rPr>
        <w:sz w:val="22"/>
        <w:szCs w:val="22"/>
      </w:rPr>
    </w:pPr>
    <w:r>
      <w:rPr>
        <w:noProof/>
        <w:sz w:val="22"/>
        <w:szCs w:val="22"/>
      </w:rPr>
      <w:drawing>
        <wp:inline distT="0" distB="0" distL="0" distR="0" wp14:anchorId="19F8BA03" wp14:editId="7604C4B3">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471F73" w14:textId="77777777" w:rsidR="003F7533" w:rsidRPr="00EC7D62" w:rsidRDefault="008D2FC8" w:rsidP="00A50FCF">
    <w:pPr>
      <w:pStyle w:val="Header"/>
      <w:tabs>
        <w:tab w:val="clear" w:pos="4320"/>
        <w:tab w:val="clear" w:pos="8640"/>
      </w:tabs>
      <w:jc w:val="center"/>
      <w:rPr>
        <w:sz w:val="22"/>
        <w:szCs w:val="22"/>
      </w:rPr>
    </w:pPr>
    <w:r>
      <w:rPr>
        <w:noProof/>
        <w:sz w:val="22"/>
        <w:szCs w:val="22"/>
        <w:bdr w:val="nil"/>
      </w:rPr>
      <w:pict w14:anchorId="339BFD1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281"/>
    <w:multiLevelType w:val="multilevel"/>
    <w:tmpl w:val="545CE3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4333CB"/>
    <w:multiLevelType w:val="hybridMultilevel"/>
    <w:tmpl w:val="7C1E099E"/>
    <w:lvl w:ilvl="0" w:tplc="440A85E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55024D"/>
    <w:multiLevelType w:val="multilevel"/>
    <w:tmpl w:val="C5D0329A"/>
    <w:lvl w:ilvl="0">
      <w:start w:val="1"/>
      <w:numFmt w:val="upperRoman"/>
      <w:lvlText w:val="%1."/>
      <w:lvlJc w:val="left"/>
      <w:pPr>
        <w:ind w:left="1080" w:hanging="720"/>
      </w:pPr>
      <w:rPr>
        <w:rFonts w:asciiTheme="minorHAnsi" w:hAnsi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D7385"/>
    <w:multiLevelType w:val="hybridMultilevel"/>
    <w:tmpl w:val="0F626F3A"/>
    <w:lvl w:ilvl="0" w:tplc="95568866">
      <w:start w:val="1"/>
      <w:numFmt w:val="decimal"/>
      <w:lvlText w:val="%1."/>
      <w:lvlJc w:val="left"/>
      <w:pPr>
        <w:ind w:left="4188" w:hanging="360"/>
      </w:pPr>
      <w:rPr>
        <w:b w:val="0"/>
        <w:color w:val="auto"/>
        <w:sz w:val="20"/>
        <w:szCs w:val="2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303AAF"/>
    <w:multiLevelType w:val="multilevel"/>
    <w:tmpl w:val="2AA67DA2"/>
    <w:lvl w:ilvl="0">
      <w:start w:val="1"/>
      <w:numFmt w:val="decimal"/>
      <w:lvlText w:val="%1."/>
      <w:lvlJc w:val="left"/>
      <w:pPr>
        <w:ind w:left="1080" w:hanging="360"/>
      </w:pPr>
      <w:rPr>
        <w:rFonts w:ascii="Cambria" w:hAnsi="Cambria" w:hint="default"/>
        <w:b/>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A5F4328"/>
    <w:multiLevelType w:val="hybridMultilevel"/>
    <w:tmpl w:val="C7580784"/>
    <w:lvl w:ilvl="0" w:tplc="BBC03E06">
      <w:start w:val="1"/>
      <w:numFmt w:val="upperLetter"/>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2A0BA1"/>
    <w:multiLevelType w:val="hybridMultilevel"/>
    <w:tmpl w:val="6B8E9E86"/>
    <w:lvl w:ilvl="0" w:tplc="B21693E6">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192E24"/>
    <w:multiLevelType w:val="hybridMultilevel"/>
    <w:tmpl w:val="7C38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373AF7"/>
    <w:multiLevelType w:val="hybridMultilevel"/>
    <w:tmpl w:val="B0D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9D20728"/>
    <w:multiLevelType w:val="multilevel"/>
    <w:tmpl w:val="545CE3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57BEAE2E"/>
    <w:lvl w:ilvl="0" w:tplc="9E0CAF0C">
      <w:start w:val="1"/>
      <w:numFmt w:val="decimal"/>
      <w:lvlText w:val="%1."/>
      <w:lvlJc w:val="left"/>
      <w:pPr>
        <w:ind w:left="108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7C4973"/>
    <w:multiLevelType w:val="hybridMultilevel"/>
    <w:tmpl w:val="8FE49E8C"/>
    <w:lvl w:ilvl="0" w:tplc="00CAB51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86ED7"/>
    <w:multiLevelType w:val="hybridMultilevel"/>
    <w:tmpl w:val="64208DFC"/>
    <w:lvl w:ilvl="0" w:tplc="9E78E7DC">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907FA9"/>
    <w:multiLevelType w:val="hybridMultilevel"/>
    <w:tmpl w:val="3CD660B8"/>
    <w:lvl w:ilvl="0" w:tplc="FFFFFFFF">
      <w:start w:val="1"/>
      <w:numFmt w:val="decimal"/>
      <w:lvlText w:val="%1."/>
      <w:lvlJc w:val="left"/>
      <w:pPr>
        <w:ind w:left="1080" w:hanging="360"/>
      </w:pPr>
      <w:rPr>
        <w:rFonts w:ascii="Cambria" w:hAnsi="Cambria" w:hint="default"/>
        <w:b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93061302">
    <w:abstractNumId w:val="5"/>
  </w:num>
  <w:num w:numId="2" w16cid:durableId="642469548">
    <w:abstractNumId w:val="6"/>
  </w:num>
  <w:num w:numId="3" w16cid:durableId="1328905138">
    <w:abstractNumId w:val="61"/>
  </w:num>
  <w:num w:numId="4" w16cid:durableId="352458677">
    <w:abstractNumId w:val="25"/>
  </w:num>
  <w:num w:numId="5" w16cid:durableId="160511805">
    <w:abstractNumId w:val="53"/>
  </w:num>
  <w:num w:numId="6" w16cid:durableId="1597203558">
    <w:abstractNumId w:val="31"/>
  </w:num>
  <w:num w:numId="7" w16cid:durableId="1722704132">
    <w:abstractNumId w:val="9"/>
  </w:num>
  <w:num w:numId="8" w16cid:durableId="159273504">
    <w:abstractNumId w:val="21"/>
  </w:num>
  <w:num w:numId="9" w16cid:durableId="882792321">
    <w:abstractNumId w:val="47"/>
  </w:num>
  <w:num w:numId="10" w16cid:durableId="1933588465">
    <w:abstractNumId w:val="2"/>
  </w:num>
  <w:num w:numId="11" w16cid:durableId="2061439002">
    <w:abstractNumId w:val="42"/>
  </w:num>
  <w:num w:numId="12" w16cid:durableId="620844007">
    <w:abstractNumId w:val="43"/>
  </w:num>
  <w:num w:numId="13" w16cid:durableId="530611494">
    <w:abstractNumId w:val="49"/>
  </w:num>
  <w:num w:numId="14" w16cid:durableId="512306189">
    <w:abstractNumId w:val="3"/>
  </w:num>
  <w:num w:numId="15" w16cid:durableId="770128803">
    <w:abstractNumId w:val="4"/>
  </w:num>
  <w:num w:numId="16" w16cid:durableId="748888772">
    <w:abstractNumId w:val="10"/>
  </w:num>
  <w:num w:numId="17" w16cid:durableId="1346011028">
    <w:abstractNumId w:val="11"/>
  </w:num>
  <w:num w:numId="18" w16cid:durableId="1273170890">
    <w:abstractNumId w:val="12"/>
  </w:num>
  <w:num w:numId="19" w16cid:durableId="868882868">
    <w:abstractNumId w:val="13"/>
  </w:num>
  <w:num w:numId="20" w16cid:durableId="739715709">
    <w:abstractNumId w:val="14"/>
  </w:num>
  <w:num w:numId="21" w16cid:durableId="1395394944">
    <w:abstractNumId w:val="15"/>
  </w:num>
  <w:num w:numId="22" w16cid:durableId="461924366">
    <w:abstractNumId w:val="16"/>
  </w:num>
  <w:num w:numId="23" w16cid:durableId="2036926024">
    <w:abstractNumId w:val="18"/>
  </w:num>
  <w:num w:numId="24" w16cid:durableId="130096677">
    <w:abstractNumId w:val="19"/>
  </w:num>
  <w:num w:numId="25" w16cid:durableId="1143235530">
    <w:abstractNumId w:val="22"/>
  </w:num>
  <w:num w:numId="26" w16cid:durableId="693656158">
    <w:abstractNumId w:val="23"/>
  </w:num>
  <w:num w:numId="27" w16cid:durableId="2030258448">
    <w:abstractNumId w:val="26"/>
  </w:num>
  <w:num w:numId="28" w16cid:durableId="664748289">
    <w:abstractNumId w:val="27"/>
  </w:num>
  <w:num w:numId="29" w16cid:durableId="2034766416">
    <w:abstractNumId w:val="28"/>
  </w:num>
  <w:num w:numId="30" w16cid:durableId="175388620">
    <w:abstractNumId w:val="30"/>
  </w:num>
  <w:num w:numId="31" w16cid:durableId="2073428155">
    <w:abstractNumId w:val="32"/>
  </w:num>
  <w:num w:numId="32" w16cid:durableId="1700006235">
    <w:abstractNumId w:val="34"/>
  </w:num>
  <w:num w:numId="33" w16cid:durableId="1783301547">
    <w:abstractNumId w:val="35"/>
  </w:num>
  <w:num w:numId="34" w16cid:durableId="963928337">
    <w:abstractNumId w:val="36"/>
  </w:num>
  <w:num w:numId="35" w16cid:durableId="1393237579">
    <w:abstractNumId w:val="37"/>
  </w:num>
  <w:num w:numId="36" w16cid:durableId="1220439115">
    <w:abstractNumId w:val="38"/>
  </w:num>
  <w:num w:numId="37" w16cid:durableId="360087221">
    <w:abstractNumId w:val="40"/>
  </w:num>
  <w:num w:numId="38" w16cid:durableId="1188178222">
    <w:abstractNumId w:val="41"/>
  </w:num>
  <w:num w:numId="39" w16cid:durableId="1305889389">
    <w:abstractNumId w:val="44"/>
  </w:num>
  <w:num w:numId="40" w16cid:durableId="1857570680">
    <w:abstractNumId w:val="45"/>
  </w:num>
  <w:num w:numId="41" w16cid:durableId="1741825806">
    <w:abstractNumId w:val="52"/>
  </w:num>
  <w:num w:numId="42" w16cid:durableId="452872644">
    <w:abstractNumId w:val="54"/>
  </w:num>
  <w:num w:numId="43" w16cid:durableId="900597744">
    <w:abstractNumId w:val="55"/>
  </w:num>
  <w:num w:numId="44" w16cid:durableId="423500825">
    <w:abstractNumId w:val="59"/>
  </w:num>
  <w:num w:numId="45" w16cid:durableId="555050595">
    <w:abstractNumId w:val="60"/>
  </w:num>
  <w:num w:numId="46" w16cid:durableId="764879635">
    <w:abstractNumId w:val="62"/>
  </w:num>
  <w:num w:numId="47" w16cid:durableId="199392671">
    <w:abstractNumId w:val="63"/>
  </w:num>
  <w:num w:numId="48" w16cid:durableId="2021807878">
    <w:abstractNumId w:val="64"/>
  </w:num>
  <w:num w:numId="49" w16cid:durableId="1833375242">
    <w:abstractNumId w:val="65"/>
  </w:num>
  <w:num w:numId="50" w16cid:durableId="114452169">
    <w:abstractNumId w:val="66"/>
  </w:num>
  <w:num w:numId="51" w16cid:durableId="747651224">
    <w:abstractNumId w:val="24"/>
  </w:num>
  <w:num w:numId="52" w16cid:durableId="1993946184">
    <w:abstractNumId w:val="46"/>
  </w:num>
  <w:num w:numId="53" w16cid:durableId="845749721">
    <w:abstractNumId w:val="57"/>
  </w:num>
  <w:num w:numId="54" w16cid:durableId="118381223">
    <w:abstractNumId w:val="50"/>
  </w:num>
  <w:num w:numId="55" w16cid:durableId="502547616">
    <w:abstractNumId w:val="29"/>
  </w:num>
  <w:num w:numId="56" w16cid:durableId="1949701059">
    <w:abstractNumId w:val="51"/>
  </w:num>
  <w:num w:numId="57" w16cid:durableId="1035350424">
    <w:abstractNumId w:val="48"/>
  </w:num>
  <w:num w:numId="58" w16cid:durableId="794375938">
    <w:abstractNumId w:val="17"/>
  </w:num>
  <w:num w:numId="59" w16cid:durableId="803428941">
    <w:abstractNumId w:val="1"/>
  </w:num>
  <w:num w:numId="60" w16cid:durableId="793519010">
    <w:abstractNumId w:val="20"/>
  </w:num>
  <w:num w:numId="61" w16cid:durableId="1751586386">
    <w:abstractNumId w:val="56"/>
  </w:num>
  <w:num w:numId="62" w16cid:durableId="431710431">
    <w:abstractNumId w:val="39"/>
  </w:num>
  <w:num w:numId="63" w16cid:durableId="588973241">
    <w:abstractNumId w:val="33"/>
  </w:num>
  <w:num w:numId="64" w16cid:durableId="1902862705">
    <w:abstractNumId w:val="57"/>
  </w:num>
  <w:num w:numId="65" w16cid:durableId="1962803756">
    <w:abstractNumId w:val="20"/>
    <w:lvlOverride w:ilvl="0">
      <w:startOverride w:val="1"/>
    </w:lvlOverride>
  </w:num>
  <w:num w:numId="66" w16cid:durableId="182405146">
    <w:abstractNumId w:val="8"/>
  </w:num>
  <w:num w:numId="67" w16cid:durableId="732970694">
    <w:abstractNumId w:val="0"/>
  </w:num>
  <w:num w:numId="68" w16cid:durableId="180973557">
    <w:abstractNumId w:val="7"/>
  </w:num>
  <w:num w:numId="69" w16cid:durableId="1823963556">
    <w:abstractNumId w:val="57"/>
  </w:num>
  <w:num w:numId="70" w16cid:durableId="718941849">
    <w:abstractNumId w:val="57"/>
  </w:num>
  <w:num w:numId="71" w16cid:durableId="1143157894">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3D9"/>
    <w:rsid w:val="00004165"/>
    <w:rsid w:val="00006E1F"/>
    <w:rsid w:val="000070D7"/>
    <w:rsid w:val="00015105"/>
    <w:rsid w:val="000163C2"/>
    <w:rsid w:val="0001788C"/>
    <w:rsid w:val="00017F85"/>
    <w:rsid w:val="0002024B"/>
    <w:rsid w:val="000213E2"/>
    <w:rsid w:val="00023057"/>
    <w:rsid w:val="00023F39"/>
    <w:rsid w:val="0002796E"/>
    <w:rsid w:val="0003097B"/>
    <w:rsid w:val="00032D16"/>
    <w:rsid w:val="00032D64"/>
    <w:rsid w:val="00036A0D"/>
    <w:rsid w:val="00037057"/>
    <w:rsid w:val="000379DD"/>
    <w:rsid w:val="00037E06"/>
    <w:rsid w:val="00040C3A"/>
    <w:rsid w:val="00041AAA"/>
    <w:rsid w:val="00042D90"/>
    <w:rsid w:val="000461C4"/>
    <w:rsid w:val="000462B3"/>
    <w:rsid w:val="000507D5"/>
    <w:rsid w:val="00053A1E"/>
    <w:rsid w:val="00056810"/>
    <w:rsid w:val="00056916"/>
    <w:rsid w:val="00057492"/>
    <w:rsid w:val="00062183"/>
    <w:rsid w:val="000651A1"/>
    <w:rsid w:val="000653D1"/>
    <w:rsid w:val="00067134"/>
    <w:rsid w:val="00067E2E"/>
    <w:rsid w:val="00071041"/>
    <w:rsid w:val="000716C5"/>
    <w:rsid w:val="00075E23"/>
    <w:rsid w:val="00077631"/>
    <w:rsid w:val="000815ED"/>
    <w:rsid w:val="000816B9"/>
    <w:rsid w:val="000816EC"/>
    <w:rsid w:val="0008298B"/>
    <w:rsid w:val="000849B4"/>
    <w:rsid w:val="00090874"/>
    <w:rsid w:val="0009344A"/>
    <w:rsid w:val="00093F0F"/>
    <w:rsid w:val="00094E0C"/>
    <w:rsid w:val="000969F3"/>
    <w:rsid w:val="000A392E"/>
    <w:rsid w:val="000A4634"/>
    <w:rsid w:val="000A53D3"/>
    <w:rsid w:val="000A575F"/>
    <w:rsid w:val="000B29EE"/>
    <w:rsid w:val="000B3834"/>
    <w:rsid w:val="000B454F"/>
    <w:rsid w:val="000C1292"/>
    <w:rsid w:val="000C3336"/>
    <w:rsid w:val="000C3736"/>
    <w:rsid w:val="000C3ECA"/>
    <w:rsid w:val="000C4AD2"/>
    <w:rsid w:val="000C6A75"/>
    <w:rsid w:val="000C6C56"/>
    <w:rsid w:val="000C7CAA"/>
    <w:rsid w:val="000D10DB"/>
    <w:rsid w:val="000D2270"/>
    <w:rsid w:val="000D4F1B"/>
    <w:rsid w:val="000E5EB5"/>
    <w:rsid w:val="000E69B1"/>
    <w:rsid w:val="000E7FAE"/>
    <w:rsid w:val="000F001E"/>
    <w:rsid w:val="000F35ED"/>
    <w:rsid w:val="000F3C73"/>
    <w:rsid w:val="000F7546"/>
    <w:rsid w:val="000F7583"/>
    <w:rsid w:val="0010084C"/>
    <w:rsid w:val="00101527"/>
    <w:rsid w:val="00102CF6"/>
    <w:rsid w:val="0010493E"/>
    <w:rsid w:val="00105489"/>
    <w:rsid w:val="00107131"/>
    <w:rsid w:val="0010736F"/>
    <w:rsid w:val="001123F8"/>
    <w:rsid w:val="00113F73"/>
    <w:rsid w:val="00115799"/>
    <w:rsid w:val="00116241"/>
    <w:rsid w:val="00121AD1"/>
    <w:rsid w:val="00121CC2"/>
    <w:rsid w:val="00125B7C"/>
    <w:rsid w:val="00125FA8"/>
    <w:rsid w:val="0012749C"/>
    <w:rsid w:val="00132BA9"/>
    <w:rsid w:val="00133EE5"/>
    <w:rsid w:val="00133FE2"/>
    <w:rsid w:val="00135EAF"/>
    <w:rsid w:val="0013789F"/>
    <w:rsid w:val="001407F1"/>
    <w:rsid w:val="001420A0"/>
    <w:rsid w:val="001432CA"/>
    <w:rsid w:val="0014629C"/>
    <w:rsid w:val="001463C6"/>
    <w:rsid w:val="00152CF9"/>
    <w:rsid w:val="0015419E"/>
    <w:rsid w:val="00155A21"/>
    <w:rsid w:val="00157184"/>
    <w:rsid w:val="00165274"/>
    <w:rsid w:val="00167A34"/>
    <w:rsid w:val="0017163A"/>
    <w:rsid w:val="00184237"/>
    <w:rsid w:val="00185173"/>
    <w:rsid w:val="00190409"/>
    <w:rsid w:val="00192370"/>
    <w:rsid w:val="00192D35"/>
    <w:rsid w:val="001A183B"/>
    <w:rsid w:val="001A22E8"/>
    <w:rsid w:val="001A7870"/>
    <w:rsid w:val="001A7A7F"/>
    <w:rsid w:val="001B003A"/>
    <w:rsid w:val="001B1BC9"/>
    <w:rsid w:val="001B69CB"/>
    <w:rsid w:val="001B7E52"/>
    <w:rsid w:val="001C1B41"/>
    <w:rsid w:val="001C6BD8"/>
    <w:rsid w:val="001C7923"/>
    <w:rsid w:val="001D0FF2"/>
    <w:rsid w:val="001D2D14"/>
    <w:rsid w:val="001D65EF"/>
    <w:rsid w:val="001D69C4"/>
    <w:rsid w:val="001E061E"/>
    <w:rsid w:val="001E3D21"/>
    <w:rsid w:val="001E4EA1"/>
    <w:rsid w:val="001E5CA0"/>
    <w:rsid w:val="001F4FE4"/>
    <w:rsid w:val="002014B4"/>
    <w:rsid w:val="00203882"/>
    <w:rsid w:val="00205467"/>
    <w:rsid w:val="00206936"/>
    <w:rsid w:val="0021609E"/>
    <w:rsid w:val="0022404E"/>
    <w:rsid w:val="002250A3"/>
    <w:rsid w:val="00226322"/>
    <w:rsid w:val="00226E47"/>
    <w:rsid w:val="00227757"/>
    <w:rsid w:val="00235217"/>
    <w:rsid w:val="00235ED8"/>
    <w:rsid w:val="00236FC5"/>
    <w:rsid w:val="00242E6F"/>
    <w:rsid w:val="00244E92"/>
    <w:rsid w:val="0024581F"/>
    <w:rsid w:val="00246D1F"/>
    <w:rsid w:val="00246FE8"/>
    <w:rsid w:val="00247403"/>
    <w:rsid w:val="00247542"/>
    <w:rsid w:val="002544E4"/>
    <w:rsid w:val="00257481"/>
    <w:rsid w:val="00257E87"/>
    <w:rsid w:val="0026429D"/>
    <w:rsid w:val="00266B61"/>
    <w:rsid w:val="0026712A"/>
    <w:rsid w:val="002704DB"/>
    <w:rsid w:val="00270C72"/>
    <w:rsid w:val="00271B20"/>
    <w:rsid w:val="0027242F"/>
    <w:rsid w:val="00274278"/>
    <w:rsid w:val="00275CE2"/>
    <w:rsid w:val="00282A23"/>
    <w:rsid w:val="002936AA"/>
    <w:rsid w:val="00295536"/>
    <w:rsid w:val="00295CEA"/>
    <w:rsid w:val="00296F1A"/>
    <w:rsid w:val="002A0260"/>
    <w:rsid w:val="002A09B6"/>
    <w:rsid w:val="002A0AAE"/>
    <w:rsid w:val="002A0D87"/>
    <w:rsid w:val="002A3683"/>
    <w:rsid w:val="002A5820"/>
    <w:rsid w:val="002A76C5"/>
    <w:rsid w:val="002B162E"/>
    <w:rsid w:val="002B2B33"/>
    <w:rsid w:val="002B497F"/>
    <w:rsid w:val="002B5264"/>
    <w:rsid w:val="002B6A2B"/>
    <w:rsid w:val="002B6A2C"/>
    <w:rsid w:val="002B6F89"/>
    <w:rsid w:val="002B721B"/>
    <w:rsid w:val="002C2966"/>
    <w:rsid w:val="002C2B32"/>
    <w:rsid w:val="002D2B26"/>
    <w:rsid w:val="002D3DC7"/>
    <w:rsid w:val="002D48BE"/>
    <w:rsid w:val="002D4C35"/>
    <w:rsid w:val="002D5A4E"/>
    <w:rsid w:val="002D6D4F"/>
    <w:rsid w:val="002D7EA2"/>
    <w:rsid w:val="002E12EB"/>
    <w:rsid w:val="002E187C"/>
    <w:rsid w:val="002E1D53"/>
    <w:rsid w:val="002E52A6"/>
    <w:rsid w:val="002E71AA"/>
    <w:rsid w:val="002F5DA3"/>
    <w:rsid w:val="002F7811"/>
    <w:rsid w:val="00302733"/>
    <w:rsid w:val="003055B4"/>
    <w:rsid w:val="003118C5"/>
    <w:rsid w:val="00312B4F"/>
    <w:rsid w:val="00314078"/>
    <w:rsid w:val="00314319"/>
    <w:rsid w:val="0031535D"/>
    <w:rsid w:val="003213FB"/>
    <w:rsid w:val="003220D0"/>
    <w:rsid w:val="003222BD"/>
    <w:rsid w:val="00324C46"/>
    <w:rsid w:val="0033112D"/>
    <w:rsid w:val="0033169F"/>
    <w:rsid w:val="00332A22"/>
    <w:rsid w:val="00336212"/>
    <w:rsid w:val="00344972"/>
    <w:rsid w:val="00346C95"/>
    <w:rsid w:val="00356185"/>
    <w:rsid w:val="0035738A"/>
    <w:rsid w:val="00357D75"/>
    <w:rsid w:val="00360380"/>
    <w:rsid w:val="00362F67"/>
    <w:rsid w:val="00363D1B"/>
    <w:rsid w:val="00365BCF"/>
    <w:rsid w:val="003702C3"/>
    <w:rsid w:val="003720F5"/>
    <w:rsid w:val="0037519E"/>
    <w:rsid w:val="003831ED"/>
    <w:rsid w:val="00384EC5"/>
    <w:rsid w:val="00386CF0"/>
    <w:rsid w:val="0039267C"/>
    <w:rsid w:val="003A5F62"/>
    <w:rsid w:val="003A70AB"/>
    <w:rsid w:val="003B158E"/>
    <w:rsid w:val="003B7EB8"/>
    <w:rsid w:val="003C30CC"/>
    <w:rsid w:val="003C676B"/>
    <w:rsid w:val="003D3BC2"/>
    <w:rsid w:val="003E3F02"/>
    <w:rsid w:val="003E4EB0"/>
    <w:rsid w:val="003E6CA1"/>
    <w:rsid w:val="003E7AFC"/>
    <w:rsid w:val="003E7F62"/>
    <w:rsid w:val="003F0B8D"/>
    <w:rsid w:val="003F5BBD"/>
    <w:rsid w:val="003F6DC0"/>
    <w:rsid w:val="003F7533"/>
    <w:rsid w:val="00403E16"/>
    <w:rsid w:val="004066BE"/>
    <w:rsid w:val="00410F69"/>
    <w:rsid w:val="00411A57"/>
    <w:rsid w:val="00415514"/>
    <w:rsid w:val="00415719"/>
    <w:rsid w:val="004165C2"/>
    <w:rsid w:val="00417D6B"/>
    <w:rsid w:val="004203B4"/>
    <w:rsid w:val="00421C3A"/>
    <w:rsid w:val="0042275D"/>
    <w:rsid w:val="00426099"/>
    <w:rsid w:val="00426D96"/>
    <w:rsid w:val="00431F98"/>
    <w:rsid w:val="004325DA"/>
    <w:rsid w:val="00440AE9"/>
    <w:rsid w:val="00440DF1"/>
    <w:rsid w:val="00441ECB"/>
    <w:rsid w:val="00441F68"/>
    <w:rsid w:val="00442E11"/>
    <w:rsid w:val="00443CA8"/>
    <w:rsid w:val="004441A7"/>
    <w:rsid w:val="004450B9"/>
    <w:rsid w:val="00452038"/>
    <w:rsid w:val="00452AEE"/>
    <w:rsid w:val="004657EC"/>
    <w:rsid w:val="00467B7E"/>
    <w:rsid w:val="00471137"/>
    <w:rsid w:val="00472707"/>
    <w:rsid w:val="00473743"/>
    <w:rsid w:val="004746AC"/>
    <w:rsid w:val="00475FD4"/>
    <w:rsid w:val="00476D5C"/>
    <w:rsid w:val="00477592"/>
    <w:rsid w:val="00484373"/>
    <w:rsid w:val="0048547A"/>
    <w:rsid w:val="00486F1C"/>
    <w:rsid w:val="00487153"/>
    <w:rsid w:val="004934DE"/>
    <w:rsid w:val="0049419D"/>
    <w:rsid w:val="00495F3F"/>
    <w:rsid w:val="004A430D"/>
    <w:rsid w:val="004A665E"/>
    <w:rsid w:val="004A6A15"/>
    <w:rsid w:val="004B747D"/>
    <w:rsid w:val="004C1A8D"/>
    <w:rsid w:val="004C20D2"/>
    <w:rsid w:val="004C4B62"/>
    <w:rsid w:val="004C54C9"/>
    <w:rsid w:val="004D03BE"/>
    <w:rsid w:val="004D132C"/>
    <w:rsid w:val="004D371A"/>
    <w:rsid w:val="004D38C5"/>
    <w:rsid w:val="004D41D7"/>
    <w:rsid w:val="004D6025"/>
    <w:rsid w:val="004D7BAE"/>
    <w:rsid w:val="004E2649"/>
    <w:rsid w:val="004E28CC"/>
    <w:rsid w:val="004E3283"/>
    <w:rsid w:val="004E39D7"/>
    <w:rsid w:val="004E5B7A"/>
    <w:rsid w:val="004E7E83"/>
    <w:rsid w:val="004F0D56"/>
    <w:rsid w:val="004F0D5A"/>
    <w:rsid w:val="004F35CF"/>
    <w:rsid w:val="004F4B1F"/>
    <w:rsid w:val="004F58B4"/>
    <w:rsid w:val="00501399"/>
    <w:rsid w:val="00501735"/>
    <w:rsid w:val="00504289"/>
    <w:rsid w:val="0050633D"/>
    <w:rsid w:val="00507BC4"/>
    <w:rsid w:val="005128E4"/>
    <w:rsid w:val="00513179"/>
    <w:rsid w:val="005133DB"/>
    <w:rsid w:val="00513AE3"/>
    <w:rsid w:val="0051660F"/>
    <w:rsid w:val="00517211"/>
    <w:rsid w:val="0052026B"/>
    <w:rsid w:val="00521BA4"/>
    <w:rsid w:val="005226D0"/>
    <w:rsid w:val="00525560"/>
    <w:rsid w:val="0052740F"/>
    <w:rsid w:val="00527C69"/>
    <w:rsid w:val="00535F3F"/>
    <w:rsid w:val="00536C06"/>
    <w:rsid w:val="0054400B"/>
    <w:rsid w:val="00544C49"/>
    <w:rsid w:val="00545531"/>
    <w:rsid w:val="0054568F"/>
    <w:rsid w:val="005516A1"/>
    <w:rsid w:val="0055193F"/>
    <w:rsid w:val="00554045"/>
    <w:rsid w:val="00563346"/>
    <w:rsid w:val="0057402A"/>
    <w:rsid w:val="005771D0"/>
    <w:rsid w:val="005839BB"/>
    <w:rsid w:val="00585A7D"/>
    <w:rsid w:val="005871B5"/>
    <w:rsid w:val="00587346"/>
    <w:rsid w:val="0059191A"/>
    <w:rsid w:val="005921FF"/>
    <w:rsid w:val="0059277B"/>
    <w:rsid w:val="005935F8"/>
    <w:rsid w:val="005A0B26"/>
    <w:rsid w:val="005A1482"/>
    <w:rsid w:val="005A1551"/>
    <w:rsid w:val="005A35F3"/>
    <w:rsid w:val="005A6D0E"/>
    <w:rsid w:val="005B09CE"/>
    <w:rsid w:val="005B3C70"/>
    <w:rsid w:val="005B4402"/>
    <w:rsid w:val="005B52B0"/>
    <w:rsid w:val="005B5A3F"/>
    <w:rsid w:val="005B6806"/>
    <w:rsid w:val="005B6B32"/>
    <w:rsid w:val="005B71FF"/>
    <w:rsid w:val="005C1AC8"/>
    <w:rsid w:val="005C4225"/>
    <w:rsid w:val="005C70FB"/>
    <w:rsid w:val="005C76D7"/>
    <w:rsid w:val="005D44D5"/>
    <w:rsid w:val="005D77A0"/>
    <w:rsid w:val="005E0CC1"/>
    <w:rsid w:val="005E49E4"/>
    <w:rsid w:val="005E4E9F"/>
    <w:rsid w:val="005E7707"/>
    <w:rsid w:val="005E7D91"/>
    <w:rsid w:val="005F0DAD"/>
    <w:rsid w:val="005F0F33"/>
    <w:rsid w:val="00600DEB"/>
    <w:rsid w:val="00603D4D"/>
    <w:rsid w:val="00605285"/>
    <w:rsid w:val="00614EF7"/>
    <w:rsid w:val="006204E5"/>
    <w:rsid w:val="00621073"/>
    <w:rsid w:val="006241CC"/>
    <w:rsid w:val="00626E56"/>
    <w:rsid w:val="0062705D"/>
    <w:rsid w:val="00627C9F"/>
    <w:rsid w:val="00630689"/>
    <w:rsid w:val="00630B97"/>
    <w:rsid w:val="00630D88"/>
    <w:rsid w:val="006311E9"/>
    <w:rsid w:val="00632354"/>
    <w:rsid w:val="006343C0"/>
    <w:rsid w:val="00642810"/>
    <w:rsid w:val="00645054"/>
    <w:rsid w:val="00647249"/>
    <w:rsid w:val="006475A4"/>
    <w:rsid w:val="00652333"/>
    <w:rsid w:val="00653322"/>
    <w:rsid w:val="00653357"/>
    <w:rsid w:val="00655249"/>
    <w:rsid w:val="006562D4"/>
    <w:rsid w:val="00656704"/>
    <w:rsid w:val="00656E63"/>
    <w:rsid w:val="0066539D"/>
    <w:rsid w:val="00666D05"/>
    <w:rsid w:val="006675F0"/>
    <w:rsid w:val="00667F6D"/>
    <w:rsid w:val="006734AE"/>
    <w:rsid w:val="00674EE1"/>
    <w:rsid w:val="00675680"/>
    <w:rsid w:val="00675F97"/>
    <w:rsid w:val="0068009E"/>
    <w:rsid w:val="00687E12"/>
    <w:rsid w:val="00692219"/>
    <w:rsid w:val="006A17D2"/>
    <w:rsid w:val="006A5ECD"/>
    <w:rsid w:val="006A69F2"/>
    <w:rsid w:val="006A73E6"/>
    <w:rsid w:val="006B2D5C"/>
    <w:rsid w:val="006B5605"/>
    <w:rsid w:val="006C037B"/>
    <w:rsid w:val="006C4983"/>
    <w:rsid w:val="006C4EB1"/>
    <w:rsid w:val="006C5D3F"/>
    <w:rsid w:val="006C63D0"/>
    <w:rsid w:val="006C6D4D"/>
    <w:rsid w:val="006C6EA9"/>
    <w:rsid w:val="006C77C3"/>
    <w:rsid w:val="006D2625"/>
    <w:rsid w:val="006D3ABD"/>
    <w:rsid w:val="006D55E7"/>
    <w:rsid w:val="006E0166"/>
    <w:rsid w:val="006E7B34"/>
    <w:rsid w:val="006F158B"/>
    <w:rsid w:val="006F38FC"/>
    <w:rsid w:val="006F7240"/>
    <w:rsid w:val="00701A34"/>
    <w:rsid w:val="007031C0"/>
    <w:rsid w:val="007066BF"/>
    <w:rsid w:val="0070697F"/>
    <w:rsid w:val="00707E32"/>
    <w:rsid w:val="00712B86"/>
    <w:rsid w:val="00712BD0"/>
    <w:rsid w:val="007146C1"/>
    <w:rsid w:val="00721181"/>
    <w:rsid w:val="0072199C"/>
    <w:rsid w:val="007221BE"/>
    <w:rsid w:val="00722C9F"/>
    <w:rsid w:val="007253B8"/>
    <w:rsid w:val="00725DC4"/>
    <w:rsid w:val="0073741F"/>
    <w:rsid w:val="00741A61"/>
    <w:rsid w:val="00742059"/>
    <w:rsid w:val="007454A9"/>
    <w:rsid w:val="007465A3"/>
    <w:rsid w:val="00747ED7"/>
    <w:rsid w:val="00755AD7"/>
    <w:rsid w:val="00756B0B"/>
    <w:rsid w:val="00762A44"/>
    <w:rsid w:val="0076391F"/>
    <w:rsid w:val="00763D8C"/>
    <w:rsid w:val="007644DF"/>
    <w:rsid w:val="0076643F"/>
    <w:rsid w:val="00770A2E"/>
    <w:rsid w:val="00775FB8"/>
    <w:rsid w:val="00776168"/>
    <w:rsid w:val="00776455"/>
    <w:rsid w:val="00777F63"/>
    <w:rsid w:val="00780FE5"/>
    <w:rsid w:val="00783538"/>
    <w:rsid w:val="007853FC"/>
    <w:rsid w:val="00786D10"/>
    <w:rsid w:val="007909ED"/>
    <w:rsid w:val="00793181"/>
    <w:rsid w:val="007A03BD"/>
    <w:rsid w:val="007A4456"/>
    <w:rsid w:val="007A5817"/>
    <w:rsid w:val="007B3FC3"/>
    <w:rsid w:val="007B4480"/>
    <w:rsid w:val="007B60E9"/>
    <w:rsid w:val="007B6CC3"/>
    <w:rsid w:val="007B7FBE"/>
    <w:rsid w:val="007C3046"/>
    <w:rsid w:val="007C3334"/>
    <w:rsid w:val="007C61D1"/>
    <w:rsid w:val="007C7155"/>
    <w:rsid w:val="007D2B98"/>
    <w:rsid w:val="007D45BD"/>
    <w:rsid w:val="007D7C7B"/>
    <w:rsid w:val="007E06A2"/>
    <w:rsid w:val="007E16D4"/>
    <w:rsid w:val="007E21BC"/>
    <w:rsid w:val="007E3914"/>
    <w:rsid w:val="007F55AC"/>
    <w:rsid w:val="0080156A"/>
    <w:rsid w:val="00803795"/>
    <w:rsid w:val="00803AC3"/>
    <w:rsid w:val="00803F1C"/>
    <w:rsid w:val="008050D0"/>
    <w:rsid w:val="008050E2"/>
    <w:rsid w:val="0080600E"/>
    <w:rsid w:val="00806263"/>
    <w:rsid w:val="00806A89"/>
    <w:rsid w:val="00806C7E"/>
    <w:rsid w:val="00807232"/>
    <w:rsid w:val="008072F0"/>
    <w:rsid w:val="00817612"/>
    <w:rsid w:val="008244F9"/>
    <w:rsid w:val="00824E8D"/>
    <w:rsid w:val="00825D71"/>
    <w:rsid w:val="008262F1"/>
    <w:rsid w:val="00830239"/>
    <w:rsid w:val="008338A4"/>
    <w:rsid w:val="00833EB7"/>
    <w:rsid w:val="008376AE"/>
    <w:rsid w:val="00837C45"/>
    <w:rsid w:val="0084111E"/>
    <w:rsid w:val="008413EC"/>
    <w:rsid w:val="008443DF"/>
    <w:rsid w:val="00844730"/>
    <w:rsid w:val="00844C8F"/>
    <w:rsid w:val="008457C2"/>
    <w:rsid w:val="008535D7"/>
    <w:rsid w:val="00857A82"/>
    <w:rsid w:val="008635D9"/>
    <w:rsid w:val="0086790E"/>
    <w:rsid w:val="00867EDE"/>
    <w:rsid w:val="00871B7B"/>
    <w:rsid w:val="0087351D"/>
    <w:rsid w:val="00873836"/>
    <w:rsid w:val="008840B1"/>
    <w:rsid w:val="00884E22"/>
    <w:rsid w:val="00885737"/>
    <w:rsid w:val="00886977"/>
    <w:rsid w:val="00890650"/>
    <w:rsid w:val="00892249"/>
    <w:rsid w:val="00894E10"/>
    <w:rsid w:val="00897E12"/>
    <w:rsid w:val="008A1E6B"/>
    <w:rsid w:val="008A68D9"/>
    <w:rsid w:val="008A7E0F"/>
    <w:rsid w:val="008B12F5"/>
    <w:rsid w:val="008B5ADA"/>
    <w:rsid w:val="008C1CE9"/>
    <w:rsid w:val="008C2D91"/>
    <w:rsid w:val="008C334E"/>
    <w:rsid w:val="008C6405"/>
    <w:rsid w:val="008D0227"/>
    <w:rsid w:val="008D16C3"/>
    <w:rsid w:val="008D2FC8"/>
    <w:rsid w:val="008D6034"/>
    <w:rsid w:val="008D768D"/>
    <w:rsid w:val="008D7D37"/>
    <w:rsid w:val="008E23AD"/>
    <w:rsid w:val="008E2D02"/>
    <w:rsid w:val="008E3759"/>
    <w:rsid w:val="008E4295"/>
    <w:rsid w:val="008E4AC0"/>
    <w:rsid w:val="008E5F53"/>
    <w:rsid w:val="008F1912"/>
    <w:rsid w:val="008F1E90"/>
    <w:rsid w:val="008F20A3"/>
    <w:rsid w:val="00901330"/>
    <w:rsid w:val="00901931"/>
    <w:rsid w:val="00902622"/>
    <w:rsid w:val="0090270B"/>
    <w:rsid w:val="009041DC"/>
    <w:rsid w:val="00906FA2"/>
    <w:rsid w:val="00914CBD"/>
    <w:rsid w:val="0091527A"/>
    <w:rsid w:val="00915FB1"/>
    <w:rsid w:val="00917B5A"/>
    <w:rsid w:val="0092031A"/>
    <w:rsid w:val="00920A58"/>
    <w:rsid w:val="00920A8C"/>
    <w:rsid w:val="0092266C"/>
    <w:rsid w:val="009253A7"/>
    <w:rsid w:val="009276E3"/>
    <w:rsid w:val="00933B0F"/>
    <w:rsid w:val="00934A2C"/>
    <w:rsid w:val="00935C7E"/>
    <w:rsid w:val="009374C8"/>
    <w:rsid w:val="00941E75"/>
    <w:rsid w:val="009441EA"/>
    <w:rsid w:val="00945401"/>
    <w:rsid w:val="00945A42"/>
    <w:rsid w:val="00947203"/>
    <w:rsid w:val="009563AD"/>
    <w:rsid w:val="00960B31"/>
    <w:rsid w:val="0096706E"/>
    <w:rsid w:val="00974BB9"/>
    <w:rsid w:val="00975C4E"/>
    <w:rsid w:val="009763C8"/>
    <w:rsid w:val="009772B9"/>
    <w:rsid w:val="00980D4C"/>
    <w:rsid w:val="00981FBA"/>
    <w:rsid w:val="00985890"/>
    <w:rsid w:val="0098754C"/>
    <w:rsid w:val="00997BC5"/>
    <w:rsid w:val="00997DA1"/>
    <w:rsid w:val="009A150C"/>
    <w:rsid w:val="009A43CC"/>
    <w:rsid w:val="009A4F41"/>
    <w:rsid w:val="009A5691"/>
    <w:rsid w:val="009A6454"/>
    <w:rsid w:val="009B0FC2"/>
    <w:rsid w:val="009B10B4"/>
    <w:rsid w:val="009B381B"/>
    <w:rsid w:val="009B6D90"/>
    <w:rsid w:val="009C22AC"/>
    <w:rsid w:val="009C259E"/>
    <w:rsid w:val="009C493B"/>
    <w:rsid w:val="009D1753"/>
    <w:rsid w:val="009D7611"/>
    <w:rsid w:val="009E0B61"/>
    <w:rsid w:val="009E20DC"/>
    <w:rsid w:val="009E53DE"/>
    <w:rsid w:val="009F4ED7"/>
    <w:rsid w:val="009F562A"/>
    <w:rsid w:val="00A00C5F"/>
    <w:rsid w:val="00A013C7"/>
    <w:rsid w:val="00A057DF"/>
    <w:rsid w:val="00A05C92"/>
    <w:rsid w:val="00A16304"/>
    <w:rsid w:val="00A17435"/>
    <w:rsid w:val="00A21FF3"/>
    <w:rsid w:val="00A22D56"/>
    <w:rsid w:val="00A266DF"/>
    <w:rsid w:val="00A328B3"/>
    <w:rsid w:val="00A355CD"/>
    <w:rsid w:val="00A36F3E"/>
    <w:rsid w:val="00A37372"/>
    <w:rsid w:val="00A42F67"/>
    <w:rsid w:val="00A45DF5"/>
    <w:rsid w:val="00A50FCF"/>
    <w:rsid w:val="00A51D24"/>
    <w:rsid w:val="00A528D1"/>
    <w:rsid w:val="00A52B8D"/>
    <w:rsid w:val="00A53D94"/>
    <w:rsid w:val="00A579F4"/>
    <w:rsid w:val="00A602BC"/>
    <w:rsid w:val="00A6055A"/>
    <w:rsid w:val="00A6087E"/>
    <w:rsid w:val="00A60F04"/>
    <w:rsid w:val="00A610CD"/>
    <w:rsid w:val="00A6135F"/>
    <w:rsid w:val="00A61B38"/>
    <w:rsid w:val="00A6276F"/>
    <w:rsid w:val="00A654AF"/>
    <w:rsid w:val="00A70D5F"/>
    <w:rsid w:val="00A710D2"/>
    <w:rsid w:val="00A73E9F"/>
    <w:rsid w:val="00A75241"/>
    <w:rsid w:val="00A816E2"/>
    <w:rsid w:val="00A82026"/>
    <w:rsid w:val="00A83A6D"/>
    <w:rsid w:val="00A83EBA"/>
    <w:rsid w:val="00A848D9"/>
    <w:rsid w:val="00A8673D"/>
    <w:rsid w:val="00A918BB"/>
    <w:rsid w:val="00A92BC7"/>
    <w:rsid w:val="00A97E0A"/>
    <w:rsid w:val="00A97FD7"/>
    <w:rsid w:val="00AA014E"/>
    <w:rsid w:val="00AA09A2"/>
    <w:rsid w:val="00AA0B31"/>
    <w:rsid w:val="00AA1211"/>
    <w:rsid w:val="00AA1706"/>
    <w:rsid w:val="00AA602E"/>
    <w:rsid w:val="00AA654A"/>
    <w:rsid w:val="00AA7996"/>
    <w:rsid w:val="00AB2120"/>
    <w:rsid w:val="00AB7FFC"/>
    <w:rsid w:val="00AC1574"/>
    <w:rsid w:val="00AC19CB"/>
    <w:rsid w:val="00AC1AB3"/>
    <w:rsid w:val="00AD594A"/>
    <w:rsid w:val="00AD7640"/>
    <w:rsid w:val="00AD78EA"/>
    <w:rsid w:val="00AE4AE4"/>
    <w:rsid w:val="00AE5488"/>
    <w:rsid w:val="00AE5F33"/>
    <w:rsid w:val="00AE6F91"/>
    <w:rsid w:val="00AF0617"/>
    <w:rsid w:val="00AF3500"/>
    <w:rsid w:val="00AF39CC"/>
    <w:rsid w:val="00AF5571"/>
    <w:rsid w:val="00B0298B"/>
    <w:rsid w:val="00B03284"/>
    <w:rsid w:val="00B07341"/>
    <w:rsid w:val="00B079B4"/>
    <w:rsid w:val="00B07D90"/>
    <w:rsid w:val="00B108E1"/>
    <w:rsid w:val="00B10D5F"/>
    <w:rsid w:val="00B1132F"/>
    <w:rsid w:val="00B11BBA"/>
    <w:rsid w:val="00B14613"/>
    <w:rsid w:val="00B2499E"/>
    <w:rsid w:val="00B30539"/>
    <w:rsid w:val="00B314DB"/>
    <w:rsid w:val="00B361F2"/>
    <w:rsid w:val="00B3718B"/>
    <w:rsid w:val="00B43EC3"/>
    <w:rsid w:val="00B44755"/>
    <w:rsid w:val="00B45284"/>
    <w:rsid w:val="00B45542"/>
    <w:rsid w:val="00B4632A"/>
    <w:rsid w:val="00B46C92"/>
    <w:rsid w:val="00B46E35"/>
    <w:rsid w:val="00B5162E"/>
    <w:rsid w:val="00B530F1"/>
    <w:rsid w:val="00B561DE"/>
    <w:rsid w:val="00B56532"/>
    <w:rsid w:val="00B577D3"/>
    <w:rsid w:val="00B57AF0"/>
    <w:rsid w:val="00B640BF"/>
    <w:rsid w:val="00B65C61"/>
    <w:rsid w:val="00B6675A"/>
    <w:rsid w:val="00B72B49"/>
    <w:rsid w:val="00B774E4"/>
    <w:rsid w:val="00B77B87"/>
    <w:rsid w:val="00B809E6"/>
    <w:rsid w:val="00B8444C"/>
    <w:rsid w:val="00B84CC7"/>
    <w:rsid w:val="00B85835"/>
    <w:rsid w:val="00B86AED"/>
    <w:rsid w:val="00B97415"/>
    <w:rsid w:val="00B97E9A"/>
    <w:rsid w:val="00BA17DA"/>
    <w:rsid w:val="00BA276C"/>
    <w:rsid w:val="00BA2AFD"/>
    <w:rsid w:val="00BA3FD4"/>
    <w:rsid w:val="00BA53DD"/>
    <w:rsid w:val="00BA657A"/>
    <w:rsid w:val="00BA7248"/>
    <w:rsid w:val="00BB11D7"/>
    <w:rsid w:val="00BB25EE"/>
    <w:rsid w:val="00BB306F"/>
    <w:rsid w:val="00BB5E0A"/>
    <w:rsid w:val="00BC1427"/>
    <w:rsid w:val="00BC1DD7"/>
    <w:rsid w:val="00BC2283"/>
    <w:rsid w:val="00BC373F"/>
    <w:rsid w:val="00BC5297"/>
    <w:rsid w:val="00BC6964"/>
    <w:rsid w:val="00BD1793"/>
    <w:rsid w:val="00BD2DC5"/>
    <w:rsid w:val="00BD4A87"/>
    <w:rsid w:val="00BD4B89"/>
    <w:rsid w:val="00BD748E"/>
    <w:rsid w:val="00BD7E6A"/>
    <w:rsid w:val="00BE1B25"/>
    <w:rsid w:val="00BE20F0"/>
    <w:rsid w:val="00BE3DB2"/>
    <w:rsid w:val="00BE6D20"/>
    <w:rsid w:val="00BF0207"/>
    <w:rsid w:val="00BF02CB"/>
    <w:rsid w:val="00BF5EBF"/>
    <w:rsid w:val="00BF6FD8"/>
    <w:rsid w:val="00BF76B6"/>
    <w:rsid w:val="00C03680"/>
    <w:rsid w:val="00C054DF"/>
    <w:rsid w:val="00C107C7"/>
    <w:rsid w:val="00C13CF6"/>
    <w:rsid w:val="00C16737"/>
    <w:rsid w:val="00C21762"/>
    <w:rsid w:val="00C22A1C"/>
    <w:rsid w:val="00C24543"/>
    <w:rsid w:val="00C25210"/>
    <w:rsid w:val="00C25684"/>
    <w:rsid w:val="00C256A2"/>
    <w:rsid w:val="00C27781"/>
    <w:rsid w:val="00C32A01"/>
    <w:rsid w:val="00C43E08"/>
    <w:rsid w:val="00C45B41"/>
    <w:rsid w:val="00C46C6F"/>
    <w:rsid w:val="00C51515"/>
    <w:rsid w:val="00C55923"/>
    <w:rsid w:val="00C5660B"/>
    <w:rsid w:val="00C575B6"/>
    <w:rsid w:val="00C60450"/>
    <w:rsid w:val="00C623C3"/>
    <w:rsid w:val="00C62CE4"/>
    <w:rsid w:val="00C63EE8"/>
    <w:rsid w:val="00C643C3"/>
    <w:rsid w:val="00C66B72"/>
    <w:rsid w:val="00C67DC1"/>
    <w:rsid w:val="00C727A7"/>
    <w:rsid w:val="00C72FD4"/>
    <w:rsid w:val="00C73D1E"/>
    <w:rsid w:val="00C82701"/>
    <w:rsid w:val="00C85227"/>
    <w:rsid w:val="00C92F2F"/>
    <w:rsid w:val="00C9509A"/>
    <w:rsid w:val="00C9567A"/>
    <w:rsid w:val="00CA08B6"/>
    <w:rsid w:val="00CA122B"/>
    <w:rsid w:val="00CA3812"/>
    <w:rsid w:val="00CA450D"/>
    <w:rsid w:val="00CA5374"/>
    <w:rsid w:val="00CA553E"/>
    <w:rsid w:val="00CB0786"/>
    <w:rsid w:val="00CB0D97"/>
    <w:rsid w:val="00CB212D"/>
    <w:rsid w:val="00CB2320"/>
    <w:rsid w:val="00CB2660"/>
    <w:rsid w:val="00CB4758"/>
    <w:rsid w:val="00CB7168"/>
    <w:rsid w:val="00CC13A3"/>
    <w:rsid w:val="00CC5E90"/>
    <w:rsid w:val="00CC62D7"/>
    <w:rsid w:val="00CC6AC9"/>
    <w:rsid w:val="00CD046C"/>
    <w:rsid w:val="00CD3E60"/>
    <w:rsid w:val="00CE076C"/>
    <w:rsid w:val="00CE4010"/>
    <w:rsid w:val="00CE40E8"/>
    <w:rsid w:val="00CE5199"/>
    <w:rsid w:val="00CE66D5"/>
    <w:rsid w:val="00CE79A5"/>
    <w:rsid w:val="00CF4071"/>
    <w:rsid w:val="00CF5F48"/>
    <w:rsid w:val="00CF61AC"/>
    <w:rsid w:val="00CF637A"/>
    <w:rsid w:val="00CF73B8"/>
    <w:rsid w:val="00D0262C"/>
    <w:rsid w:val="00D02768"/>
    <w:rsid w:val="00D059DE"/>
    <w:rsid w:val="00D06387"/>
    <w:rsid w:val="00D13FCE"/>
    <w:rsid w:val="00D20272"/>
    <w:rsid w:val="00D22363"/>
    <w:rsid w:val="00D26202"/>
    <w:rsid w:val="00D306D1"/>
    <w:rsid w:val="00D306E4"/>
    <w:rsid w:val="00D330C8"/>
    <w:rsid w:val="00D330E0"/>
    <w:rsid w:val="00D34786"/>
    <w:rsid w:val="00D36048"/>
    <w:rsid w:val="00D37BFC"/>
    <w:rsid w:val="00D40E57"/>
    <w:rsid w:val="00D42186"/>
    <w:rsid w:val="00D4669F"/>
    <w:rsid w:val="00D47A8E"/>
    <w:rsid w:val="00D52D14"/>
    <w:rsid w:val="00D5340F"/>
    <w:rsid w:val="00D57B9F"/>
    <w:rsid w:val="00D70390"/>
    <w:rsid w:val="00D70F72"/>
    <w:rsid w:val="00D712D3"/>
    <w:rsid w:val="00D71422"/>
    <w:rsid w:val="00D72603"/>
    <w:rsid w:val="00D72DC6"/>
    <w:rsid w:val="00D7558D"/>
    <w:rsid w:val="00D81D92"/>
    <w:rsid w:val="00D833EE"/>
    <w:rsid w:val="00D834FF"/>
    <w:rsid w:val="00D865F1"/>
    <w:rsid w:val="00D8713D"/>
    <w:rsid w:val="00D90B9F"/>
    <w:rsid w:val="00D91702"/>
    <w:rsid w:val="00D92313"/>
    <w:rsid w:val="00D957F9"/>
    <w:rsid w:val="00D95A92"/>
    <w:rsid w:val="00D95FBA"/>
    <w:rsid w:val="00D97B35"/>
    <w:rsid w:val="00DA0725"/>
    <w:rsid w:val="00DA18AF"/>
    <w:rsid w:val="00DA3036"/>
    <w:rsid w:val="00DA3132"/>
    <w:rsid w:val="00DA5F44"/>
    <w:rsid w:val="00DA6649"/>
    <w:rsid w:val="00DA7B5F"/>
    <w:rsid w:val="00DB06E6"/>
    <w:rsid w:val="00DB2C81"/>
    <w:rsid w:val="00DB4C03"/>
    <w:rsid w:val="00DB68B3"/>
    <w:rsid w:val="00DB6A3A"/>
    <w:rsid w:val="00DC11E7"/>
    <w:rsid w:val="00DC7023"/>
    <w:rsid w:val="00DC769A"/>
    <w:rsid w:val="00DD0070"/>
    <w:rsid w:val="00DD3D36"/>
    <w:rsid w:val="00DD3D86"/>
    <w:rsid w:val="00DD3D95"/>
    <w:rsid w:val="00DE215D"/>
    <w:rsid w:val="00DE277C"/>
    <w:rsid w:val="00DE3219"/>
    <w:rsid w:val="00DE3C4C"/>
    <w:rsid w:val="00DE556E"/>
    <w:rsid w:val="00DF0497"/>
    <w:rsid w:val="00DF0B3A"/>
    <w:rsid w:val="00DF1EC4"/>
    <w:rsid w:val="00DF2FD8"/>
    <w:rsid w:val="00DF336A"/>
    <w:rsid w:val="00DF5458"/>
    <w:rsid w:val="00DF5E26"/>
    <w:rsid w:val="00DF68FC"/>
    <w:rsid w:val="00DF7686"/>
    <w:rsid w:val="00E00B4A"/>
    <w:rsid w:val="00E02CD7"/>
    <w:rsid w:val="00E030D9"/>
    <w:rsid w:val="00E0340B"/>
    <w:rsid w:val="00E0440B"/>
    <w:rsid w:val="00E04532"/>
    <w:rsid w:val="00E04A90"/>
    <w:rsid w:val="00E06FD4"/>
    <w:rsid w:val="00E10ED7"/>
    <w:rsid w:val="00E11AA0"/>
    <w:rsid w:val="00E12AE5"/>
    <w:rsid w:val="00E14EF2"/>
    <w:rsid w:val="00E159C9"/>
    <w:rsid w:val="00E1686F"/>
    <w:rsid w:val="00E21134"/>
    <w:rsid w:val="00E219C7"/>
    <w:rsid w:val="00E25D1D"/>
    <w:rsid w:val="00E264FF"/>
    <w:rsid w:val="00E31869"/>
    <w:rsid w:val="00E3225E"/>
    <w:rsid w:val="00E346A7"/>
    <w:rsid w:val="00E405D9"/>
    <w:rsid w:val="00E43157"/>
    <w:rsid w:val="00E43879"/>
    <w:rsid w:val="00E43D87"/>
    <w:rsid w:val="00E461CE"/>
    <w:rsid w:val="00E47BEF"/>
    <w:rsid w:val="00E60F50"/>
    <w:rsid w:val="00E61826"/>
    <w:rsid w:val="00E61942"/>
    <w:rsid w:val="00E65786"/>
    <w:rsid w:val="00E720CA"/>
    <w:rsid w:val="00E82FA9"/>
    <w:rsid w:val="00E84EB5"/>
    <w:rsid w:val="00E85662"/>
    <w:rsid w:val="00E8789F"/>
    <w:rsid w:val="00E92AFC"/>
    <w:rsid w:val="00E94793"/>
    <w:rsid w:val="00E959A3"/>
    <w:rsid w:val="00E97B71"/>
    <w:rsid w:val="00EA3D34"/>
    <w:rsid w:val="00EA628C"/>
    <w:rsid w:val="00EB38E0"/>
    <w:rsid w:val="00EB3B09"/>
    <w:rsid w:val="00EB454D"/>
    <w:rsid w:val="00EC11A2"/>
    <w:rsid w:val="00EC1460"/>
    <w:rsid w:val="00ED1545"/>
    <w:rsid w:val="00ED3BCC"/>
    <w:rsid w:val="00ED6BF2"/>
    <w:rsid w:val="00ED76BE"/>
    <w:rsid w:val="00ED7DAC"/>
    <w:rsid w:val="00EE04EB"/>
    <w:rsid w:val="00EE4923"/>
    <w:rsid w:val="00EE6081"/>
    <w:rsid w:val="00EF2A2F"/>
    <w:rsid w:val="00EF3B22"/>
    <w:rsid w:val="00EF4596"/>
    <w:rsid w:val="00EF4895"/>
    <w:rsid w:val="00EF4F54"/>
    <w:rsid w:val="00EF619B"/>
    <w:rsid w:val="00F00B55"/>
    <w:rsid w:val="00F01E07"/>
    <w:rsid w:val="00F02AD1"/>
    <w:rsid w:val="00F10C82"/>
    <w:rsid w:val="00F15AC4"/>
    <w:rsid w:val="00F15CF6"/>
    <w:rsid w:val="00F237AB"/>
    <w:rsid w:val="00F24E5E"/>
    <w:rsid w:val="00F24E99"/>
    <w:rsid w:val="00F253CC"/>
    <w:rsid w:val="00F25E86"/>
    <w:rsid w:val="00F269AD"/>
    <w:rsid w:val="00F2774D"/>
    <w:rsid w:val="00F30211"/>
    <w:rsid w:val="00F30C37"/>
    <w:rsid w:val="00F33B5C"/>
    <w:rsid w:val="00F34254"/>
    <w:rsid w:val="00F37106"/>
    <w:rsid w:val="00F45A32"/>
    <w:rsid w:val="00F477E3"/>
    <w:rsid w:val="00F47A06"/>
    <w:rsid w:val="00F50D2C"/>
    <w:rsid w:val="00F5110B"/>
    <w:rsid w:val="00F519CF"/>
    <w:rsid w:val="00F56BA5"/>
    <w:rsid w:val="00F60E22"/>
    <w:rsid w:val="00F60E36"/>
    <w:rsid w:val="00F6340B"/>
    <w:rsid w:val="00F634D4"/>
    <w:rsid w:val="00F64A51"/>
    <w:rsid w:val="00F6611E"/>
    <w:rsid w:val="00F70692"/>
    <w:rsid w:val="00F7294B"/>
    <w:rsid w:val="00F732A3"/>
    <w:rsid w:val="00F75616"/>
    <w:rsid w:val="00F771F4"/>
    <w:rsid w:val="00F77A62"/>
    <w:rsid w:val="00F81395"/>
    <w:rsid w:val="00F91093"/>
    <w:rsid w:val="00F917D1"/>
    <w:rsid w:val="00F95644"/>
    <w:rsid w:val="00F9653B"/>
    <w:rsid w:val="00F9706E"/>
    <w:rsid w:val="00FA536B"/>
    <w:rsid w:val="00FA7CE1"/>
    <w:rsid w:val="00FB16CA"/>
    <w:rsid w:val="00FB22B9"/>
    <w:rsid w:val="00FB62CF"/>
    <w:rsid w:val="00FB7BA9"/>
    <w:rsid w:val="00FC0A00"/>
    <w:rsid w:val="00FC13AC"/>
    <w:rsid w:val="00FC1EB9"/>
    <w:rsid w:val="00FC3E19"/>
    <w:rsid w:val="00FC6398"/>
    <w:rsid w:val="00FD0DD7"/>
    <w:rsid w:val="00FD1514"/>
    <w:rsid w:val="00FD2B12"/>
    <w:rsid w:val="00FD3C3B"/>
    <w:rsid w:val="00FD3C58"/>
    <w:rsid w:val="00FD7B65"/>
    <w:rsid w:val="00FE04C0"/>
    <w:rsid w:val="00FE07DD"/>
    <w:rsid w:val="00FE2CFF"/>
    <w:rsid w:val="00FE39C6"/>
    <w:rsid w:val="00FE699D"/>
    <w:rsid w:val="00FE6B45"/>
    <w:rsid w:val="00FF4F3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E0CC1"/>
    <w:pPr>
      <w:keepNext/>
      <w:keepLines/>
      <w:numPr>
        <w:numId w:val="53"/>
      </w:numPr>
      <w:outlineLvl w:val="0"/>
    </w:pPr>
    <w:rPr>
      <w:rFonts w:asciiTheme="majorHAnsi" w:eastAsia="Cambria" w:hAnsiTheme="majorHAnsi" w:cstheme="majorBidi"/>
      <w:b/>
      <w:bCs/>
      <w:sz w:val="20"/>
      <w:szCs w:val="20"/>
      <w:u w:color="000000"/>
      <w:lang w:val="es-ES_tradnl" w:eastAsia="es-ES"/>
    </w:rPr>
  </w:style>
  <w:style w:type="paragraph" w:styleId="Heading2">
    <w:name w:val="heading 2"/>
    <w:basedOn w:val="Normal"/>
    <w:next w:val="Normal"/>
    <w:link w:val="Heading2Char"/>
    <w:qFormat/>
    <w:rsid w:val="0027242F"/>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ind w:firstLine="0"/>
      <w:outlineLvl w:val="1"/>
    </w:pPr>
    <w:rPr>
      <w:rFonts w:asciiTheme="majorHAnsi" w:eastAsia="Cambria" w:hAnsiTheme="majorHAnsi" w:cs="Arial"/>
      <w:b/>
      <w:bCs/>
      <w:iCs/>
      <w:sz w:val="20"/>
      <w:szCs w:val="20"/>
      <w:u w:color="000000"/>
      <w:bdr w:val="none" w:sz="0" w:space="0" w:color="auto"/>
      <w:lang w:val="es-ES_tradnl" w:eastAsia="es-ES"/>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5E0CC1"/>
    <w:rPr>
      <w:rFonts w:asciiTheme="majorHAnsi" w:eastAsia="Cambria" w:hAnsiTheme="majorHAnsi" w:cstheme="majorBidi"/>
      <w:b/>
      <w:bCs/>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3C30CC"/>
    <w:pPr>
      <w:tabs>
        <w:tab w:val="left" w:pos="1440"/>
        <w:tab w:val="right" w:leader="dot" w:pos="9350"/>
      </w:tabs>
      <w:spacing w:after="100"/>
      <w:ind w:left="1440" w:hanging="720"/>
    </w:pPr>
    <w:rPr>
      <w:rFonts w:asciiTheme="majorHAnsi" w:eastAsia="Cambria" w:hAnsiTheme="majorHAnsi"/>
      <w:noProof/>
      <w:sz w:val="20"/>
      <w:szCs w:val="20"/>
      <w:u w:color="000000"/>
      <w:lang w:val="es-ES_tradnl" w:eastAsia="es-ES"/>
    </w:rPr>
  </w:style>
  <w:style w:type="paragraph" w:styleId="TOC1">
    <w:name w:val="toc 1"/>
    <w:basedOn w:val="Normal"/>
    <w:next w:val="Normal"/>
    <w:autoRedefine/>
    <w:uiPriority w:val="39"/>
    <w:unhideWhenUsed/>
    <w:rsid w:val="003C30CC"/>
    <w:pPr>
      <w:tabs>
        <w:tab w:val="left" w:pos="1440"/>
        <w:tab w:val="right" w:leader="dot" w:pos="9350"/>
      </w:tabs>
      <w:spacing w:after="100"/>
    </w:pPr>
    <w:rPr>
      <w:rFonts w:asciiTheme="majorHAnsi" w:eastAsia="Cambria" w:hAnsiTheme="majorHAnsi"/>
      <w:noProof/>
      <w:sz w:val="20"/>
      <w:szCs w:val="20"/>
      <w:u w:color="000000"/>
      <w:lang w:val="es-ES_tradnl" w:eastAsia="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27242F"/>
    <w:rPr>
      <w:rFonts w:asciiTheme="majorHAnsi" w:eastAsia="Cambria" w:hAnsiTheme="majorHAnsi" w:cs="Arial"/>
      <w:b/>
      <w:bCs/>
      <w:iCs/>
      <w:u w:color="000000"/>
      <w:bdr w:val="none" w:sz="0" w:space="0" w:color="auto"/>
      <w:lang w:val="es-ES_tradnl"/>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2936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936A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2936AA"/>
    <w:rPr>
      <w:sz w:val="16"/>
      <w:szCs w:val="16"/>
    </w:rPr>
  </w:style>
  <w:style w:type="paragraph" w:styleId="CommentText">
    <w:name w:val="annotation text"/>
    <w:basedOn w:val="Normal"/>
    <w:link w:val="CommentTextChar"/>
    <w:uiPriority w:val="99"/>
    <w:semiHidden/>
    <w:unhideWhenUsed/>
    <w:rsid w:val="002936AA"/>
    <w:rPr>
      <w:sz w:val="20"/>
      <w:szCs w:val="20"/>
    </w:rPr>
  </w:style>
  <w:style w:type="character" w:customStyle="1" w:styleId="CommentTextChar">
    <w:name w:val="Comment Text Char"/>
    <w:basedOn w:val="DefaultParagraphFont"/>
    <w:link w:val="CommentText"/>
    <w:uiPriority w:val="99"/>
    <w:semiHidden/>
    <w:rsid w:val="002936AA"/>
    <w:rPr>
      <w:lang w:val="en-US" w:eastAsia="en-US"/>
    </w:rPr>
  </w:style>
  <w:style w:type="paragraph" w:styleId="CommentSubject">
    <w:name w:val="annotation subject"/>
    <w:basedOn w:val="CommentText"/>
    <w:next w:val="CommentText"/>
    <w:link w:val="CommentSubjectChar"/>
    <w:uiPriority w:val="99"/>
    <w:semiHidden/>
    <w:unhideWhenUsed/>
    <w:rsid w:val="002936AA"/>
    <w:rPr>
      <w:b/>
      <w:bCs/>
    </w:rPr>
  </w:style>
  <w:style w:type="character" w:customStyle="1" w:styleId="CommentSubjectChar">
    <w:name w:val="Comment Subject Char"/>
    <w:basedOn w:val="CommentTextChar"/>
    <w:link w:val="CommentSubject"/>
    <w:uiPriority w:val="99"/>
    <w:semiHidden/>
    <w:rsid w:val="002936AA"/>
    <w:rPr>
      <w:b/>
      <w:bCs/>
      <w:lang w:val="en-US" w:eastAsia="en-US"/>
    </w:rPr>
  </w:style>
  <w:style w:type="paragraph" w:styleId="Revision">
    <w:name w:val="Revision"/>
    <w:hidden/>
    <w:uiPriority w:val="99"/>
    <w:semiHidden/>
    <w:rsid w:val="002936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rrafodelista2">
    <w:name w:val="Párrafo de lista2"/>
    <w:basedOn w:val="Normal"/>
    <w:uiPriority w:val="99"/>
    <w:rsid w:val="002936A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Verdana" w:eastAsia="MS Mincho" w:hAnsi="Verdana"/>
      <w:sz w:val="20"/>
      <w:szCs w:val="20"/>
      <w:bdr w:val="none" w:sz="0" w:space="0" w:color="auto"/>
      <w:lang w:val="es-ES_tradnl"/>
    </w:rPr>
  </w:style>
  <w:style w:type="character" w:customStyle="1" w:styleId="BodyTextIndentChar">
    <w:name w:val="Body Text Indent Char"/>
    <w:basedOn w:val="DefaultParagraphFont"/>
    <w:link w:val="BodyTextIndent"/>
    <w:rsid w:val="002936AA"/>
    <w:rPr>
      <w:rFonts w:eastAsia="Times New Roman"/>
      <w:color w:val="000000"/>
      <w:sz w:val="24"/>
      <w:szCs w:val="24"/>
      <w:u w:color="000000"/>
      <w:lang w:val="es-ES_tradnl"/>
    </w:rPr>
  </w:style>
  <w:style w:type="paragraph" w:styleId="NormalWeb">
    <w:name w:val="Normal (Web)"/>
    <w:aliases w:val="Normal (Web) Char1,Normal (Web) Char Char,Normal (Web) Char1 Char,Normal (Web) Char Char Char"/>
    <w:basedOn w:val="Normal"/>
    <w:uiPriority w:val="99"/>
    <w:rsid w:val="002936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character" w:styleId="Strong">
    <w:name w:val="Strong"/>
    <w:uiPriority w:val="22"/>
    <w:qFormat/>
    <w:rsid w:val="002936AA"/>
    <w:rPr>
      <w:b/>
      <w:bCs/>
    </w:rPr>
  </w:style>
  <w:style w:type="paragraph" w:customStyle="1" w:styleId="ColorfulList-Accent12">
    <w:name w:val="Colorful List - Accent 12"/>
    <w:link w:val="ColorfulList-Accent1Char"/>
    <w:uiPriority w:val="34"/>
    <w:qFormat/>
    <w:rsid w:val="002936AA"/>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2936AA"/>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3E7AF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styleId="PlaceholderText">
    <w:name w:val="Placeholder Text"/>
    <w:basedOn w:val="DefaultParagraphFont"/>
    <w:uiPriority w:val="99"/>
    <w:semiHidden/>
    <w:rsid w:val="00BC6964"/>
    <w:rPr>
      <w:color w:val="808080"/>
    </w:rPr>
  </w:style>
  <w:style w:type="character" w:styleId="FollowedHyperlink">
    <w:name w:val="FollowedHyperlink"/>
    <w:basedOn w:val="DefaultParagraphFont"/>
    <w:uiPriority w:val="99"/>
    <w:semiHidden/>
    <w:unhideWhenUsed/>
    <w:rsid w:val="00295536"/>
    <w:rPr>
      <w:color w:val="800080" w:themeColor="followedHyperlink"/>
      <w:u w:val="single"/>
    </w:rPr>
  </w:style>
  <w:style w:type="character" w:customStyle="1" w:styleId="apple-converted-space">
    <w:name w:val="apple-converted-space"/>
    <w:basedOn w:val="DefaultParagraphFont"/>
    <w:rsid w:val="00125B7C"/>
  </w:style>
  <w:style w:type="paragraph" w:customStyle="1" w:styleId="parrafos">
    <w:name w:val="parrafos"/>
    <w:basedOn w:val="Normal"/>
    <w:link w:val="parrafosChar"/>
    <w:qFormat/>
    <w:rsid w:val="002B72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B721B"/>
    <w:rPr>
      <w:rFonts w:asciiTheme="majorHAnsi" w:hAnsiTheme="majorHAnsi"/>
      <w:color w:val="000000" w:themeColor="text1"/>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575">
      <w:bodyDiv w:val="1"/>
      <w:marLeft w:val="0"/>
      <w:marRight w:val="0"/>
      <w:marTop w:val="0"/>
      <w:marBottom w:val="0"/>
      <w:divBdr>
        <w:top w:val="none" w:sz="0" w:space="0" w:color="auto"/>
        <w:left w:val="none" w:sz="0" w:space="0" w:color="auto"/>
        <w:bottom w:val="none" w:sz="0" w:space="0" w:color="auto"/>
        <w:right w:val="none" w:sz="0" w:space="0" w:color="auto"/>
      </w:divBdr>
    </w:div>
    <w:div w:id="797721588">
      <w:bodyDiv w:val="1"/>
      <w:marLeft w:val="0"/>
      <w:marRight w:val="0"/>
      <w:marTop w:val="0"/>
      <w:marBottom w:val="0"/>
      <w:divBdr>
        <w:top w:val="none" w:sz="0" w:space="0" w:color="auto"/>
        <w:left w:val="none" w:sz="0" w:space="0" w:color="auto"/>
        <w:bottom w:val="none" w:sz="0" w:space="0" w:color="auto"/>
        <w:right w:val="none" w:sz="0" w:space="0" w:color="auto"/>
      </w:divBdr>
      <w:divsChild>
        <w:div w:id="502008981">
          <w:marLeft w:val="0"/>
          <w:marRight w:val="0"/>
          <w:marTop w:val="0"/>
          <w:marBottom w:val="0"/>
          <w:divBdr>
            <w:top w:val="none" w:sz="0" w:space="0" w:color="auto"/>
            <w:left w:val="none" w:sz="0" w:space="0" w:color="auto"/>
            <w:bottom w:val="none" w:sz="0" w:space="0" w:color="auto"/>
            <w:right w:val="none" w:sz="0" w:space="0" w:color="auto"/>
          </w:divBdr>
          <w:divsChild>
            <w:div w:id="1410692138">
              <w:marLeft w:val="0"/>
              <w:marRight w:val="0"/>
              <w:marTop w:val="0"/>
              <w:marBottom w:val="0"/>
              <w:divBdr>
                <w:top w:val="none" w:sz="0" w:space="0" w:color="auto"/>
                <w:left w:val="none" w:sz="0" w:space="0" w:color="auto"/>
                <w:bottom w:val="none" w:sz="0" w:space="0" w:color="auto"/>
                <w:right w:val="none" w:sz="0" w:space="0" w:color="auto"/>
              </w:divBdr>
              <w:divsChild>
                <w:div w:id="4083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42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6451869">
      <w:bodyDiv w:val="1"/>
      <w:marLeft w:val="0"/>
      <w:marRight w:val="0"/>
      <w:marTop w:val="0"/>
      <w:marBottom w:val="0"/>
      <w:divBdr>
        <w:top w:val="none" w:sz="0" w:space="0" w:color="auto"/>
        <w:left w:val="none" w:sz="0" w:space="0" w:color="auto"/>
        <w:bottom w:val="none" w:sz="0" w:space="0" w:color="auto"/>
        <w:right w:val="none" w:sz="0" w:space="0" w:color="auto"/>
      </w:divBdr>
      <w:divsChild>
        <w:div w:id="1467744696">
          <w:marLeft w:val="0"/>
          <w:marRight w:val="0"/>
          <w:marTop w:val="0"/>
          <w:marBottom w:val="0"/>
          <w:divBdr>
            <w:top w:val="none" w:sz="0" w:space="0" w:color="auto"/>
            <w:left w:val="none" w:sz="0" w:space="0" w:color="auto"/>
            <w:bottom w:val="none" w:sz="0" w:space="0" w:color="auto"/>
            <w:right w:val="none" w:sz="0" w:space="0" w:color="auto"/>
          </w:divBdr>
          <w:divsChild>
            <w:div w:id="1967351530">
              <w:marLeft w:val="0"/>
              <w:marRight w:val="0"/>
              <w:marTop w:val="0"/>
              <w:marBottom w:val="0"/>
              <w:divBdr>
                <w:top w:val="none" w:sz="0" w:space="0" w:color="auto"/>
                <w:left w:val="none" w:sz="0" w:space="0" w:color="auto"/>
                <w:bottom w:val="none" w:sz="0" w:space="0" w:color="auto"/>
                <w:right w:val="none" w:sz="0" w:space="0" w:color="auto"/>
              </w:divBdr>
              <w:divsChild>
                <w:div w:id="19609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27749">
      <w:bodyDiv w:val="1"/>
      <w:marLeft w:val="0"/>
      <w:marRight w:val="0"/>
      <w:marTop w:val="0"/>
      <w:marBottom w:val="0"/>
      <w:divBdr>
        <w:top w:val="none" w:sz="0" w:space="0" w:color="auto"/>
        <w:left w:val="none" w:sz="0" w:space="0" w:color="auto"/>
        <w:bottom w:val="none" w:sz="0" w:space="0" w:color="auto"/>
        <w:right w:val="none" w:sz="0" w:space="0" w:color="auto"/>
      </w:divBdr>
    </w:div>
    <w:div w:id="2084789549">
      <w:bodyDiv w:val="1"/>
      <w:marLeft w:val="0"/>
      <w:marRight w:val="0"/>
      <w:marTop w:val="0"/>
      <w:marBottom w:val="0"/>
      <w:divBdr>
        <w:top w:val="none" w:sz="0" w:space="0" w:color="auto"/>
        <w:left w:val="none" w:sz="0" w:space="0" w:color="auto"/>
        <w:bottom w:val="none" w:sz="0" w:space="0" w:color="auto"/>
        <w:right w:val="none" w:sz="0" w:space="0" w:color="auto"/>
      </w:divBdr>
    </w:div>
    <w:div w:id="213837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780D-ED59-6C47-8103-AB8D0A8872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11674</Words>
  <Characters>66548</Characters>
  <Application>Microsoft Office Word</Application>
  <DocSecurity>0</DocSecurity>
  <Lines>554</Lines>
  <Paragraphs>156</Paragraphs>
  <ScaleCrop>false</ScaleCrop>
  <Company/>
  <LinksUpToDate>false</LinksUpToDate>
  <CharactersWithSpaces>78066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2025-07-07T18:13:00Z</dcterms:created>
  <dcterms:modified xsi:type="dcterms:W3CDTF">2025-07-07T18:13:00Z</dcterms:modified>
</cp:coreProperties>
</file>