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7037" w14:textId="77777777" w:rsidR="007D6336" w:rsidRPr="006711D8" w:rsidRDefault="007D6336" w:rsidP="00627C9F">
      <w:pPr>
        <w:jc w:val="both"/>
        <w:rPr>
          <w:rFonts w:asciiTheme="majorHAnsi" w:hAnsiTheme="majorHAnsi" w:cs="Univers"/>
          <w:b/>
          <w:bCs/>
          <w:sz w:val="22"/>
          <w:szCs w:val="22"/>
          <w:lang w:val="es-ES"/>
        </w:rPr>
      </w:pPr>
    </w:p>
    <w:p w14:paraId="6A706691" w14:textId="2AB74010" w:rsidR="00040C3A" w:rsidRPr="006711D8" w:rsidRDefault="00D306D1" w:rsidP="00627C9F">
      <w:pPr>
        <w:jc w:val="both"/>
        <w:rPr>
          <w:rFonts w:asciiTheme="majorHAnsi" w:hAnsiTheme="majorHAnsi" w:cs="Univers"/>
          <w:b/>
          <w:bCs/>
          <w:sz w:val="22"/>
          <w:szCs w:val="22"/>
          <w:lang w:val="es-ES"/>
        </w:rPr>
      </w:pPr>
      <w:r w:rsidRPr="006711D8">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6D42B"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6711D8">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57EF2C7A"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r>
                            <w:r w:rsidR="006711D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57EF2C7A"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r>
                      <w:r w:rsidR="006711D8">
                        <w:t xml:space="preserve">               </w:t>
                      </w:r>
                    </w:p>
                  </w:txbxContent>
                </v:textbox>
              </v:shape>
            </w:pict>
          </mc:Fallback>
        </mc:AlternateContent>
      </w:r>
      <w:r w:rsidR="00071174" w:rsidRPr="006711D8">
        <w:rPr>
          <w:rFonts w:asciiTheme="majorHAnsi" w:hAnsiTheme="majorHAnsi" w:cs="Univers"/>
          <w:b/>
          <w:bCs/>
          <w:sz w:val="22"/>
          <w:szCs w:val="22"/>
          <w:lang w:val="es-ES"/>
        </w:rPr>
        <w:t xml:space="preserve"> </w:t>
      </w:r>
    </w:p>
    <w:p w14:paraId="751BC92D" w14:textId="77777777" w:rsidR="00040C3A" w:rsidRPr="006711D8"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6711D8"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6711D8" w:rsidRDefault="005128E4" w:rsidP="00040C3A">
      <w:pPr>
        <w:tabs>
          <w:tab w:val="center" w:pos="5400"/>
        </w:tabs>
        <w:suppressAutoHyphens/>
        <w:rPr>
          <w:rFonts w:asciiTheme="majorHAnsi" w:hAnsiTheme="majorHAnsi"/>
          <w:sz w:val="22"/>
          <w:szCs w:val="22"/>
          <w:lang w:val="es-ES"/>
        </w:rPr>
      </w:pPr>
    </w:p>
    <w:p w14:paraId="7F51F08B" w14:textId="77777777" w:rsidR="005128E4" w:rsidRPr="006711D8" w:rsidRDefault="005128E4" w:rsidP="00040C3A">
      <w:pPr>
        <w:tabs>
          <w:tab w:val="center" w:pos="5400"/>
        </w:tabs>
        <w:suppressAutoHyphens/>
        <w:rPr>
          <w:rFonts w:asciiTheme="majorHAnsi" w:hAnsiTheme="majorHAnsi"/>
          <w:sz w:val="22"/>
          <w:szCs w:val="22"/>
          <w:lang w:val="es-ES"/>
        </w:rPr>
      </w:pPr>
    </w:p>
    <w:p w14:paraId="058606A7" w14:textId="77777777" w:rsidR="005128E4" w:rsidRPr="006711D8" w:rsidRDefault="005128E4" w:rsidP="00040C3A">
      <w:pPr>
        <w:tabs>
          <w:tab w:val="center" w:pos="5400"/>
        </w:tabs>
        <w:suppressAutoHyphens/>
        <w:rPr>
          <w:rFonts w:asciiTheme="majorHAnsi" w:hAnsiTheme="majorHAnsi"/>
          <w:sz w:val="22"/>
          <w:szCs w:val="22"/>
          <w:lang w:val="es-ES"/>
        </w:rPr>
      </w:pPr>
    </w:p>
    <w:p w14:paraId="01B9D56A" w14:textId="77777777" w:rsidR="00040C3A" w:rsidRPr="006711D8"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6711D8"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6711D8"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6711D8"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6711D8"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6711D8" w:rsidRDefault="003D3BC2" w:rsidP="00040C3A">
      <w:pPr>
        <w:tabs>
          <w:tab w:val="center" w:pos="5400"/>
        </w:tabs>
        <w:suppressAutoHyphens/>
        <w:jc w:val="center"/>
        <w:rPr>
          <w:rFonts w:asciiTheme="majorHAnsi" w:hAnsiTheme="majorHAnsi"/>
          <w:sz w:val="22"/>
          <w:szCs w:val="22"/>
          <w:lang w:val="es-ES"/>
        </w:rPr>
      </w:pPr>
      <w:r w:rsidRPr="006711D8">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C236E" w14:textId="123DA2E2" w:rsidR="004E0725" w:rsidRPr="004E2649" w:rsidRDefault="004E0725" w:rsidP="004E072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A95801">
                              <w:rPr>
                                <w:rFonts w:asciiTheme="majorHAnsi" w:hAnsiTheme="majorHAnsi" w:cs="Arial"/>
                                <w:b/>
                                <w:bCs/>
                                <w:color w:val="0D0D0D" w:themeColor="text1" w:themeTint="F2"/>
                                <w:sz w:val="36"/>
                                <w:szCs w:val="22"/>
                                <w:lang w:val="es-ES_tradnl"/>
                              </w:rPr>
                              <w:t>302</w:t>
                            </w:r>
                            <w:r>
                              <w:rPr>
                                <w:rFonts w:asciiTheme="majorHAnsi" w:hAnsiTheme="majorHAnsi" w:cs="Arial"/>
                                <w:b/>
                                <w:bCs/>
                                <w:color w:val="0D0D0D" w:themeColor="text1" w:themeTint="F2"/>
                                <w:sz w:val="36"/>
                                <w:szCs w:val="22"/>
                                <w:lang w:val="es-ES_tradnl"/>
                              </w:rPr>
                              <w:t>/25</w:t>
                            </w:r>
                          </w:p>
                          <w:p w14:paraId="7C7807A0" w14:textId="77777777" w:rsidR="004E0725" w:rsidRDefault="004E0725" w:rsidP="004E072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Pr>
                                <w:rFonts w:asciiTheme="majorHAnsi" w:hAnsiTheme="majorHAnsi" w:cs="Arial"/>
                                <w:b/>
                                <w:color w:val="0D0D0D" w:themeColor="text1" w:themeTint="F2"/>
                                <w:sz w:val="36"/>
                                <w:szCs w:val="22"/>
                                <w:lang w:val="es-ES_tradnl"/>
                              </w:rPr>
                              <w:t>2230-16</w:t>
                            </w:r>
                          </w:p>
                          <w:p w14:paraId="23C98F12" w14:textId="2B154111" w:rsidR="004E0725" w:rsidRPr="005D2D11" w:rsidRDefault="004E0725" w:rsidP="004E0725">
                            <w:pPr>
                              <w:spacing w:line="276" w:lineRule="auto"/>
                              <w:rPr>
                                <w:rFonts w:asciiTheme="majorHAnsi" w:hAnsiTheme="majorHAnsi" w:cs="Arial"/>
                                <w:color w:val="0D0D0D" w:themeColor="text1" w:themeTint="F2"/>
                                <w:szCs w:val="22"/>
                                <w:lang w:val="es-ES_tradnl"/>
                              </w:rPr>
                            </w:pPr>
                            <w:r w:rsidRPr="005D2D11">
                              <w:rPr>
                                <w:rFonts w:asciiTheme="majorHAnsi" w:hAnsiTheme="majorHAnsi" w:cs="Arial"/>
                                <w:color w:val="0D0D0D" w:themeColor="text1" w:themeTint="F2"/>
                                <w:szCs w:val="22"/>
                                <w:lang w:val="es-ES_tradnl"/>
                              </w:rPr>
                              <w:t>INFORME DE ADMISIBILIDAD</w:t>
                            </w:r>
                          </w:p>
                          <w:p w14:paraId="06826874" w14:textId="77777777" w:rsidR="004E0725" w:rsidRPr="005D2D11" w:rsidRDefault="004E0725" w:rsidP="004E0725">
                            <w:pPr>
                              <w:spacing w:line="276" w:lineRule="auto"/>
                              <w:rPr>
                                <w:rFonts w:asciiTheme="majorHAnsi" w:hAnsiTheme="majorHAnsi" w:cs="Arial"/>
                                <w:color w:val="0D0D0D" w:themeColor="text1" w:themeTint="F2"/>
                                <w:szCs w:val="22"/>
                                <w:lang w:val="es-ES_tradnl"/>
                              </w:rPr>
                            </w:pPr>
                            <w:bookmarkStart w:id="0" w:name="_ftnref1"/>
                          </w:p>
                          <w:bookmarkEnd w:id="0"/>
                          <w:p w14:paraId="13D48D6C" w14:textId="77777777" w:rsidR="00FA7B8B" w:rsidRDefault="004E0725" w:rsidP="004E0725">
                            <w:pPr>
                              <w:spacing w:line="276" w:lineRule="auto"/>
                              <w:rPr>
                                <w:rFonts w:asciiTheme="majorHAnsi" w:hAnsiTheme="majorHAnsi" w:cs="Arial"/>
                                <w:color w:val="0D0D0D" w:themeColor="text1" w:themeTint="F2"/>
                                <w:szCs w:val="22"/>
                                <w:lang w:val="es-ES_tradnl"/>
                              </w:rPr>
                            </w:pPr>
                            <w:r w:rsidRPr="005D2D11">
                              <w:rPr>
                                <w:rFonts w:asciiTheme="majorHAnsi" w:hAnsiTheme="majorHAnsi" w:cs="Arial"/>
                                <w:color w:val="0D0D0D" w:themeColor="text1" w:themeTint="F2"/>
                                <w:szCs w:val="22"/>
                                <w:lang w:val="es-ES_tradnl"/>
                              </w:rPr>
                              <w:t>JENNIFER ACUÑA VARGAS Y OTROS</w:t>
                            </w:r>
                            <w:r w:rsidR="005D2D11" w:rsidRPr="005D2D11">
                              <w:rPr>
                                <w:rFonts w:asciiTheme="majorHAnsi" w:hAnsiTheme="majorHAnsi" w:cs="Arial"/>
                                <w:color w:val="0D0D0D" w:themeColor="text1" w:themeTint="F2"/>
                                <w:szCs w:val="22"/>
                                <w:lang w:val="es-ES_tradnl"/>
                              </w:rPr>
                              <w:t xml:space="preserve"> HABITANTES </w:t>
                            </w:r>
                          </w:p>
                          <w:p w14:paraId="53EDE57C" w14:textId="04D2535B" w:rsidR="004E0725" w:rsidRPr="005D2D11" w:rsidRDefault="005D2D11" w:rsidP="004E0725">
                            <w:pPr>
                              <w:spacing w:line="276" w:lineRule="auto"/>
                              <w:rPr>
                                <w:rFonts w:asciiTheme="majorHAnsi" w:hAnsiTheme="majorHAnsi" w:cs="Arial"/>
                                <w:color w:val="0D0D0D" w:themeColor="text1" w:themeTint="F2"/>
                                <w:szCs w:val="22"/>
                                <w:lang w:val="es-ES_tradnl"/>
                              </w:rPr>
                            </w:pPr>
                            <w:r w:rsidRPr="005D2D11">
                              <w:rPr>
                                <w:rFonts w:asciiTheme="majorHAnsi" w:hAnsiTheme="majorHAnsi" w:cs="Arial"/>
                                <w:color w:val="0D0D0D" w:themeColor="text1" w:themeTint="F2"/>
                                <w:szCs w:val="22"/>
                                <w:lang w:val="es-ES_tradnl"/>
                              </w:rPr>
                              <w:t xml:space="preserve">DE LA ZONA AMERICANA DE QUEPOS </w:t>
                            </w:r>
                          </w:p>
                          <w:p w14:paraId="68899A7D" w14:textId="77777777" w:rsidR="004E0725" w:rsidRPr="00EB197F" w:rsidRDefault="004E0725" w:rsidP="004E0725">
                            <w:pPr>
                              <w:rPr>
                                <w:color w:val="0D0D0D" w:themeColor="text1" w:themeTint="F2"/>
                                <w:lang w:val="es-PE"/>
                              </w:rPr>
                            </w:pPr>
                            <w:r w:rsidRPr="005D2D11">
                              <w:rPr>
                                <w:rFonts w:asciiTheme="majorHAnsi" w:hAnsiTheme="majorHAnsi" w:cs="Arial"/>
                                <w:color w:val="0D0D0D" w:themeColor="text1" w:themeTint="F2"/>
                                <w:szCs w:val="22"/>
                                <w:lang w:val="es-PE"/>
                              </w:rPr>
                              <w:t>COSTA RICA</w:t>
                            </w:r>
                          </w:p>
                          <w:p w14:paraId="0B9F7D22" w14:textId="1DDD6DDB" w:rsidR="005B52B0" w:rsidRPr="00F56ECB" w:rsidRDefault="005B52B0" w:rsidP="00F56ECB">
                            <w:pPr>
                              <w:spacing w:line="276" w:lineRule="auto"/>
                              <w:rPr>
                                <w:rFonts w:asciiTheme="majorHAnsi" w:hAnsiTheme="majorHAnsi" w:cs="Arial"/>
                                <w:color w:val="0D0D0D" w:themeColor="text1" w:themeTint="F2"/>
                                <w:szCs w:val="22"/>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52CC236E" w14:textId="123DA2E2" w:rsidR="004E0725" w:rsidRPr="004E2649" w:rsidRDefault="004E0725" w:rsidP="004E072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A95801">
                        <w:rPr>
                          <w:rFonts w:asciiTheme="majorHAnsi" w:hAnsiTheme="majorHAnsi" w:cs="Arial"/>
                          <w:b/>
                          <w:bCs/>
                          <w:color w:val="0D0D0D" w:themeColor="text1" w:themeTint="F2"/>
                          <w:sz w:val="36"/>
                          <w:szCs w:val="22"/>
                          <w:lang w:val="es-ES_tradnl"/>
                        </w:rPr>
                        <w:t>302</w:t>
                      </w:r>
                      <w:r>
                        <w:rPr>
                          <w:rFonts w:asciiTheme="majorHAnsi" w:hAnsiTheme="majorHAnsi" w:cs="Arial"/>
                          <w:b/>
                          <w:bCs/>
                          <w:color w:val="0D0D0D" w:themeColor="text1" w:themeTint="F2"/>
                          <w:sz w:val="36"/>
                          <w:szCs w:val="22"/>
                          <w:lang w:val="es-ES_tradnl"/>
                        </w:rPr>
                        <w:t>/25</w:t>
                      </w:r>
                    </w:p>
                    <w:p w14:paraId="7C7807A0" w14:textId="77777777" w:rsidR="004E0725" w:rsidRDefault="004E0725" w:rsidP="004E072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Pr>
                          <w:rFonts w:asciiTheme="majorHAnsi" w:hAnsiTheme="majorHAnsi" w:cs="Arial"/>
                          <w:b/>
                          <w:color w:val="0D0D0D" w:themeColor="text1" w:themeTint="F2"/>
                          <w:sz w:val="36"/>
                          <w:szCs w:val="22"/>
                          <w:lang w:val="es-ES_tradnl"/>
                        </w:rPr>
                        <w:t>2230-16</w:t>
                      </w:r>
                    </w:p>
                    <w:p w14:paraId="23C98F12" w14:textId="2B154111" w:rsidR="004E0725" w:rsidRPr="005D2D11" w:rsidRDefault="004E0725" w:rsidP="004E0725">
                      <w:pPr>
                        <w:spacing w:line="276" w:lineRule="auto"/>
                        <w:rPr>
                          <w:rFonts w:asciiTheme="majorHAnsi" w:hAnsiTheme="majorHAnsi" w:cs="Arial"/>
                          <w:color w:val="0D0D0D" w:themeColor="text1" w:themeTint="F2"/>
                          <w:szCs w:val="22"/>
                          <w:lang w:val="es-ES_tradnl"/>
                        </w:rPr>
                      </w:pPr>
                      <w:r w:rsidRPr="005D2D11">
                        <w:rPr>
                          <w:rFonts w:asciiTheme="majorHAnsi" w:hAnsiTheme="majorHAnsi" w:cs="Arial"/>
                          <w:color w:val="0D0D0D" w:themeColor="text1" w:themeTint="F2"/>
                          <w:szCs w:val="22"/>
                          <w:lang w:val="es-ES_tradnl"/>
                        </w:rPr>
                        <w:t>INFORME DE ADMISIBILIDAD</w:t>
                      </w:r>
                    </w:p>
                    <w:p w14:paraId="06826874" w14:textId="77777777" w:rsidR="004E0725" w:rsidRPr="005D2D11" w:rsidRDefault="004E0725" w:rsidP="004E0725">
                      <w:pPr>
                        <w:spacing w:line="276" w:lineRule="auto"/>
                        <w:rPr>
                          <w:rFonts w:asciiTheme="majorHAnsi" w:hAnsiTheme="majorHAnsi" w:cs="Arial"/>
                          <w:color w:val="0D0D0D" w:themeColor="text1" w:themeTint="F2"/>
                          <w:szCs w:val="22"/>
                          <w:lang w:val="es-ES_tradnl"/>
                        </w:rPr>
                      </w:pPr>
                      <w:bookmarkStart w:id="1" w:name="_ftnref1"/>
                    </w:p>
                    <w:bookmarkEnd w:id="1"/>
                    <w:p w14:paraId="13D48D6C" w14:textId="77777777" w:rsidR="00FA7B8B" w:rsidRDefault="004E0725" w:rsidP="004E0725">
                      <w:pPr>
                        <w:spacing w:line="276" w:lineRule="auto"/>
                        <w:rPr>
                          <w:rFonts w:asciiTheme="majorHAnsi" w:hAnsiTheme="majorHAnsi" w:cs="Arial"/>
                          <w:color w:val="0D0D0D" w:themeColor="text1" w:themeTint="F2"/>
                          <w:szCs w:val="22"/>
                          <w:lang w:val="es-ES_tradnl"/>
                        </w:rPr>
                      </w:pPr>
                      <w:r w:rsidRPr="005D2D11">
                        <w:rPr>
                          <w:rFonts w:asciiTheme="majorHAnsi" w:hAnsiTheme="majorHAnsi" w:cs="Arial"/>
                          <w:color w:val="0D0D0D" w:themeColor="text1" w:themeTint="F2"/>
                          <w:szCs w:val="22"/>
                          <w:lang w:val="es-ES_tradnl"/>
                        </w:rPr>
                        <w:t>JENNIFER ACUÑA VARGAS Y OTROS</w:t>
                      </w:r>
                      <w:r w:rsidR="005D2D11" w:rsidRPr="005D2D11">
                        <w:rPr>
                          <w:rFonts w:asciiTheme="majorHAnsi" w:hAnsiTheme="majorHAnsi" w:cs="Arial"/>
                          <w:color w:val="0D0D0D" w:themeColor="text1" w:themeTint="F2"/>
                          <w:szCs w:val="22"/>
                          <w:lang w:val="es-ES_tradnl"/>
                        </w:rPr>
                        <w:t xml:space="preserve"> HABITANTES </w:t>
                      </w:r>
                    </w:p>
                    <w:p w14:paraId="53EDE57C" w14:textId="04D2535B" w:rsidR="004E0725" w:rsidRPr="005D2D11" w:rsidRDefault="005D2D11" w:rsidP="004E0725">
                      <w:pPr>
                        <w:spacing w:line="276" w:lineRule="auto"/>
                        <w:rPr>
                          <w:rFonts w:asciiTheme="majorHAnsi" w:hAnsiTheme="majorHAnsi" w:cs="Arial"/>
                          <w:color w:val="0D0D0D" w:themeColor="text1" w:themeTint="F2"/>
                          <w:szCs w:val="22"/>
                          <w:lang w:val="es-ES_tradnl"/>
                        </w:rPr>
                      </w:pPr>
                      <w:r w:rsidRPr="005D2D11">
                        <w:rPr>
                          <w:rFonts w:asciiTheme="majorHAnsi" w:hAnsiTheme="majorHAnsi" w:cs="Arial"/>
                          <w:color w:val="0D0D0D" w:themeColor="text1" w:themeTint="F2"/>
                          <w:szCs w:val="22"/>
                          <w:lang w:val="es-ES_tradnl"/>
                        </w:rPr>
                        <w:t xml:space="preserve">DE LA ZONA AMERICANA DE QUEPOS </w:t>
                      </w:r>
                    </w:p>
                    <w:p w14:paraId="68899A7D" w14:textId="77777777" w:rsidR="004E0725" w:rsidRPr="00EB197F" w:rsidRDefault="004E0725" w:rsidP="004E0725">
                      <w:pPr>
                        <w:rPr>
                          <w:color w:val="0D0D0D" w:themeColor="text1" w:themeTint="F2"/>
                          <w:lang w:val="es-PE"/>
                        </w:rPr>
                      </w:pPr>
                      <w:r w:rsidRPr="005D2D11">
                        <w:rPr>
                          <w:rFonts w:asciiTheme="majorHAnsi" w:hAnsiTheme="majorHAnsi" w:cs="Arial"/>
                          <w:color w:val="0D0D0D" w:themeColor="text1" w:themeTint="F2"/>
                          <w:szCs w:val="22"/>
                          <w:lang w:val="es-PE"/>
                        </w:rPr>
                        <w:t>COSTA RICA</w:t>
                      </w:r>
                    </w:p>
                    <w:p w14:paraId="0B9F7D22" w14:textId="1DDD6DDB" w:rsidR="005B52B0" w:rsidRPr="00F56ECB" w:rsidRDefault="005B52B0" w:rsidP="00F56ECB">
                      <w:pPr>
                        <w:spacing w:line="276" w:lineRule="auto"/>
                        <w:rPr>
                          <w:rFonts w:asciiTheme="majorHAnsi" w:hAnsiTheme="majorHAnsi" w:cs="Arial"/>
                          <w:color w:val="0D0D0D" w:themeColor="text1" w:themeTint="F2"/>
                          <w:szCs w:val="22"/>
                          <w:lang w:val="es-ES"/>
                        </w:rPr>
                      </w:pPr>
                    </w:p>
                  </w:txbxContent>
                </v:textbox>
              </v:shape>
            </w:pict>
          </mc:Fallback>
        </mc:AlternateContent>
      </w:r>
      <w:r w:rsidR="004E2649" w:rsidRPr="006711D8">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5C422706" w:rsidR="00627C9F" w:rsidRPr="006D72EB" w:rsidRDefault="00834D49" w:rsidP="007A5817">
                            <w:pPr>
                              <w:spacing w:line="276" w:lineRule="auto"/>
                              <w:jc w:val="right"/>
                              <w:rPr>
                                <w:rFonts w:asciiTheme="minorHAnsi" w:hAnsiTheme="minorHAnsi"/>
                                <w:color w:val="FFFFFF" w:themeColor="background1"/>
                                <w:sz w:val="22"/>
                                <w:lang w:val="es-ES"/>
                              </w:rPr>
                            </w:pPr>
                            <w:r w:rsidRPr="006D72EB">
                              <w:rPr>
                                <w:rFonts w:asciiTheme="minorHAnsi" w:hAnsiTheme="minorHAnsi"/>
                                <w:color w:val="FFFFFF" w:themeColor="background1"/>
                                <w:sz w:val="22"/>
                                <w:lang w:val="es-ES"/>
                              </w:rPr>
                              <w:t>OEA/Ser.L/V/II</w:t>
                            </w:r>
                          </w:p>
                          <w:p w14:paraId="71D2D5D2" w14:textId="5A971983" w:rsidR="00627C9F" w:rsidRPr="006D72EB" w:rsidRDefault="00627C9F" w:rsidP="007A5817">
                            <w:pPr>
                              <w:spacing w:line="276" w:lineRule="auto"/>
                              <w:jc w:val="right"/>
                              <w:rPr>
                                <w:rFonts w:asciiTheme="minorHAnsi" w:hAnsiTheme="minorHAnsi"/>
                                <w:color w:val="FFFFFF" w:themeColor="background1"/>
                                <w:sz w:val="22"/>
                                <w:lang w:val="es-ES"/>
                              </w:rPr>
                            </w:pPr>
                            <w:r w:rsidRPr="006D72EB">
                              <w:rPr>
                                <w:rFonts w:asciiTheme="minorHAnsi" w:hAnsiTheme="minorHAnsi"/>
                                <w:color w:val="FFFFFF" w:themeColor="background1"/>
                                <w:sz w:val="22"/>
                                <w:lang w:val="es-ES"/>
                              </w:rPr>
                              <w:t xml:space="preserve">Doc. </w:t>
                            </w:r>
                            <w:r w:rsidR="00A02C3F" w:rsidRPr="006D72EB">
                              <w:rPr>
                                <w:rFonts w:asciiTheme="minorHAnsi" w:hAnsiTheme="minorHAnsi"/>
                                <w:color w:val="FFFFFF" w:themeColor="background1"/>
                                <w:sz w:val="22"/>
                                <w:lang w:val="es-ES"/>
                              </w:rPr>
                              <w:t>317</w:t>
                            </w:r>
                          </w:p>
                          <w:p w14:paraId="4061DBBD" w14:textId="3BD6CA47" w:rsidR="00627C9F" w:rsidRPr="00C25ADB" w:rsidRDefault="00A02C3F"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27 diciembre</w:t>
                            </w:r>
                            <w:r w:rsidR="006711D8">
                              <w:rPr>
                                <w:rFonts w:asciiTheme="minorHAnsi" w:hAnsiTheme="minorHAnsi"/>
                                <w:color w:val="FFFFFF" w:themeColor="background1"/>
                                <w:sz w:val="22"/>
                                <w:lang w:val="es-PA"/>
                              </w:rPr>
                              <w:t xml:space="preserve"> </w:t>
                            </w:r>
                            <w:r w:rsidR="000E4407">
                              <w:rPr>
                                <w:rFonts w:asciiTheme="minorHAnsi" w:hAnsiTheme="minorHAnsi"/>
                                <w:color w:val="FFFFFF" w:themeColor="background1"/>
                                <w:sz w:val="22"/>
                                <w:lang w:val="es-PA"/>
                              </w:rPr>
                              <w:t>2025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5C422706" w:rsidR="00627C9F" w:rsidRPr="006D72EB" w:rsidRDefault="00834D49" w:rsidP="007A5817">
                      <w:pPr>
                        <w:spacing w:line="276" w:lineRule="auto"/>
                        <w:jc w:val="right"/>
                        <w:rPr>
                          <w:rFonts w:asciiTheme="minorHAnsi" w:hAnsiTheme="minorHAnsi"/>
                          <w:color w:val="FFFFFF" w:themeColor="background1"/>
                          <w:sz w:val="22"/>
                          <w:lang w:val="es-ES"/>
                        </w:rPr>
                      </w:pPr>
                      <w:r w:rsidRPr="006D72EB">
                        <w:rPr>
                          <w:rFonts w:asciiTheme="minorHAnsi" w:hAnsiTheme="minorHAnsi"/>
                          <w:color w:val="FFFFFF" w:themeColor="background1"/>
                          <w:sz w:val="22"/>
                          <w:lang w:val="es-ES"/>
                        </w:rPr>
                        <w:t>OEA/Ser.L/V/II</w:t>
                      </w:r>
                    </w:p>
                    <w:p w14:paraId="71D2D5D2" w14:textId="5A971983" w:rsidR="00627C9F" w:rsidRPr="006D72EB" w:rsidRDefault="00627C9F" w:rsidP="007A5817">
                      <w:pPr>
                        <w:spacing w:line="276" w:lineRule="auto"/>
                        <w:jc w:val="right"/>
                        <w:rPr>
                          <w:rFonts w:asciiTheme="minorHAnsi" w:hAnsiTheme="minorHAnsi"/>
                          <w:color w:val="FFFFFF" w:themeColor="background1"/>
                          <w:sz w:val="22"/>
                          <w:lang w:val="es-ES"/>
                        </w:rPr>
                      </w:pPr>
                      <w:r w:rsidRPr="006D72EB">
                        <w:rPr>
                          <w:rFonts w:asciiTheme="minorHAnsi" w:hAnsiTheme="minorHAnsi"/>
                          <w:color w:val="FFFFFF" w:themeColor="background1"/>
                          <w:sz w:val="22"/>
                          <w:lang w:val="es-ES"/>
                        </w:rPr>
                        <w:t xml:space="preserve">Doc. </w:t>
                      </w:r>
                      <w:r w:rsidR="00A02C3F" w:rsidRPr="006D72EB">
                        <w:rPr>
                          <w:rFonts w:asciiTheme="minorHAnsi" w:hAnsiTheme="minorHAnsi"/>
                          <w:color w:val="FFFFFF" w:themeColor="background1"/>
                          <w:sz w:val="22"/>
                          <w:lang w:val="es-ES"/>
                        </w:rPr>
                        <w:t>317</w:t>
                      </w:r>
                    </w:p>
                    <w:p w14:paraId="4061DBBD" w14:textId="3BD6CA47" w:rsidR="00627C9F" w:rsidRPr="00C25ADB" w:rsidRDefault="00A02C3F"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27 diciembre</w:t>
                      </w:r>
                      <w:r w:rsidR="006711D8">
                        <w:rPr>
                          <w:rFonts w:asciiTheme="minorHAnsi" w:hAnsiTheme="minorHAnsi"/>
                          <w:color w:val="FFFFFF" w:themeColor="background1"/>
                          <w:sz w:val="22"/>
                          <w:lang w:val="es-PA"/>
                        </w:rPr>
                        <w:t xml:space="preserve"> </w:t>
                      </w:r>
                      <w:r w:rsidR="000E4407">
                        <w:rPr>
                          <w:rFonts w:asciiTheme="minorHAnsi" w:hAnsiTheme="minorHAnsi"/>
                          <w:color w:val="FFFFFF" w:themeColor="background1"/>
                          <w:sz w:val="22"/>
                          <w:lang w:val="es-PA"/>
                        </w:rPr>
                        <w:t>2025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6711D8"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6711D8"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6711D8"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6711D8"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6711D8"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6711D8"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6711D8" w:rsidRDefault="0090270B" w:rsidP="00040C3A">
      <w:pPr>
        <w:tabs>
          <w:tab w:val="center" w:pos="5400"/>
        </w:tabs>
        <w:suppressAutoHyphens/>
        <w:jc w:val="center"/>
        <w:rPr>
          <w:rFonts w:asciiTheme="majorHAnsi" w:hAnsiTheme="majorHAnsi"/>
          <w:sz w:val="18"/>
          <w:szCs w:val="22"/>
          <w:lang w:val="es-ES"/>
        </w:rPr>
      </w:pPr>
      <w:r w:rsidRPr="006711D8">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26D18" w14:textId="3C738716" w:rsidR="005B52B0" w:rsidRPr="004E0725" w:rsidRDefault="004E0725" w:rsidP="0059191A">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95801">
                              <w:rPr>
                                <w:rFonts w:asciiTheme="majorHAnsi" w:hAnsiTheme="majorHAnsi"/>
                                <w:color w:val="0D0D0D" w:themeColor="text1" w:themeTint="F2"/>
                                <w:sz w:val="18"/>
                                <w:szCs w:val="22"/>
                                <w:lang w:val="es-ES"/>
                              </w:rPr>
                              <w:t>27</w:t>
                            </w:r>
                            <w:r w:rsidRPr="00890650">
                              <w:rPr>
                                <w:rFonts w:asciiTheme="majorHAnsi" w:hAnsiTheme="majorHAnsi"/>
                                <w:color w:val="0D0D0D" w:themeColor="text1" w:themeTint="F2"/>
                                <w:sz w:val="18"/>
                                <w:szCs w:val="22"/>
                                <w:lang w:val="es-ES"/>
                              </w:rPr>
                              <w:t xml:space="preserve"> de </w:t>
                            </w:r>
                            <w:r w:rsidR="00A95801">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9A5E1D">
                              <w:rPr>
                                <w:rFonts w:asciiTheme="majorHAnsi" w:hAnsiTheme="majorHAnsi"/>
                                <w:color w:val="0D0D0D" w:themeColor="text1" w:themeTint="F2"/>
                                <w:sz w:val="18"/>
                                <w:szCs w:val="22"/>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1626D18" w14:textId="3C738716" w:rsidR="005B52B0" w:rsidRPr="004E0725" w:rsidRDefault="004E0725" w:rsidP="0059191A">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95801">
                        <w:rPr>
                          <w:rFonts w:asciiTheme="majorHAnsi" w:hAnsiTheme="majorHAnsi"/>
                          <w:color w:val="0D0D0D" w:themeColor="text1" w:themeTint="F2"/>
                          <w:sz w:val="18"/>
                          <w:szCs w:val="22"/>
                          <w:lang w:val="es-ES"/>
                        </w:rPr>
                        <w:t>27</w:t>
                      </w:r>
                      <w:r w:rsidRPr="00890650">
                        <w:rPr>
                          <w:rFonts w:asciiTheme="majorHAnsi" w:hAnsiTheme="majorHAnsi"/>
                          <w:color w:val="0D0D0D" w:themeColor="text1" w:themeTint="F2"/>
                          <w:sz w:val="18"/>
                          <w:szCs w:val="22"/>
                          <w:lang w:val="es-ES"/>
                        </w:rPr>
                        <w:t xml:space="preserve"> de </w:t>
                      </w:r>
                      <w:r w:rsidR="00A95801">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9A5E1D">
                        <w:rPr>
                          <w:rFonts w:asciiTheme="majorHAnsi" w:hAnsiTheme="majorHAnsi"/>
                          <w:color w:val="0D0D0D" w:themeColor="text1" w:themeTint="F2"/>
                          <w:sz w:val="18"/>
                          <w:szCs w:val="22"/>
                          <w:lang w:val="es-ES"/>
                        </w:rPr>
                        <w:t>.</w:t>
                      </w:r>
                    </w:p>
                  </w:txbxContent>
                </v:textbox>
              </v:shape>
            </w:pict>
          </mc:Fallback>
        </mc:AlternateContent>
      </w:r>
    </w:p>
    <w:p w14:paraId="30B4F3EF"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5EDC5EE2"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4730F205" w14:textId="77777777" w:rsidR="00A50FCF" w:rsidRPr="006711D8" w:rsidRDefault="0090270B" w:rsidP="00040C3A">
      <w:pPr>
        <w:tabs>
          <w:tab w:val="center" w:pos="5400"/>
        </w:tabs>
        <w:suppressAutoHyphens/>
        <w:jc w:val="center"/>
        <w:rPr>
          <w:rFonts w:asciiTheme="majorHAnsi" w:hAnsiTheme="majorHAnsi"/>
          <w:sz w:val="18"/>
          <w:szCs w:val="22"/>
          <w:lang w:val="es-ES"/>
        </w:rPr>
      </w:pPr>
      <w:r w:rsidRPr="006711D8">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3360F242" w:rsidR="00113F73" w:rsidRPr="007B05C4" w:rsidRDefault="004E0725"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A95801" w:rsidRPr="00A95801">
                              <w:rPr>
                                <w:rFonts w:asciiTheme="majorHAnsi" w:hAnsiTheme="majorHAnsi"/>
                                <w:color w:val="595959" w:themeColor="text1" w:themeTint="A6"/>
                                <w:sz w:val="18"/>
                                <w:szCs w:val="18"/>
                                <w:lang w:val="pt-BR"/>
                              </w:rPr>
                              <w:t>302</w:t>
                            </w:r>
                            <w:r w:rsidRPr="00A95801">
                              <w:rPr>
                                <w:rFonts w:asciiTheme="majorHAnsi" w:hAnsiTheme="majorHAnsi"/>
                                <w:color w:val="595959" w:themeColor="text1" w:themeTint="A6"/>
                                <w:sz w:val="18"/>
                                <w:szCs w:val="18"/>
                                <w:lang w:val="pt-BR"/>
                              </w:rPr>
                              <w:t>/</w:t>
                            </w:r>
                            <w:r w:rsidR="00A95801" w:rsidRPr="00A95801">
                              <w:rPr>
                                <w:rFonts w:asciiTheme="majorHAnsi" w:hAnsiTheme="majorHAnsi"/>
                                <w:color w:val="595959" w:themeColor="text1" w:themeTint="A6"/>
                                <w:sz w:val="18"/>
                                <w:szCs w:val="18"/>
                                <w:lang w:val="pt-BR"/>
                              </w:rPr>
                              <w:t>25</w:t>
                            </w:r>
                            <w:r w:rsidRPr="00A95801">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2230-16. </w:t>
                            </w:r>
                            <w:r>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Jennifer Acuña Vargas y otros</w:t>
                            </w:r>
                            <w:r w:rsidR="00A21C44">
                              <w:rPr>
                                <w:rFonts w:asciiTheme="majorHAnsi" w:hAnsiTheme="majorHAnsi"/>
                                <w:color w:val="595959" w:themeColor="text1" w:themeTint="A6"/>
                                <w:sz w:val="18"/>
                                <w:szCs w:val="18"/>
                                <w:lang w:val="es-ES_tradnl"/>
                              </w:rPr>
                              <w:t xml:space="preserve"> habitantes de la zona americana de Quepos</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Costa Rica</w:t>
                            </w:r>
                            <w:r w:rsidRPr="00890650">
                              <w:rPr>
                                <w:rFonts w:asciiTheme="majorHAnsi" w:hAnsiTheme="majorHAnsi"/>
                                <w:color w:val="595959" w:themeColor="text1" w:themeTint="A6"/>
                                <w:sz w:val="18"/>
                                <w:szCs w:val="18"/>
                                <w:lang w:val="es-ES_tradnl"/>
                              </w:rPr>
                              <w:t xml:space="preserve">. </w:t>
                            </w:r>
                            <w:r w:rsidR="00793183">
                              <w:rPr>
                                <w:rFonts w:asciiTheme="majorHAnsi" w:hAnsiTheme="majorHAnsi"/>
                                <w:color w:val="595959" w:themeColor="text1" w:themeTint="A6"/>
                                <w:sz w:val="18"/>
                                <w:szCs w:val="18"/>
                                <w:lang w:val="es-ES"/>
                              </w:rPr>
                              <w:t>27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3360F242" w:rsidR="00113F73" w:rsidRPr="007B05C4" w:rsidRDefault="004E0725"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A95801" w:rsidRPr="00A95801">
                        <w:rPr>
                          <w:rFonts w:asciiTheme="majorHAnsi" w:hAnsiTheme="majorHAnsi"/>
                          <w:color w:val="595959" w:themeColor="text1" w:themeTint="A6"/>
                          <w:sz w:val="18"/>
                          <w:szCs w:val="18"/>
                          <w:lang w:val="pt-BR"/>
                        </w:rPr>
                        <w:t>302</w:t>
                      </w:r>
                      <w:r w:rsidRPr="00A95801">
                        <w:rPr>
                          <w:rFonts w:asciiTheme="majorHAnsi" w:hAnsiTheme="majorHAnsi"/>
                          <w:color w:val="595959" w:themeColor="text1" w:themeTint="A6"/>
                          <w:sz w:val="18"/>
                          <w:szCs w:val="18"/>
                          <w:lang w:val="pt-BR"/>
                        </w:rPr>
                        <w:t>/</w:t>
                      </w:r>
                      <w:r w:rsidR="00A95801" w:rsidRPr="00A95801">
                        <w:rPr>
                          <w:rFonts w:asciiTheme="majorHAnsi" w:hAnsiTheme="majorHAnsi"/>
                          <w:color w:val="595959" w:themeColor="text1" w:themeTint="A6"/>
                          <w:sz w:val="18"/>
                          <w:szCs w:val="18"/>
                          <w:lang w:val="pt-BR"/>
                        </w:rPr>
                        <w:t>25</w:t>
                      </w:r>
                      <w:r w:rsidRPr="00A95801">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2230-16. </w:t>
                      </w:r>
                      <w:r>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Jennifer Acuña Vargas y otros</w:t>
                      </w:r>
                      <w:r w:rsidR="00A21C44">
                        <w:rPr>
                          <w:rFonts w:asciiTheme="majorHAnsi" w:hAnsiTheme="majorHAnsi"/>
                          <w:color w:val="595959" w:themeColor="text1" w:themeTint="A6"/>
                          <w:sz w:val="18"/>
                          <w:szCs w:val="18"/>
                          <w:lang w:val="es-ES_tradnl"/>
                        </w:rPr>
                        <w:t xml:space="preserve"> habitantes de la zona americana de Quepos</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Costa Rica</w:t>
                      </w:r>
                      <w:r w:rsidRPr="00890650">
                        <w:rPr>
                          <w:rFonts w:asciiTheme="majorHAnsi" w:hAnsiTheme="majorHAnsi"/>
                          <w:color w:val="595959" w:themeColor="text1" w:themeTint="A6"/>
                          <w:sz w:val="18"/>
                          <w:szCs w:val="18"/>
                          <w:lang w:val="es-ES_tradnl"/>
                        </w:rPr>
                        <w:t xml:space="preserve">. </w:t>
                      </w:r>
                      <w:r w:rsidR="00793183">
                        <w:rPr>
                          <w:rFonts w:asciiTheme="majorHAnsi" w:hAnsiTheme="majorHAnsi"/>
                          <w:color w:val="595959" w:themeColor="text1" w:themeTint="A6"/>
                          <w:sz w:val="18"/>
                          <w:szCs w:val="18"/>
                          <w:lang w:val="es-ES"/>
                        </w:rPr>
                        <w:t>27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6711D8" w:rsidRDefault="00A50FCF" w:rsidP="00040C3A">
      <w:pPr>
        <w:tabs>
          <w:tab w:val="center" w:pos="5400"/>
        </w:tabs>
        <w:suppressAutoHyphens/>
        <w:jc w:val="center"/>
        <w:rPr>
          <w:rFonts w:asciiTheme="majorHAnsi" w:hAnsiTheme="majorHAnsi"/>
          <w:sz w:val="18"/>
          <w:szCs w:val="22"/>
          <w:lang w:val="es-ES"/>
        </w:rPr>
      </w:pPr>
    </w:p>
    <w:p w14:paraId="0C9396CC" w14:textId="77777777" w:rsidR="0090270B" w:rsidRPr="006711D8" w:rsidRDefault="00D306D1" w:rsidP="005516A1">
      <w:pPr>
        <w:tabs>
          <w:tab w:val="center" w:pos="5400"/>
        </w:tabs>
        <w:suppressAutoHyphens/>
        <w:jc w:val="center"/>
        <w:rPr>
          <w:rFonts w:asciiTheme="majorHAnsi" w:hAnsiTheme="majorHAnsi"/>
          <w:b/>
          <w:sz w:val="20"/>
          <w:lang w:val="es-ES"/>
        </w:rPr>
      </w:pPr>
      <w:r w:rsidRPr="006711D8">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28D49804" w:rsidR="00D72DC6" w:rsidRPr="00D72DC6" w:rsidRDefault="005449B3" w:rsidP="00F02AD1">
                            <w:pPr>
                              <w:rPr>
                                <w:color w:val="FFFFFF" w:themeColor="background1"/>
                                <w14:textFill>
                                  <w14:noFill/>
                                </w14:textFill>
                              </w:rPr>
                            </w:pPr>
                            <w:r>
                              <w:rPr>
                                <w:noProof/>
                                <w:color w:val="FFFFFF" w:themeColor="background1"/>
                              </w:rPr>
                              <w:drawing>
                                <wp:inline distT="0" distB="0" distL="0" distR="0" wp14:anchorId="7ED89D80" wp14:editId="571F45B6">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28D49804" w:rsidR="00D72DC6" w:rsidRPr="00D72DC6" w:rsidRDefault="005449B3" w:rsidP="00F02AD1">
                      <w:pPr>
                        <w:rPr>
                          <w:color w:val="FFFFFF" w:themeColor="background1"/>
                          <w14:textFill>
                            <w14:noFill/>
                          </w14:textFill>
                        </w:rPr>
                      </w:pPr>
                      <w:r>
                        <w:rPr>
                          <w:noProof/>
                          <w:color w:val="FFFFFF" w:themeColor="background1"/>
                        </w:rPr>
                        <w:drawing>
                          <wp:inline distT="0" distB="0" distL="0" distR="0" wp14:anchorId="7ED89D80" wp14:editId="571F45B6">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711D8">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6711D8" w:rsidRDefault="004A6A54" w:rsidP="005516A1">
      <w:pPr>
        <w:tabs>
          <w:tab w:val="center" w:pos="5400"/>
        </w:tabs>
        <w:suppressAutoHyphens/>
        <w:jc w:val="center"/>
        <w:rPr>
          <w:rFonts w:asciiTheme="majorHAnsi" w:hAnsiTheme="majorHAnsi"/>
          <w:b/>
          <w:sz w:val="20"/>
          <w:lang w:val="es-ES"/>
        </w:rPr>
        <w:sectPr w:rsidR="0070697F" w:rsidRPr="006711D8"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6711D8">
        <w:rPr>
          <w:rFonts w:asciiTheme="majorHAnsi" w:hAnsiTheme="majorHAnsi"/>
          <w:b/>
          <w:sz w:val="20"/>
          <w:lang w:val="es-ES"/>
        </w:rPr>
        <w:tab/>
      </w:r>
    </w:p>
    <w:p w14:paraId="2786EE58" w14:textId="77777777" w:rsidR="003239B8" w:rsidRPr="006711D8" w:rsidRDefault="003239B8" w:rsidP="004A6A54">
      <w:pPr>
        <w:spacing w:after="240"/>
        <w:ind w:firstLine="720"/>
        <w:jc w:val="both"/>
        <w:rPr>
          <w:rFonts w:asciiTheme="majorHAnsi" w:hAnsiTheme="majorHAnsi"/>
          <w:b/>
          <w:bCs/>
          <w:sz w:val="20"/>
          <w:szCs w:val="20"/>
          <w:lang w:val="es-ES"/>
        </w:rPr>
      </w:pPr>
      <w:r w:rsidRPr="006711D8">
        <w:rPr>
          <w:rFonts w:asciiTheme="majorHAnsi" w:hAnsiTheme="majorHAnsi"/>
          <w:b/>
          <w:bCs/>
          <w:sz w:val="20"/>
          <w:szCs w:val="20"/>
          <w:lang w:val="es-ES"/>
        </w:rPr>
        <w:lastRenderedPageBreak/>
        <w:t>I.</w:t>
      </w:r>
      <w:r w:rsidRPr="006711D8">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E0725" w:rsidRPr="006711D8" w14:paraId="6B58C8A4" w14:textId="77777777" w:rsidTr="004E0725">
        <w:tc>
          <w:tcPr>
            <w:tcW w:w="3600" w:type="dxa"/>
            <w:tcBorders>
              <w:top w:val="single" w:sz="4" w:space="0" w:color="auto"/>
              <w:bottom w:val="single" w:sz="6" w:space="0" w:color="auto"/>
            </w:tcBorders>
            <w:shd w:val="clear" w:color="auto" w:fill="386294"/>
            <w:vAlign w:val="center"/>
          </w:tcPr>
          <w:p w14:paraId="7E72740A"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Parte peticionaria:</w:t>
            </w:r>
          </w:p>
        </w:tc>
        <w:tc>
          <w:tcPr>
            <w:tcW w:w="5647" w:type="dxa"/>
            <w:vAlign w:val="center"/>
          </w:tcPr>
          <w:p w14:paraId="1943B37C" w14:textId="7A233CBD"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Gerardo Zúñiga Esquivel</w:t>
            </w:r>
          </w:p>
        </w:tc>
      </w:tr>
      <w:tr w:rsidR="004E0725" w:rsidRPr="006D72EB" w14:paraId="0D7F9389" w14:textId="77777777" w:rsidTr="004E0725">
        <w:tc>
          <w:tcPr>
            <w:tcW w:w="3600" w:type="dxa"/>
            <w:tcBorders>
              <w:top w:val="single" w:sz="6" w:space="0" w:color="auto"/>
              <w:bottom w:val="single" w:sz="6" w:space="0" w:color="auto"/>
            </w:tcBorders>
            <w:shd w:val="clear" w:color="auto" w:fill="386294"/>
            <w:vAlign w:val="center"/>
          </w:tcPr>
          <w:p w14:paraId="481622AE" w14:textId="77777777" w:rsidR="004E0725" w:rsidRPr="006711D8" w:rsidRDefault="004429FE" w:rsidP="004E0725">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3B2AB2A7FA46744DB60301634082679F"/>
                </w:placeholder>
                <w:dropDownList>
                  <w:listItem w:value="Choose an item."/>
                  <w:listItem w:displayText="Presunta víctima" w:value="Presunta víctima"/>
                  <w:listItem w:displayText="Presuntas víctimas" w:value="Presuntas víctimas"/>
                </w:dropDownList>
              </w:sdtPr>
              <w:sdtEndPr/>
              <w:sdtContent>
                <w:r w:rsidR="004E0725" w:rsidRPr="006711D8">
                  <w:rPr>
                    <w:rFonts w:ascii="Cambria" w:hAnsi="Cambria"/>
                    <w:b/>
                    <w:bCs/>
                    <w:color w:val="FFFFFF" w:themeColor="background1"/>
                    <w:sz w:val="20"/>
                    <w:szCs w:val="20"/>
                    <w:lang w:val="es-ES"/>
                  </w:rPr>
                  <w:t>Presunta víctima</w:t>
                </w:r>
              </w:sdtContent>
            </w:sdt>
            <w:r w:rsidR="004E0725" w:rsidRPr="006711D8">
              <w:rPr>
                <w:rFonts w:ascii="Cambria" w:hAnsi="Cambria"/>
                <w:b/>
                <w:bCs/>
                <w:color w:val="FFFFFF" w:themeColor="background1"/>
                <w:sz w:val="20"/>
                <w:szCs w:val="20"/>
                <w:lang w:val="es-ES"/>
              </w:rPr>
              <w:t>:</w:t>
            </w:r>
          </w:p>
        </w:tc>
        <w:tc>
          <w:tcPr>
            <w:tcW w:w="5647" w:type="dxa"/>
            <w:vAlign w:val="center"/>
          </w:tcPr>
          <w:p w14:paraId="7A094780" w14:textId="6ECC1A40"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Jennifer Acuña Vargas y otros</w:t>
            </w:r>
            <w:r w:rsidR="005D2D11" w:rsidRPr="006711D8">
              <w:rPr>
                <w:rFonts w:ascii="Cambria" w:hAnsi="Cambria"/>
                <w:bCs/>
                <w:sz w:val="20"/>
                <w:szCs w:val="20"/>
                <w:lang w:val="es-ES"/>
              </w:rPr>
              <w:t xml:space="preserve"> habitantes de la </w:t>
            </w:r>
            <w:r w:rsidR="005D2D11" w:rsidRPr="006711D8">
              <w:rPr>
                <w:rFonts w:ascii="Cambria" w:hAnsi="Cambria"/>
                <w:sz w:val="20"/>
                <w:szCs w:val="20"/>
                <w:lang w:val="es-ES"/>
              </w:rPr>
              <w:t>Zona Americana de Quepos</w:t>
            </w:r>
            <w:r w:rsidR="00C138A7" w:rsidRPr="006711D8">
              <w:rPr>
                <w:rFonts w:ascii="Cambria" w:hAnsi="Cambria"/>
                <w:sz w:val="20"/>
                <w:szCs w:val="20"/>
                <w:lang w:val="es-ES"/>
              </w:rPr>
              <w:t xml:space="preserve"> (ver anexo)</w:t>
            </w:r>
          </w:p>
        </w:tc>
      </w:tr>
      <w:tr w:rsidR="004E0725" w:rsidRPr="006711D8" w14:paraId="19F69F82" w14:textId="77777777" w:rsidTr="004E0725">
        <w:tc>
          <w:tcPr>
            <w:tcW w:w="3600" w:type="dxa"/>
            <w:tcBorders>
              <w:top w:val="single" w:sz="6" w:space="0" w:color="auto"/>
              <w:bottom w:val="single" w:sz="6" w:space="0" w:color="auto"/>
            </w:tcBorders>
            <w:shd w:val="clear" w:color="auto" w:fill="386294"/>
            <w:vAlign w:val="center"/>
          </w:tcPr>
          <w:p w14:paraId="724BB294"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Estado denunciado:</w:t>
            </w:r>
          </w:p>
        </w:tc>
        <w:tc>
          <w:tcPr>
            <w:tcW w:w="5647" w:type="dxa"/>
            <w:vAlign w:val="center"/>
          </w:tcPr>
          <w:p w14:paraId="6151B546" w14:textId="499D6716"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Costa Rica</w:t>
            </w:r>
          </w:p>
        </w:tc>
      </w:tr>
      <w:tr w:rsidR="004E0725" w:rsidRPr="006D72EB" w14:paraId="256E66EF" w14:textId="77777777" w:rsidTr="004E0725">
        <w:tc>
          <w:tcPr>
            <w:tcW w:w="3600" w:type="dxa"/>
            <w:tcBorders>
              <w:top w:val="single" w:sz="6" w:space="0" w:color="auto"/>
              <w:bottom w:val="single" w:sz="6" w:space="0" w:color="auto"/>
            </w:tcBorders>
            <w:shd w:val="clear" w:color="auto" w:fill="386294"/>
            <w:vAlign w:val="center"/>
          </w:tcPr>
          <w:p w14:paraId="2551EB09"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Derechos invocados:</w:t>
            </w:r>
          </w:p>
        </w:tc>
        <w:tc>
          <w:tcPr>
            <w:tcW w:w="5647" w:type="dxa"/>
            <w:vAlign w:val="center"/>
          </w:tcPr>
          <w:p w14:paraId="67090591" w14:textId="670F5CA3" w:rsidR="00C51B3F" w:rsidRPr="006711D8" w:rsidRDefault="004E0725" w:rsidP="005D2D11">
            <w:pPr>
              <w:pStyle w:val="p1"/>
              <w:jc w:val="both"/>
              <w:rPr>
                <w:rFonts w:ascii="Cambria" w:hAnsi="Cambria"/>
                <w:bCs/>
                <w:sz w:val="20"/>
                <w:szCs w:val="20"/>
                <w:lang w:val="es-ES"/>
              </w:rPr>
            </w:pPr>
            <w:r w:rsidRPr="006711D8">
              <w:rPr>
                <w:rFonts w:ascii="Cambria" w:hAnsi="Cambria"/>
                <w:bCs/>
                <w:sz w:val="20"/>
                <w:szCs w:val="20"/>
                <w:lang w:val="es-ES"/>
              </w:rPr>
              <w:t>Artículo</w:t>
            </w:r>
            <w:r w:rsidR="005D2D11" w:rsidRPr="006711D8">
              <w:rPr>
                <w:rFonts w:ascii="Cambria" w:hAnsi="Cambria"/>
                <w:bCs/>
                <w:sz w:val="20"/>
                <w:szCs w:val="20"/>
                <w:lang w:val="es-ES"/>
              </w:rPr>
              <w:t>s</w:t>
            </w:r>
            <w:r w:rsidR="0064251E" w:rsidRPr="006711D8">
              <w:rPr>
                <w:rFonts w:ascii="Cambria" w:hAnsi="Cambria"/>
                <w:bCs/>
                <w:sz w:val="20"/>
                <w:szCs w:val="20"/>
                <w:lang w:val="es-ES"/>
              </w:rPr>
              <w:t xml:space="preserve"> 4 (vida), 5 (integridad personal), 7 (libertad personal), </w:t>
            </w:r>
            <w:r w:rsidR="003D247F" w:rsidRPr="006711D8">
              <w:rPr>
                <w:rFonts w:ascii="Cambria" w:hAnsi="Cambria"/>
                <w:bCs/>
                <w:sz w:val="20"/>
                <w:szCs w:val="20"/>
                <w:lang w:val="es-ES"/>
              </w:rPr>
              <w:t xml:space="preserve">8 (garantías judiciales), </w:t>
            </w:r>
            <w:r w:rsidR="0064251E" w:rsidRPr="006711D8">
              <w:rPr>
                <w:rFonts w:ascii="Cambria" w:hAnsi="Cambria"/>
                <w:bCs/>
                <w:sz w:val="20"/>
                <w:szCs w:val="20"/>
                <w:lang w:val="es-ES"/>
              </w:rPr>
              <w:t>11 (</w:t>
            </w:r>
            <w:r w:rsidR="00C51B3F" w:rsidRPr="006711D8">
              <w:rPr>
                <w:rFonts w:ascii="Cambria" w:hAnsi="Cambria"/>
                <w:bCs/>
                <w:sz w:val="20"/>
                <w:szCs w:val="20"/>
                <w:lang w:val="es-ES"/>
              </w:rPr>
              <w:t>derecho a la vida privada, familia y domicilio</w:t>
            </w:r>
            <w:r w:rsidR="009F2D2D" w:rsidRPr="006711D8">
              <w:rPr>
                <w:rFonts w:ascii="Cambria" w:hAnsi="Cambria"/>
                <w:bCs/>
                <w:sz w:val="20"/>
                <w:szCs w:val="20"/>
                <w:lang w:val="es-ES"/>
              </w:rPr>
              <w:t>)</w:t>
            </w:r>
            <w:r w:rsidR="001A1A14" w:rsidRPr="006711D8">
              <w:rPr>
                <w:rFonts w:ascii="Cambria" w:hAnsi="Cambria"/>
                <w:bCs/>
                <w:sz w:val="20"/>
                <w:szCs w:val="20"/>
                <w:lang w:val="es-ES"/>
              </w:rPr>
              <w:t xml:space="preserve">, </w:t>
            </w:r>
            <w:r w:rsidR="00AB19EF" w:rsidRPr="006711D8">
              <w:rPr>
                <w:rFonts w:ascii="Cambria" w:hAnsi="Cambria"/>
                <w:bCs/>
                <w:sz w:val="20"/>
                <w:szCs w:val="20"/>
                <w:lang w:val="es-ES"/>
              </w:rPr>
              <w:t>17 (protección a la familia), 19 (derechos del niño),</w:t>
            </w:r>
            <w:r w:rsidR="0064251E" w:rsidRPr="006711D8">
              <w:rPr>
                <w:rFonts w:ascii="Cambria" w:hAnsi="Cambria"/>
                <w:bCs/>
                <w:sz w:val="20"/>
                <w:szCs w:val="20"/>
                <w:lang w:val="es-ES"/>
              </w:rPr>
              <w:t xml:space="preserve"> </w:t>
            </w:r>
            <w:r w:rsidR="003D247F" w:rsidRPr="006711D8">
              <w:rPr>
                <w:rFonts w:ascii="Cambria" w:hAnsi="Cambria"/>
                <w:bCs/>
                <w:sz w:val="20"/>
                <w:szCs w:val="20"/>
                <w:lang w:val="es-ES"/>
              </w:rPr>
              <w:t xml:space="preserve">21 (propiedad privada), 22 (residencia), 25 (protección judicial), </w:t>
            </w:r>
            <w:r w:rsidR="0064251E" w:rsidRPr="006711D8">
              <w:rPr>
                <w:rFonts w:ascii="Cambria" w:hAnsi="Cambria"/>
                <w:bCs/>
                <w:sz w:val="20"/>
                <w:szCs w:val="20"/>
                <w:lang w:val="es-ES"/>
              </w:rPr>
              <w:t xml:space="preserve">26 (derechos económicos, sociales y culturales) </w:t>
            </w:r>
            <w:r w:rsidRPr="006711D8">
              <w:rPr>
                <w:rFonts w:ascii="Cambria" w:hAnsi="Cambria"/>
                <w:bCs/>
                <w:sz w:val="20"/>
                <w:szCs w:val="20"/>
                <w:lang w:val="es-ES"/>
              </w:rPr>
              <w:t xml:space="preserve">de la Convención Americana sobre Derechos </w:t>
            </w:r>
            <w:r w:rsidR="00AB19EF" w:rsidRPr="006711D8">
              <w:rPr>
                <w:rFonts w:ascii="Cambria" w:hAnsi="Cambria"/>
                <w:bCs/>
                <w:sz w:val="20"/>
                <w:szCs w:val="20"/>
                <w:lang w:val="es-ES"/>
              </w:rPr>
              <w:t>Humanos</w:t>
            </w:r>
            <w:r w:rsidR="00AB19EF" w:rsidRPr="006711D8">
              <w:rPr>
                <w:rStyle w:val="FootnoteReference"/>
                <w:rFonts w:ascii="Cambria" w:hAnsi="Cambria"/>
                <w:bCs/>
                <w:sz w:val="20"/>
                <w:szCs w:val="20"/>
                <w:lang w:val="es-ES"/>
              </w:rPr>
              <w:footnoteReference w:id="2"/>
            </w:r>
            <w:r w:rsidR="00AB19EF" w:rsidRPr="006711D8">
              <w:rPr>
                <w:rFonts w:ascii="Cambria" w:hAnsi="Cambria"/>
                <w:bCs/>
                <w:sz w:val="20"/>
                <w:szCs w:val="20"/>
                <w:lang w:val="es-ES"/>
              </w:rPr>
              <w:t xml:space="preserve">; </w:t>
            </w:r>
            <w:r w:rsidR="00C51B3F" w:rsidRPr="006711D8">
              <w:rPr>
                <w:rFonts w:ascii="Cambria" w:hAnsi="Cambria"/>
                <w:bCs/>
                <w:sz w:val="20"/>
                <w:szCs w:val="20"/>
                <w:lang w:val="es-ES"/>
              </w:rPr>
              <w:t>artículo XI (derecho a la preservación de la salud y al bienestar) de la Declaración Americana de los Derechos y Deberes del Hombre</w:t>
            </w:r>
            <w:r w:rsidR="00C51B3F" w:rsidRPr="006711D8">
              <w:rPr>
                <w:rStyle w:val="FootnoteReference"/>
                <w:rFonts w:ascii="Cambria" w:hAnsi="Cambria"/>
                <w:bCs/>
                <w:sz w:val="20"/>
                <w:szCs w:val="20"/>
                <w:lang w:val="es-ES"/>
              </w:rPr>
              <w:footnoteReference w:id="3"/>
            </w:r>
            <w:r w:rsidR="00BF49E5">
              <w:rPr>
                <w:rFonts w:ascii="Cambria" w:hAnsi="Cambria"/>
                <w:bCs/>
                <w:sz w:val="20"/>
                <w:szCs w:val="20"/>
                <w:lang w:val="es-ES"/>
              </w:rPr>
              <w:t>;</w:t>
            </w:r>
          </w:p>
          <w:p w14:paraId="311B770A" w14:textId="0718E7E9" w:rsidR="004E0725" w:rsidRPr="006711D8" w:rsidRDefault="00AB19EF" w:rsidP="0064251E">
            <w:pPr>
              <w:pStyle w:val="p1"/>
              <w:rPr>
                <w:sz w:val="15"/>
                <w:szCs w:val="15"/>
                <w:lang w:val="es-ES"/>
              </w:rPr>
            </w:pPr>
            <w:r w:rsidRPr="006711D8">
              <w:rPr>
                <w:rFonts w:ascii="Cambria" w:hAnsi="Cambria"/>
                <w:bCs/>
                <w:sz w:val="20"/>
                <w:szCs w:val="20"/>
                <w:lang w:val="es-ES"/>
              </w:rPr>
              <w:t>artículo 6 (derecho al trabajo), 13 (derecho a la educación) del Protocolo Adicional a la Convención Americana en materia de Derechos Económicos, Sociales y Culturales</w:t>
            </w:r>
            <w:r w:rsidRPr="006711D8">
              <w:rPr>
                <w:rStyle w:val="FootnoteReference"/>
                <w:rFonts w:ascii="Cambria" w:hAnsi="Cambria"/>
                <w:bCs/>
                <w:sz w:val="20"/>
                <w:szCs w:val="20"/>
                <w:lang w:val="es-ES"/>
              </w:rPr>
              <w:footnoteReference w:id="4"/>
            </w:r>
            <w:r w:rsidR="00C51B3F" w:rsidRPr="006711D8">
              <w:rPr>
                <w:rFonts w:ascii="Cambria" w:hAnsi="Cambria"/>
                <w:bCs/>
                <w:sz w:val="20"/>
                <w:szCs w:val="20"/>
                <w:lang w:val="es-ES"/>
              </w:rPr>
              <w:t>; y otros tratados internacionales</w:t>
            </w:r>
            <w:r w:rsidR="00C51B3F" w:rsidRPr="006711D8">
              <w:rPr>
                <w:rStyle w:val="FootnoteReference"/>
                <w:rFonts w:ascii="Cambria" w:hAnsi="Cambria"/>
                <w:bCs/>
                <w:sz w:val="20"/>
                <w:szCs w:val="20"/>
                <w:lang w:val="es-ES"/>
              </w:rPr>
              <w:footnoteReference w:id="5"/>
            </w:r>
          </w:p>
        </w:tc>
      </w:tr>
    </w:tbl>
    <w:p w14:paraId="176FB213" w14:textId="77777777" w:rsidR="003239B8" w:rsidRPr="006711D8" w:rsidRDefault="003239B8" w:rsidP="003239B8">
      <w:pPr>
        <w:spacing w:before="240" w:after="240"/>
        <w:ind w:firstLine="720"/>
        <w:jc w:val="both"/>
        <w:rPr>
          <w:rFonts w:asciiTheme="majorHAnsi" w:hAnsiTheme="majorHAnsi"/>
          <w:b/>
          <w:bCs/>
          <w:sz w:val="20"/>
          <w:szCs w:val="20"/>
          <w:lang w:val="es-ES"/>
        </w:rPr>
      </w:pPr>
      <w:r w:rsidRPr="006711D8">
        <w:rPr>
          <w:rFonts w:asciiTheme="majorHAnsi" w:hAnsiTheme="majorHAnsi"/>
          <w:b/>
          <w:bCs/>
          <w:sz w:val="20"/>
          <w:szCs w:val="20"/>
          <w:lang w:val="es-ES"/>
        </w:rPr>
        <w:t>II.</w:t>
      </w:r>
      <w:r w:rsidRPr="006711D8">
        <w:rPr>
          <w:rFonts w:asciiTheme="majorHAnsi" w:hAnsiTheme="majorHAnsi"/>
          <w:b/>
          <w:bCs/>
          <w:sz w:val="20"/>
          <w:szCs w:val="20"/>
          <w:lang w:val="es-ES"/>
        </w:rPr>
        <w:tab/>
        <w:t>TRÁMITE ANTE LA CIDH</w:t>
      </w:r>
      <w:r w:rsidR="008E3BFE" w:rsidRPr="006711D8">
        <w:rPr>
          <w:rStyle w:val="FootnoteReference"/>
          <w:rFonts w:ascii="Cambria" w:hAnsi="Cambria"/>
          <w:b/>
          <w:sz w:val="20"/>
          <w:szCs w:val="20"/>
          <w:lang w:val="es-ES"/>
        </w:rPr>
        <w:footnoteReference w:id="6"/>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E0725" w:rsidRPr="006711D8" w14:paraId="1D831514" w14:textId="77777777" w:rsidTr="004E0725">
        <w:tc>
          <w:tcPr>
            <w:tcW w:w="3600" w:type="dxa"/>
            <w:tcBorders>
              <w:top w:val="single" w:sz="6" w:space="0" w:color="auto"/>
              <w:bottom w:val="single" w:sz="6" w:space="0" w:color="auto"/>
            </w:tcBorders>
            <w:shd w:val="clear" w:color="auto" w:fill="386294"/>
            <w:vAlign w:val="center"/>
          </w:tcPr>
          <w:p w14:paraId="330F2ED0"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Presentación de la petición:</w:t>
            </w:r>
          </w:p>
        </w:tc>
        <w:tc>
          <w:tcPr>
            <w:tcW w:w="5647" w:type="dxa"/>
            <w:vAlign w:val="center"/>
          </w:tcPr>
          <w:p w14:paraId="3D372F76" w14:textId="57140D97"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8 de noviembre de 2016</w:t>
            </w:r>
          </w:p>
        </w:tc>
      </w:tr>
      <w:tr w:rsidR="004E0725" w:rsidRPr="006D72EB" w14:paraId="54F62341" w14:textId="77777777" w:rsidTr="004E0725">
        <w:tc>
          <w:tcPr>
            <w:tcW w:w="3600" w:type="dxa"/>
            <w:tcBorders>
              <w:top w:val="single" w:sz="6" w:space="0" w:color="auto"/>
              <w:bottom w:val="single" w:sz="6" w:space="0" w:color="auto"/>
            </w:tcBorders>
            <w:shd w:val="clear" w:color="auto" w:fill="386294"/>
            <w:vAlign w:val="center"/>
          </w:tcPr>
          <w:p w14:paraId="48CC6F04"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Información adicional recibida durante la etapa de estudio:</w:t>
            </w:r>
          </w:p>
        </w:tc>
        <w:tc>
          <w:tcPr>
            <w:tcW w:w="5647" w:type="dxa"/>
            <w:vAlign w:val="center"/>
          </w:tcPr>
          <w:p w14:paraId="597C82B2" w14:textId="375A4AA0"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17 de noviembre de 2016 y 5 de septiembre de 2018</w:t>
            </w:r>
          </w:p>
        </w:tc>
      </w:tr>
      <w:tr w:rsidR="004E0725" w:rsidRPr="006711D8" w14:paraId="6A9025D9" w14:textId="77777777" w:rsidTr="004E0725">
        <w:tc>
          <w:tcPr>
            <w:tcW w:w="3600" w:type="dxa"/>
            <w:tcBorders>
              <w:top w:val="single" w:sz="6" w:space="0" w:color="auto"/>
              <w:bottom w:val="single" w:sz="6" w:space="0" w:color="auto"/>
            </w:tcBorders>
            <w:shd w:val="clear" w:color="auto" w:fill="386294"/>
            <w:vAlign w:val="center"/>
          </w:tcPr>
          <w:p w14:paraId="01B3581F"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color w:val="FFFFFF" w:themeColor="background1"/>
                <w:sz w:val="20"/>
                <w:szCs w:val="20"/>
                <w:lang w:val="es-ES"/>
              </w:rPr>
              <w:t>Notificación de la petición al Estado:</w:t>
            </w:r>
          </w:p>
        </w:tc>
        <w:tc>
          <w:tcPr>
            <w:tcW w:w="5647" w:type="dxa"/>
            <w:vAlign w:val="center"/>
          </w:tcPr>
          <w:p w14:paraId="05B9A868" w14:textId="1DED9DC4"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11 de marzo de 2020</w:t>
            </w:r>
          </w:p>
        </w:tc>
      </w:tr>
      <w:tr w:rsidR="004E0725" w:rsidRPr="006711D8" w14:paraId="1EC979C3" w14:textId="77777777" w:rsidTr="004E0725">
        <w:tc>
          <w:tcPr>
            <w:tcW w:w="3600" w:type="dxa"/>
            <w:tcBorders>
              <w:top w:val="single" w:sz="6" w:space="0" w:color="auto"/>
              <w:bottom w:val="single" w:sz="6" w:space="0" w:color="auto"/>
            </w:tcBorders>
            <w:shd w:val="clear" w:color="auto" w:fill="386294"/>
            <w:vAlign w:val="center"/>
          </w:tcPr>
          <w:p w14:paraId="3708E507"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color w:val="FFFFFF" w:themeColor="background1"/>
                <w:sz w:val="20"/>
                <w:szCs w:val="20"/>
                <w:lang w:val="es-ES"/>
              </w:rPr>
              <w:t>Primera respuesta del Estado:</w:t>
            </w:r>
          </w:p>
        </w:tc>
        <w:tc>
          <w:tcPr>
            <w:tcW w:w="5647" w:type="dxa"/>
            <w:vAlign w:val="center"/>
          </w:tcPr>
          <w:p w14:paraId="0EC3C55E" w14:textId="3FCA202D"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4 de junio de 2020</w:t>
            </w:r>
          </w:p>
        </w:tc>
      </w:tr>
      <w:tr w:rsidR="004E0725" w:rsidRPr="006711D8" w14:paraId="1253D75C" w14:textId="77777777" w:rsidTr="004E0725">
        <w:tc>
          <w:tcPr>
            <w:tcW w:w="3600" w:type="dxa"/>
            <w:tcBorders>
              <w:top w:val="single" w:sz="6" w:space="0" w:color="auto"/>
              <w:bottom w:val="single" w:sz="6" w:space="0" w:color="auto"/>
            </w:tcBorders>
            <w:shd w:val="clear" w:color="auto" w:fill="386294"/>
            <w:vAlign w:val="center"/>
          </w:tcPr>
          <w:p w14:paraId="3250F3E6"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Observaciones adicionales de la parte peticionaria:</w:t>
            </w:r>
          </w:p>
        </w:tc>
        <w:tc>
          <w:tcPr>
            <w:tcW w:w="5647" w:type="dxa"/>
            <w:vAlign w:val="center"/>
          </w:tcPr>
          <w:p w14:paraId="0A43CDA2" w14:textId="48412C1F"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12 de enero de 2021</w:t>
            </w:r>
          </w:p>
        </w:tc>
      </w:tr>
      <w:tr w:rsidR="004E0725" w:rsidRPr="006D72EB" w14:paraId="30D2D9CB" w14:textId="77777777" w:rsidTr="004E0725">
        <w:tc>
          <w:tcPr>
            <w:tcW w:w="3600" w:type="dxa"/>
            <w:tcBorders>
              <w:top w:val="single" w:sz="6" w:space="0" w:color="auto"/>
              <w:bottom w:val="single" w:sz="6" w:space="0" w:color="auto"/>
            </w:tcBorders>
            <w:shd w:val="clear" w:color="auto" w:fill="386294"/>
            <w:vAlign w:val="center"/>
          </w:tcPr>
          <w:p w14:paraId="35799C78"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Observaciones adicionales del Estado:</w:t>
            </w:r>
          </w:p>
        </w:tc>
        <w:tc>
          <w:tcPr>
            <w:tcW w:w="5647" w:type="dxa"/>
            <w:vAlign w:val="center"/>
          </w:tcPr>
          <w:p w14:paraId="08722A13" w14:textId="07468FEF"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31 de mayo de 2021 y 25 de febrero de 2025</w:t>
            </w:r>
          </w:p>
        </w:tc>
      </w:tr>
      <w:tr w:rsidR="004E0725" w:rsidRPr="006711D8" w14:paraId="0F2C6E3B" w14:textId="77777777" w:rsidTr="004E0725">
        <w:tc>
          <w:tcPr>
            <w:tcW w:w="3600" w:type="dxa"/>
            <w:tcBorders>
              <w:top w:val="single" w:sz="6" w:space="0" w:color="auto"/>
              <w:bottom w:val="single" w:sz="6" w:space="0" w:color="auto"/>
            </w:tcBorders>
            <w:shd w:val="clear" w:color="auto" w:fill="386294"/>
            <w:vAlign w:val="center"/>
          </w:tcPr>
          <w:p w14:paraId="23F9FF77"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Advertencia sobre posible archivo:</w:t>
            </w:r>
          </w:p>
        </w:tc>
        <w:tc>
          <w:tcPr>
            <w:tcW w:w="5647" w:type="dxa"/>
            <w:vAlign w:val="center"/>
          </w:tcPr>
          <w:p w14:paraId="00170670" w14:textId="390C822A"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20 de agosto de 2024</w:t>
            </w:r>
          </w:p>
        </w:tc>
      </w:tr>
      <w:tr w:rsidR="004E0725" w:rsidRPr="006711D8" w14:paraId="1EC61DBE" w14:textId="77777777" w:rsidTr="004E0725">
        <w:tc>
          <w:tcPr>
            <w:tcW w:w="3600" w:type="dxa"/>
            <w:tcBorders>
              <w:top w:val="single" w:sz="6" w:space="0" w:color="auto"/>
              <w:bottom w:val="single" w:sz="6" w:space="0" w:color="auto"/>
            </w:tcBorders>
            <w:shd w:val="clear" w:color="auto" w:fill="386294"/>
            <w:vAlign w:val="center"/>
          </w:tcPr>
          <w:p w14:paraId="368D8721"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Respuesta de la parte peticionaria ante advertencia de posible archivo:</w:t>
            </w:r>
          </w:p>
        </w:tc>
        <w:tc>
          <w:tcPr>
            <w:tcW w:w="5647" w:type="dxa"/>
            <w:vAlign w:val="center"/>
          </w:tcPr>
          <w:p w14:paraId="62596BEB" w14:textId="2FEA63E5"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23 de septiembre de 2024</w:t>
            </w:r>
          </w:p>
        </w:tc>
      </w:tr>
    </w:tbl>
    <w:p w14:paraId="0FC6E9E8" w14:textId="77777777" w:rsidR="003239B8" w:rsidRPr="006711D8" w:rsidRDefault="003239B8" w:rsidP="003239B8">
      <w:pPr>
        <w:spacing w:before="240" w:after="240"/>
        <w:ind w:firstLine="720"/>
        <w:jc w:val="both"/>
        <w:rPr>
          <w:rFonts w:asciiTheme="majorHAnsi" w:hAnsiTheme="majorHAnsi"/>
          <w:b/>
          <w:bCs/>
          <w:sz w:val="20"/>
          <w:szCs w:val="20"/>
          <w:lang w:val="es-ES"/>
        </w:rPr>
      </w:pPr>
      <w:r w:rsidRPr="006711D8">
        <w:rPr>
          <w:rFonts w:asciiTheme="majorHAnsi" w:hAnsiTheme="majorHAnsi"/>
          <w:b/>
          <w:bCs/>
          <w:sz w:val="20"/>
          <w:szCs w:val="20"/>
          <w:lang w:val="es-ES"/>
        </w:rPr>
        <w:t xml:space="preserve">III. </w:t>
      </w:r>
      <w:r w:rsidRPr="006711D8">
        <w:rPr>
          <w:rFonts w:asciiTheme="majorHAnsi" w:hAnsiTheme="majorHAnsi"/>
          <w:b/>
          <w:bCs/>
          <w:sz w:val="20"/>
          <w:szCs w:val="20"/>
          <w:lang w:val="es-ES"/>
        </w:rPr>
        <w:tab/>
        <w:t>COMPETENCIA</w:t>
      </w:r>
      <w:r w:rsidR="00EE00E9" w:rsidRPr="006711D8">
        <w:rPr>
          <w:rFonts w:asciiTheme="majorHAnsi" w:hAnsiTheme="majorHAnsi"/>
          <w:b/>
          <w:bCs/>
          <w:sz w:val="20"/>
          <w:szCs w:val="20"/>
          <w:lang w:val="es-ES"/>
        </w:rPr>
        <w:t xml:space="preserve"> </w:t>
      </w:r>
    </w:p>
    <w:tbl>
      <w:tblPr>
        <w:tblStyle w:val="TableGrid"/>
        <w:tblW w:w="9242" w:type="dxa"/>
        <w:tblInd w:w="108" w:type="dxa"/>
        <w:tblBorders>
          <w:insideH w:val="single" w:sz="6" w:space="0" w:color="auto"/>
          <w:insideV w:val="single" w:sz="6" w:space="0" w:color="auto"/>
        </w:tblBorders>
        <w:tblLook w:val="04A0" w:firstRow="1" w:lastRow="0" w:firstColumn="1" w:lastColumn="0" w:noHBand="0" w:noVBand="1"/>
      </w:tblPr>
      <w:tblGrid>
        <w:gridCol w:w="3567"/>
        <w:gridCol w:w="5675"/>
      </w:tblGrid>
      <w:tr w:rsidR="004E0725" w:rsidRPr="006711D8" w14:paraId="7D299FC7" w14:textId="77777777" w:rsidTr="004E0725">
        <w:trPr>
          <w:cantSplit/>
        </w:trPr>
        <w:tc>
          <w:tcPr>
            <w:tcW w:w="3567" w:type="dxa"/>
            <w:tcBorders>
              <w:top w:val="single" w:sz="4" w:space="0" w:color="auto"/>
              <w:bottom w:val="single" w:sz="6" w:space="0" w:color="auto"/>
            </w:tcBorders>
            <w:shd w:val="clear" w:color="auto" w:fill="386294"/>
            <w:vAlign w:val="center"/>
          </w:tcPr>
          <w:p w14:paraId="5D0830E9" w14:textId="77777777" w:rsidR="004E0725" w:rsidRPr="006711D8" w:rsidRDefault="004E0725" w:rsidP="004E0725">
            <w:pPr>
              <w:jc w:val="center"/>
              <w:rPr>
                <w:rFonts w:ascii="Cambria" w:hAnsi="Cambria"/>
                <w:b/>
                <w:bCs/>
                <w:i/>
                <w:color w:val="FFFFFF" w:themeColor="background1"/>
                <w:sz w:val="20"/>
                <w:szCs w:val="20"/>
                <w:lang w:val="es-ES"/>
              </w:rPr>
            </w:pPr>
            <w:r w:rsidRPr="006711D8">
              <w:rPr>
                <w:rFonts w:ascii="Cambria" w:hAnsi="Cambria"/>
                <w:b/>
                <w:bCs/>
                <w:color w:val="FFFFFF" w:themeColor="background1"/>
                <w:sz w:val="20"/>
                <w:szCs w:val="20"/>
                <w:lang w:val="es-ES"/>
              </w:rPr>
              <w:t>Competencia</w:t>
            </w:r>
            <w:r w:rsidRPr="006711D8">
              <w:rPr>
                <w:rFonts w:ascii="Cambria" w:hAnsi="Cambria"/>
                <w:b/>
                <w:bCs/>
                <w:i/>
                <w:color w:val="FFFFFF" w:themeColor="background1"/>
                <w:sz w:val="20"/>
                <w:szCs w:val="20"/>
                <w:lang w:val="es-ES"/>
              </w:rPr>
              <w:t xml:space="preserve"> Ratione personae:</w:t>
            </w:r>
          </w:p>
        </w:tc>
        <w:tc>
          <w:tcPr>
            <w:tcW w:w="5675" w:type="dxa"/>
            <w:vAlign w:val="center"/>
          </w:tcPr>
          <w:p w14:paraId="44B6AB93" w14:textId="67D0313F" w:rsidR="004E0725" w:rsidRPr="006711D8" w:rsidRDefault="004E0725" w:rsidP="004E0725">
            <w:pPr>
              <w:rPr>
                <w:rFonts w:ascii="Cambria" w:hAnsi="Cambria"/>
                <w:bCs/>
                <w:sz w:val="20"/>
                <w:szCs w:val="20"/>
                <w:lang w:val="es-ES"/>
              </w:rPr>
            </w:pPr>
            <w:r w:rsidRPr="006711D8">
              <w:rPr>
                <w:rFonts w:ascii="Cambria" w:hAnsi="Cambria"/>
                <w:bCs/>
                <w:sz w:val="20"/>
                <w:szCs w:val="20"/>
                <w:lang w:val="es-ES"/>
              </w:rPr>
              <w:t>Sí</w:t>
            </w:r>
          </w:p>
        </w:tc>
      </w:tr>
      <w:tr w:rsidR="004E0725" w:rsidRPr="006711D8" w14:paraId="54503A4F" w14:textId="77777777" w:rsidTr="004E0725">
        <w:trPr>
          <w:cantSplit/>
        </w:trPr>
        <w:tc>
          <w:tcPr>
            <w:tcW w:w="3567" w:type="dxa"/>
            <w:tcBorders>
              <w:top w:val="single" w:sz="6" w:space="0" w:color="auto"/>
              <w:bottom w:val="single" w:sz="6" w:space="0" w:color="auto"/>
            </w:tcBorders>
            <w:shd w:val="clear" w:color="auto" w:fill="386294"/>
            <w:vAlign w:val="center"/>
          </w:tcPr>
          <w:p w14:paraId="40E3A1EF"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Competencia</w:t>
            </w:r>
            <w:r w:rsidRPr="006711D8">
              <w:rPr>
                <w:rFonts w:ascii="Cambria" w:hAnsi="Cambria"/>
                <w:b/>
                <w:bCs/>
                <w:i/>
                <w:color w:val="FFFFFF" w:themeColor="background1"/>
                <w:sz w:val="20"/>
                <w:szCs w:val="20"/>
                <w:lang w:val="es-ES"/>
              </w:rPr>
              <w:t xml:space="preserve"> Ratione loci</w:t>
            </w:r>
            <w:r w:rsidRPr="006711D8">
              <w:rPr>
                <w:rFonts w:ascii="Cambria" w:hAnsi="Cambria"/>
                <w:b/>
                <w:bCs/>
                <w:color w:val="FFFFFF" w:themeColor="background1"/>
                <w:sz w:val="20"/>
                <w:szCs w:val="20"/>
                <w:lang w:val="es-ES"/>
              </w:rPr>
              <w:t>:</w:t>
            </w:r>
          </w:p>
        </w:tc>
        <w:tc>
          <w:tcPr>
            <w:tcW w:w="5675" w:type="dxa"/>
            <w:vAlign w:val="center"/>
          </w:tcPr>
          <w:p w14:paraId="06B99462" w14:textId="38FE1BEC" w:rsidR="004E0725" w:rsidRPr="006711D8" w:rsidRDefault="004E0725" w:rsidP="004E0725">
            <w:pPr>
              <w:rPr>
                <w:rFonts w:ascii="Cambria" w:hAnsi="Cambria"/>
                <w:bCs/>
                <w:sz w:val="20"/>
                <w:szCs w:val="20"/>
                <w:lang w:val="es-ES"/>
              </w:rPr>
            </w:pPr>
            <w:r w:rsidRPr="006711D8">
              <w:rPr>
                <w:rFonts w:ascii="Cambria" w:hAnsi="Cambria"/>
                <w:bCs/>
                <w:sz w:val="20"/>
                <w:szCs w:val="20"/>
                <w:lang w:val="es-ES"/>
              </w:rPr>
              <w:t>Sí</w:t>
            </w:r>
          </w:p>
        </w:tc>
      </w:tr>
      <w:tr w:rsidR="004E0725" w:rsidRPr="006711D8" w14:paraId="6618D96A" w14:textId="77777777" w:rsidTr="004E0725">
        <w:trPr>
          <w:cantSplit/>
        </w:trPr>
        <w:tc>
          <w:tcPr>
            <w:tcW w:w="3567" w:type="dxa"/>
            <w:tcBorders>
              <w:top w:val="single" w:sz="6" w:space="0" w:color="auto"/>
              <w:bottom w:val="single" w:sz="6" w:space="0" w:color="auto"/>
            </w:tcBorders>
            <w:shd w:val="clear" w:color="auto" w:fill="386294"/>
            <w:vAlign w:val="center"/>
          </w:tcPr>
          <w:p w14:paraId="24D9CAA2"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Competencia</w:t>
            </w:r>
            <w:r w:rsidRPr="006711D8">
              <w:rPr>
                <w:rFonts w:ascii="Cambria" w:hAnsi="Cambria"/>
                <w:b/>
                <w:bCs/>
                <w:i/>
                <w:color w:val="FFFFFF" w:themeColor="background1"/>
                <w:sz w:val="20"/>
                <w:szCs w:val="20"/>
                <w:lang w:val="es-ES"/>
              </w:rPr>
              <w:t xml:space="preserve"> Ratione temporis</w:t>
            </w:r>
            <w:r w:rsidRPr="006711D8">
              <w:rPr>
                <w:rFonts w:ascii="Cambria" w:hAnsi="Cambria"/>
                <w:b/>
                <w:bCs/>
                <w:color w:val="FFFFFF" w:themeColor="background1"/>
                <w:sz w:val="20"/>
                <w:szCs w:val="20"/>
                <w:lang w:val="es-ES"/>
              </w:rPr>
              <w:t>:</w:t>
            </w:r>
          </w:p>
        </w:tc>
        <w:tc>
          <w:tcPr>
            <w:tcW w:w="5675" w:type="dxa"/>
            <w:vAlign w:val="center"/>
          </w:tcPr>
          <w:p w14:paraId="3B1E16E5" w14:textId="07820501" w:rsidR="004E0725" w:rsidRPr="006711D8" w:rsidRDefault="004E0725" w:rsidP="004E0725">
            <w:pPr>
              <w:rPr>
                <w:rFonts w:ascii="Cambria" w:hAnsi="Cambria"/>
                <w:bCs/>
                <w:sz w:val="20"/>
                <w:szCs w:val="20"/>
                <w:lang w:val="es-ES"/>
              </w:rPr>
            </w:pPr>
            <w:r w:rsidRPr="006711D8">
              <w:rPr>
                <w:rFonts w:ascii="Cambria" w:hAnsi="Cambria"/>
                <w:bCs/>
                <w:sz w:val="20"/>
                <w:szCs w:val="20"/>
                <w:lang w:val="es-ES"/>
              </w:rPr>
              <w:t>Sí</w:t>
            </w:r>
          </w:p>
        </w:tc>
      </w:tr>
      <w:tr w:rsidR="004E0725" w:rsidRPr="006D72EB" w14:paraId="34C2A0A9" w14:textId="77777777" w:rsidTr="004E0725">
        <w:trPr>
          <w:cantSplit/>
        </w:trPr>
        <w:tc>
          <w:tcPr>
            <w:tcW w:w="3567" w:type="dxa"/>
            <w:tcBorders>
              <w:top w:val="single" w:sz="6" w:space="0" w:color="auto"/>
              <w:bottom w:val="single" w:sz="6" w:space="0" w:color="auto"/>
            </w:tcBorders>
            <w:shd w:val="clear" w:color="auto" w:fill="386294"/>
            <w:vAlign w:val="center"/>
          </w:tcPr>
          <w:p w14:paraId="6259AE31" w14:textId="77777777" w:rsidR="004E0725" w:rsidRPr="006711D8" w:rsidRDefault="004E0725" w:rsidP="004E0725">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Competencia</w:t>
            </w:r>
            <w:r w:rsidRPr="006711D8">
              <w:rPr>
                <w:rFonts w:ascii="Cambria" w:hAnsi="Cambria"/>
                <w:b/>
                <w:bCs/>
                <w:i/>
                <w:color w:val="FFFFFF" w:themeColor="background1"/>
                <w:sz w:val="20"/>
                <w:szCs w:val="20"/>
                <w:lang w:val="es-ES"/>
              </w:rPr>
              <w:t xml:space="preserve"> Ratione materiae</w:t>
            </w:r>
            <w:r w:rsidRPr="006711D8">
              <w:rPr>
                <w:rFonts w:ascii="Cambria" w:hAnsi="Cambria"/>
                <w:b/>
                <w:bCs/>
                <w:color w:val="FFFFFF" w:themeColor="background1"/>
                <w:sz w:val="20"/>
                <w:szCs w:val="20"/>
                <w:lang w:val="es-ES"/>
              </w:rPr>
              <w:t>:</w:t>
            </w:r>
          </w:p>
        </w:tc>
        <w:tc>
          <w:tcPr>
            <w:tcW w:w="5675" w:type="dxa"/>
            <w:vAlign w:val="center"/>
          </w:tcPr>
          <w:p w14:paraId="0547D6E7" w14:textId="2206A9CB" w:rsidR="004E0725" w:rsidRPr="006711D8" w:rsidRDefault="004E0725" w:rsidP="004E0725">
            <w:pPr>
              <w:jc w:val="both"/>
              <w:rPr>
                <w:rFonts w:ascii="Cambria" w:hAnsi="Cambria"/>
                <w:bCs/>
                <w:sz w:val="20"/>
                <w:szCs w:val="20"/>
                <w:lang w:val="es-ES"/>
              </w:rPr>
            </w:pPr>
            <w:r w:rsidRPr="006711D8">
              <w:rPr>
                <w:rFonts w:ascii="Cambria" w:hAnsi="Cambria"/>
                <w:bCs/>
                <w:sz w:val="20"/>
                <w:szCs w:val="20"/>
                <w:lang w:val="es-ES"/>
              </w:rPr>
              <w:t>Sí, Convención Americana (depósito del instrumento de ratificación realizado el 8 de abril de 1970)</w:t>
            </w:r>
          </w:p>
        </w:tc>
      </w:tr>
    </w:tbl>
    <w:p w14:paraId="11D5E9D0" w14:textId="77777777" w:rsidR="00BE2E0A" w:rsidRDefault="00BE2E0A" w:rsidP="003239B8">
      <w:pPr>
        <w:spacing w:before="240" w:after="240"/>
        <w:ind w:firstLine="720"/>
        <w:jc w:val="both"/>
        <w:rPr>
          <w:rFonts w:asciiTheme="majorHAnsi" w:hAnsiTheme="majorHAnsi"/>
          <w:b/>
          <w:bCs/>
          <w:sz w:val="20"/>
          <w:szCs w:val="20"/>
          <w:lang w:val="es-ES"/>
        </w:rPr>
      </w:pPr>
    </w:p>
    <w:p w14:paraId="299A3868" w14:textId="3FEA1289" w:rsidR="003239B8" w:rsidRPr="006711D8" w:rsidRDefault="003239B8" w:rsidP="003239B8">
      <w:pPr>
        <w:spacing w:before="240" w:after="240"/>
        <w:ind w:firstLine="720"/>
        <w:jc w:val="both"/>
        <w:rPr>
          <w:rFonts w:asciiTheme="majorHAnsi" w:hAnsiTheme="majorHAnsi"/>
          <w:b/>
          <w:bCs/>
          <w:sz w:val="20"/>
          <w:szCs w:val="20"/>
          <w:lang w:val="es-ES"/>
        </w:rPr>
      </w:pPr>
      <w:r w:rsidRPr="006711D8">
        <w:rPr>
          <w:rFonts w:asciiTheme="majorHAnsi" w:hAnsiTheme="majorHAnsi"/>
          <w:b/>
          <w:bCs/>
          <w:sz w:val="20"/>
          <w:szCs w:val="20"/>
          <w:lang w:val="es-ES"/>
        </w:rPr>
        <w:lastRenderedPageBreak/>
        <w:t xml:space="preserve">IV. </w:t>
      </w:r>
      <w:r w:rsidRPr="006711D8">
        <w:rPr>
          <w:rFonts w:asciiTheme="majorHAnsi" w:hAnsiTheme="majorHAnsi"/>
          <w:b/>
          <w:bCs/>
          <w:sz w:val="20"/>
          <w:szCs w:val="20"/>
          <w:lang w:val="es-ES"/>
        </w:rPr>
        <w:tab/>
      </w:r>
      <w:r w:rsidR="00EE00E9" w:rsidRPr="006711D8">
        <w:rPr>
          <w:rFonts w:asciiTheme="majorHAnsi" w:hAnsiTheme="majorHAnsi"/>
          <w:b/>
          <w:bCs/>
          <w:sz w:val="20"/>
          <w:szCs w:val="20"/>
          <w:lang w:val="es-ES"/>
        </w:rPr>
        <w:t>DUPLICACIÓN</w:t>
      </w:r>
      <w:r w:rsidR="00EE00E9" w:rsidRPr="006711D8">
        <w:rPr>
          <w:rFonts w:asciiTheme="majorHAnsi" w:hAnsiTheme="majorHAnsi"/>
          <w:b/>
          <w:bCs/>
          <w:color w:val="FFFFFF" w:themeColor="background1"/>
          <w:sz w:val="20"/>
          <w:szCs w:val="20"/>
          <w:lang w:val="es-ES"/>
        </w:rPr>
        <w:t xml:space="preserve"> </w:t>
      </w:r>
      <w:r w:rsidR="00EE00E9" w:rsidRPr="006711D8">
        <w:rPr>
          <w:rFonts w:asciiTheme="majorHAnsi" w:hAnsiTheme="majorHAnsi"/>
          <w:b/>
          <w:bCs/>
          <w:sz w:val="20"/>
          <w:szCs w:val="20"/>
          <w:lang w:val="es-ES"/>
        </w:rPr>
        <w:t>DE PROCEDIMIENTOS Y COSA JUZGADA</w:t>
      </w:r>
      <w:r w:rsidR="00EE00E9" w:rsidRPr="006711D8">
        <w:rPr>
          <w:rFonts w:asciiTheme="majorHAnsi" w:hAnsiTheme="majorHAnsi"/>
          <w:b/>
          <w:bCs/>
          <w:i/>
          <w:sz w:val="20"/>
          <w:szCs w:val="20"/>
          <w:lang w:val="es-ES"/>
        </w:rPr>
        <w:t xml:space="preserve"> </w:t>
      </w:r>
      <w:r w:rsidR="005D2D11" w:rsidRPr="006711D8">
        <w:rPr>
          <w:rFonts w:asciiTheme="majorHAnsi" w:hAnsiTheme="majorHAnsi"/>
          <w:b/>
          <w:bCs/>
          <w:sz w:val="20"/>
          <w:szCs w:val="20"/>
          <w:lang w:val="es-ES"/>
        </w:rPr>
        <w:t>INTERNACIONAL, CARACTERIZACIÓN</w:t>
      </w:r>
      <w:r w:rsidRPr="006711D8">
        <w:rPr>
          <w:rFonts w:asciiTheme="majorHAnsi" w:hAnsiTheme="majorHAnsi"/>
          <w:b/>
          <w:bCs/>
          <w:sz w:val="20"/>
          <w:szCs w:val="20"/>
          <w:lang w:val="es-ES"/>
        </w:rPr>
        <w:t xml:space="preserve">, </w:t>
      </w:r>
      <w:r w:rsidRPr="006711D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6711D8"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6711D8" w:rsidRDefault="00EE00E9" w:rsidP="008B0A9F">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6C7240DB" w:rsidR="00EE00E9" w:rsidRPr="006711D8" w:rsidRDefault="004E0725" w:rsidP="008B0A9F">
            <w:pPr>
              <w:jc w:val="both"/>
              <w:rPr>
                <w:rFonts w:ascii="Cambria" w:hAnsi="Cambria"/>
                <w:bCs/>
                <w:sz w:val="20"/>
                <w:szCs w:val="20"/>
                <w:lang w:val="es-ES"/>
              </w:rPr>
            </w:pPr>
            <w:r w:rsidRPr="006711D8">
              <w:rPr>
                <w:rFonts w:ascii="Cambria" w:hAnsi="Cambria"/>
                <w:bCs/>
                <w:sz w:val="20"/>
                <w:szCs w:val="20"/>
                <w:lang w:val="es-ES"/>
              </w:rPr>
              <w:t>No</w:t>
            </w:r>
          </w:p>
        </w:tc>
      </w:tr>
      <w:tr w:rsidR="003239B8" w:rsidRPr="006D72EB"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6711D8" w:rsidRDefault="003239B8" w:rsidP="008B0A9F">
            <w:pPr>
              <w:jc w:val="center"/>
              <w:rPr>
                <w:rFonts w:ascii="Cambria" w:hAnsi="Cambria"/>
                <w:b/>
                <w:bCs/>
                <w:i/>
                <w:color w:val="FFFFFF" w:themeColor="background1"/>
                <w:sz w:val="20"/>
                <w:szCs w:val="20"/>
                <w:lang w:val="es-ES"/>
              </w:rPr>
            </w:pPr>
            <w:r w:rsidRPr="006711D8">
              <w:rPr>
                <w:rFonts w:ascii="Cambria" w:hAnsi="Cambria"/>
                <w:b/>
                <w:bCs/>
                <w:color w:val="FFFFFF" w:themeColor="background1"/>
                <w:sz w:val="20"/>
                <w:szCs w:val="20"/>
                <w:lang w:val="es-ES"/>
              </w:rPr>
              <w:t>Derechos declarados admisibles</w:t>
            </w:r>
            <w:r w:rsidRPr="006711D8">
              <w:rPr>
                <w:rFonts w:ascii="Cambria" w:hAnsi="Cambria"/>
                <w:b/>
                <w:bCs/>
                <w:i/>
                <w:color w:val="FFFFFF" w:themeColor="background1"/>
                <w:sz w:val="20"/>
                <w:szCs w:val="20"/>
                <w:lang w:val="es-ES"/>
              </w:rPr>
              <w:t>:</w:t>
            </w:r>
          </w:p>
        </w:tc>
        <w:tc>
          <w:tcPr>
            <w:tcW w:w="5760" w:type="dxa"/>
            <w:vAlign w:val="center"/>
          </w:tcPr>
          <w:p w14:paraId="4DAE9D4D" w14:textId="566A277D" w:rsidR="003239B8" w:rsidRPr="006711D8" w:rsidRDefault="005D2D11" w:rsidP="008B0A9F">
            <w:pPr>
              <w:jc w:val="both"/>
              <w:rPr>
                <w:rFonts w:ascii="Cambria" w:hAnsi="Cambria"/>
                <w:bCs/>
                <w:sz w:val="20"/>
                <w:szCs w:val="20"/>
                <w:lang w:val="es-ES"/>
              </w:rPr>
            </w:pPr>
            <w:r w:rsidRPr="006711D8">
              <w:rPr>
                <w:rFonts w:ascii="Cambria" w:hAnsi="Cambria"/>
                <w:sz w:val="20"/>
                <w:szCs w:val="20"/>
                <w:lang w:val="es-ES"/>
              </w:rPr>
              <w:t xml:space="preserve">Artículos </w:t>
            </w:r>
            <w:r w:rsidRPr="006711D8">
              <w:rPr>
                <w:rFonts w:ascii="Cambria" w:hAnsi="Cambria"/>
                <w:bCs/>
                <w:sz w:val="20"/>
                <w:szCs w:val="20"/>
                <w:lang w:val="es-ES"/>
              </w:rPr>
              <w:t>8 (garantías judiciales), 11 (</w:t>
            </w:r>
            <w:r w:rsidR="009E67C7" w:rsidRPr="006711D8">
              <w:rPr>
                <w:rFonts w:ascii="Cambria" w:hAnsi="Cambria"/>
                <w:bCs/>
                <w:sz w:val="20"/>
                <w:szCs w:val="20"/>
                <w:lang w:val="es-ES"/>
              </w:rPr>
              <w:t>protección de la honra y de la dignidad</w:t>
            </w:r>
            <w:r w:rsidRPr="006711D8">
              <w:rPr>
                <w:rFonts w:ascii="Cambria" w:hAnsi="Cambria"/>
                <w:bCs/>
                <w:sz w:val="20"/>
                <w:szCs w:val="20"/>
                <w:lang w:val="es-ES"/>
              </w:rPr>
              <w:t xml:space="preserve">), </w:t>
            </w:r>
            <w:r w:rsidR="00572429">
              <w:rPr>
                <w:rFonts w:ascii="Cambria" w:hAnsi="Cambria"/>
                <w:bCs/>
                <w:sz w:val="20"/>
                <w:szCs w:val="20"/>
                <w:lang w:val="es-ES"/>
              </w:rPr>
              <w:t xml:space="preserve">17 (protección de la familia), </w:t>
            </w:r>
            <w:r w:rsidRPr="006711D8">
              <w:rPr>
                <w:rFonts w:ascii="Cambria" w:hAnsi="Cambria"/>
                <w:bCs/>
                <w:sz w:val="20"/>
                <w:szCs w:val="20"/>
                <w:lang w:val="es-ES"/>
              </w:rPr>
              <w:t>19 (derechos del niño), 21 (propiedad privada), 25 (protección judicial), 26 (derechos económicos, sociales y culturales) de la Convención Americana</w:t>
            </w:r>
            <w:r w:rsidRPr="006711D8">
              <w:rPr>
                <w:rFonts w:ascii="Cambria" w:hAnsi="Cambria"/>
                <w:sz w:val="20"/>
                <w:szCs w:val="20"/>
                <w:lang w:val="es-ES"/>
              </w:rPr>
              <w:t>, en relación con su artículo 1.1 (obligación de respetar y garantizar los derechos)</w:t>
            </w:r>
          </w:p>
        </w:tc>
      </w:tr>
      <w:tr w:rsidR="003239B8" w:rsidRPr="006D72EB"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6711D8" w:rsidRDefault="003239B8" w:rsidP="008B0A9F">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Agotamiento de recursos internos</w:t>
            </w:r>
            <w:r w:rsidR="00EE00E9" w:rsidRPr="006711D8">
              <w:rPr>
                <w:rFonts w:ascii="Cambria" w:hAnsi="Cambria"/>
                <w:b/>
                <w:bCs/>
                <w:color w:val="FFFFFF" w:themeColor="background1"/>
                <w:sz w:val="20"/>
                <w:szCs w:val="20"/>
                <w:lang w:val="es-ES"/>
              </w:rPr>
              <w:t xml:space="preserve"> o procedencia de una excepción</w:t>
            </w:r>
            <w:r w:rsidRPr="006711D8">
              <w:rPr>
                <w:rFonts w:ascii="Cambria" w:hAnsi="Cambria"/>
                <w:b/>
                <w:bCs/>
                <w:color w:val="FFFFFF" w:themeColor="background1"/>
                <w:sz w:val="20"/>
                <w:szCs w:val="20"/>
                <w:lang w:val="es-ES"/>
              </w:rPr>
              <w:t>:</w:t>
            </w:r>
          </w:p>
        </w:tc>
        <w:tc>
          <w:tcPr>
            <w:tcW w:w="5760" w:type="dxa"/>
            <w:vAlign w:val="center"/>
          </w:tcPr>
          <w:p w14:paraId="7F7C1A19" w14:textId="0CC1A074" w:rsidR="003239B8" w:rsidRPr="006711D8" w:rsidRDefault="006F2703" w:rsidP="008B0A9F">
            <w:pPr>
              <w:rPr>
                <w:rFonts w:ascii="Cambria" w:hAnsi="Cambria"/>
                <w:bCs/>
                <w:sz w:val="20"/>
                <w:szCs w:val="20"/>
                <w:lang w:val="es-ES"/>
              </w:rPr>
            </w:pPr>
            <w:r w:rsidRPr="006711D8">
              <w:rPr>
                <w:rFonts w:ascii="Cambria" w:hAnsi="Cambria"/>
                <w:bCs/>
                <w:sz w:val="20"/>
                <w:szCs w:val="20"/>
                <w:lang w:val="es-ES"/>
              </w:rPr>
              <w:t>Sí, en los términos de la sección VI</w:t>
            </w:r>
          </w:p>
        </w:tc>
      </w:tr>
      <w:tr w:rsidR="003239B8" w:rsidRPr="006D72EB"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6711D8" w:rsidRDefault="003239B8" w:rsidP="008B0A9F">
            <w:pPr>
              <w:jc w:val="center"/>
              <w:rPr>
                <w:rFonts w:ascii="Cambria" w:hAnsi="Cambria"/>
                <w:b/>
                <w:bCs/>
                <w:color w:val="FFFFFF" w:themeColor="background1"/>
                <w:sz w:val="20"/>
                <w:szCs w:val="20"/>
                <w:lang w:val="es-ES"/>
              </w:rPr>
            </w:pPr>
            <w:r w:rsidRPr="006711D8">
              <w:rPr>
                <w:rFonts w:ascii="Cambria" w:hAnsi="Cambria"/>
                <w:b/>
                <w:bCs/>
                <w:color w:val="FFFFFF" w:themeColor="background1"/>
                <w:sz w:val="20"/>
                <w:szCs w:val="20"/>
                <w:lang w:val="es-ES"/>
              </w:rPr>
              <w:t>Presentación dentro de plazo:</w:t>
            </w:r>
          </w:p>
        </w:tc>
        <w:tc>
          <w:tcPr>
            <w:tcW w:w="5760" w:type="dxa"/>
            <w:vAlign w:val="center"/>
          </w:tcPr>
          <w:p w14:paraId="2AF0FC69" w14:textId="5C0660A1" w:rsidR="003239B8" w:rsidRPr="006711D8" w:rsidRDefault="006F2703" w:rsidP="008B0A9F">
            <w:pPr>
              <w:rPr>
                <w:rFonts w:ascii="Cambria" w:hAnsi="Cambria"/>
                <w:bCs/>
                <w:sz w:val="20"/>
                <w:szCs w:val="20"/>
                <w:lang w:val="es-ES"/>
              </w:rPr>
            </w:pPr>
            <w:r w:rsidRPr="006711D8">
              <w:rPr>
                <w:rFonts w:ascii="Cambria" w:hAnsi="Cambria"/>
                <w:bCs/>
                <w:sz w:val="20"/>
                <w:szCs w:val="20"/>
                <w:lang w:val="es-ES"/>
              </w:rPr>
              <w:t>Sí, en los términos de la sección VI</w:t>
            </w:r>
          </w:p>
        </w:tc>
      </w:tr>
    </w:tbl>
    <w:p w14:paraId="5D9B3208" w14:textId="25DB4429" w:rsidR="00F61CE9" w:rsidRPr="00D81013" w:rsidRDefault="00223A29" w:rsidP="00A1479A">
      <w:pPr>
        <w:spacing w:before="240" w:after="240"/>
        <w:ind w:firstLine="720"/>
        <w:jc w:val="both"/>
        <w:rPr>
          <w:rFonts w:ascii="Cambria" w:hAnsi="Cambria"/>
          <w:b/>
          <w:sz w:val="20"/>
          <w:szCs w:val="20"/>
          <w:lang w:val="es-ES"/>
        </w:rPr>
      </w:pPr>
      <w:r w:rsidRPr="006711D8">
        <w:rPr>
          <w:rFonts w:ascii="Cambria" w:hAnsi="Cambria"/>
          <w:b/>
          <w:sz w:val="20"/>
          <w:szCs w:val="20"/>
          <w:lang w:val="es-ES"/>
        </w:rPr>
        <w:t xml:space="preserve">V. </w:t>
      </w:r>
      <w:r w:rsidRPr="006711D8">
        <w:rPr>
          <w:rFonts w:ascii="Cambria" w:hAnsi="Cambria"/>
          <w:b/>
          <w:sz w:val="20"/>
          <w:szCs w:val="20"/>
          <w:lang w:val="es-ES"/>
        </w:rPr>
        <w:tab/>
      </w:r>
      <w:r w:rsidR="004241A0" w:rsidRPr="00D81013">
        <w:rPr>
          <w:rFonts w:ascii="Cambria" w:hAnsi="Cambria"/>
          <w:b/>
          <w:sz w:val="20"/>
          <w:szCs w:val="20"/>
          <w:lang w:val="es-ES"/>
        </w:rPr>
        <w:t>POSICIÓN DE LAS PARTES</w:t>
      </w:r>
      <w:r w:rsidR="003239B8" w:rsidRPr="00D81013">
        <w:rPr>
          <w:rFonts w:ascii="Cambria" w:hAnsi="Cambria"/>
          <w:b/>
          <w:sz w:val="20"/>
          <w:szCs w:val="20"/>
          <w:lang w:val="es-ES"/>
        </w:rPr>
        <w:t xml:space="preserve"> </w:t>
      </w:r>
    </w:p>
    <w:p w14:paraId="6C211760" w14:textId="099CC0C0" w:rsidR="005B0E36" w:rsidRPr="00D81013" w:rsidRDefault="005B0E36" w:rsidP="00A1479A">
      <w:pPr>
        <w:spacing w:before="240" w:after="240"/>
        <w:ind w:firstLine="720"/>
        <w:jc w:val="both"/>
        <w:rPr>
          <w:rFonts w:ascii="Cambria" w:hAnsi="Cambria"/>
          <w:b/>
          <w:sz w:val="20"/>
          <w:szCs w:val="20"/>
          <w:lang w:val="es-ES"/>
        </w:rPr>
      </w:pPr>
      <w:r w:rsidRPr="00D81013">
        <w:rPr>
          <w:rFonts w:ascii="Cambria" w:hAnsi="Cambria"/>
          <w:b/>
          <w:sz w:val="20"/>
          <w:szCs w:val="20"/>
          <w:lang w:val="es-ES"/>
        </w:rPr>
        <w:t>La parte peticionaria</w:t>
      </w:r>
    </w:p>
    <w:p w14:paraId="654223F4" w14:textId="4FD7502B" w:rsidR="003D0465" w:rsidRPr="00D81013" w:rsidRDefault="003D0465" w:rsidP="007B2620">
      <w:pPr>
        <w:pStyle w:val="ListParagraph"/>
        <w:numPr>
          <w:ilvl w:val="0"/>
          <w:numId w:val="56"/>
        </w:numPr>
        <w:suppressAutoHyphens/>
        <w:spacing w:before="240" w:after="240"/>
        <w:jc w:val="both"/>
        <w:rPr>
          <w:color w:val="auto"/>
          <w:sz w:val="20"/>
          <w:szCs w:val="20"/>
          <w:lang w:val="es-ES"/>
        </w:rPr>
      </w:pPr>
      <w:r w:rsidRPr="00D81013">
        <w:rPr>
          <w:color w:val="auto"/>
          <w:sz w:val="20"/>
          <w:szCs w:val="20"/>
          <w:lang w:val="es-ES"/>
        </w:rPr>
        <w:t>El peticionario alega la vulneración de los derechos de los habitantes de la Zona Americana de Quepos (en adelante también “las presuntas víctimas”), en la medida en que el Estado no habría regularizado su situación habitacional ni reconocido formalmente su condición de “pobladores”</w:t>
      </w:r>
      <w:r w:rsidR="005E50D7" w:rsidRPr="00D81013">
        <w:rPr>
          <w:color w:val="auto"/>
          <w:sz w:val="20"/>
          <w:szCs w:val="20"/>
          <w:lang w:val="es-ES"/>
        </w:rPr>
        <w:t>;</w:t>
      </w:r>
      <w:r w:rsidRPr="00D81013">
        <w:rPr>
          <w:color w:val="auto"/>
          <w:sz w:val="20"/>
          <w:szCs w:val="20"/>
          <w:lang w:val="es-ES"/>
        </w:rPr>
        <w:t xml:space="preserve"> y no les habría proporcionado recursos judiciales idóneos para cuestionar las decisiones que habilitaron su desalojo.</w:t>
      </w:r>
    </w:p>
    <w:p w14:paraId="7027738F" w14:textId="34C5076F" w:rsidR="00624FF0" w:rsidRPr="00D81013" w:rsidRDefault="00BC77E0" w:rsidP="007B2620">
      <w:pPr>
        <w:pStyle w:val="ListParagraph"/>
        <w:numPr>
          <w:ilvl w:val="0"/>
          <w:numId w:val="56"/>
        </w:numPr>
        <w:suppressAutoHyphens/>
        <w:spacing w:before="240" w:after="240"/>
        <w:jc w:val="both"/>
        <w:rPr>
          <w:color w:val="auto"/>
          <w:sz w:val="20"/>
          <w:szCs w:val="20"/>
          <w:lang w:val="es-ES"/>
        </w:rPr>
      </w:pPr>
      <w:r w:rsidRPr="00D81013">
        <w:rPr>
          <w:color w:val="auto"/>
          <w:sz w:val="20"/>
          <w:szCs w:val="20"/>
          <w:lang w:val="es-ES"/>
        </w:rPr>
        <w:t>El peticionario narra</w:t>
      </w:r>
      <w:r w:rsidR="00071F0A" w:rsidRPr="00D81013">
        <w:rPr>
          <w:color w:val="auto"/>
          <w:sz w:val="20"/>
          <w:szCs w:val="20"/>
          <w:lang w:val="es-ES"/>
        </w:rPr>
        <w:t xml:space="preserve"> </w:t>
      </w:r>
      <w:r w:rsidR="0033125C" w:rsidRPr="00D81013">
        <w:rPr>
          <w:color w:val="auto"/>
          <w:sz w:val="20"/>
          <w:szCs w:val="20"/>
          <w:lang w:val="es-ES"/>
        </w:rPr>
        <w:t xml:space="preserve">que las presuntas víctimas han habitado los predios ubicados en la Zona Americana de Quepos, Puntarenas, durante períodos que oscilan entre </w:t>
      </w:r>
      <w:r w:rsidR="003F202C" w:rsidRPr="00D81013">
        <w:rPr>
          <w:color w:val="auto"/>
          <w:sz w:val="20"/>
          <w:szCs w:val="20"/>
          <w:lang w:val="es-ES"/>
        </w:rPr>
        <w:t xml:space="preserve">15 </w:t>
      </w:r>
      <w:r w:rsidR="0033125C" w:rsidRPr="00D81013">
        <w:rPr>
          <w:color w:val="auto"/>
          <w:sz w:val="20"/>
          <w:szCs w:val="20"/>
          <w:lang w:val="es-ES"/>
        </w:rPr>
        <w:t xml:space="preserve">y </w:t>
      </w:r>
      <w:r w:rsidR="003F202C" w:rsidRPr="00D81013">
        <w:rPr>
          <w:color w:val="auto"/>
          <w:sz w:val="20"/>
          <w:szCs w:val="20"/>
          <w:lang w:val="es-ES"/>
        </w:rPr>
        <w:t>6</w:t>
      </w:r>
      <w:r w:rsidR="0076090F" w:rsidRPr="00D81013">
        <w:rPr>
          <w:color w:val="auto"/>
          <w:sz w:val="20"/>
          <w:szCs w:val="20"/>
          <w:lang w:val="es-ES"/>
        </w:rPr>
        <w:t>4</w:t>
      </w:r>
      <w:r w:rsidR="0033125C" w:rsidRPr="00D81013">
        <w:rPr>
          <w:color w:val="auto"/>
          <w:sz w:val="20"/>
          <w:szCs w:val="20"/>
          <w:lang w:val="es-ES"/>
        </w:rPr>
        <w:t xml:space="preserve"> años, incluidos hogares conformados</w:t>
      </w:r>
      <w:r w:rsidR="00024525" w:rsidRPr="00D81013">
        <w:rPr>
          <w:color w:val="auto"/>
          <w:sz w:val="20"/>
          <w:szCs w:val="20"/>
          <w:lang w:val="es-ES"/>
        </w:rPr>
        <w:t xml:space="preserve"> </w:t>
      </w:r>
      <w:r w:rsidR="0033125C" w:rsidRPr="00D81013">
        <w:rPr>
          <w:color w:val="auto"/>
          <w:sz w:val="20"/>
          <w:szCs w:val="20"/>
          <w:lang w:val="es-ES"/>
        </w:rPr>
        <w:t>por</w:t>
      </w:r>
      <w:r w:rsidR="00024525" w:rsidRPr="00D81013">
        <w:rPr>
          <w:color w:val="auto"/>
          <w:sz w:val="20"/>
          <w:szCs w:val="20"/>
          <w:lang w:val="es-ES"/>
        </w:rPr>
        <w:t xml:space="preserve">, entre otros, </w:t>
      </w:r>
      <w:r w:rsidR="0033125C" w:rsidRPr="00D81013">
        <w:rPr>
          <w:color w:val="auto"/>
          <w:sz w:val="20"/>
          <w:szCs w:val="20"/>
          <w:lang w:val="es-ES"/>
        </w:rPr>
        <w:t>madres solteras, adultos mayores y menores de edad.</w:t>
      </w:r>
      <w:r w:rsidR="00624FF0" w:rsidRPr="00D81013">
        <w:rPr>
          <w:color w:val="auto"/>
          <w:sz w:val="20"/>
          <w:szCs w:val="20"/>
          <w:lang w:val="es-ES"/>
        </w:rPr>
        <w:t xml:space="preserve"> </w:t>
      </w:r>
    </w:p>
    <w:p w14:paraId="3CE945B5" w14:textId="535306E7" w:rsidR="00071F0A" w:rsidRPr="00D81013" w:rsidRDefault="00D00373" w:rsidP="007B2620">
      <w:pPr>
        <w:pStyle w:val="ListParagraph"/>
        <w:numPr>
          <w:ilvl w:val="0"/>
          <w:numId w:val="56"/>
        </w:numPr>
        <w:suppressAutoHyphens/>
        <w:spacing w:before="240" w:after="240"/>
        <w:jc w:val="both"/>
        <w:rPr>
          <w:color w:val="auto"/>
          <w:sz w:val="20"/>
          <w:szCs w:val="20"/>
          <w:lang w:val="es-ES"/>
        </w:rPr>
      </w:pPr>
      <w:r w:rsidRPr="00D81013">
        <w:rPr>
          <w:color w:val="auto"/>
          <w:sz w:val="20"/>
          <w:szCs w:val="20"/>
          <w:lang w:val="es-ES"/>
        </w:rPr>
        <w:t xml:space="preserve">A modo de antecedente, </w:t>
      </w:r>
      <w:r w:rsidR="0012075E" w:rsidRPr="00D81013">
        <w:rPr>
          <w:color w:val="auto"/>
          <w:sz w:val="20"/>
          <w:szCs w:val="20"/>
          <w:lang w:val="es-ES"/>
        </w:rPr>
        <w:t xml:space="preserve">el peticionario </w:t>
      </w:r>
      <w:r w:rsidRPr="00D81013">
        <w:rPr>
          <w:color w:val="auto"/>
          <w:sz w:val="20"/>
          <w:szCs w:val="20"/>
          <w:lang w:val="es-ES"/>
        </w:rPr>
        <w:t>d</w:t>
      </w:r>
      <w:r w:rsidR="0088433E" w:rsidRPr="00D81013">
        <w:rPr>
          <w:color w:val="auto"/>
          <w:sz w:val="20"/>
          <w:szCs w:val="20"/>
          <w:lang w:val="es-ES"/>
        </w:rPr>
        <w:t>escribe</w:t>
      </w:r>
      <w:r w:rsidR="0033125C" w:rsidRPr="00D81013">
        <w:rPr>
          <w:color w:val="auto"/>
          <w:sz w:val="20"/>
          <w:szCs w:val="20"/>
          <w:lang w:val="es-ES"/>
        </w:rPr>
        <w:t xml:space="preserve"> que e</w:t>
      </w:r>
      <w:r w:rsidR="00071F0A" w:rsidRPr="00D81013">
        <w:rPr>
          <w:color w:val="auto"/>
          <w:sz w:val="20"/>
          <w:szCs w:val="20"/>
          <w:lang w:val="es-ES"/>
        </w:rPr>
        <w:t xml:space="preserve">l 2 de abril de 1938 el Despacho de Fomento y Agricultura suscribió un contrato para la explotación bananera, ratificado mediante la Ley 133 de 23 de julio de 1938. </w:t>
      </w:r>
      <w:r w:rsidR="0076090F" w:rsidRPr="00D81013">
        <w:rPr>
          <w:color w:val="auto"/>
          <w:sz w:val="20"/>
          <w:szCs w:val="20"/>
          <w:lang w:val="es-ES"/>
        </w:rPr>
        <w:t xml:space="preserve">Ese </w:t>
      </w:r>
      <w:r w:rsidR="002F561E" w:rsidRPr="00D81013">
        <w:rPr>
          <w:color w:val="auto"/>
          <w:sz w:val="20"/>
          <w:szCs w:val="20"/>
          <w:lang w:val="es-ES"/>
        </w:rPr>
        <w:t>contrato</w:t>
      </w:r>
      <w:r w:rsidR="00157FB5" w:rsidRPr="00D81013">
        <w:rPr>
          <w:color w:val="auto"/>
          <w:sz w:val="20"/>
          <w:szCs w:val="20"/>
          <w:lang w:val="es-ES"/>
        </w:rPr>
        <w:t xml:space="preserve"> </w:t>
      </w:r>
      <w:r w:rsidR="0066206B" w:rsidRPr="00D81013">
        <w:rPr>
          <w:color w:val="auto"/>
          <w:sz w:val="20"/>
          <w:szCs w:val="20"/>
          <w:lang w:val="es-ES"/>
        </w:rPr>
        <w:t>ordenó</w:t>
      </w:r>
      <w:r w:rsidR="00071F0A" w:rsidRPr="00D81013">
        <w:rPr>
          <w:color w:val="auto"/>
          <w:sz w:val="20"/>
          <w:szCs w:val="20"/>
          <w:lang w:val="es-ES"/>
        </w:rPr>
        <w:t xml:space="preserve"> reservar</w:t>
      </w:r>
      <w:r w:rsidR="00CB5990" w:rsidRPr="00D81013">
        <w:rPr>
          <w:color w:val="auto"/>
          <w:sz w:val="20"/>
          <w:szCs w:val="20"/>
          <w:lang w:val="es-ES"/>
        </w:rPr>
        <w:t xml:space="preserve"> </w:t>
      </w:r>
      <w:r w:rsidR="002F561E" w:rsidRPr="00D81013">
        <w:rPr>
          <w:color w:val="auto"/>
          <w:sz w:val="20"/>
          <w:szCs w:val="20"/>
          <w:lang w:val="es-ES"/>
        </w:rPr>
        <w:t xml:space="preserve">50 </w:t>
      </w:r>
      <w:r w:rsidR="00071F0A" w:rsidRPr="00D81013">
        <w:rPr>
          <w:color w:val="auto"/>
          <w:sz w:val="20"/>
          <w:szCs w:val="20"/>
          <w:lang w:val="es-ES"/>
        </w:rPr>
        <w:t xml:space="preserve">hectáreas en Quepos y </w:t>
      </w:r>
      <w:r w:rsidR="002F561E" w:rsidRPr="00D81013">
        <w:rPr>
          <w:color w:val="auto"/>
          <w:sz w:val="20"/>
          <w:szCs w:val="20"/>
          <w:lang w:val="es-ES"/>
        </w:rPr>
        <w:t xml:space="preserve">100 </w:t>
      </w:r>
      <w:r w:rsidR="00071F0A" w:rsidRPr="00D81013">
        <w:rPr>
          <w:color w:val="auto"/>
          <w:sz w:val="20"/>
          <w:szCs w:val="20"/>
          <w:lang w:val="es-ES"/>
        </w:rPr>
        <w:t xml:space="preserve">en Golfito para que se distribuyeran posteriormente entre </w:t>
      </w:r>
      <w:r w:rsidR="00E16326" w:rsidRPr="00D81013">
        <w:rPr>
          <w:color w:val="auto"/>
          <w:sz w:val="20"/>
          <w:szCs w:val="20"/>
          <w:lang w:val="es-ES"/>
        </w:rPr>
        <w:t>los habitantes</w:t>
      </w:r>
      <w:r w:rsidR="00624FF0" w:rsidRPr="00D81013">
        <w:rPr>
          <w:color w:val="auto"/>
          <w:sz w:val="20"/>
          <w:szCs w:val="20"/>
          <w:lang w:val="es-ES"/>
        </w:rPr>
        <w:t>; l</w:t>
      </w:r>
      <w:r w:rsidR="00071F0A" w:rsidRPr="00D81013">
        <w:rPr>
          <w:color w:val="auto"/>
          <w:sz w:val="20"/>
          <w:szCs w:val="20"/>
          <w:lang w:val="es-ES"/>
        </w:rPr>
        <w:t xml:space="preserve">o que demostraría que el Estado asumió el compromiso de reservar y organizar tierra </w:t>
      </w:r>
      <w:r w:rsidR="00797C40" w:rsidRPr="00D81013">
        <w:rPr>
          <w:color w:val="auto"/>
          <w:sz w:val="20"/>
          <w:szCs w:val="20"/>
          <w:lang w:val="es-ES"/>
        </w:rPr>
        <w:t>para uso residencial</w:t>
      </w:r>
      <w:r w:rsidR="00071F0A" w:rsidRPr="00D81013">
        <w:rPr>
          <w:color w:val="auto"/>
          <w:sz w:val="20"/>
          <w:szCs w:val="20"/>
          <w:lang w:val="es-ES"/>
        </w:rPr>
        <w:t xml:space="preserve">. </w:t>
      </w:r>
      <w:r w:rsidR="00180EA4" w:rsidRPr="00D81013">
        <w:rPr>
          <w:color w:val="auto"/>
          <w:sz w:val="20"/>
          <w:szCs w:val="20"/>
          <w:lang w:val="es-ES"/>
        </w:rPr>
        <w:t xml:space="preserve">Alega </w:t>
      </w:r>
      <w:r w:rsidR="006711D8" w:rsidRPr="00D81013">
        <w:rPr>
          <w:color w:val="auto"/>
          <w:sz w:val="20"/>
          <w:szCs w:val="20"/>
          <w:lang w:val="es-ES"/>
        </w:rPr>
        <w:t>que,</w:t>
      </w:r>
      <w:r w:rsidR="00180EA4" w:rsidRPr="00D81013">
        <w:rPr>
          <w:color w:val="auto"/>
          <w:sz w:val="20"/>
          <w:szCs w:val="20"/>
          <w:lang w:val="es-ES"/>
        </w:rPr>
        <w:t xml:space="preserve"> de conformidad con la referida ley y la normativa vigente sobre terrenos baldíos, las presuntas víctimas estaban habilitadas para ocupar los lotes en calidad de “pobladores” sin necesidad de acreditar un derecho posesorio previo</w:t>
      </w:r>
      <w:r w:rsidR="002F561E" w:rsidRPr="00D81013">
        <w:rPr>
          <w:color w:val="auto"/>
          <w:sz w:val="20"/>
          <w:szCs w:val="20"/>
          <w:lang w:val="es-ES"/>
        </w:rPr>
        <w:t>.</w:t>
      </w:r>
    </w:p>
    <w:p w14:paraId="54AEB823" w14:textId="2CC0D570" w:rsidR="001E0287" w:rsidRPr="00D81013" w:rsidRDefault="00FB5A13" w:rsidP="007B2620">
      <w:pPr>
        <w:pStyle w:val="ListParagraph"/>
        <w:numPr>
          <w:ilvl w:val="0"/>
          <w:numId w:val="56"/>
        </w:numPr>
        <w:suppressAutoHyphens/>
        <w:spacing w:before="240" w:after="240"/>
        <w:jc w:val="both"/>
        <w:rPr>
          <w:color w:val="auto"/>
          <w:sz w:val="20"/>
          <w:szCs w:val="20"/>
          <w:lang w:val="es-ES"/>
        </w:rPr>
      </w:pPr>
      <w:r w:rsidRPr="00D81013">
        <w:rPr>
          <w:color w:val="auto"/>
          <w:sz w:val="20"/>
          <w:szCs w:val="20"/>
          <w:lang w:val="es-ES"/>
        </w:rPr>
        <w:t xml:space="preserve">De acuerdo con los anexos aportados por el peticionario, el 21 de diciembre de 2000 la Procuraduría General de la República emitió una opinión jurídica en la que advirtió al Estado sobre la situación jurídica y social de las viviendas. En dicha opinión, </w:t>
      </w:r>
      <w:r w:rsidR="00590D3B" w:rsidRPr="00D81013">
        <w:rPr>
          <w:color w:val="auto"/>
          <w:sz w:val="20"/>
          <w:szCs w:val="20"/>
          <w:lang w:val="es-ES"/>
        </w:rPr>
        <w:t>esta institución</w:t>
      </w:r>
      <w:r w:rsidRPr="00D81013">
        <w:rPr>
          <w:color w:val="auto"/>
          <w:sz w:val="20"/>
          <w:szCs w:val="20"/>
          <w:lang w:val="es-ES"/>
        </w:rPr>
        <w:t xml:space="preserve"> reconoció que la empresa arrendataria había vendido casas construidas sobre terrenos estatales, generando expectativas de propiedad en las familias. En consecuencia, recomendó valorar la terminación del contrato de arrendamiento con la empresa bananera o promover un proyecto de ley que resolviera la situación de </w:t>
      </w:r>
      <w:r w:rsidR="00DF79CE" w:rsidRPr="00D81013">
        <w:rPr>
          <w:color w:val="auto"/>
          <w:sz w:val="20"/>
          <w:szCs w:val="20"/>
          <w:lang w:val="es-ES"/>
        </w:rPr>
        <w:t>las presuntas víctimas</w:t>
      </w:r>
      <w:r w:rsidRPr="00D81013">
        <w:rPr>
          <w:color w:val="auto"/>
          <w:sz w:val="20"/>
          <w:szCs w:val="20"/>
          <w:lang w:val="es-ES"/>
        </w:rPr>
        <w:t xml:space="preserve">. </w:t>
      </w:r>
      <w:r w:rsidR="00837557" w:rsidRPr="00D81013">
        <w:rPr>
          <w:color w:val="auto"/>
          <w:sz w:val="20"/>
          <w:szCs w:val="20"/>
          <w:lang w:val="es-ES"/>
        </w:rPr>
        <w:t xml:space="preserve">Asimismo, el peticionario indica que en 2004 los habitantes denunciaron su situación ante la Defensoría de los Habitantes, la cual en 2005 constató </w:t>
      </w:r>
      <w:r w:rsidR="00811C52" w:rsidRPr="00D81013">
        <w:rPr>
          <w:color w:val="auto"/>
          <w:sz w:val="20"/>
          <w:szCs w:val="20"/>
          <w:lang w:val="es-ES"/>
        </w:rPr>
        <w:t xml:space="preserve">que </w:t>
      </w:r>
      <w:r w:rsidR="00837557" w:rsidRPr="00D81013">
        <w:rPr>
          <w:color w:val="auto"/>
          <w:sz w:val="20"/>
          <w:szCs w:val="20"/>
          <w:lang w:val="es-ES"/>
        </w:rPr>
        <w:t xml:space="preserve">la situación habitacional de las familias carecía de regularización por parte del Estado, por lo que recomendó su inclusión en el proyecto de ley destinado a </w:t>
      </w:r>
      <w:r w:rsidR="00210E87" w:rsidRPr="00D81013">
        <w:rPr>
          <w:color w:val="auto"/>
          <w:sz w:val="20"/>
          <w:szCs w:val="20"/>
          <w:lang w:val="es-ES"/>
        </w:rPr>
        <w:t>formalizar</w:t>
      </w:r>
      <w:r w:rsidR="00837557" w:rsidRPr="00D81013">
        <w:rPr>
          <w:color w:val="auto"/>
          <w:sz w:val="20"/>
          <w:szCs w:val="20"/>
          <w:lang w:val="es-ES"/>
        </w:rPr>
        <w:t xml:space="preserve"> los terrenos</w:t>
      </w:r>
      <w:r w:rsidR="00210E87" w:rsidRPr="00D81013">
        <w:rPr>
          <w:color w:val="auto"/>
          <w:sz w:val="20"/>
          <w:szCs w:val="20"/>
          <w:lang w:val="es-ES"/>
        </w:rPr>
        <w:t xml:space="preserve"> de otras zonas</w:t>
      </w:r>
      <w:r w:rsidR="00837557" w:rsidRPr="00D81013">
        <w:rPr>
          <w:color w:val="auto"/>
          <w:sz w:val="20"/>
          <w:szCs w:val="20"/>
          <w:lang w:val="es-ES"/>
        </w:rPr>
        <w:t xml:space="preserve">. </w:t>
      </w:r>
      <w:r w:rsidR="009B3AE8" w:rsidRPr="00D81013">
        <w:rPr>
          <w:color w:val="auto"/>
          <w:sz w:val="20"/>
          <w:szCs w:val="20"/>
          <w:lang w:val="es-ES"/>
        </w:rPr>
        <w:t>A pesar de lo expuesto</w:t>
      </w:r>
      <w:r w:rsidR="00134DF9" w:rsidRPr="00D81013">
        <w:rPr>
          <w:color w:val="auto"/>
          <w:sz w:val="20"/>
          <w:szCs w:val="20"/>
          <w:lang w:val="es-ES"/>
        </w:rPr>
        <w:t xml:space="preserve">, </w:t>
      </w:r>
      <w:r w:rsidR="00BE1C4D" w:rsidRPr="00D81013">
        <w:rPr>
          <w:color w:val="auto"/>
          <w:sz w:val="20"/>
          <w:szCs w:val="20"/>
          <w:lang w:val="es-ES"/>
        </w:rPr>
        <w:t>refiere</w:t>
      </w:r>
      <w:r w:rsidR="00071F0A" w:rsidRPr="00D81013">
        <w:rPr>
          <w:color w:val="auto"/>
          <w:sz w:val="20"/>
          <w:szCs w:val="20"/>
          <w:lang w:val="es-ES"/>
        </w:rPr>
        <w:t xml:space="preserve"> </w:t>
      </w:r>
      <w:r w:rsidR="00F23E42" w:rsidRPr="00D81013">
        <w:rPr>
          <w:color w:val="auto"/>
          <w:sz w:val="20"/>
          <w:szCs w:val="20"/>
          <w:lang w:val="es-ES"/>
        </w:rPr>
        <w:t xml:space="preserve">que </w:t>
      </w:r>
      <w:r w:rsidR="00134DF9" w:rsidRPr="00D81013">
        <w:rPr>
          <w:color w:val="auto"/>
          <w:sz w:val="20"/>
          <w:szCs w:val="20"/>
          <w:lang w:val="es-ES"/>
        </w:rPr>
        <w:t xml:space="preserve">a inicios de 2009 el Ministerio de la Presidencia, el Ministerio de Ambiente, Energía y Telecomunicaciones y el Ministerio de Seguridad Pública, junto con la </w:t>
      </w:r>
      <w:r w:rsidR="00834364" w:rsidRPr="00D81013">
        <w:rPr>
          <w:color w:val="auto"/>
          <w:sz w:val="20"/>
          <w:szCs w:val="20"/>
          <w:lang w:val="es-ES"/>
        </w:rPr>
        <w:t>empresa bananera</w:t>
      </w:r>
      <w:r w:rsidR="00B23144" w:rsidRPr="00D81013">
        <w:rPr>
          <w:color w:val="auto"/>
          <w:sz w:val="20"/>
          <w:szCs w:val="20"/>
          <w:lang w:val="es-ES"/>
        </w:rPr>
        <w:t>,</w:t>
      </w:r>
      <w:r w:rsidR="00834364" w:rsidRPr="00D81013">
        <w:rPr>
          <w:color w:val="auto"/>
          <w:sz w:val="20"/>
          <w:szCs w:val="20"/>
          <w:lang w:val="es-ES"/>
        </w:rPr>
        <w:t xml:space="preserve"> </w:t>
      </w:r>
      <w:r w:rsidR="003A0F7F" w:rsidRPr="00D81013">
        <w:rPr>
          <w:color w:val="auto"/>
          <w:sz w:val="20"/>
          <w:szCs w:val="20"/>
          <w:lang w:val="es-ES"/>
        </w:rPr>
        <w:t xml:space="preserve">iniciaron </w:t>
      </w:r>
      <w:r w:rsidR="00134DF9" w:rsidRPr="00D81013">
        <w:rPr>
          <w:color w:val="auto"/>
          <w:sz w:val="20"/>
          <w:szCs w:val="20"/>
          <w:lang w:val="es-ES"/>
        </w:rPr>
        <w:t xml:space="preserve">acciones de hostigamiento contra </w:t>
      </w:r>
      <w:r w:rsidR="00DF79CE" w:rsidRPr="00D81013">
        <w:rPr>
          <w:color w:val="auto"/>
          <w:sz w:val="20"/>
          <w:szCs w:val="20"/>
          <w:lang w:val="es-ES"/>
        </w:rPr>
        <w:t>las presuntas víctimas</w:t>
      </w:r>
      <w:r w:rsidR="00134DF9" w:rsidRPr="00D81013">
        <w:rPr>
          <w:color w:val="auto"/>
          <w:sz w:val="20"/>
          <w:szCs w:val="20"/>
          <w:lang w:val="es-ES"/>
        </w:rPr>
        <w:t xml:space="preserve"> que derivaron en varios desalojos administrativos</w:t>
      </w:r>
      <w:r w:rsidR="00125A29" w:rsidRPr="00D81013">
        <w:rPr>
          <w:color w:val="auto"/>
          <w:sz w:val="20"/>
          <w:szCs w:val="20"/>
          <w:lang w:val="es-ES"/>
        </w:rPr>
        <w:t>.</w:t>
      </w:r>
    </w:p>
    <w:p w14:paraId="4A8DDFD9" w14:textId="22DFBC8F" w:rsidR="007B72C2" w:rsidRPr="00D81013" w:rsidRDefault="00423290" w:rsidP="00590D3B">
      <w:pPr>
        <w:pStyle w:val="ListParagraph"/>
        <w:suppressAutoHyphens/>
        <w:spacing w:before="240" w:after="240"/>
        <w:ind w:left="0" w:firstLine="720"/>
        <w:jc w:val="both"/>
        <w:rPr>
          <w:i/>
          <w:iCs/>
          <w:color w:val="auto"/>
          <w:sz w:val="20"/>
          <w:szCs w:val="20"/>
          <w:lang w:val="es-ES"/>
        </w:rPr>
      </w:pPr>
      <w:r w:rsidRPr="00D81013">
        <w:rPr>
          <w:i/>
          <w:iCs/>
          <w:color w:val="auto"/>
          <w:sz w:val="20"/>
          <w:szCs w:val="20"/>
          <w:lang w:val="es-ES"/>
        </w:rPr>
        <w:t xml:space="preserve">Proceso </w:t>
      </w:r>
      <w:r w:rsidR="006604D1" w:rsidRPr="00D81013">
        <w:rPr>
          <w:i/>
          <w:iCs/>
          <w:color w:val="auto"/>
          <w:sz w:val="20"/>
          <w:szCs w:val="20"/>
          <w:lang w:val="es-ES"/>
        </w:rPr>
        <w:t xml:space="preserve">contencioso </w:t>
      </w:r>
      <w:r w:rsidRPr="00D81013">
        <w:rPr>
          <w:i/>
          <w:iCs/>
          <w:color w:val="auto"/>
          <w:sz w:val="20"/>
          <w:szCs w:val="20"/>
          <w:lang w:val="es-ES"/>
        </w:rPr>
        <w:t>administrativo interpuesto</w:t>
      </w:r>
      <w:r w:rsidR="007B72C2" w:rsidRPr="00D81013">
        <w:rPr>
          <w:i/>
          <w:iCs/>
          <w:color w:val="auto"/>
          <w:sz w:val="20"/>
          <w:szCs w:val="20"/>
          <w:lang w:val="es-ES"/>
        </w:rPr>
        <w:t xml:space="preserve"> por la</w:t>
      </w:r>
      <w:r w:rsidR="00536BC6" w:rsidRPr="00D81013">
        <w:rPr>
          <w:i/>
          <w:iCs/>
          <w:color w:val="auto"/>
          <w:sz w:val="20"/>
          <w:szCs w:val="20"/>
          <w:lang w:val="es-ES"/>
        </w:rPr>
        <w:t>s</w:t>
      </w:r>
      <w:r w:rsidR="007B72C2" w:rsidRPr="00D81013">
        <w:rPr>
          <w:i/>
          <w:iCs/>
          <w:color w:val="auto"/>
          <w:sz w:val="20"/>
          <w:szCs w:val="20"/>
          <w:lang w:val="es-ES"/>
        </w:rPr>
        <w:t xml:space="preserve"> presunta</w:t>
      </w:r>
      <w:r w:rsidR="00536BC6" w:rsidRPr="00D81013">
        <w:rPr>
          <w:i/>
          <w:iCs/>
          <w:color w:val="auto"/>
          <w:sz w:val="20"/>
          <w:szCs w:val="20"/>
          <w:lang w:val="es-ES"/>
        </w:rPr>
        <w:t>s</w:t>
      </w:r>
      <w:r w:rsidR="007B72C2" w:rsidRPr="00D81013">
        <w:rPr>
          <w:i/>
          <w:iCs/>
          <w:color w:val="auto"/>
          <w:sz w:val="20"/>
          <w:szCs w:val="20"/>
          <w:lang w:val="es-ES"/>
        </w:rPr>
        <w:t xml:space="preserve"> víctima</w:t>
      </w:r>
      <w:r w:rsidR="00536BC6" w:rsidRPr="00D81013">
        <w:rPr>
          <w:i/>
          <w:iCs/>
          <w:color w:val="auto"/>
          <w:sz w:val="20"/>
          <w:szCs w:val="20"/>
          <w:lang w:val="es-ES"/>
        </w:rPr>
        <w:t>s</w:t>
      </w:r>
    </w:p>
    <w:p w14:paraId="6F64F42E" w14:textId="333CBFC2" w:rsidR="00FE55D9" w:rsidRPr="00D81013" w:rsidRDefault="00F23E42" w:rsidP="007B2620">
      <w:pPr>
        <w:pStyle w:val="ListParagraph"/>
        <w:numPr>
          <w:ilvl w:val="0"/>
          <w:numId w:val="56"/>
        </w:numPr>
        <w:suppressAutoHyphens/>
        <w:spacing w:before="240" w:after="240"/>
        <w:jc w:val="both"/>
        <w:rPr>
          <w:color w:val="auto"/>
          <w:sz w:val="20"/>
          <w:szCs w:val="20"/>
          <w:lang w:val="es-ES"/>
        </w:rPr>
      </w:pPr>
      <w:r w:rsidRPr="00D81013">
        <w:rPr>
          <w:color w:val="auto"/>
          <w:sz w:val="20"/>
          <w:szCs w:val="20"/>
          <w:lang w:val="es-ES"/>
        </w:rPr>
        <w:t>Frente a</w:t>
      </w:r>
      <w:r w:rsidR="00002278" w:rsidRPr="00D81013">
        <w:rPr>
          <w:color w:val="auto"/>
          <w:sz w:val="20"/>
          <w:szCs w:val="20"/>
          <w:lang w:val="es-ES"/>
        </w:rPr>
        <w:t xml:space="preserve"> este </w:t>
      </w:r>
      <w:r w:rsidR="009B3AE8" w:rsidRPr="00D81013">
        <w:rPr>
          <w:color w:val="auto"/>
          <w:sz w:val="20"/>
          <w:szCs w:val="20"/>
          <w:lang w:val="es-ES"/>
        </w:rPr>
        <w:t>escenario</w:t>
      </w:r>
      <w:r w:rsidR="00002278" w:rsidRPr="00D81013">
        <w:rPr>
          <w:color w:val="auto"/>
          <w:sz w:val="20"/>
          <w:szCs w:val="20"/>
          <w:lang w:val="es-ES"/>
        </w:rPr>
        <w:t xml:space="preserve">, </w:t>
      </w:r>
      <w:r w:rsidR="00FE55D9" w:rsidRPr="00D81013">
        <w:rPr>
          <w:color w:val="auto"/>
          <w:sz w:val="20"/>
          <w:szCs w:val="20"/>
          <w:lang w:val="es-ES"/>
        </w:rPr>
        <w:t>el 21 de abril de 2009 las presuntas víctimas iniciaron un proceso contencioso</w:t>
      </w:r>
      <w:r w:rsidR="00944397" w:rsidRPr="00D81013">
        <w:rPr>
          <w:color w:val="auto"/>
          <w:sz w:val="20"/>
          <w:szCs w:val="20"/>
          <w:lang w:val="es-ES"/>
        </w:rPr>
        <w:t>-</w:t>
      </w:r>
      <w:r w:rsidR="00FE55D9" w:rsidRPr="00D81013">
        <w:rPr>
          <w:color w:val="auto"/>
          <w:sz w:val="20"/>
          <w:szCs w:val="20"/>
          <w:lang w:val="es-ES"/>
        </w:rPr>
        <w:t xml:space="preserve">administrativo ante el Tribunal Contencioso Administrativo y Civil de Hacienda, con el fin de detener los desalojos, obtener el reconocimiento formal de la condición de pobladores y obligar al Estado a </w:t>
      </w:r>
      <w:r w:rsidR="00FE55D9" w:rsidRPr="00D81013">
        <w:rPr>
          <w:color w:val="auto"/>
          <w:sz w:val="20"/>
          <w:szCs w:val="20"/>
          <w:lang w:val="es-ES"/>
        </w:rPr>
        <w:lastRenderedPageBreak/>
        <w:t xml:space="preserve">titular el terreno a su favor. El tribunal concedió medidas cautelares en favor de los demandantes, consistentes en suspender las órdenes de desalojo. </w:t>
      </w:r>
      <w:r w:rsidR="00837557" w:rsidRPr="00D81013">
        <w:rPr>
          <w:color w:val="auto"/>
          <w:sz w:val="20"/>
          <w:szCs w:val="20"/>
          <w:lang w:val="es-ES"/>
        </w:rPr>
        <w:t>No obstante,</w:t>
      </w:r>
      <w:r w:rsidR="00FE55D9" w:rsidRPr="00D81013">
        <w:rPr>
          <w:color w:val="auto"/>
          <w:sz w:val="20"/>
          <w:szCs w:val="20"/>
          <w:lang w:val="es-ES"/>
        </w:rPr>
        <w:t xml:space="preserve"> el 23 de junio de 2009 el </w:t>
      </w:r>
      <w:r w:rsidR="00E645E2" w:rsidRPr="00D81013">
        <w:rPr>
          <w:color w:val="auto"/>
          <w:sz w:val="20"/>
          <w:szCs w:val="20"/>
          <w:lang w:val="es-ES"/>
        </w:rPr>
        <w:t>P</w:t>
      </w:r>
      <w:r w:rsidR="00FE55D9" w:rsidRPr="00D81013">
        <w:rPr>
          <w:color w:val="auto"/>
          <w:sz w:val="20"/>
          <w:szCs w:val="20"/>
          <w:lang w:val="es-ES"/>
        </w:rPr>
        <w:t xml:space="preserve">residente </w:t>
      </w:r>
      <w:r w:rsidR="00125A29" w:rsidRPr="00D81013">
        <w:rPr>
          <w:color w:val="auto"/>
          <w:sz w:val="20"/>
          <w:szCs w:val="20"/>
          <w:lang w:val="es-ES"/>
        </w:rPr>
        <w:t xml:space="preserve">y las autoridades ministeriales </w:t>
      </w:r>
      <w:r w:rsidR="00FE55D9" w:rsidRPr="00D81013">
        <w:rPr>
          <w:color w:val="auto"/>
          <w:sz w:val="20"/>
          <w:szCs w:val="20"/>
          <w:lang w:val="es-ES"/>
        </w:rPr>
        <w:t xml:space="preserve">emitieron el Decreto Ejecutivo 35325-MP-MINAET, mediante el cual se </w:t>
      </w:r>
      <w:r w:rsidR="00D1733A" w:rsidRPr="00D81013">
        <w:rPr>
          <w:color w:val="auto"/>
          <w:sz w:val="20"/>
          <w:szCs w:val="20"/>
          <w:lang w:val="es-ES"/>
        </w:rPr>
        <w:t>declaró</w:t>
      </w:r>
      <w:r w:rsidR="00FE55D9" w:rsidRPr="00D81013">
        <w:rPr>
          <w:color w:val="auto"/>
          <w:sz w:val="20"/>
          <w:szCs w:val="20"/>
          <w:lang w:val="es-ES"/>
        </w:rPr>
        <w:t xml:space="preserve"> patrimonio natural el inmueble ocupado por </w:t>
      </w:r>
      <w:r w:rsidR="00DF79CE" w:rsidRPr="00D81013">
        <w:rPr>
          <w:color w:val="auto"/>
          <w:sz w:val="20"/>
          <w:szCs w:val="20"/>
          <w:lang w:val="es-ES"/>
        </w:rPr>
        <w:t>las presuntas víctimas</w:t>
      </w:r>
      <w:r w:rsidR="00A01AE6" w:rsidRPr="00D81013">
        <w:rPr>
          <w:color w:val="auto"/>
          <w:sz w:val="20"/>
          <w:szCs w:val="20"/>
          <w:lang w:val="es-ES"/>
        </w:rPr>
        <w:t>;</w:t>
      </w:r>
      <w:r w:rsidR="00FE55D9" w:rsidRPr="00D81013">
        <w:rPr>
          <w:color w:val="auto"/>
          <w:sz w:val="20"/>
          <w:szCs w:val="20"/>
          <w:lang w:val="es-ES"/>
        </w:rPr>
        <w:t xml:space="preserve"> lo que </w:t>
      </w:r>
      <w:r w:rsidR="00AC32EF" w:rsidRPr="00D81013">
        <w:rPr>
          <w:color w:val="auto"/>
          <w:sz w:val="20"/>
          <w:szCs w:val="20"/>
          <w:lang w:val="es-ES"/>
        </w:rPr>
        <w:t xml:space="preserve">a su </w:t>
      </w:r>
      <w:r w:rsidR="00FE55D9" w:rsidRPr="00D81013">
        <w:rPr>
          <w:color w:val="auto"/>
          <w:sz w:val="20"/>
          <w:szCs w:val="20"/>
          <w:lang w:val="es-ES"/>
        </w:rPr>
        <w:t xml:space="preserve">juicio </w:t>
      </w:r>
      <w:r w:rsidR="00770597" w:rsidRPr="00D81013">
        <w:rPr>
          <w:color w:val="auto"/>
          <w:sz w:val="20"/>
          <w:szCs w:val="20"/>
          <w:lang w:val="es-ES"/>
        </w:rPr>
        <w:t>supuso aplicar de manera retroactiva una nueva calificación a una situación habitacional ya consolidada, desconociendo además los compromisos asumidos en la Ley 133</w:t>
      </w:r>
      <w:r w:rsidR="00157FB5" w:rsidRPr="00D81013">
        <w:rPr>
          <w:color w:val="auto"/>
          <w:sz w:val="20"/>
          <w:szCs w:val="20"/>
          <w:lang w:val="es-ES"/>
        </w:rPr>
        <w:t>.</w:t>
      </w:r>
      <w:r w:rsidR="00FE55D9" w:rsidRPr="00D81013">
        <w:rPr>
          <w:color w:val="auto"/>
          <w:sz w:val="20"/>
          <w:szCs w:val="20"/>
          <w:lang w:val="es-ES"/>
        </w:rPr>
        <w:t xml:space="preserve"> </w:t>
      </w:r>
      <w:r w:rsidR="00AC32EF" w:rsidRPr="00D81013">
        <w:rPr>
          <w:color w:val="auto"/>
          <w:sz w:val="20"/>
          <w:szCs w:val="20"/>
          <w:lang w:val="es-ES"/>
        </w:rPr>
        <w:t>Sin perjuicio de ello, e</w:t>
      </w:r>
      <w:r w:rsidR="00FE55D9" w:rsidRPr="00D81013">
        <w:rPr>
          <w:color w:val="auto"/>
          <w:sz w:val="20"/>
          <w:szCs w:val="20"/>
          <w:lang w:val="es-ES"/>
        </w:rPr>
        <w:t xml:space="preserve">l 3 de diciembre de 2012 el tribunal reconoció la condición de pobladores de los demandantes y </w:t>
      </w:r>
      <w:r w:rsidR="00D1733A" w:rsidRPr="00D81013">
        <w:rPr>
          <w:color w:val="auto"/>
          <w:sz w:val="20"/>
          <w:szCs w:val="20"/>
          <w:lang w:val="es-ES"/>
        </w:rPr>
        <w:t>ordenó</w:t>
      </w:r>
      <w:r w:rsidR="00FE55D9" w:rsidRPr="00D81013">
        <w:rPr>
          <w:color w:val="auto"/>
          <w:sz w:val="20"/>
          <w:szCs w:val="20"/>
          <w:lang w:val="es-ES"/>
        </w:rPr>
        <w:t xml:space="preserve"> al Estado a cumplir diversas obligaciones, entre ellas la titulación del terreno a su favor.</w:t>
      </w:r>
    </w:p>
    <w:p w14:paraId="7E8156FE" w14:textId="0B77518E" w:rsidR="00871A06" w:rsidRPr="00D81013" w:rsidRDefault="004379F5" w:rsidP="007B2620">
      <w:pPr>
        <w:pStyle w:val="ListParagraph"/>
        <w:numPr>
          <w:ilvl w:val="0"/>
          <w:numId w:val="56"/>
        </w:numPr>
        <w:suppressAutoHyphens/>
        <w:spacing w:before="240" w:after="240"/>
        <w:jc w:val="both"/>
        <w:rPr>
          <w:color w:val="auto"/>
          <w:sz w:val="20"/>
          <w:szCs w:val="20"/>
          <w:lang w:val="es-ES"/>
        </w:rPr>
      </w:pPr>
      <w:r w:rsidRPr="00D81013">
        <w:rPr>
          <w:color w:val="auto"/>
          <w:sz w:val="20"/>
          <w:szCs w:val="20"/>
          <w:lang w:val="es-ES"/>
        </w:rPr>
        <w:t>T</w:t>
      </w:r>
      <w:r w:rsidR="00B025CC" w:rsidRPr="00D81013">
        <w:rPr>
          <w:color w:val="auto"/>
          <w:sz w:val="20"/>
          <w:szCs w:val="20"/>
          <w:lang w:val="es-ES"/>
        </w:rPr>
        <w:t xml:space="preserve">anto </w:t>
      </w:r>
      <w:r w:rsidR="009E71DB" w:rsidRPr="00D81013">
        <w:rPr>
          <w:color w:val="auto"/>
          <w:sz w:val="20"/>
          <w:szCs w:val="20"/>
          <w:lang w:val="es-ES"/>
        </w:rPr>
        <w:t>las presuntas víctimas</w:t>
      </w:r>
      <w:r w:rsidR="00B025CC" w:rsidRPr="00D81013">
        <w:rPr>
          <w:color w:val="auto"/>
          <w:sz w:val="20"/>
          <w:szCs w:val="20"/>
          <w:lang w:val="es-ES"/>
        </w:rPr>
        <w:t xml:space="preserve"> como </w:t>
      </w:r>
      <w:r w:rsidR="009E71DB" w:rsidRPr="00D81013">
        <w:rPr>
          <w:color w:val="auto"/>
          <w:sz w:val="20"/>
          <w:szCs w:val="20"/>
          <w:lang w:val="es-ES"/>
        </w:rPr>
        <w:t>las instituciones demandadas</w:t>
      </w:r>
      <w:r w:rsidR="00B025CC" w:rsidRPr="00D81013">
        <w:rPr>
          <w:color w:val="auto"/>
          <w:sz w:val="20"/>
          <w:szCs w:val="20"/>
          <w:lang w:val="es-ES"/>
        </w:rPr>
        <w:t xml:space="preserve"> interpusieron </w:t>
      </w:r>
      <w:r w:rsidR="00CA41A2" w:rsidRPr="00D81013">
        <w:rPr>
          <w:color w:val="auto"/>
          <w:sz w:val="20"/>
          <w:szCs w:val="20"/>
          <w:lang w:val="es-ES"/>
        </w:rPr>
        <w:t xml:space="preserve">un </w:t>
      </w:r>
      <w:r w:rsidR="00B025CC" w:rsidRPr="00D81013">
        <w:rPr>
          <w:color w:val="auto"/>
          <w:sz w:val="20"/>
          <w:szCs w:val="20"/>
          <w:lang w:val="es-ES"/>
        </w:rPr>
        <w:t xml:space="preserve">recurso de casación. </w:t>
      </w:r>
      <w:r w:rsidR="009E71DB" w:rsidRPr="00D81013">
        <w:rPr>
          <w:color w:val="auto"/>
          <w:sz w:val="20"/>
          <w:szCs w:val="20"/>
          <w:lang w:val="es-ES"/>
        </w:rPr>
        <w:t>E</w:t>
      </w:r>
      <w:r w:rsidR="00852E36" w:rsidRPr="00D81013">
        <w:rPr>
          <w:color w:val="auto"/>
          <w:sz w:val="20"/>
          <w:szCs w:val="20"/>
          <w:lang w:val="es-ES"/>
        </w:rPr>
        <w:t>l</w:t>
      </w:r>
      <w:r w:rsidR="00B025CC" w:rsidRPr="00D81013">
        <w:rPr>
          <w:color w:val="auto"/>
          <w:sz w:val="20"/>
          <w:szCs w:val="20"/>
          <w:lang w:val="es-ES"/>
        </w:rPr>
        <w:t xml:space="preserve"> 10 de marzo de 2016 la Sala Primera de la Corte Suprema de Justicia anuló la sentencia de primera instancia</w:t>
      </w:r>
      <w:r w:rsidR="00CA41A2" w:rsidRPr="00D81013">
        <w:rPr>
          <w:color w:val="auto"/>
          <w:sz w:val="20"/>
          <w:szCs w:val="20"/>
          <w:lang w:val="es-ES"/>
        </w:rPr>
        <w:t xml:space="preserve"> </w:t>
      </w:r>
      <w:r w:rsidR="00B025CC" w:rsidRPr="00D81013">
        <w:rPr>
          <w:color w:val="auto"/>
          <w:sz w:val="20"/>
          <w:szCs w:val="20"/>
          <w:lang w:val="es-ES"/>
        </w:rPr>
        <w:t>y rechazó en todas sus partes la demanda</w:t>
      </w:r>
      <w:r w:rsidR="00852E36" w:rsidRPr="00D81013">
        <w:rPr>
          <w:color w:val="auto"/>
          <w:sz w:val="20"/>
          <w:szCs w:val="20"/>
          <w:lang w:val="es-ES"/>
        </w:rPr>
        <w:t>.</w:t>
      </w:r>
      <w:r w:rsidR="00B025CC" w:rsidRPr="00D81013">
        <w:rPr>
          <w:color w:val="auto"/>
          <w:sz w:val="20"/>
          <w:szCs w:val="20"/>
          <w:lang w:val="es-ES"/>
        </w:rPr>
        <w:t xml:space="preserve"> </w:t>
      </w:r>
      <w:r w:rsidR="00AB5940" w:rsidRPr="00D81013">
        <w:rPr>
          <w:color w:val="auto"/>
          <w:sz w:val="20"/>
          <w:szCs w:val="20"/>
          <w:lang w:val="es-ES"/>
        </w:rPr>
        <w:t>El peticionario</w:t>
      </w:r>
      <w:r w:rsidR="00F81290" w:rsidRPr="00D81013">
        <w:rPr>
          <w:color w:val="auto"/>
          <w:sz w:val="20"/>
          <w:szCs w:val="20"/>
          <w:lang w:val="es-ES"/>
        </w:rPr>
        <w:t xml:space="preserve"> </w:t>
      </w:r>
      <w:r w:rsidR="009E7F1E" w:rsidRPr="00D81013">
        <w:rPr>
          <w:color w:val="auto"/>
          <w:sz w:val="20"/>
          <w:szCs w:val="20"/>
          <w:lang w:val="es-ES"/>
        </w:rPr>
        <w:t>denuncia</w:t>
      </w:r>
      <w:r w:rsidR="00CA41A2" w:rsidRPr="00D81013">
        <w:rPr>
          <w:color w:val="auto"/>
          <w:sz w:val="20"/>
          <w:szCs w:val="20"/>
          <w:lang w:val="es-ES"/>
        </w:rPr>
        <w:t xml:space="preserve"> que </w:t>
      </w:r>
      <w:r w:rsidR="00210E87" w:rsidRPr="00D81013">
        <w:rPr>
          <w:color w:val="auto"/>
          <w:sz w:val="20"/>
          <w:szCs w:val="20"/>
          <w:lang w:val="es-ES"/>
        </w:rPr>
        <w:t>esta sentencia</w:t>
      </w:r>
      <w:r w:rsidR="00F81290" w:rsidRPr="00D81013">
        <w:rPr>
          <w:color w:val="auto"/>
          <w:sz w:val="20"/>
          <w:szCs w:val="20"/>
          <w:lang w:val="es-ES"/>
        </w:rPr>
        <w:t xml:space="preserve"> </w:t>
      </w:r>
      <w:r w:rsidR="00AE6106" w:rsidRPr="00D81013">
        <w:rPr>
          <w:color w:val="auto"/>
          <w:sz w:val="20"/>
          <w:szCs w:val="20"/>
          <w:lang w:val="es-ES"/>
        </w:rPr>
        <w:t>genera</w:t>
      </w:r>
      <w:r w:rsidR="00B025CC" w:rsidRPr="00D81013">
        <w:rPr>
          <w:color w:val="auto"/>
          <w:sz w:val="20"/>
          <w:szCs w:val="20"/>
          <w:lang w:val="es-ES"/>
        </w:rPr>
        <w:t xml:space="preserve"> una problemática social y habitacional, dada la magnitud del desalojo y desplazamiento colectivo que </w:t>
      </w:r>
      <w:r w:rsidR="00F81290" w:rsidRPr="00D81013">
        <w:rPr>
          <w:color w:val="auto"/>
          <w:sz w:val="20"/>
          <w:szCs w:val="20"/>
          <w:lang w:val="es-ES"/>
        </w:rPr>
        <w:t>implicaría</w:t>
      </w:r>
      <w:r w:rsidR="0068687C" w:rsidRPr="00D81013">
        <w:rPr>
          <w:color w:val="auto"/>
          <w:sz w:val="20"/>
          <w:szCs w:val="20"/>
          <w:lang w:val="es-ES"/>
        </w:rPr>
        <w:t xml:space="preserve"> su ejecución</w:t>
      </w:r>
      <w:r w:rsidR="00B025CC" w:rsidRPr="00D81013">
        <w:rPr>
          <w:color w:val="auto"/>
          <w:sz w:val="20"/>
          <w:szCs w:val="20"/>
          <w:lang w:val="es-ES"/>
        </w:rPr>
        <w:t>.</w:t>
      </w:r>
      <w:r w:rsidR="007664A0" w:rsidRPr="00D81013">
        <w:rPr>
          <w:color w:val="auto"/>
          <w:sz w:val="20"/>
          <w:szCs w:val="20"/>
          <w:lang w:val="es-ES"/>
        </w:rPr>
        <w:t xml:space="preserve"> </w:t>
      </w:r>
      <w:r w:rsidR="00760D1B" w:rsidRPr="00D81013">
        <w:rPr>
          <w:color w:val="auto"/>
          <w:sz w:val="20"/>
          <w:szCs w:val="20"/>
          <w:lang w:val="es-ES"/>
        </w:rPr>
        <w:t>Además</w:t>
      </w:r>
      <w:r w:rsidR="00871A06" w:rsidRPr="00D81013">
        <w:rPr>
          <w:color w:val="auto"/>
          <w:sz w:val="20"/>
          <w:szCs w:val="20"/>
          <w:lang w:val="es-ES"/>
        </w:rPr>
        <w:t>, afirma que el recurso de casación en el proceso contencioso administrativo no permitió una valoración integral de los hechos, la prueba ni el razonamiento jurídico empleado por el tribunal de primera instancia, pues este se limita exclusivamente a analizar los agravios jurídicos planteados por las partes.</w:t>
      </w:r>
    </w:p>
    <w:p w14:paraId="002BAF32" w14:textId="6732BEBF" w:rsidR="007664A0" w:rsidRPr="00D81013" w:rsidRDefault="00210E87" w:rsidP="007B2620">
      <w:pPr>
        <w:pStyle w:val="ListParagraph"/>
        <w:numPr>
          <w:ilvl w:val="0"/>
          <w:numId w:val="56"/>
        </w:numPr>
        <w:suppressAutoHyphens/>
        <w:spacing w:before="240" w:after="240"/>
        <w:jc w:val="both"/>
        <w:rPr>
          <w:color w:val="auto"/>
          <w:sz w:val="20"/>
          <w:szCs w:val="20"/>
          <w:lang w:val="es-ES"/>
        </w:rPr>
      </w:pPr>
      <w:r w:rsidRPr="00D81013">
        <w:rPr>
          <w:color w:val="auto"/>
          <w:sz w:val="20"/>
          <w:szCs w:val="20"/>
          <w:lang w:val="es-ES"/>
        </w:rPr>
        <w:t>Así</w:t>
      </w:r>
      <w:r w:rsidR="007664A0" w:rsidRPr="00D81013">
        <w:rPr>
          <w:color w:val="auto"/>
          <w:sz w:val="20"/>
          <w:szCs w:val="20"/>
          <w:lang w:val="es-ES"/>
        </w:rPr>
        <w:t xml:space="preserve">, </w:t>
      </w:r>
      <w:r w:rsidR="00DF79CE" w:rsidRPr="00D81013">
        <w:rPr>
          <w:color w:val="auto"/>
          <w:sz w:val="20"/>
          <w:szCs w:val="20"/>
          <w:lang w:val="es-ES"/>
        </w:rPr>
        <w:t>las presuntas víctimas</w:t>
      </w:r>
      <w:r w:rsidR="007664A0" w:rsidRPr="00D81013">
        <w:rPr>
          <w:color w:val="auto"/>
          <w:sz w:val="20"/>
          <w:szCs w:val="20"/>
          <w:lang w:val="es-ES"/>
        </w:rPr>
        <w:t xml:space="preserve"> presentaron </w:t>
      </w:r>
      <w:r w:rsidR="009E7F1E" w:rsidRPr="00D81013">
        <w:rPr>
          <w:color w:val="auto"/>
          <w:sz w:val="20"/>
          <w:szCs w:val="20"/>
          <w:lang w:val="es-ES"/>
        </w:rPr>
        <w:t>una</w:t>
      </w:r>
      <w:r w:rsidR="007664A0" w:rsidRPr="00D81013">
        <w:rPr>
          <w:color w:val="auto"/>
          <w:sz w:val="20"/>
          <w:szCs w:val="20"/>
          <w:lang w:val="es-ES"/>
        </w:rPr>
        <w:t xml:space="preserve"> gestión de </w:t>
      </w:r>
      <w:r w:rsidR="00B025CC" w:rsidRPr="00D81013">
        <w:rPr>
          <w:color w:val="auto"/>
          <w:sz w:val="20"/>
          <w:szCs w:val="20"/>
          <w:lang w:val="es-ES"/>
        </w:rPr>
        <w:t xml:space="preserve">aclaración y adición, </w:t>
      </w:r>
      <w:r w:rsidR="00593D83" w:rsidRPr="00D81013">
        <w:rPr>
          <w:color w:val="auto"/>
          <w:sz w:val="20"/>
          <w:szCs w:val="20"/>
          <w:lang w:val="es-ES"/>
        </w:rPr>
        <w:t xml:space="preserve">que la Sala Primera de la Corte Suprema de Justicia </w:t>
      </w:r>
      <w:r w:rsidR="0068687C" w:rsidRPr="00D81013">
        <w:rPr>
          <w:color w:val="auto"/>
          <w:sz w:val="20"/>
          <w:szCs w:val="20"/>
          <w:lang w:val="es-ES"/>
        </w:rPr>
        <w:t>rechazó</w:t>
      </w:r>
      <w:r w:rsidR="00B025CC" w:rsidRPr="00D81013">
        <w:rPr>
          <w:color w:val="auto"/>
          <w:sz w:val="20"/>
          <w:szCs w:val="20"/>
          <w:lang w:val="es-ES"/>
        </w:rPr>
        <w:t xml:space="preserve"> el 7 de julio de 2016</w:t>
      </w:r>
      <w:r w:rsidR="009E7F1E" w:rsidRPr="00D81013">
        <w:rPr>
          <w:color w:val="auto"/>
          <w:sz w:val="20"/>
          <w:szCs w:val="20"/>
          <w:lang w:val="es-ES"/>
        </w:rPr>
        <w:t>.</w:t>
      </w:r>
      <w:r w:rsidR="00C44D77" w:rsidRPr="00D81013">
        <w:rPr>
          <w:color w:val="auto"/>
          <w:sz w:val="20"/>
          <w:szCs w:val="20"/>
          <w:lang w:val="es-ES"/>
        </w:rPr>
        <w:t xml:space="preserve"> </w:t>
      </w:r>
      <w:r w:rsidR="00871A06" w:rsidRPr="00D81013">
        <w:rPr>
          <w:color w:val="auto"/>
          <w:sz w:val="20"/>
          <w:szCs w:val="20"/>
          <w:lang w:val="es-ES"/>
        </w:rPr>
        <w:t>El peticionario s</w:t>
      </w:r>
      <w:r w:rsidR="002411D3" w:rsidRPr="00D81013">
        <w:rPr>
          <w:color w:val="auto"/>
          <w:sz w:val="20"/>
          <w:szCs w:val="20"/>
          <w:lang w:val="es-ES"/>
        </w:rPr>
        <w:t>ostiene que dicho recurso no modifica sustantivamente el fallo, pero se integra plenamente a la sentencia</w:t>
      </w:r>
      <w:r w:rsidR="00A94906" w:rsidRPr="00D81013">
        <w:rPr>
          <w:color w:val="auto"/>
          <w:sz w:val="20"/>
          <w:szCs w:val="20"/>
          <w:lang w:val="es-ES"/>
        </w:rPr>
        <w:t>;</w:t>
      </w:r>
      <w:r w:rsidR="002411D3" w:rsidRPr="00D81013">
        <w:rPr>
          <w:color w:val="auto"/>
          <w:sz w:val="20"/>
          <w:szCs w:val="20"/>
          <w:lang w:val="es-ES"/>
        </w:rPr>
        <w:t xml:space="preserve"> por lo que la notificación de este es el acto que marca el agotamiento de la jurisdicción interna.</w:t>
      </w:r>
      <w:r w:rsidR="00871A06" w:rsidRPr="00D81013">
        <w:rPr>
          <w:color w:val="auto"/>
          <w:sz w:val="20"/>
          <w:szCs w:val="20"/>
          <w:lang w:val="es-ES"/>
        </w:rPr>
        <w:t xml:space="preserve"> </w:t>
      </w:r>
      <w:r w:rsidR="00760D1B" w:rsidRPr="00D81013">
        <w:rPr>
          <w:color w:val="auto"/>
          <w:sz w:val="20"/>
          <w:szCs w:val="20"/>
          <w:lang w:val="es-ES"/>
        </w:rPr>
        <w:t>Asimismo, c</w:t>
      </w:r>
      <w:r w:rsidR="00871A06" w:rsidRPr="00D81013">
        <w:rPr>
          <w:color w:val="auto"/>
          <w:sz w:val="20"/>
          <w:szCs w:val="20"/>
          <w:lang w:val="es-ES"/>
        </w:rPr>
        <w:t>uestiona que el amparo no procede contra resoluciones jurisdiccionales</w:t>
      </w:r>
      <w:r w:rsidR="00A94906" w:rsidRPr="00D81013">
        <w:rPr>
          <w:color w:val="auto"/>
          <w:sz w:val="20"/>
          <w:szCs w:val="20"/>
          <w:lang w:val="es-ES"/>
        </w:rPr>
        <w:t>; y entonces</w:t>
      </w:r>
      <w:r w:rsidR="00871A06" w:rsidRPr="00D81013">
        <w:rPr>
          <w:color w:val="auto"/>
          <w:sz w:val="20"/>
          <w:szCs w:val="20"/>
          <w:lang w:val="es-ES"/>
        </w:rPr>
        <w:t xml:space="preserve"> tampoco existía un mecanismo de control constitucional posterior para impugnar la constitucionalidad de la decisión de la sala primera. </w:t>
      </w:r>
    </w:p>
    <w:p w14:paraId="4E7EE2DB" w14:textId="5EADEA11" w:rsidR="00F4206D" w:rsidRPr="00D81013" w:rsidRDefault="00E1747C" w:rsidP="007B2620">
      <w:pPr>
        <w:pStyle w:val="ListParagraph"/>
        <w:numPr>
          <w:ilvl w:val="0"/>
          <w:numId w:val="56"/>
        </w:numPr>
        <w:suppressAutoHyphens/>
        <w:spacing w:before="240" w:after="240"/>
        <w:jc w:val="both"/>
        <w:rPr>
          <w:b/>
          <w:color w:val="auto"/>
          <w:sz w:val="20"/>
          <w:szCs w:val="20"/>
          <w:lang w:val="es-ES"/>
        </w:rPr>
      </w:pPr>
      <w:r w:rsidRPr="00D81013">
        <w:rPr>
          <w:color w:val="auto"/>
          <w:sz w:val="20"/>
          <w:szCs w:val="20"/>
          <w:lang w:val="es-ES"/>
        </w:rPr>
        <w:t>Finalmente, e</w:t>
      </w:r>
      <w:r w:rsidR="009949E8" w:rsidRPr="00D81013">
        <w:rPr>
          <w:color w:val="auto"/>
          <w:sz w:val="20"/>
          <w:szCs w:val="20"/>
          <w:lang w:val="es-ES"/>
        </w:rPr>
        <w:t xml:space="preserve">l </w:t>
      </w:r>
      <w:r w:rsidR="00CA41A2" w:rsidRPr="00D81013">
        <w:rPr>
          <w:color w:val="auto"/>
          <w:sz w:val="20"/>
          <w:szCs w:val="20"/>
          <w:lang w:val="es-ES"/>
        </w:rPr>
        <w:t>peticionario</w:t>
      </w:r>
      <w:r w:rsidR="009949E8" w:rsidRPr="00D81013">
        <w:rPr>
          <w:color w:val="auto"/>
          <w:sz w:val="20"/>
          <w:szCs w:val="20"/>
          <w:lang w:val="es-ES"/>
        </w:rPr>
        <w:t xml:space="preserve"> </w:t>
      </w:r>
      <w:r w:rsidR="00032AC9" w:rsidRPr="00D81013">
        <w:rPr>
          <w:color w:val="auto"/>
          <w:sz w:val="20"/>
          <w:szCs w:val="20"/>
          <w:lang w:val="es-ES"/>
        </w:rPr>
        <w:t>informa</w:t>
      </w:r>
      <w:r w:rsidR="009949E8" w:rsidRPr="00D81013">
        <w:rPr>
          <w:color w:val="auto"/>
          <w:sz w:val="20"/>
          <w:szCs w:val="20"/>
          <w:lang w:val="es-ES"/>
        </w:rPr>
        <w:t xml:space="preserve"> que</w:t>
      </w:r>
      <w:r w:rsidR="00B025CC" w:rsidRPr="00D81013">
        <w:rPr>
          <w:color w:val="auto"/>
          <w:sz w:val="20"/>
          <w:szCs w:val="20"/>
          <w:lang w:val="es-ES"/>
        </w:rPr>
        <w:t xml:space="preserve"> entre el 31 de octubre y el 4 de noviembre de 2016, funcionarios del </w:t>
      </w:r>
      <w:r w:rsidR="009949E8" w:rsidRPr="00D81013">
        <w:rPr>
          <w:color w:val="auto"/>
          <w:sz w:val="20"/>
          <w:szCs w:val="20"/>
          <w:lang w:val="es-ES"/>
        </w:rPr>
        <w:t xml:space="preserve">Ministerio del Ambiente, Energía y Telecomunicaciones </w:t>
      </w:r>
      <w:r w:rsidR="00B025CC" w:rsidRPr="00D81013">
        <w:rPr>
          <w:color w:val="auto"/>
          <w:sz w:val="20"/>
          <w:szCs w:val="20"/>
          <w:lang w:val="es-ES"/>
        </w:rPr>
        <w:t xml:space="preserve">y del </w:t>
      </w:r>
      <w:r w:rsidR="009949E8" w:rsidRPr="00D81013">
        <w:rPr>
          <w:color w:val="auto"/>
          <w:sz w:val="20"/>
          <w:szCs w:val="20"/>
          <w:lang w:val="es-ES"/>
        </w:rPr>
        <w:t xml:space="preserve">Sistema Nacional de Áreas de Conservación </w:t>
      </w:r>
      <w:r w:rsidR="00B025CC" w:rsidRPr="00D81013">
        <w:rPr>
          <w:color w:val="auto"/>
          <w:sz w:val="20"/>
          <w:szCs w:val="20"/>
          <w:lang w:val="es-ES"/>
        </w:rPr>
        <w:t>visitaron las casas de las presuntas víctimas, hostigándolas verbalmente y advirtiéndoles que el desalojo masivo sería ejecutado en breve, ya sea en forma voluntaria o forzosa.</w:t>
      </w:r>
      <w:r w:rsidR="00B025CC" w:rsidRPr="00D81013">
        <w:rPr>
          <w:b/>
          <w:color w:val="auto"/>
          <w:sz w:val="20"/>
          <w:szCs w:val="20"/>
          <w:lang w:val="es-ES"/>
        </w:rPr>
        <w:t xml:space="preserve"> </w:t>
      </w:r>
    </w:p>
    <w:p w14:paraId="0E1442DC" w14:textId="20CC9D20" w:rsidR="00787D5D" w:rsidRPr="00D81013" w:rsidRDefault="009949E8" w:rsidP="007B2620">
      <w:pPr>
        <w:pStyle w:val="ListParagraph"/>
        <w:numPr>
          <w:ilvl w:val="0"/>
          <w:numId w:val="56"/>
        </w:numPr>
        <w:spacing w:before="240" w:after="240"/>
        <w:jc w:val="both"/>
        <w:rPr>
          <w:color w:val="auto"/>
          <w:sz w:val="20"/>
          <w:szCs w:val="20"/>
          <w:lang w:val="es-ES"/>
        </w:rPr>
      </w:pPr>
      <w:r w:rsidRPr="00D81013">
        <w:rPr>
          <w:color w:val="auto"/>
          <w:sz w:val="20"/>
          <w:szCs w:val="20"/>
          <w:lang w:val="es-ES"/>
        </w:rPr>
        <w:t xml:space="preserve">Con base en lo expuesto, el peticionario sostiene que </w:t>
      </w:r>
      <w:r w:rsidR="003C5352" w:rsidRPr="00D81013">
        <w:rPr>
          <w:color w:val="auto"/>
          <w:sz w:val="20"/>
          <w:szCs w:val="20"/>
          <w:lang w:val="es-ES"/>
        </w:rPr>
        <w:t xml:space="preserve">Costa Rica </w:t>
      </w:r>
      <w:r w:rsidR="00E1747C" w:rsidRPr="00D81013">
        <w:rPr>
          <w:color w:val="auto"/>
          <w:sz w:val="20"/>
          <w:szCs w:val="20"/>
          <w:lang w:val="es-ES"/>
        </w:rPr>
        <w:t xml:space="preserve">vulneró los derechos de </w:t>
      </w:r>
      <w:r w:rsidR="00DF79CE" w:rsidRPr="00D81013">
        <w:rPr>
          <w:color w:val="auto"/>
          <w:sz w:val="20"/>
          <w:szCs w:val="20"/>
          <w:lang w:val="es-ES"/>
        </w:rPr>
        <w:t>las presuntas víctimas</w:t>
      </w:r>
      <w:r w:rsidRPr="00D81013">
        <w:rPr>
          <w:color w:val="auto"/>
          <w:sz w:val="20"/>
          <w:szCs w:val="20"/>
          <w:lang w:val="es-ES"/>
        </w:rPr>
        <w:t>,</w:t>
      </w:r>
      <w:r w:rsidR="003C5352" w:rsidRPr="00D81013">
        <w:rPr>
          <w:color w:val="auto"/>
          <w:sz w:val="20"/>
          <w:szCs w:val="20"/>
          <w:lang w:val="es-ES"/>
        </w:rPr>
        <w:t xml:space="preserve"> </w:t>
      </w:r>
      <w:r w:rsidR="00A0696E" w:rsidRPr="00D81013">
        <w:rPr>
          <w:color w:val="auto"/>
          <w:sz w:val="20"/>
          <w:szCs w:val="20"/>
          <w:lang w:val="es-ES"/>
        </w:rPr>
        <w:t xml:space="preserve">en la medida en que no resolvió </w:t>
      </w:r>
      <w:r w:rsidR="008E465A" w:rsidRPr="00D81013">
        <w:rPr>
          <w:color w:val="auto"/>
          <w:sz w:val="20"/>
          <w:szCs w:val="20"/>
          <w:lang w:val="es-ES"/>
        </w:rPr>
        <w:t>su</w:t>
      </w:r>
      <w:r w:rsidR="00A0696E" w:rsidRPr="00D81013">
        <w:rPr>
          <w:color w:val="auto"/>
          <w:sz w:val="20"/>
          <w:szCs w:val="20"/>
          <w:lang w:val="es-ES"/>
        </w:rPr>
        <w:t xml:space="preserve"> situación </w:t>
      </w:r>
      <w:r w:rsidR="008E465A" w:rsidRPr="00D81013">
        <w:rPr>
          <w:color w:val="auto"/>
          <w:sz w:val="20"/>
          <w:szCs w:val="20"/>
          <w:lang w:val="es-ES"/>
        </w:rPr>
        <w:t>habitacional</w:t>
      </w:r>
      <w:r w:rsidR="00B239E8" w:rsidRPr="00D81013">
        <w:rPr>
          <w:color w:val="auto"/>
          <w:sz w:val="20"/>
          <w:szCs w:val="20"/>
          <w:lang w:val="es-ES"/>
        </w:rPr>
        <w:t>;</w:t>
      </w:r>
      <w:r w:rsidR="001C48AA" w:rsidRPr="00D81013">
        <w:rPr>
          <w:color w:val="auto"/>
          <w:sz w:val="20"/>
          <w:szCs w:val="20"/>
          <w:lang w:val="es-ES"/>
        </w:rPr>
        <w:t xml:space="preserve"> sino que</w:t>
      </w:r>
      <w:r w:rsidR="00B239E8" w:rsidRPr="00D81013">
        <w:rPr>
          <w:color w:val="auto"/>
          <w:sz w:val="20"/>
          <w:szCs w:val="20"/>
          <w:lang w:val="es-ES"/>
        </w:rPr>
        <w:t>,</w:t>
      </w:r>
      <w:r w:rsidR="00AD5ED1" w:rsidRPr="00D81013">
        <w:rPr>
          <w:color w:val="auto"/>
          <w:sz w:val="20"/>
          <w:szCs w:val="20"/>
          <w:lang w:val="es-ES"/>
        </w:rPr>
        <w:t xml:space="preserve"> por el contrario</w:t>
      </w:r>
      <w:r w:rsidR="00B239E8" w:rsidRPr="00D81013">
        <w:rPr>
          <w:color w:val="auto"/>
          <w:sz w:val="20"/>
          <w:szCs w:val="20"/>
          <w:lang w:val="es-ES"/>
        </w:rPr>
        <w:t>,</w:t>
      </w:r>
      <w:r w:rsidR="00AD5ED1" w:rsidRPr="00D81013">
        <w:rPr>
          <w:color w:val="auto"/>
          <w:sz w:val="20"/>
          <w:szCs w:val="20"/>
          <w:lang w:val="es-ES"/>
        </w:rPr>
        <w:t xml:space="preserve"> adoptó decisiones y medidas que propiciaron desalojos forzosos que afectan a una comunidad integrada, entre otros, por adultos mayores, madres jefas de hogar y menores de edad.</w:t>
      </w:r>
    </w:p>
    <w:p w14:paraId="60E2A4EF" w14:textId="75BDFFC8" w:rsidR="00FB1CB0" w:rsidRPr="00D81013" w:rsidRDefault="00D55654" w:rsidP="007B2620">
      <w:pPr>
        <w:pStyle w:val="ListParagraph"/>
        <w:numPr>
          <w:ilvl w:val="0"/>
          <w:numId w:val="56"/>
        </w:numPr>
        <w:suppressAutoHyphens/>
        <w:spacing w:before="240" w:after="240"/>
        <w:jc w:val="both"/>
        <w:rPr>
          <w:color w:val="auto"/>
          <w:sz w:val="20"/>
          <w:szCs w:val="20"/>
          <w:lang w:val="es-ES"/>
        </w:rPr>
      </w:pPr>
      <w:r w:rsidRPr="00D81013">
        <w:rPr>
          <w:color w:val="auto"/>
          <w:sz w:val="20"/>
          <w:szCs w:val="20"/>
          <w:lang w:val="es-ES"/>
        </w:rPr>
        <w:t>Además plantea</w:t>
      </w:r>
      <w:r w:rsidR="00FB1CB0" w:rsidRPr="00D81013">
        <w:rPr>
          <w:color w:val="auto"/>
          <w:sz w:val="20"/>
          <w:szCs w:val="20"/>
          <w:lang w:val="es-ES"/>
        </w:rPr>
        <w:t xml:space="preserve"> que el sentido de la declaratoria de patrimonio natural resulta incompatible con un territorio que en </w:t>
      </w:r>
      <w:r w:rsidR="00871A06" w:rsidRPr="00D81013">
        <w:rPr>
          <w:color w:val="auto"/>
          <w:sz w:val="20"/>
          <w:szCs w:val="20"/>
          <w:lang w:val="es-ES"/>
        </w:rPr>
        <w:t xml:space="preserve">realidad </w:t>
      </w:r>
      <w:r w:rsidR="00FB1CB0" w:rsidRPr="00D81013">
        <w:rPr>
          <w:color w:val="auto"/>
          <w:sz w:val="20"/>
          <w:szCs w:val="20"/>
          <w:lang w:val="es-ES"/>
        </w:rPr>
        <w:t>se encuentra consolidado como área habitacional y situado junto a desarrollos turísticos. En esa línea, menciona que la Asamblea Legislativa ha impulsado el Proyecto de Ley 21.558, cuyos estudios técnicos indicarían que la mayor parte de la Zona Americana carece de características propias del patrimonio natural</w:t>
      </w:r>
      <w:r w:rsidR="009A3914" w:rsidRPr="00D81013">
        <w:rPr>
          <w:color w:val="auto"/>
          <w:sz w:val="20"/>
          <w:szCs w:val="20"/>
          <w:lang w:val="es-ES"/>
        </w:rPr>
        <w:t>,</w:t>
      </w:r>
      <w:r w:rsidR="00FB1CB0" w:rsidRPr="00D81013">
        <w:rPr>
          <w:color w:val="auto"/>
          <w:sz w:val="20"/>
          <w:szCs w:val="20"/>
          <w:lang w:val="es-ES"/>
        </w:rPr>
        <w:t xml:space="preserve"> y </w:t>
      </w:r>
      <w:r w:rsidR="00871A06" w:rsidRPr="00D81013">
        <w:rPr>
          <w:color w:val="auto"/>
          <w:sz w:val="20"/>
          <w:szCs w:val="20"/>
          <w:lang w:val="es-ES"/>
        </w:rPr>
        <w:t>se trata de</w:t>
      </w:r>
      <w:r w:rsidR="00FB1CB0" w:rsidRPr="00D81013">
        <w:rPr>
          <w:color w:val="auto"/>
          <w:sz w:val="20"/>
          <w:szCs w:val="20"/>
          <w:lang w:val="es-ES"/>
        </w:rPr>
        <w:t xml:space="preserve"> una zona urbana consolidada, lo que a su juicio confirma la desconexión entre la normativa aplicada y la realidad social del lugar.</w:t>
      </w:r>
    </w:p>
    <w:p w14:paraId="166582DC" w14:textId="6389ABF9" w:rsidR="005B0E36" w:rsidRPr="00D81013" w:rsidRDefault="005B0E36" w:rsidP="00A1479A">
      <w:pPr>
        <w:pStyle w:val="ListParagraph"/>
        <w:suppressAutoHyphens/>
        <w:spacing w:before="240" w:after="240"/>
        <w:ind w:left="0" w:firstLine="720"/>
        <w:jc w:val="both"/>
        <w:rPr>
          <w:b/>
          <w:color w:val="auto"/>
          <w:sz w:val="20"/>
          <w:szCs w:val="20"/>
          <w:lang w:val="es-ES"/>
        </w:rPr>
      </w:pPr>
      <w:r w:rsidRPr="00D81013">
        <w:rPr>
          <w:b/>
          <w:color w:val="auto"/>
          <w:sz w:val="20"/>
          <w:szCs w:val="20"/>
          <w:lang w:val="es-ES"/>
        </w:rPr>
        <w:t xml:space="preserve">El Estado </w:t>
      </w:r>
      <w:r w:rsidR="004D1818" w:rsidRPr="00D81013">
        <w:rPr>
          <w:b/>
          <w:color w:val="auto"/>
          <w:sz w:val="20"/>
          <w:szCs w:val="20"/>
          <w:lang w:val="es-ES"/>
        </w:rPr>
        <w:t>costarricense</w:t>
      </w:r>
    </w:p>
    <w:p w14:paraId="5E4318A0" w14:textId="64B49224" w:rsidR="009440D1" w:rsidRPr="00D81013" w:rsidRDefault="00A03C59" w:rsidP="007B2620">
      <w:pPr>
        <w:pStyle w:val="ListParagraph"/>
        <w:numPr>
          <w:ilvl w:val="0"/>
          <w:numId w:val="56"/>
        </w:numPr>
        <w:spacing w:before="240" w:after="240"/>
        <w:jc w:val="both"/>
        <w:rPr>
          <w:color w:val="auto"/>
          <w:sz w:val="20"/>
          <w:szCs w:val="20"/>
          <w:lang w:val="es-ES"/>
        </w:rPr>
      </w:pPr>
      <w:r w:rsidRPr="00D81013">
        <w:rPr>
          <w:color w:val="auto"/>
          <w:sz w:val="20"/>
          <w:szCs w:val="20"/>
          <w:lang w:val="es-ES"/>
        </w:rPr>
        <w:t xml:space="preserve">Por su parte, el Estado replica que la petición es inadmisible por haber sido presentada de forma extemporánea, en cuanto </w:t>
      </w:r>
      <w:r w:rsidR="009440D1" w:rsidRPr="00D81013">
        <w:rPr>
          <w:color w:val="auto"/>
          <w:sz w:val="20"/>
          <w:szCs w:val="20"/>
          <w:lang w:val="es-ES"/>
        </w:rPr>
        <w:t xml:space="preserve">la resolución que puso fin al proceso contencioso administrativo </w:t>
      </w:r>
      <w:r w:rsidR="00E87747" w:rsidRPr="00D81013">
        <w:rPr>
          <w:color w:val="auto"/>
          <w:sz w:val="20"/>
          <w:szCs w:val="20"/>
          <w:lang w:val="es-ES"/>
        </w:rPr>
        <w:t xml:space="preserve">fue </w:t>
      </w:r>
      <w:r w:rsidRPr="00D81013">
        <w:rPr>
          <w:color w:val="auto"/>
          <w:sz w:val="20"/>
          <w:szCs w:val="20"/>
          <w:lang w:val="es-ES"/>
        </w:rPr>
        <w:t xml:space="preserve">la decisión de </w:t>
      </w:r>
      <w:r w:rsidR="009440D1" w:rsidRPr="00D81013">
        <w:rPr>
          <w:color w:val="auto"/>
          <w:sz w:val="20"/>
          <w:szCs w:val="20"/>
          <w:lang w:val="es-ES"/>
        </w:rPr>
        <w:t>la Sala Primera de la Corte Suprema de Justicia el 10 de marzo de 2016, notificada el 20 de abril de 2016</w:t>
      </w:r>
      <w:r w:rsidRPr="00D81013">
        <w:rPr>
          <w:color w:val="auto"/>
          <w:sz w:val="20"/>
          <w:szCs w:val="20"/>
          <w:lang w:val="es-ES"/>
        </w:rPr>
        <w:t>, en la que se revocó la sentencia de primera instancia y se negaron las pretensiones de los demandantes.</w:t>
      </w:r>
      <w:r w:rsidR="009440D1" w:rsidRPr="00D81013">
        <w:rPr>
          <w:color w:val="auto"/>
          <w:sz w:val="20"/>
          <w:szCs w:val="20"/>
          <w:lang w:val="es-ES"/>
        </w:rPr>
        <w:t xml:space="preserve"> Sostiene que la gestión de aclaración y adición tiene un carácter meramente instrumental y no modifica el contenido del fallo, por lo que la sentencia de casación constituye la decisión definitiva a efectos del cómputo del plazo previsto en el artículo 46.1.b) de la Convención Americana.</w:t>
      </w:r>
    </w:p>
    <w:p w14:paraId="4F148AEA" w14:textId="765008A2" w:rsidR="009440D1" w:rsidRPr="00D81013" w:rsidRDefault="002E2011" w:rsidP="007B2620">
      <w:pPr>
        <w:pStyle w:val="ListParagraph"/>
        <w:numPr>
          <w:ilvl w:val="0"/>
          <w:numId w:val="56"/>
        </w:numPr>
        <w:spacing w:before="240" w:after="240"/>
        <w:jc w:val="both"/>
        <w:rPr>
          <w:color w:val="auto"/>
          <w:sz w:val="20"/>
          <w:szCs w:val="20"/>
          <w:lang w:val="es-ES"/>
        </w:rPr>
      </w:pPr>
      <w:r w:rsidRPr="00D81013">
        <w:rPr>
          <w:color w:val="auto"/>
          <w:sz w:val="20"/>
          <w:szCs w:val="20"/>
          <w:lang w:val="es-ES"/>
        </w:rPr>
        <w:t>En</w:t>
      </w:r>
      <w:r w:rsidR="009440D1" w:rsidRPr="00D81013">
        <w:rPr>
          <w:color w:val="auto"/>
          <w:sz w:val="20"/>
          <w:szCs w:val="20"/>
          <w:lang w:val="es-ES"/>
        </w:rPr>
        <w:t xml:space="preserve"> relación </w:t>
      </w:r>
      <w:r w:rsidRPr="00D81013">
        <w:rPr>
          <w:color w:val="auto"/>
          <w:sz w:val="20"/>
          <w:szCs w:val="20"/>
          <w:lang w:val="es-ES"/>
        </w:rPr>
        <w:t>con</w:t>
      </w:r>
      <w:r w:rsidR="009440D1" w:rsidRPr="00D81013">
        <w:rPr>
          <w:color w:val="auto"/>
          <w:sz w:val="20"/>
          <w:szCs w:val="20"/>
          <w:lang w:val="es-ES"/>
        </w:rPr>
        <w:t xml:space="preserve"> la alegada </w:t>
      </w:r>
      <w:r w:rsidR="00A03C59" w:rsidRPr="00D81013">
        <w:rPr>
          <w:color w:val="auto"/>
          <w:sz w:val="20"/>
          <w:szCs w:val="20"/>
          <w:lang w:val="es-ES"/>
        </w:rPr>
        <w:t>inconstitucionalidad y</w:t>
      </w:r>
      <w:r w:rsidR="009440D1" w:rsidRPr="00D81013">
        <w:rPr>
          <w:color w:val="auto"/>
          <w:sz w:val="20"/>
          <w:szCs w:val="20"/>
          <w:lang w:val="es-ES"/>
        </w:rPr>
        <w:t xml:space="preserve"> la aplicación retroactiva del Decreto Ejecutivo 35325-MP-MINAET, Costa Rica indica que </w:t>
      </w:r>
      <w:r w:rsidR="00DF79CE" w:rsidRPr="00D81013">
        <w:rPr>
          <w:color w:val="auto"/>
          <w:sz w:val="20"/>
          <w:szCs w:val="20"/>
          <w:lang w:val="es-ES"/>
        </w:rPr>
        <w:t>las presuntas víctimas</w:t>
      </w:r>
      <w:r w:rsidR="009440D1" w:rsidRPr="00D81013">
        <w:rPr>
          <w:color w:val="auto"/>
          <w:sz w:val="20"/>
          <w:szCs w:val="20"/>
          <w:lang w:val="es-ES"/>
        </w:rPr>
        <w:t xml:space="preserve"> no promovieron la acción de inconstitucionalidad disponible. Precisa que en 2010 la </w:t>
      </w:r>
      <w:r w:rsidR="006C3200" w:rsidRPr="00D81013">
        <w:rPr>
          <w:color w:val="auto"/>
          <w:sz w:val="20"/>
          <w:szCs w:val="20"/>
          <w:lang w:val="es-ES"/>
        </w:rPr>
        <w:t>S</w:t>
      </w:r>
      <w:r w:rsidR="009440D1" w:rsidRPr="00D81013">
        <w:rPr>
          <w:color w:val="auto"/>
          <w:sz w:val="20"/>
          <w:szCs w:val="20"/>
          <w:lang w:val="es-ES"/>
        </w:rPr>
        <w:t xml:space="preserve">ala </w:t>
      </w:r>
      <w:r w:rsidR="006C3200" w:rsidRPr="00D81013">
        <w:rPr>
          <w:color w:val="auto"/>
          <w:sz w:val="20"/>
          <w:szCs w:val="20"/>
          <w:lang w:val="es-ES"/>
        </w:rPr>
        <w:t>C</w:t>
      </w:r>
      <w:r w:rsidR="009440D1" w:rsidRPr="00D81013">
        <w:rPr>
          <w:color w:val="auto"/>
          <w:sz w:val="20"/>
          <w:szCs w:val="20"/>
          <w:lang w:val="es-ES"/>
        </w:rPr>
        <w:t xml:space="preserve">onstitucional resolvió una acción contra el mismo decreto, lo que demostraría que existe un mecanismo idóneo para activar ese control, aun cuando las presuntas </w:t>
      </w:r>
      <w:r w:rsidR="009440D1" w:rsidRPr="00D81013">
        <w:rPr>
          <w:color w:val="auto"/>
          <w:sz w:val="20"/>
          <w:szCs w:val="20"/>
          <w:lang w:val="es-ES"/>
        </w:rPr>
        <w:lastRenderedPageBreak/>
        <w:t>víctimas no hubieran sido parte procesal. Con base en ello, afirma que no se agotó el recurso interno pertinente para cuestionar la supuesta aplicación retroactiva del decreto.</w:t>
      </w:r>
    </w:p>
    <w:p w14:paraId="62221636" w14:textId="77682F5A" w:rsidR="009440D1" w:rsidRPr="00D81013" w:rsidRDefault="009440D1" w:rsidP="007B2620">
      <w:pPr>
        <w:pStyle w:val="ListParagraph"/>
        <w:numPr>
          <w:ilvl w:val="0"/>
          <w:numId w:val="56"/>
        </w:numPr>
        <w:spacing w:before="240" w:after="240"/>
        <w:jc w:val="both"/>
        <w:rPr>
          <w:color w:val="auto"/>
          <w:sz w:val="20"/>
          <w:szCs w:val="20"/>
          <w:lang w:val="es-ES"/>
        </w:rPr>
      </w:pPr>
      <w:r w:rsidRPr="00D81013">
        <w:rPr>
          <w:color w:val="auto"/>
          <w:sz w:val="20"/>
          <w:szCs w:val="20"/>
          <w:lang w:val="es-ES"/>
        </w:rPr>
        <w:t xml:space="preserve">Sin perjuicio de lo anterior, en caso de que la Comisión estime agotada la jurisdicción interna, Costa Rica explica que </w:t>
      </w:r>
      <w:r w:rsidR="004A48BB" w:rsidRPr="00D81013">
        <w:rPr>
          <w:color w:val="auto"/>
          <w:sz w:val="20"/>
          <w:szCs w:val="20"/>
          <w:lang w:val="es-ES"/>
        </w:rPr>
        <w:t>el</w:t>
      </w:r>
      <w:r w:rsidRPr="00D81013">
        <w:rPr>
          <w:color w:val="auto"/>
          <w:sz w:val="20"/>
          <w:szCs w:val="20"/>
          <w:lang w:val="es-ES"/>
        </w:rPr>
        <w:t xml:space="preserve"> </w:t>
      </w:r>
      <w:r w:rsidR="004A48BB" w:rsidRPr="00D81013">
        <w:rPr>
          <w:color w:val="auto"/>
          <w:sz w:val="20"/>
          <w:szCs w:val="20"/>
          <w:lang w:val="es-ES"/>
        </w:rPr>
        <w:t>tribunal</w:t>
      </w:r>
      <w:r w:rsidRPr="00D81013">
        <w:rPr>
          <w:color w:val="auto"/>
          <w:sz w:val="20"/>
          <w:szCs w:val="20"/>
          <w:lang w:val="es-ES"/>
        </w:rPr>
        <w:t xml:space="preserve"> de casación </w:t>
      </w:r>
      <w:r w:rsidR="004A48BB" w:rsidRPr="00D81013">
        <w:rPr>
          <w:color w:val="auto"/>
          <w:sz w:val="20"/>
          <w:szCs w:val="20"/>
          <w:lang w:val="es-ES"/>
        </w:rPr>
        <w:t>está facultado para</w:t>
      </w:r>
      <w:r w:rsidRPr="00D81013">
        <w:rPr>
          <w:color w:val="auto"/>
          <w:sz w:val="20"/>
          <w:szCs w:val="20"/>
          <w:lang w:val="es-ES"/>
        </w:rPr>
        <w:t xml:space="preserve"> revisar vicios de fondo y de forma, valorar nuevos elementos probatorios o solicitar prueba para mejor resolver, así como examinar infracciones legales, principios constitucionales y supuestos de indefensión. </w:t>
      </w:r>
      <w:r w:rsidR="006C3200" w:rsidRPr="00D81013">
        <w:rPr>
          <w:color w:val="auto"/>
          <w:sz w:val="20"/>
          <w:szCs w:val="20"/>
          <w:lang w:val="es-ES"/>
        </w:rPr>
        <w:t xml:space="preserve">Explica </w:t>
      </w:r>
      <w:r w:rsidR="00760D1B" w:rsidRPr="00D81013">
        <w:rPr>
          <w:color w:val="auto"/>
          <w:sz w:val="20"/>
          <w:szCs w:val="20"/>
          <w:lang w:val="es-ES"/>
        </w:rPr>
        <w:t>que, en el caso concreto, el recurso de casación determinó que</w:t>
      </w:r>
      <w:r w:rsidR="005904E9" w:rsidRPr="00D81013">
        <w:rPr>
          <w:color w:val="auto"/>
          <w:sz w:val="20"/>
          <w:szCs w:val="20"/>
          <w:lang w:val="es-ES"/>
        </w:rPr>
        <w:t>,</w:t>
      </w:r>
      <w:r w:rsidR="00760D1B" w:rsidRPr="00D81013">
        <w:rPr>
          <w:color w:val="auto"/>
          <w:sz w:val="20"/>
          <w:szCs w:val="20"/>
          <w:lang w:val="es-ES"/>
        </w:rPr>
        <w:t xml:space="preserve"> conforme a lo establecido en la Ley 26 de 1939, la obtención de la condición de “poblador” exige la previa autorización administrativa y la construcción propia de la vivienda. Dichos requisitos no fueron acreditados por las presuntas víctimas, dado que las viviendas fueron edificadas por la empresa para el uso de su personal.</w:t>
      </w:r>
      <w:r w:rsidR="006711D8" w:rsidRPr="00D81013">
        <w:rPr>
          <w:color w:val="auto"/>
          <w:sz w:val="20"/>
          <w:szCs w:val="20"/>
          <w:lang w:val="es-ES"/>
        </w:rPr>
        <w:t xml:space="preserve"> </w:t>
      </w:r>
      <w:r w:rsidRPr="00D81013">
        <w:rPr>
          <w:color w:val="auto"/>
          <w:sz w:val="20"/>
          <w:szCs w:val="20"/>
          <w:lang w:val="es-ES"/>
        </w:rPr>
        <w:t xml:space="preserve">En consecuencia, aduce que el recurso de casación </w:t>
      </w:r>
      <w:r w:rsidR="00EA62A8" w:rsidRPr="00D81013">
        <w:rPr>
          <w:color w:val="auto"/>
          <w:sz w:val="20"/>
          <w:szCs w:val="20"/>
          <w:lang w:val="es-ES"/>
        </w:rPr>
        <w:t>constituyó</w:t>
      </w:r>
      <w:r w:rsidRPr="00D81013">
        <w:rPr>
          <w:color w:val="auto"/>
          <w:sz w:val="20"/>
          <w:szCs w:val="20"/>
          <w:lang w:val="es-ES"/>
        </w:rPr>
        <w:t xml:space="preserve"> un medio adecuado y efectivo para obtener una revisión integral de la sentencia, conforme a los estándares </w:t>
      </w:r>
      <w:r w:rsidR="00760D1B" w:rsidRPr="00D81013">
        <w:rPr>
          <w:color w:val="auto"/>
          <w:sz w:val="20"/>
          <w:szCs w:val="20"/>
          <w:lang w:val="es-ES"/>
        </w:rPr>
        <w:t>convencionales</w:t>
      </w:r>
      <w:r w:rsidRPr="00D81013">
        <w:rPr>
          <w:color w:val="auto"/>
          <w:sz w:val="20"/>
          <w:szCs w:val="20"/>
          <w:lang w:val="es-ES"/>
        </w:rPr>
        <w:t>.</w:t>
      </w:r>
    </w:p>
    <w:p w14:paraId="50BB0256" w14:textId="72ED7D50" w:rsidR="009440D1" w:rsidRPr="00D81013" w:rsidRDefault="009440D1" w:rsidP="007B2620">
      <w:pPr>
        <w:pStyle w:val="ListParagraph"/>
        <w:numPr>
          <w:ilvl w:val="0"/>
          <w:numId w:val="56"/>
        </w:numPr>
        <w:spacing w:before="240" w:after="240"/>
        <w:jc w:val="both"/>
        <w:rPr>
          <w:color w:val="auto"/>
          <w:sz w:val="20"/>
          <w:szCs w:val="20"/>
          <w:lang w:val="es-ES"/>
        </w:rPr>
      </w:pPr>
      <w:r w:rsidRPr="00D81013">
        <w:rPr>
          <w:color w:val="auto"/>
          <w:sz w:val="20"/>
          <w:szCs w:val="20"/>
          <w:lang w:val="es-ES"/>
        </w:rPr>
        <w:t>Asimismo, Costa Rica señala que las fincas de la Zona Americana fueron inscritas a nombre del Estado en 1938 y 1939</w:t>
      </w:r>
      <w:r w:rsidR="00740CC6" w:rsidRPr="00D81013">
        <w:rPr>
          <w:color w:val="auto"/>
          <w:sz w:val="20"/>
          <w:szCs w:val="20"/>
          <w:lang w:val="es-ES"/>
        </w:rPr>
        <w:t>,</w:t>
      </w:r>
      <w:r w:rsidRPr="00D81013">
        <w:rPr>
          <w:color w:val="auto"/>
          <w:sz w:val="20"/>
          <w:szCs w:val="20"/>
          <w:lang w:val="es-ES"/>
        </w:rPr>
        <w:t xml:space="preserve"> y posteriormente arrendadas a una empresa bananera mediante un contrato administrativo aprobado por la Asamblea Legislativa, sin que ello implique rango de ley material ni derechos reales a favor de particulares. A pesar de ello, en 1999 y 2000 la empresa habría celebrado contratos privados de compraventa de viviendas con trabajadores y extrabajadores que</w:t>
      </w:r>
      <w:r w:rsidR="000E1DF9" w:rsidRPr="00D81013">
        <w:rPr>
          <w:color w:val="auto"/>
          <w:sz w:val="20"/>
          <w:szCs w:val="20"/>
          <w:lang w:val="es-ES"/>
        </w:rPr>
        <w:t>,</w:t>
      </w:r>
      <w:r w:rsidRPr="00D81013">
        <w:rPr>
          <w:color w:val="auto"/>
          <w:sz w:val="20"/>
          <w:szCs w:val="20"/>
          <w:lang w:val="es-ES"/>
        </w:rPr>
        <w:t xml:space="preserve"> según la </w:t>
      </w:r>
      <w:r w:rsidR="00F85FDE" w:rsidRPr="00D81013">
        <w:rPr>
          <w:color w:val="auto"/>
          <w:sz w:val="20"/>
          <w:szCs w:val="20"/>
          <w:lang w:val="es-ES"/>
        </w:rPr>
        <w:t>P</w:t>
      </w:r>
      <w:r w:rsidR="002E2011" w:rsidRPr="00D81013">
        <w:rPr>
          <w:color w:val="auto"/>
          <w:sz w:val="20"/>
          <w:szCs w:val="20"/>
          <w:lang w:val="es-ES"/>
        </w:rPr>
        <w:t>rocuraduría</w:t>
      </w:r>
      <w:r w:rsidR="00F85FDE" w:rsidRPr="00D81013">
        <w:rPr>
          <w:color w:val="auto"/>
          <w:sz w:val="20"/>
          <w:szCs w:val="20"/>
          <w:lang w:val="es-ES"/>
        </w:rPr>
        <w:t>,</w:t>
      </w:r>
      <w:r w:rsidR="002E2011" w:rsidRPr="00D81013">
        <w:rPr>
          <w:color w:val="auto"/>
          <w:sz w:val="20"/>
          <w:szCs w:val="20"/>
          <w:lang w:val="es-ES"/>
        </w:rPr>
        <w:t xml:space="preserve"> </w:t>
      </w:r>
      <w:r w:rsidRPr="00D81013">
        <w:rPr>
          <w:color w:val="auto"/>
          <w:sz w:val="20"/>
          <w:szCs w:val="20"/>
          <w:lang w:val="es-ES"/>
        </w:rPr>
        <w:t xml:space="preserve">eran ilegales por recaer sobre bienes estatales y carecían de efectos jurídicos, pues el contrato preveía que todas las construcciones revertían a su favor al finalizar el arrendamiento. </w:t>
      </w:r>
      <w:r w:rsidR="00B2320C" w:rsidRPr="00D81013">
        <w:rPr>
          <w:color w:val="auto"/>
          <w:sz w:val="20"/>
          <w:szCs w:val="20"/>
          <w:lang w:val="es-ES"/>
        </w:rPr>
        <w:t>De este modo</w:t>
      </w:r>
      <w:r w:rsidRPr="00D81013">
        <w:rPr>
          <w:color w:val="auto"/>
          <w:sz w:val="20"/>
          <w:szCs w:val="20"/>
          <w:lang w:val="es-ES"/>
        </w:rPr>
        <w:t xml:space="preserve">, </w:t>
      </w:r>
      <w:r w:rsidR="00157FB5" w:rsidRPr="00D81013">
        <w:rPr>
          <w:color w:val="auto"/>
          <w:sz w:val="20"/>
          <w:szCs w:val="20"/>
          <w:lang w:val="es-ES"/>
        </w:rPr>
        <w:t xml:space="preserve">alega que </w:t>
      </w:r>
      <w:r w:rsidR="00DF79CE" w:rsidRPr="00D81013">
        <w:rPr>
          <w:color w:val="auto"/>
          <w:sz w:val="20"/>
          <w:szCs w:val="20"/>
          <w:lang w:val="es-ES"/>
        </w:rPr>
        <w:t>las presuntas víctimas</w:t>
      </w:r>
      <w:r w:rsidR="00157FB5" w:rsidRPr="00D81013">
        <w:rPr>
          <w:color w:val="auto"/>
          <w:sz w:val="20"/>
          <w:szCs w:val="20"/>
          <w:lang w:val="es-ES"/>
        </w:rPr>
        <w:t xml:space="preserve"> no tenían título ni situación jurídica que generara derechos frente al Estado sobre las fincas ocupadas.</w:t>
      </w:r>
    </w:p>
    <w:p w14:paraId="04A3578A" w14:textId="4C2A5291" w:rsidR="003E5C8F" w:rsidRPr="00D81013" w:rsidRDefault="003E5C8F" w:rsidP="007B2620">
      <w:pPr>
        <w:pStyle w:val="ListParagraph"/>
        <w:numPr>
          <w:ilvl w:val="0"/>
          <w:numId w:val="56"/>
        </w:numPr>
        <w:spacing w:before="240" w:after="240"/>
        <w:jc w:val="both"/>
        <w:rPr>
          <w:color w:val="auto"/>
          <w:sz w:val="20"/>
          <w:szCs w:val="20"/>
          <w:lang w:val="es-ES"/>
        </w:rPr>
      </w:pPr>
      <w:r w:rsidRPr="00D81013">
        <w:rPr>
          <w:color w:val="auto"/>
          <w:sz w:val="20"/>
          <w:szCs w:val="20"/>
          <w:lang w:val="es-ES"/>
        </w:rPr>
        <w:t xml:space="preserve">En cuanto a la presunta imposibilidad de revisión constitucional de fallos judiciales, el Estado explica </w:t>
      </w:r>
      <w:r w:rsidR="00B2320C" w:rsidRPr="00D81013">
        <w:rPr>
          <w:color w:val="auto"/>
          <w:sz w:val="20"/>
          <w:szCs w:val="20"/>
          <w:lang w:val="es-ES"/>
        </w:rPr>
        <w:t xml:space="preserve">que el diseño del sistema costarricense excluye el control directo de sentencias por parte de la </w:t>
      </w:r>
      <w:r w:rsidR="00F85FDE" w:rsidRPr="00D81013">
        <w:rPr>
          <w:color w:val="auto"/>
          <w:sz w:val="20"/>
          <w:szCs w:val="20"/>
          <w:lang w:val="es-ES"/>
        </w:rPr>
        <w:t>S</w:t>
      </w:r>
      <w:r w:rsidR="00B2320C" w:rsidRPr="00D81013">
        <w:rPr>
          <w:color w:val="auto"/>
          <w:sz w:val="20"/>
          <w:szCs w:val="20"/>
          <w:lang w:val="es-ES"/>
        </w:rPr>
        <w:t xml:space="preserve">ala </w:t>
      </w:r>
      <w:r w:rsidR="00F85FDE" w:rsidRPr="00D81013">
        <w:rPr>
          <w:color w:val="auto"/>
          <w:sz w:val="20"/>
          <w:szCs w:val="20"/>
          <w:lang w:val="es-ES"/>
        </w:rPr>
        <w:t>C</w:t>
      </w:r>
      <w:r w:rsidR="00B2320C" w:rsidRPr="00D81013">
        <w:rPr>
          <w:color w:val="auto"/>
          <w:sz w:val="20"/>
          <w:szCs w:val="20"/>
          <w:lang w:val="es-ES"/>
        </w:rPr>
        <w:t>onstitucional</w:t>
      </w:r>
      <w:r w:rsidRPr="00D81013">
        <w:rPr>
          <w:color w:val="auto"/>
          <w:sz w:val="20"/>
          <w:szCs w:val="20"/>
          <w:lang w:val="es-ES"/>
        </w:rPr>
        <w:t>. Aclara, sin embargo, que ello no supone desprotección</w:t>
      </w:r>
      <w:r w:rsidR="0065124A" w:rsidRPr="00D81013">
        <w:rPr>
          <w:color w:val="auto"/>
          <w:sz w:val="20"/>
          <w:szCs w:val="20"/>
          <w:lang w:val="es-ES"/>
        </w:rPr>
        <w:t>;</w:t>
      </w:r>
      <w:r w:rsidRPr="00D81013">
        <w:rPr>
          <w:color w:val="auto"/>
          <w:sz w:val="20"/>
          <w:szCs w:val="20"/>
          <w:lang w:val="es-ES"/>
        </w:rPr>
        <w:t xml:space="preserve"> pues las eventuales vulneraciones de derechos fundamentales deben canalizarse mediante los recursos ordinarios y extraordinarios de la jurisdicción común, los cuales según reiterada jurisprudencia de la propia sala constituyen vías idóneas para restablecer derechos.</w:t>
      </w:r>
    </w:p>
    <w:p w14:paraId="39FF2D2F" w14:textId="4DE5F3FD" w:rsidR="009440D1" w:rsidRPr="00D81013" w:rsidRDefault="009440D1" w:rsidP="007B2620">
      <w:pPr>
        <w:pStyle w:val="ListParagraph"/>
        <w:numPr>
          <w:ilvl w:val="0"/>
          <w:numId w:val="56"/>
        </w:numPr>
        <w:spacing w:before="240" w:after="240"/>
        <w:jc w:val="both"/>
        <w:rPr>
          <w:color w:val="auto"/>
          <w:sz w:val="20"/>
          <w:szCs w:val="20"/>
          <w:lang w:val="es-ES"/>
        </w:rPr>
      </w:pPr>
      <w:r w:rsidRPr="00D81013">
        <w:rPr>
          <w:color w:val="auto"/>
          <w:sz w:val="20"/>
          <w:szCs w:val="20"/>
          <w:lang w:val="es-ES"/>
        </w:rPr>
        <w:t>Asimismo,</w:t>
      </w:r>
      <w:r w:rsidR="008927C6" w:rsidRPr="00D81013">
        <w:rPr>
          <w:color w:val="auto"/>
          <w:sz w:val="20"/>
          <w:szCs w:val="20"/>
          <w:lang w:val="es-ES"/>
        </w:rPr>
        <w:t xml:space="preserve"> Costa Rica</w:t>
      </w:r>
      <w:r w:rsidRPr="00D81013">
        <w:rPr>
          <w:color w:val="auto"/>
          <w:sz w:val="20"/>
          <w:szCs w:val="20"/>
          <w:lang w:val="es-ES"/>
        </w:rPr>
        <w:t xml:space="preserve"> </w:t>
      </w:r>
      <w:r w:rsidR="009D0E6B" w:rsidRPr="00D81013">
        <w:rPr>
          <w:color w:val="auto"/>
          <w:sz w:val="20"/>
          <w:szCs w:val="20"/>
          <w:lang w:val="es-ES"/>
        </w:rPr>
        <w:t>indica</w:t>
      </w:r>
      <w:r w:rsidRPr="00D81013">
        <w:rPr>
          <w:color w:val="auto"/>
          <w:sz w:val="20"/>
          <w:szCs w:val="20"/>
          <w:lang w:val="es-ES"/>
        </w:rPr>
        <w:t xml:space="preserve"> que antes de la notificación de la demanda ya existían informes técnicos del Área de Conservación Pacífico Central y del Instituto Nacional de Innovación y Transferencia en Tecnología Agropecuaria que calificaban el inmueble como patrimonio natural. </w:t>
      </w:r>
      <w:r w:rsidR="00152953" w:rsidRPr="00D81013">
        <w:rPr>
          <w:color w:val="auto"/>
          <w:sz w:val="20"/>
          <w:szCs w:val="20"/>
          <w:lang w:val="es-ES"/>
        </w:rPr>
        <w:t>C</w:t>
      </w:r>
      <w:r w:rsidRPr="00D81013">
        <w:rPr>
          <w:color w:val="auto"/>
          <w:sz w:val="20"/>
          <w:szCs w:val="20"/>
          <w:lang w:val="es-ES"/>
        </w:rPr>
        <w:t xml:space="preserve">on base en esos estudios previos se emitió el Decreto Ejecutivo 35325-MP-MINAET y las medidas adoptadas responden al deber de preservar ecosistemas y prevenir su degradación, en </w:t>
      </w:r>
      <w:r w:rsidR="00D81013" w:rsidRPr="00D81013">
        <w:rPr>
          <w:color w:val="auto"/>
          <w:sz w:val="20"/>
          <w:szCs w:val="20"/>
          <w:lang w:val="es-ES"/>
        </w:rPr>
        <w:t>concordancia</w:t>
      </w:r>
      <w:r w:rsidRPr="00D81013">
        <w:rPr>
          <w:color w:val="auto"/>
          <w:sz w:val="20"/>
          <w:szCs w:val="20"/>
          <w:lang w:val="es-ES"/>
        </w:rPr>
        <w:t xml:space="preserve"> con los estándares interamericanos sobre medio ambiente.</w:t>
      </w:r>
    </w:p>
    <w:p w14:paraId="43F6C67F" w14:textId="63E8BD75" w:rsidR="009440D1" w:rsidRPr="00D81013" w:rsidRDefault="009440D1" w:rsidP="007B2620">
      <w:pPr>
        <w:pStyle w:val="ListParagraph"/>
        <w:numPr>
          <w:ilvl w:val="0"/>
          <w:numId w:val="56"/>
        </w:numPr>
        <w:spacing w:before="240" w:after="240"/>
        <w:jc w:val="both"/>
        <w:rPr>
          <w:color w:val="auto"/>
          <w:sz w:val="20"/>
          <w:szCs w:val="20"/>
          <w:lang w:val="es-ES"/>
        </w:rPr>
      </w:pPr>
      <w:r w:rsidRPr="00D81013">
        <w:rPr>
          <w:color w:val="auto"/>
          <w:sz w:val="20"/>
          <w:szCs w:val="20"/>
          <w:lang w:val="es-ES"/>
        </w:rPr>
        <w:t>En est</w:t>
      </w:r>
      <w:r w:rsidR="005C1989" w:rsidRPr="00D81013">
        <w:rPr>
          <w:color w:val="auto"/>
          <w:sz w:val="20"/>
          <w:szCs w:val="20"/>
          <w:lang w:val="es-ES"/>
        </w:rPr>
        <w:t>e sentido</w:t>
      </w:r>
      <w:r w:rsidRPr="00D81013">
        <w:rPr>
          <w:color w:val="auto"/>
          <w:sz w:val="20"/>
          <w:szCs w:val="20"/>
          <w:lang w:val="es-ES"/>
        </w:rPr>
        <w:t>, el Estado plantea que los tribunales nacionales examinaron los hechos, la prueba y el derecho aplicable, concluyendo que los terrenos en cuestión son bienes de dominio público</w:t>
      </w:r>
      <w:r w:rsidR="005C1989" w:rsidRPr="00D81013">
        <w:rPr>
          <w:color w:val="auto"/>
          <w:sz w:val="20"/>
          <w:szCs w:val="20"/>
          <w:lang w:val="es-ES"/>
        </w:rPr>
        <w:t>;</w:t>
      </w:r>
      <w:r w:rsidRPr="00D81013">
        <w:rPr>
          <w:color w:val="auto"/>
          <w:sz w:val="20"/>
          <w:szCs w:val="20"/>
          <w:lang w:val="es-ES"/>
        </w:rPr>
        <w:t xml:space="preserve"> y</w:t>
      </w:r>
      <w:r w:rsidR="005C1989" w:rsidRPr="00D81013">
        <w:rPr>
          <w:color w:val="auto"/>
          <w:sz w:val="20"/>
          <w:szCs w:val="20"/>
          <w:lang w:val="es-ES"/>
        </w:rPr>
        <w:t>,</w:t>
      </w:r>
      <w:r w:rsidRPr="00D81013">
        <w:rPr>
          <w:color w:val="auto"/>
          <w:sz w:val="20"/>
          <w:szCs w:val="20"/>
          <w:lang w:val="es-ES"/>
        </w:rPr>
        <w:t xml:space="preserve"> por ende, no susceptibles de generar derechos posesorios a favor de particulares. En consecuencia, considera que las pretensiones de </w:t>
      </w:r>
      <w:r w:rsidR="00DF79CE" w:rsidRPr="00D81013">
        <w:rPr>
          <w:color w:val="auto"/>
          <w:sz w:val="20"/>
          <w:szCs w:val="20"/>
          <w:lang w:val="es-ES"/>
        </w:rPr>
        <w:t>las presuntas víctimas</w:t>
      </w:r>
      <w:r w:rsidRPr="00D81013">
        <w:rPr>
          <w:color w:val="auto"/>
          <w:sz w:val="20"/>
          <w:szCs w:val="20"/>
          <w:lang w:val="es-ES"/>
        </w:rPr>
        <w:t xml:space="preserve"> buscan reabrir </w:t>
      </w:r>
      <w:r w:rsidR="003E5C8F" w:rsidRPr="00D81013">
        <w:rPr>
          <w:color w:val="auto"/>
          <w:sz w:val="20"/>
          <w:szCs w:val="20"/>
          <w:lang w:val="es-ES"/>
        </w:rPr>
        <w:t>lo resuelto</w:t>
      </w:r>
      <w:r w:rsidRPr="00D81013">
        <w:rPr>
          <w:color w:val="auto"/>
          <w:sz w:val="20"/>
          <w:szCs w:val="20"/>
          <w:lang w:val="es-ES"/>
        </w:rPr>
        <w:t xml:space="preserve"> por la jurisdicción interna, lo que convertiría a la Comisión en una cuarta instancia en contravención del principio de subsidiariedad, sin que se haya demostrado una violación autónoma de derechos garantizados por la Convención.</w:t>
      </w:r>
    </w:p>
    <w:p w14:paraId="51F68C92" w14:textId="4D4DFD2F" w:rsidR="003239B8" w:rsidRPr="00D81013" w:rsidRDefault="003239B8" w:rsidP="00A1479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D81013">
        <w:rPr>
          <w:b/>
          <w:bCs/>
          <w:sz w:val="20"/>
          <w:szCs w:val="20"/>
          <w:lang w:val="es-ES"/>
        </w:rPr>
        <w:t>VI.</w:t>
      </w:r>
      <w:r w:rsidRPr="00D81013">
        <w:rPr>
          <w:b/>
          <w:bCs/>
          <w:sz w:val="20"/>
          <w:szCs w:val="20"/>
          <w:lang w:val="es-ES"/>
        </w:rPr>
        <w:tab/>
      </w:r>
      <w:r w:rsidR="004A6A54" w:rsidRPr="00D81013">
        <w:rPr>
          <w:b/>
          <w:bCs/>
          <w:sz w:val="20"/>
          <w:szCs w:val="20"/>
          <w:lang w:val="es-ES"/>
        </w:rPr>
        <w:t xml:space="preserve">ANÁLISIS DE </w:t>
      </w:r>
      <w:r w:rsidR="00C21FEF" w:rsidRPr="00D81013">
        <w:rPr>
          <w:b/>
          <w:sz w:val="20"/>
          <w:szCs w:val="20"/>
          <w:lang w:val="es-ES"/>
        </w:rPr>
        <w:t>AGOTAMIENTO DE LOS RECURSOS INTERNOS Y PLAZO DE PRESENTACIÓN</w:t>
      </w:r>
      <w:r w:rsidR="00C21FEF" w:rsidRPr="00D81013">
        <w:rPr>
          <w:b/>
          <w:bCs/>
          <w:sz w:val="20"/>
          <w:szCs w:val="20"/>
          <w:lang w:val="es-ES"/>
        </w:rPr>
        <w:t xml:space="preserve"> </w:t>
      </w:r>
    </w:p>
    <w:p w14:paraId="184DD07F" w14:textId="72B913CF" w:rsidR="00D14B34" w:rsidRPr="00D81013" w:rsidRDefault="00D14B34" w:rsidP="007B2620">
      <w:pPr>
        <w:pStyle w:val="ListParagraph"/>
        <w:numPr>
          <w:ilvl w:val="0"/>
          <w:numId w:val="56"/>
        </w:numPr>
        <w:spacing w:before="240" w:after="240"/>
        <w:jc w:val="both"/>
        <w:rPr>
          <w:rFonts w:eastAsia="Arial Unicode MS"/>
          <w:sz w:val="20"/>
          <w:szCs w:val="20"/>
          <w:lang w:val="es-ES" w:eastAsia="en-US"/>
        </w:rPr>
      </w:pPr>
      <w:r w:rsidRPr="00D81013">
        <w:rPr>
          <w:sz w:val="20"/>
          <w:szCs w:val="20"/>
          <w:lang w:val="es-ES"/>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w:t>
      </w:r>
      <w:r w:rsidR="001950EA" w:rsidRPr="00D81013">
        <w:rPr>
          <w:rFonts w:eastAsia="Arial Unicode MS"/>
          <w:sz w:val="20"/>
          <w:szCs w:val="20"/>
          <w:lang w:val="es-ES" w:eastAsia="en-US"/>
        </w:rPr>
        <w:t xml:space="preserve">En el presente caso, la Comisión observa que el peticionario cuestiona la falta de reconocimiento y regularización de la situación habitacional de las presuntas víctimas, el riesgo de desalojo colectivo y la ausencia de recursos judiciales adecuados para obtener una respuesta efectiva frente a dicha situación. </w:t>
      </w:r>
      <w:r w:rsidRPr="00D81013">
        <w:rPr>
          <w:rFonts w:eastAsia="Arial Unicode MS"/>
          <w:sz w:val="20"/>
          <w:szCs w:val="20"/>
          <w:lang w:val="es-ES" w:eastAsia="en-US"/>
        </w:rPr>
        <w:t xml:space="preserve">Con base en ello, </w:t>
      </w:r>
      <w:r w:rsidR="006239FF" w:rsidRPr="00D81013">
        <w:rPr>
          <w:rFonts w:eastAsia="Arial Unicode MS"/>
          <w:sz w:val="20"/>
          <w:szCs w:val="20"/>
          <w:lang w:val="es-ES" w:eastAsia="en-US"/>
        </w:rPr>
        <w:t>el peticionario</w:t>
      </w:r>
      <w:r w:rsidRPr="00D81013">
        <w:rPr>
          <w:rFonts w:eastAsia="Arial Unicode MS"/>
          <w:sz w:val="20"/>
          <w:szCs w:val="20"/>
          <w:lang w:val="es-ES" w:eastAsia="en-US"/>
        </w:rPr>
        <w:t xml:space="preserve"> considera que se agotaron los recursos disponibles con la decisión </w:t>
      </w:r>
      <w:r w:rsidR="006239FF" w:rsidRPr="00D81013">
        <w:rPr>
          <w:rFonts w:eastAsia="Arial Unicode MS"/>
          <w:sz w:val="20"/>
          <w:szCs w:val="20"/>
          <w:lang w:val="es-ES" w:eastAsia="en-US"/>
        </w:rPr>
        <w:t xml:space="preserve">de la Sala Primera del 7 de julio de 2016, notificada el 24 de agosto de 2016, que resolvió la gestión de aclaración y adición, última decisión disponible para </w:t>
      </w:r>
      <w:r w:rsidR="00DA79F6" w:rsidRPr="00D81013">
        <w:rPr>
          <w:rFonts w:eastAsia="Arial Unicode MS"/>
          <w:sz w:val="20"/>
          <w:szCs w:val="20"/>
          <w:lang w:val="es-ES" w:eastAsia="en-US"/>
        </w:rPr>
        <w:t>r</w:t>
      </w:r>
      <w:r w:rsidR="002D436E" w:rsidRPr="00D81013">
        <w:rPr>
          <w:rFonts w:eastAsia="Arial Unicode MS"/>
          <w:sz w:val="20"/>
          <w:szCs w:val="20"/>
          <w:lang w:val="es-ES" w:eastAsia="en-US"/>
        </w:rPr>
        <w:t>eclamar</w:t>
      </w:r>
      <w:r w:rsidR="00DA79F6" w:rsidRPr="00D81013">
        <w:rPr>
          <w:rFonts w:eastAsia="Arial Unicode MS"/>
          <w:sz w:val="20"/>
          <w:szCs w:val="20"/>
          <w:lang w:val="es-ES" w:eastAsia="en-US"/>
        </w:rPr>
        <w:t xml:space="preserve"> </w:t>
      </w:r>
      <w:r w:rsidR="006239FF" w:rsidRPr="00D81013">
        <w:rPr>
          <w:rFonts w:eastAsia="Arial Unicode MS"/>
          <w:sz w:val="20"/>
          <w:szCs w:val="20"/>
          <w:lang w:val="es-ES" w:eastAsia="en-US"/>
        </w:rPr>
        <w:t>integralmente la situación.</w:t>
      </w:r>
    </w:p>
    <w:p w14:paraId="4AF3351A" w14:textId="68CD4363" w:rsidR="008E653F" w:rsidRPr="00D81013" w:rsidRDefault="008E653F" w:rsidP="007B2620">
      <w:pPr>
        <w:pStyle w:val="ListParagraph"/>
        <w:numPr>
          <w:ilvl w:val="0"/>
          <w:numId w:val="56"/>
        </w:numPr>
        <w:spacing w:before="240" w:after="240"/>
        <w:jc w:val="both"/>
        <w:rPr>
          <w:sz w:val="20"/>
          <w:szCs w:val="20"/>
          <w:lang w:val="es-ES"/>
        </w:rPr>
      </w:pPr>
      <w:r w:rsidRPr="00D81013">
        <w:rPr>
          <w:sz w:val="20"/>
          <w:szCs w:val="20"/>
          <w:lang w:val="es-ES"/>
        </w:rPr>
        <w:lastRenderedPageBreak/>
        <w:t>Por su parte, el Estado sostiene que el peticionario no agotó la jurisdicción interna</w:t>
      </w:r>
      <w:r w:rsidR="00B2320C" w:rsidRPr="00D81013">
        <w:rPr>
          <w:sz w:val="20"/>
          <w:szCs w:val="20"/>
          <w:lang w:val="es-ES"/>
        </w:rPr>
        <w:t xml:space="preserve"> en lo relativo a </w:t>
      </w:r>
      <w:r w:rsidR="00AB1F2F" w:rsidRPr="00D81013">
        <w:rPr>
          <w:sz w:val="20"/>
          <w:szCs w:val="20"/>
          <w:lang w:val="es-ES"/>
        </w:rPr>
        <w:t>la presunta aplicación retroactiva del Decreto Ejecutivo 35325-MP-MINAET</w:t>
      </w:r>
      <w:r w:rsidRPr="00D81013">
        <w:rPr>
          <w:sz w:val="20"/>
          <w:szCs w:val="20"/>
          <w:lang w:val="es-ES"/>
        </w:rPr>
        <w:t>, en la medida en que las presuntas víctimas no interpusieron la acción de inconstitucionalidad disponible. Asimismo, afirma que la petición fue presentada fuera de plazo, puesto que</w:t>
      </w:r>
      <w:r w:rsidR="00AB1F2F" w:rsidRPr="00D81013">
        <w:rPr>
          <w:sz w:val="20"/>
          <w:szCs w:val="20"/>
          <w:lang w:val="es-ES"/>
        </w:rPr>
        <w:t xml:space="preserve"> </w:t>
      </w:r>
      <w:r w:rsidRPr="00D81013">
        <w:rPr>
          <w:sz w:val="20"/>
          <w:szCs w:val="20"/>
          <w:lang w:val="es-ES"/>
        </w:rPr>
        <w:t>la gestión de aclaración y adición no altera ni suspende el cómputo del plazo de seis meses</w:t>
      </w:r>
      <w:r w:rsidR="00AB1F2F" w:rsidRPr="00D81013">
        <w:rPr>
          <w:sz w:val="20"/>
          <w:szCs w:val="20"/>
          <w:lang w:val="es-ES"/>
        </w:rPr>
        <w:t>, por lo que la sentencia de casación a su juicio constituye la decisión definitiva para efectos del</w:t>
      </w:r>
      <w:r w:rsidRPr="00D81013">
        <w:rPr>
          <w:sz w:val="20"/>
          <w:szCs w:val="20"/>
          <w:lang w:val="es-ES"/>
        </w:rPr>
        <w:t xml:space="preserve"> artículo 46.1.b) de la Convención Americana</w:t>
      </w:r>
      <w:r w:rsidR="00AB1F2F" w:rsidRPr="00D81013">
        <w:rPr>
          <w:sz w:val="20"/>
          <w:szCs w:val="20"/>
          <w:lang w:val="es-ES"/>
        </w:rPr>
        <w:t>.</w:t>
      </w:r>
    </w:p>
    <w:p w14:paraId="4348A4E2" w14:textId="45F4B376" w:rsidR="00DE38B6" w:rsidRPr="00D81013" w:rsidRDefault="00DE38B6" w:rsidP="007B2620">
      <w:pPr>
        <w:pStyle w:val="ListParagraph"/>
        <w:numPr>
          <w:ilvl w:val="0"/>
          <w:numId w:val="56"/>
        </w:numPr>
        <w:spacing w:before="240" w:after="240"/>
        <w:jc w:val="both"/>
        <w:rPr>
          <w:sz w:val="20"/>
          <w:szCs w:val="20"/>
          <w:lang w:val="es-ES"/>
        </w:rPr>
      </w:pPr>
      <w:r w:rsidRPr="00D81013">
        <w:rPr>
          <w:sz w:val="20"/>
          <w:szCs w:val="20"/>
          <w:lang w:val="es-ES"/>
        </w:rPr>
        <w:t xml:space="preserve">En el presente </w:t>
      </w:r>
      <w:r w:rsidR="00981B3A" w:rsidRPr="00D81013">
        <w:rPr>
          <w:sz w:val="20"/>
          <w:szCs w:val="20"/>
          <w:lang w:val="es-ES"/>
        </w:rPr>
        <w:t>asunto</w:t>
      </w:r>
      <w:r w:rsidRPr="00D81013">
        <w:rPr>
          <w:sz w:val="20"/>
          <w:szCs w:val="20"/>
          <w:lang w:val="es-ES"/>
        </w:rPr>
        <w:t>, la Comisión observa que las presuntas víctimas acudieron a la jurisdicción</w:t>
      </w:r>
      <w:r w:rsidR="00AB1F2F" w:rsidRPr="00D81013">
        <w:rPr>
          <w:sz w:val="20"/>
          <w:szCs w:val="20"/>
          <w:lang w:val="es-ES"/>
        </w:rPr>
        <w:t xml:space="preserve"> </w:t>
      </w:r>
      <w:r w:rsidR="006711D8" w:rsidRPr="00D81013">
        <w:rPr>
          <w:sz w:val="20"/>
          <w:szCs w:val="20"/>
          <w:lang w:val="es-ES"/>
        </w:rPr>
        <w:t>contencioso-administrativa</w:t>
      </w:r>
      <w:r w:rsidRPr="00D81013">
        <w:rPr>
          <w:sz w:val="20"/>
          <w:szCs w:val="20"/>
          <w:lang w:val="es-ES"/>
        </w:rPr>
        <w:t xml:space="preserve"> para cuestionar los desalojos administrativos, obtener el reconocimiento de su situación habitacional y solicitar la regularización de los terrenos que ocupan. </w:t>
      </w:r>
      <w:r w:rsidR="00981B3A" w:rsidRPr="00D81013">
        <w:rPr>
          <w:sz w:val="20"/>
          <w:szCs w:val="20"/>
          <w:lang w:val="es-ES"/>
        </w:rPr>
        <w:t>Una vez que las instancias judiciales conocieron sobre el fondo y afirmaron su procedencia, e</w:t>
      </w:r>
      <w:r w:rsidRPr="00D81013">
        <w:rPr>
          <w:sz w:val="20"/>
          <w:szCs w:val="20"/>
          <w:lang w:val="es-ES"/>
        </w:rPr>
        <w:t>se proceso concluyó con una sentencia favorable</w:t>
      </w:r>
      <w:r w:rsidR="00981B3A" w:rsidRPr="00D81013">
        <w:rPr>
          <w:sz w:val="20"/>
          <w:szCs w:val="20"/>
          <w:lang w:val="es-ES"/>
        </w:rPr>
        <w:t xml:space="preserve"> en primera instancia</w:t>
      </w:r>
      <w:r w:rsidRPr="00D81013">
        <w:rPr>
          <w:sz w:val="20"/>
          <w:szCs w:val="20"/>
          <w:lang w:val="es-ES"/>
        </w:rPr>
        <w:t>, posteriormente revocada por la Sala Primera de la Corte Suprema de Justicia al resolver el recurso de casación</w:t>
      </w:r>
      <w:r w:rsidR="00981B3A" w:rsidRPr="00D81013">
        <w:rPr>
          <w:sz w:val="20"/>
          <w:szCs w:val="20"/>
          <w:lang w:val="es-ES"/>
        </w:rPr>
        <w:t>.</w:t>
      </w:r>
      <w:r w:rsidRPr="00D81013">
        <w:rPr>
          <w:sz w:val="20"/>
          <w:szCs w:val="20"/>
          <w:lang w:val="es-ES"/>
        </w:rPr>
        <w:t xml:space="preserve"> </w:t>
      </w:r>
      <w:r w:rsidR="00981B3A" w:rsidRPr="00D81013">
        <w:rPr>
          <w:sz w:val="20"/>
          <w:szCs w:val="20"/>
          <w:lang w:val="es-ES"/>
        </w:rPr>
        <w:t>Así, l</w:t>
      </w:r>
      <w:r w:rsidRPr="00D81013">
        <w:rPr>
          <w:sz w:val="20"/>
          <w:szCs w:val="20"/>
          <w:lang w:val="es-ES"/>
        </w:rPr>
        <w:t xml:space="preserve">a </w:t>
      </w:r>
      <w:r w:rsidR="00DF79CE" w:rsidRPr="00D81013">
        <w:rPr>
          <w:color w:val="000000" w:themeColor="text1"/>
          <w:sz w:val="20"/>
          <w:szCs w:val="20"/>
          <w:lang w:val="es-ES"/>
        </w:rPr>
        <w:t xml:space="preserve">CIDH nota que </w:t>
      </w:r>
      <w:r w:rsidR="00F56009" w:rsidRPr="00D81013">
        <w:rPr>
          <w:color w:val="000000" w:themeColor="text1"/>
          <w:sz w:val="20"/>
          <w:szCs w:val="20"/>
          <w:lang w:val="es-ES"/>
        </w:rPr>
        <w:t>el peticionario</w:t>
      </w:r>
      <w:r w:rsidR="00DF79CE" w:rsidRPr="00D81013">
        <w:rPr>
          <w:color w:val="000000" w:themeColor="text1"/>
          <w:sz w:val="20"/>
          <w:szCs w:val="20"/>
          <w:lang w:val="es-ES"/>
        </w:rPr>
        <w:t xml:space="preserve"> utilizó una vía válida para </w:t>
      </w:r>
      <w:r w:rsidRPr="00D81013">
        <w:rPr>
          <w:sz w:val="20"/>
          <w:szCs w:val="20"/>
          <w:lang w:val="es-ES"/>
        </w:rPr>
        <w:t xml:space="preserve">examinar </w:t>
      </w:r>
      <w:r w:rsidR="00DF79CE" w:rsidRPr="00D81013">
        <w:rPr>
          <w:sz w:val="20"/>
          <w:szCs w:val="20"/>
          <w:lang w:val="es-ES"/>
        </w:rPr>
        <w:t>la situación habitacional que no ha sido controvertida por el Estado</w:t>
      </w:r>
      <w:r w:rsidRPr="00D81013">
        <w:rPr>
          <w:sz w:val="20"/>
          <w:szCs w:val="20"/>
          <w:lang w:val="es-ES"/>
        </w:rPr>
        <w:t xml:space="preserve">. </w:t>
      </w:r>
      <w:r w:rsidR="00DF79CE" w:rsidRPr="00D81013">
        <w:rPr>
          <w:color w:val="000000" w:themeColor="text1"/>
          <w:sz w:val="20"/>
          <w:szCs w:val="20"/>
          <w:lang w:val="es-ES"/>
        </w:rPr>
        <w:t>Sobre esta base</w:t>
      </w:r>
      <w:r w:rsidR="00AB1F2F" w:rsidRPr="00D81013">
        <w:rPr>
          <w:color w:val="000000" w:themeColor="text1"/>
          <w:sz w:val="20"/>
          <w:szCs w:val="20"/>
          <w:lang w:val="es-ES"/>
        </w:rPr>
        <w:t>,</w:t>
      </w:r>
      <w:r w:rsidR="00DF79CE" w:rsidRPr="00D81013">
        <w:rPr>
          <w:color w:val="000000" w:themeColor="text1"/>
          <w:sz w:val="20"/>
          <w:szCs w:val="20"/>
          <w:lang w:val="es-ES"/>
        </w:rPr>
        <w:t xml:space="preserve"> </w:t>
      </w:r>
      <w:r w:rsidR="006A4E9C" w:rsidRPr="00D81013">
        <w:rPr>
          <w:color w:val="000000" w:themeColor="text1"/>
          <w:sz w:val="20"/>
          <w:szCs w:val="20"/>
          <w:lang w:val="es-ES"/>
        </w:rPr>
        <w:t>concluye</w:t>
      </w:r>
      <w:r w:rsidR="00DF79CE" w:rsidRPr="00D81013">
        <w:rPr>
          <w:color w:val="000000" w:themeColor="text1"/>
          <w:sz w:val="20"/>
          <w:szCs w:val="20"/>
          <w:lang w:val="es-ES"/>
        </w:rPr>
        <w:t xml:space="preserve"> que la presente petición cumple con el requisito establecido en el artículo 46.1.a) de la Convención Americana.</w:t>
      </w:r>
    </w:p>
    <w:p w14:paraId="573E758B" w14:textId="4139D207" w:rsidR="00AD7473" w:rsidRPr="00D81013" w:rsidRDefault="00AD7473" w:rsidP="007B2620">
      <w:pPr>
        <w:pStyle w:val="ListParagraph"/>
        <w:numPr>
          <w:ilvl w:val="0"/>
          <w:numId w:val="56"/>
        </w:numPr>
        <w:spacing w:before="240" w:after="240"/>
        <w:jc w:val="both"/>
        <w:rPr>
          <w:sz w:val="20"/>
          <w:szCs w:val="20"/>
          <w:lang w:val="es-ES"/>
        </w:rPr>
      </w:pPr>
      <w:r w:rsidRPr="00D81013">
        <w:rPr>
          <w:sz w:val="20"/>
          <w:szCs w:val="20"/>
          <w:lang w:val="es-ES"/>
        </w:rPr>
        <w:t xml:space="preserve">Por otro lado, el Estado </w:t>
      </w:r>
      <w:r w:rsidR="009A435E" w:rsidRPr="00D81013">
        <w:rPr>
          <w:sz w:val="20"/>
          <w:szCs w:val="20"/>
          <w:lang w:val="es-ES"/>
        </w:rPr>
        <w:t>resalta</w:t>
      </w:r>
      <w:r w:rsidR="00EB670C" w:rsidRPr="00D81013">
        <w:rPr>
          <w:sz w:val="20"/>
          <w:szCs w:val="20"/>
          <w:lang w:val="es-ES"/>
        </w:rPr>
        <w:t xml:space="preserve"> </w:t>
      </w:r>
      <w:r w:rsidRPr="00D81013">
        <w:rPr>
          <w:sz w:val="20"/>
          <w:szCs w:val="20"/>
          <w:lang w:val="es-ES"/>
        </w:rPr>
        <w:t>que las presuntas víctimas debieron interponer una acción de inconstitucionalidad contra el Decreto Ejecutivo 35325-MP-MINAET para cuestionar su presunta aplicación retroactiva. Sin embargo, l</w:t>
      </w:r>
      <w:r w:rsidR="00A83D0E" w:rsidRPr="00D81013">
        <w:rPr>
          <w:sz w:val="20"/>
          <w:szCs w:val="20"/>
          <w:lang w:val="es-ES"/>
        </w:rPr>
        <w:t xml:space="preserve">a Comisión advierte que la referencia </w:t>
      </w:r>
      <w:r w:rsidR="006711D8" w:rsidRPr="00D81013">
        <w:rPr>
          <w:sz w:val="20"/>
          <w:szCs w:val="20"/>
          <w:lang w:val="es-ES"/>
        </w:rPr>
        <w:t>a dicho</w:t>
      </w:r>
      <w:r w:rsidR="00A83D0E" w:rsidRPr="00D81013">
        <w:rPr>
          <w:sz w:val="20"/>
          <w:szCs w:val="20"/>
          <w:lang w:val="es-ES"/>
        </w:rPr>
        <w:t xml:space="preserve"> decreto </w:t>
      </w:r>
      <w:r w:rsidR="006711D8" w:rsidRPr="00D81013">
        <w:rPr>
          <w:sz w:val="20"/>
          <w:szCs w:val="20"/>
          <w:lang w:val="es-ES"/>
        </w:rPr>
        <w:t>se formula como parte del</w:t>
      </w:r>
      <w:r w:rsidR="00A83D0E" w:rsidRPr="00D81013">
        <w:rPr>
          <w:sz w:val="20"/>
          <w:szCs w:val="20"/>
          <w:lang w:val="es-ES"/>
        </w:rPr>
        <w:t xml:space="preserve"> contexto normativo y fáctico </w:t>
      </w:r>
      <w:r w:rsidRPr="00D81013">
        <w:rPr>
          <w:sz w:val="20"/>
          <w:szCs w:val="20"/>
          <w:lang w:val="es-ES"/>
        </w:rPr>
        <w:t xml:space="preserve">y no </w:t>
      </w:r>
      <w:r w:rsidR="006711D8" w:rsidRPr="00D81013">
        <w:rPr>
          <w:sz w:val="20"/>
          <w:szCs w:val="20"/>
          <w:lang w:val="es-ES"/>
        </w:rPr>
        <w:t>como</w:t>
      </w:r>
      <w:r w:rsidRPr="00D81013">
        <w:rPr>
          <w:sz w:val="20"/>
          <w:szCs w:val="20"/>
          <w:lang w:val="es-ES"/>
        </w:rPr>
        <w:t xml:space="preserve"> objeto autónomo </w:t>
      </w:r>
      <w:r w:rsidR="00AB1F2F" w:rsidRPr="00D81013">
        <w:rPr>
          <w:sz w:val="20"/>
          <w:szCs w:val="20"/>
          <w:lang w:val="es-ES"/>
        </w:rPr>
        <w:t>de la petición</w:t>
      </w:r>
      <w:r w:rsidRPr="00D81013">
        <w:rPr>
          <w:sz w:val="20"/>
          <w:szCs w:val="20"/>
          <w:lang w:val="es-ES"/>
        </w:rPr>
        <w:t xml:space="preserve">. Por ende, </w:t>
      </w:r>
      <w:r w:rsidR="00F56009" w:rsidRPr="00D81013">
        <w:rPr>
          <w:sz w:val="20"/>
          <w:szCs w:val="20"/>
          <w:lang w:val="es-ES"/>
        </w:rPr>
        <w:t>no analizará tal alegato en el marco del examen sobre recursos internos</w:t>
      </w:r>
      <w:r w:rsidR="00AB1F2F" w:rsidRPr="00D81013">
        <w:rPr>
          <w:sz w:val="20"/>
          <w:szCs w:val="20"/>
          <w:lang w:val="es-ES"/>
        </w:rPr>
        <w:t>.</w:t>
      </w:r>
    </w:p>
    <w:p w14:paraId="7B86A8F3" w14:textId="623B2AB0" w:rsidR="00B80F62" w:rsidRPr="00D81013" w:rsidRDefault="00B80F62" w:rsidP="007B262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81013">
        <w:rPr>
          <w:rFonts w:ascii="Cambria" w:hAnsi="Cambria"/>
          <w:sz w:val="20"/>
          <w:szCs w:val="20"/>
          <w:lang w:val="es-ES"/>
        </w:rPr>
        <w:t xml:space="preserve">Con respecto al requisito del plazo de presentación, el artículo 46.1.b) de la Convención Americana establece que la petición debe ser </w:t>
      </w:r>
      <w:r w:rsidRPr="00D81013">
        <w:rPr>
          <w:rFonts w:ascii="Cambria" w:hAnsi="Cambria"/>
          <w:i/>
          <w:iCs/>
          <w:sz w:val="20"/>
          <w:szCs w:val="20"/>
          <w:lang w:val="es-ES"/>
        </w:rPr>
        <w:t xml:space="preserve">“presentada dentro del plazo de seis meses, a partir de la fecha en que el presunto lesionado en sus derechos haya sido notificado de la decisión definitiva”. </w:t>
      </w:r>
      <w:r w:rsidRPr="00D81013">
        <w:rPr>
          <w:rFonts w:ascii="Cambria" w:hAnsi="Cambria"/>
          <w:sz w:val="20"/>
          <w:szCs w:val="20"/>
          <w:lang w:val="es-ES"/>
        </w:rPr>
        <w:t>En el asunto</w:t>
      </w:r>
      <w:r w:rsidR="009A435E" w:rsidRPr="00D81013">
        <w:rPr>
          <w:rFonts w:ascii="Cambria" w:hAnsi="Cambria"/>
          <w:sz w:val="20"/>
          <w:szCs w:val="20"/>
          <w:lang w:val="es-ES"/>
        </w:rPr>
        <w:t xml:space="preserve"> bajo estudio</w:t>
      </w:r>
      <w:r w:rsidRPr="00D81013">
        <w:rPr>
          <w:rFonts w:ascii="Cambria" w:hAnsi="Cambria"/>
          <w:sz w:val="20"/>
          <w:szCs w:val="20"/>
          <w:lang w:val="es-ES"/>
        </w:rPr>
        <w:t xml:space="preserve">, el Estado costarricense planteó oportunamente una objeción sobre este extremo y </w:t>
      </w:r>
      <w:r w:rsidR="00BA15BF" w:rsidRPr="00D81013">
        <w:rPr>
          <w:rFonts w:ascii="Cambria" w:hAnsi="Cambria"/>
          <w:sz w:val="20"/>
          <w:szCs w:val="20"/>
          <w:lang w:val="es-ES"/>
        </w:rPr>
        <w:t>aduce</w:t>
      </w:r>
      <w:r w:rsidRPr="00D81013">
        <w:rPr>
          <w:rFonts w:ascii="Cambria" w:hAnsi="Cambria"/>
          <w:sz w:val="20"/>
          <w:szCs w:val="20"/>
          <w:lang w:val="es-ES"/>
        </w:rPr>
        <w:t xml:space="preserve"> que la última decisión adoptada en el proceso judicial interno fue la sentencia de casación de la Sala Primera de la Corte Suprema de Justicia, notificada el 20 de abril de 2016, de modo que el plazo </w:t>
      </w:r>
      <w:r w:rsidR="000D31F9" w:rsidRPr="00D81013">
        <w:rPr>
          <w:rFonts w:ascii="Cambria" w:hAnsi="Cambria"/>
          <w:sz w:val="20"/>
          <w:szCs w:val="20"/>
          <w:lang w:val="es-ES"/>
        </w:rPr>
        <w:t>venció</w:t>
      </w:r>
      <w:r w:rsidRPr="00D81013">
        <w:rPr>
          <w:rFonts w:ascii="Cambria" w:hAnsi="Cambria"/>
          <w:sz w:val="20"/>
          <w:szCs w:val="20"/>
          <w:lang w:val="es-ES"/>
        </w:rPr>
        <w:t xml:space="preserve"> el 20 de octubre de 2016. </w:t>
      </w:r>
      <w:r w:rsidR="00754B03" w:rsidRPr="00D81013">
        <w:rPr>
          <w:rFonts w:ascii="Cambria" w:hAnsi="Cambria"/>
          <w:sz w:val="20"/>
          <w:szCs w:val="20"/>
          <w:lang w:val="es-ES"/>
        </w:rPr>
        <w:t>Por su parte, el peticionario sostiene que la gestión de aclaración y adición forma parte integrante de la sentencia, por lo que la notificación de la resolución que la negó debe considerarse como el momento en que se agotó el recurso.</w:t>
      </w:r>
    </w:p>
    <w:p w14:paraId="0EC4BF20" w14:textId="28E0EEA2" w:rsidR="00B80F62" w:rsidRPr="00D81013" w:rsidRDefault="00B80F62" w:rsidP="007B262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81013">
        <w:rPr>
          <w:rFonts w:ascii="Cambria" w:hAnsi="Cambria"/>
          <w:sz w:val="20"/>
          <w:szCs w:val="20"/>
          <w:lang w:val="es-ES"/>
        </w:rPr>
        <w:t>A este respecto, la Comisión observa</w:t>
      </w:r>
      <w:r w:rsidR="00CB5990" w:rsidRPr="00D81013">
        <w:rPr>
          <w:rFonts w:ascii="Cambria" w:hAnsi="Cambria"/>
          <w:sz w:val="20"/>
          <w:szCs w:val="20"/>
          <w:lang w:val="es-ES"/>
        </w:rPr>
        <w:t xml:space="preserve"> </w:t>
      </w:r>
      <w:r w:rsidRPr="00D81013">
        <w:rPr>
          <w:rFonts w:ascii="Cambria" w:hAnsi="Cambria"/>
          <w:sz w:val="20"/>
          <w:szCs w:val="20"/>
          <w:lang w:val="es-ES"/>
        </w:rPr>
        <w:t xml:space="preserve">que la gestión de aclaración y adición constituye una actuación jurisdiccional prevista expresamente en el ordenamiento interno, promovida de buena fe por las presuntas víctimas dentro del mismo proceso y resuelta por la propia Sala Primera, que con su decisión cerró definitivamente toda posibilidad de aclarar </w:t>
      </w:r>
      <w:r w:rsidR="00671132" w:rsidRPr="00D81013">
        <w:rPr>
          <w:rFonts w:ascii="Cambria" w:hAnsi="Cambria"/>
          <w:sz w:val="20"/>
          <w:szCs w:val="20"/>
          <w:lang w:val="es-ES"/>
        </w:rPr>
        <w:t>o</w:t>
      </w:r>
      <w:r w:rsidRPr="00D81013">
        <w:rPr>
          <w:rFonts w:ascii="Cambria" w:hAnsi="Cambria"/>
          <w:sz w:val="20"/>
          <w:szCs w:val="20"/>
          <w:lang w:val="es-ES"/>
        </w:rPr>
        <w:t xml:space="preserve"> complementar la sentencia de casación. No existen elementos que permitan concluir que dicha gestión se haya utilizado de manera abusiva o con el único propósito de extender artificialmente el cómputo del plazo de seis meses. Por el contrario, </w:t>
      </w:r>
      <w:r w:rsidR="00F56009" w:rsidRPr="00D81013">
        <w:rPr>
          <w:rFonts w:ascii="Cambria" w:hAnsi="Cambria"/>
          <w:sz w:val="20"/>
          <w:szCs w:val="20"/>
          <w:lang w:val="es-ES"/>
        </w:rPr>
        <w:t>el peticionario</w:t>
      </w:r>
      <w:r w:rsidRPr="00D81013">
        <w:rPr>
          <w:rFonts w:ascii="Cambria" w:hAnsi="Cambria"/>
          <w:sz w:val="20"/>
          <w:szCs w:val="20"/>
          <w:lang w:val="es-ES"/>
        </w:rPr>
        <w:t xml:space="preserve"> asumió razonablemente que el plazo debía contarse a partir de la notificación de la resolución que resolvió la última actuación procesal disponible en la jurisdicción interna.</w:t>
      </w:r>
    </w:p>
    <w:p w14:paraId="03796D6B" w14:textId="43C381F5" w:rsidR="000F089E" w:rsidRPr="00D81013" w:rsidRDefault="00B80F62" w:rsidP="007B262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lang w:val="es-ES"/>
        </w:rPr>
      </w:pPr>
      <w:r w:rsidRPr="00D81013">
        <w:rPr>
          <w:rFonts w:ascii="Cambria" w:hAnsi="Cambria"/>
          <w:sz w:val="20"/>
          <w:szCs w:val="20"/>
          <w:lang w:val="es-ES"/>
        </w:rPr>
        <w:t xml:space="preserve">En un caso como </w:t>
      </w:r>
      <w:r w:rsidR="00632E17" w:rsidRPr="00D81013">
        <w:rPr>
          <w:rFonts w:ascii="Cambria" w:hAnsi="Cambria"/>
          <w:sz w:val="20"/>
          <w:szCs w:val="20"/>
          <w:lang w:val="es-ES"/>
        </w:rPr>
        <w:t>éste</w:t>
      </w:r>
      <w:r w:rsidRPr="00D81013">
        <w:rPr>
          <w:rFonts w:ascii="Cambria" w:hAnsi="Cambria"/>
          <w:sz w:val="20"/>
          <w:szCs w:val="20"/>
          <w:lang w:val="es-ES"/>
        </w:rPr>
        <w:t xml:space="preserve">, la Comisión estima que la discrepancia de </w:t>
      </w:r>
      <w:r w:rsidR="00C33081" w:rsidRPr="00D81013">
        <w:rPr>
          <w:rFonts w:ascii="Cambria" w:hAnsi="Cambria"/>
          <w:sz w:val="20"/>
          <w:szCs w:val="20"/>
          <w:lang w:val="es-ES"/>
        </w:rPr>
        <w:t xml:space="preserve">19 </w:t>
      </w:r>
      <w:r w:rsidRPr="00D81013">
        <w:rPr>
          <w:rFonts w:ascii="Cambria" w:hAnsi="Cambria"/>
          <w:sz w:val="20"/>
          <w:szCs w:val="20"/>
          <w:lang w:val="es-ES"/>
        </w:rPr>
        <w:t xml:space="preserve">días señalada por el Estado no afecta los principios de seguridad jurídica ni de subsidiariedad que inspiran el requisito temporal del artículo 46.1.b) de la Convención Americana, </w:t>
      </w:r>
      <w:r w:rsidR="000F089E" w:rsidRPr="00D81013">
        <w:rPr>
          <w:rFonts w:ascii="Cambria" w:hAnsi="Cambria"/>
          <w:sz w:val="20"/>
          <w:szCs w:val="20"/>
          <w:lang w:val="es-ES"/>
        </w:rPr>
        <w:t>sobre todo</w:t>
      </w:r>
      <w:r w:rsidRPr="00D81013">
        <w:rPr>
          <w:rFonts w:ascii="Cambria" w:hAnsi="Cambria"/>
          <w:sz w:val="20"/>
          <w:szCs w:val="20"/>
          <w:lang w:val="es-ES"/>
        </w:rPr>
        <w:t xml:space="preserve"> cuando la diferencia obedece a una divergencia razonable sobre el momento en que debe considerarse notificada la decisión definitiva y no a una actitud dilatoria atribuible </w:t>
      </w:r>
      <w:r w:rsidR="00F56009" w:rsidRPr="00D81013">
        <w:rPr>
          <w:rFonts w:ascii="Cambria" w:hAnsi="Cambria"/>
          <w:sz w:val="20"/>
          <w:szCs w:val="20"/>
          <w:lang w:val="es-ES"/>
        </w:rPr>
        <w:t>al peticionario</w:t>
      </w:r>
      <w:r w:rsidRPr="00D81013">
        <w:rPr>
          <w:rFonts w:ascii="Cambria" w:hAnsi="Cambria"/>
          <w:sz w:val="20"/>
          <w:szCs w:val="20"/>
          <w:lang w:val="es-ES"/>
        </w:rPr>
        <w:t xml:space="preserve">. </w:t>
      </w:r>
      <w:r w:rsidR="00024525" w:rsidRPr="00D81013">
        <w:rPr>
          <w:rFonts w:ascii="Cambria" w:hAnsi="Cambria"/>
          <w:sz w:val="20"/>
          <w:szCs w:val="20"/>
          <w:lang w:val="es-ES"/>
        </w:rPr>
        <w:t xml:space="preserve">Con lo cual, la Comisión estima que la petición fue </w:t>
      </w:r>
      <w:r w:rsidR="00480370" w:rsidRPr="00D81013">
        <w:rPr>
          <w:rFonts w:ascii="Cambria" w:hAnsi="Cambria"/>
          <w:sz w:val="20"/>
          <w:szCs w:val="20"/>
          <w:lang w:val="es-ES"/>
        </w:rPr>
        <w:t xml:space="preserve">interpuesta </w:t>
      </w:r>
      <w:r w:rsidR="00024525" w:rsidRPr="00D81013">
        <w:rPr>
          <w:rFonts w:ascii="Cambria" w:hAnsi="Cambria"/>
          <w:sz w:val="20"/>
          <w:szCs w:val="20"/>
          <w:lang w:val="es-ES"/>
        </w:rPr>
        <w:t>en línea con la regla estipulada por el artículo 46.1.b) de la Convención Americana.</w:t>
      </w:r>
    </w:p>
    <w:p w14:paraId="673598AF" w14:textId="63B720FD" w:rsidR="003239B8" w:rsidRPr="00D81013" w:rsidRDefault="003239B8" w:rsidP="00877B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b/>
          <w:bCs/>
          <w:sz w:val="20"/>
          <w:szCs w:val="20"/>
          <w:lang w:val="es-ES"/>
        </w:rPr>
      </w:pPr>
      <w:r w:rsidRPr="00D81013">
        <w:rPr>
          <w:rFonts w:ascii="Cambria" w:hAnsi="Cambria"/>
          <w:b/>
          <w:bCs/>
          <w:sz w:val="20"/>
          <w:szCs w:val="20"/>
          <w:lang w:val="es-ES"/>
        </w:rPr>
        <w:t>VII.</w:t>
      </w:r>
      <w:r w:rsidRPr="00D81013">
        <w:rPr>
          <w:rFonts w:ascii="Cambria" w:hAnsi="Cambria"/>
          <w:b/>
          <w:bCs/>
          <w:sz w:val="20"/>
          <w:szCs w:val="20"/>
          <w:lang w:val="es-ES"/>
        </w:rPr>
        <w:tab/>
      </w:r>
      <w:r w:rsidR="004A6A54" w:rsidRPr="00D81013">
        <w:rPr>
          <w:rFonts w:ascii="Cambria" w:hAnsi="Cambria"/>
          <w:b/>
          <w:bCs/>
          <w:sz w:val="20"/>
          <w:szCs w:val="20"/>
          <w:lang w:val="es-ES"/>
        </w:rPr>
        <w:t xml:space="preserve">ANÁLISIS DE </w:t>
      </w:r>
      <w:r w:rsidR="00C21FEF" w:rsidRPr="00D81013">
        <w:rPr>
          <w:rFonts w:ascii="Cambria" w:hAnsi="Cambria"/>
          <w:b/>
          <w:bCs/>
          <w:sz w:val="20"/>
          <w:szCs w:val="20"/>
          <w:lang w:val="es-ES"/>
        </w:rPr>
        <w:t>CARACTERIZACIÓN DE LOS HECHOS ALEGADOS</w:t>
      </w:r>
    </w:p>
    <w:p w14:paraId="5D659A52" w14:textId="7EDEC89F" w:rsidR="001950EA" w:rsidRPr="00D81013" w:rsidRDefault="00D81013" w:rsidP="007B262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81013">
        <w:rPr>
          <w:rFonts w:ascii="Cambria" w:hAnsi="Cambria"/>
          <w:sz w:val="20"/>
          <w:szCs w:val="20"/>
          <w:lang w:val="es-ES"/>
        </w:rPr>
        <w:t>El</w:t>
      </w:r>
      <w:r w:rsidR="001950EA" w:rsidRPr="00D81013">
        <w:rPr>
          <w:rFonts w:ascii="Cambria" w:hAnsi="Cambria"/>
          <w:sz w:val="20"/>
          <w:szCs w:val="20"/>
          <w:lang w:val="es-ES"/>
        </w:rPr>
        <w:t xml:space="preserve"> peticionario cuestiona esencialmente que</w:t>
      </w:r>
      <w:r w:rsidR="00632E17" w:rsidRPr="00D81013">
        <w:rPr>
          <w:rFonts w:ascii="Cambria" w:hAnsi="Cambria"/>
          <w:sz w:val="20"/>
          <w:szCs w:val="20"/>
          <w:lang w:val="es-ES"/>
        </w:rPr>
        <w:t>,</w:t>
      </w:r>
      <w:r w:rsidR="00024525" w:rsidRPr="00D81013">
        <w:rPr>
          <w:rFonts w:ascii="Cambria" w:hAnsi="Cambria"/>
          <w:sz w:val="20"/>
          <w:szCs w:val="20"/>
          <w:lang w:val="es-ES"/>
        </w:rPr>
        <w:t xml:space="preserve"> a pesar de</w:t>
      </w:r>
      <w:r w:rsidR="001950EA" w:rsidRPr="00D81013">
        <w:rPr>
          <w:rFonts w:ascii="Cambria" w:hAnsi="Cambria"/>
          <w:sz w:val="20"/>
          <w:szCs w:val="20"/>
          <w:lang w:val="es-ES"/>
        </w:rPr>
        <w:t xml:space="preserve"> que las presuntas víctimas han residido durante décadas en la Zona Americana de Quepos, el Estado no habría reconocido ni regularizado su situación habitacional ni les habría brindado una protección efectiva frente a los desalojos administrativos iniciados en su contra</w:t>
      </w:r>
      <w:r w:rsidR="00E877BA" w:rsidRPr="00D81013">
        <w:rPr>
          <w:rFonts w:ascii="Cambria" w:hAnsi="Cambria"/>
          <w:sz w:val="20"/>
          <w:szCs w:val="20"/>
          <w:lang w:val="es-ES"/>
        </w:rPr>
        <w:t>;</w:t>
      </w:r>
      <w:r w:rsidR="001950EA" w:rsidRPr="00D81013">
        <w:rPr>
          <w:rFonts w:ascii="Cambria" w:hAnsi="Cambria"/>
          <w:sz w:val="20"/>
          <w:szCs w:val="20"/>
          <w:lang w:val="es-ES"/>
        </w:rPr>
        <w:t xml:space="preserve"> lo que generaría el riesgo de un desplazamiento colectivo de una comunidad integrada</w:t>
      </w:r>
      <w:r w:rsidR="00024525" w:rsidRPr="00D81013">
        <w:rPr>
          <w:rFonts w:ascii="Cambria" w:hAnsi="Cambria"/>
          <w:sz w:val="20"/>
          <w:szCs w:val="20"/>
          <w:lang w:val="es-ES"/>
        </w:rPr>
        <w:t>, entre otros,</w:t>
      </w:r>
      <w:r w:rsidR="001950EA" w:rsidRPr="00D81013">
        <w:rPr>
          <w:rFonts w:ascii="Cambria" w:hAnsi="Cambria"/>
          <w:sz w:val="20"/>
          <w:szCs w:val="20"/>
          <w:lang w:val="es-ES"/>
        </w:rPr>
        <w:t xml:space="preserve"> por mujeres, personas mayores y menores de edad. Por su parte, el Estado sostiene que el recurso de casación en la vía contencioso-administrativa constituyó un medio adecuado y efectivo para revisar </w:t>
      </w:r>
      <w:r w:rsidR="001950EA" w:rsidRPr="00D81013">
        <w:rPr>
          <w:rFonts w:ascii="Cambria" w:hAnsi="Cambria"/>
          <w:sz w:val="20"/>
          <w:szCs w:val="20"/>
          <w:lang w:val="es-ES"/>
        </w:rPr>
        <w:lastRenderedPageBreak/>
        <w:t xml:space="preserve">integralmente la sentencia de primera instancia; que conforme a la Ley 26 de 1939 y al contrato de arrendamiento, las presuntas víctimas no acreditaron la condición de pobladoras ni contaban con título o situación jurídica que generara derechos frente al Estado; y que los inmuebles en litigio son patrimonio natural, respecto de los cuales las medidas adoptadas responderían al deber de </w:t>
      </w:r>
      <w:r w:rsidR="00024525" w:rsidRPr="00D81013">
        <w:rPr>
          <w:rFonts w:ascii="Cambria" w:hAnsi="Cambria"/>
          <w:sz w:val="20"/>
          <w:szCs w:val="20"/>
          <w:lang w:val="es-ES"/>
        </w:rPr>
        <w:t>protección</w:t>
      </w:r>
      <w:r w:rsidR="001950EA" w:rsidRPr="00D81013">
        <w:rPr>
          <w:rFonts w:ascii="Cambria" w:hAnsi="Cambria"/>
          <w:sz w:val="20"/>
          <w:szCs w:val="20"/>
          <w:lang w:val="es-ES"/>
        </w:rPr>
        <w:t xml:space="preserve"> ambiental. En consecuencia, Costa Rica alega que las pretensiones de la petición buscan reabrir cuestiones de hecho y de derecho ya resueltas por los tribunales internos y convertir a la Comisión en una cuarta instancia, sin que se haya demostrado una violación autónoma de derechos protegidos por la Convención.</w:t>
      </w:r>
    </w:p>
    <w:p w14:paraId="0435F2FA" w14:textId="1DE0F9A1" w:rsidR="001A1A14" w:rsidRPr="00D81013" w:rsidRDefault="00671132" w:rsidP="007B262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81013">
        <w:rPr>
          <w:rFonts w:ascii="Cambria" w:hAnsi="Cambria"/>
          <w:sz w:val="20"/>
          <w:szCs w:val="20"/>
          <w:lang w:val="es-ES"/>
        </w:rPr>
        <w:t xml:space="preserve">A </w:t>
      </w:r>
      <w:r w:rsidR="00FE3BC2" w:rsidRPr="00D81013">
        <w:rPr>
          <w:rFonts w:ascii="Cambria" w:hAnsi="Cambria"/>
          <w:sz w:val="20"/>
          <w:szCs w:val="20"/>
          <w:lang w:val="es-ES"/>
        </w:rPr>
        <w:t xml:space="preserve">los </w:t>
      </w:r>
      <w:r w:rsidRPr="00D81013">
        <w:rPr>
          <w:rFonts w:ascii="Cambria" w:hAnsi="Cambria"/>
          <w:sz w:val="20"/>
          <w:szCs w:val="20"/>
          <w:lang w:val="es-ES"/>
        </w:rPr>
        <w:t xml:space="preserve">efectos de la admisibilidad, la Comisión debe decidir si los hechos alegados pueden caracterizar una violación de 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D81013">
        <w:rPr>
          <w:rFonts w:ascii="Cambria" w:hAnsi="Cambria"/>
          <w:i/>
          <w:iCs/>
          <w:sz w:val="20"/>
          <w:szCs w:val="20"/>
          <w:lang w:val="es-ES"/>
        </w:rPr>
        <w:t>prima facie</w:t>
      </w:r>
      <w:r w:rsidRPr="00D81013">
        <w:rPr>
          <w:rFonts w:ascii="Cambria" w:hAnsi="Cambria"/>
          <w:sz w:val="20"/>
          <w:szCs w:val="20"/>
          <w:lang w:val="es-ES"/>
        </w:rPr>
        <w:t xml:space="preserve"> para determinar si la petición establece el fundamento de la violación, posible o potencial, de un derecho garantizado por la Convención, pero no para </w:t>
      </w:r>
      <w:r w:rsidR="0055522E" w:rsidRPr="00D81013">
        <w:rPr>
          <w:rFonts w:ascii="Cambria" w:hAnsi="Cambria"/>
          <w:sz w:val="20"/>
          <w:szCs w:val="20"/>
          <w:lang w:val="es-ES"/>
        </w:rPr>
        <w:t>r</w:t>
      </w:r>
      <w:r w:rsidR="008D74BE" w:rsidRPr="00D81013">
        <w:rPr>
          <w:rFonts w:ascii="Cambria" w:hAnsi="Cambria"/>
          <w:sz w:val="20"/>
          <w:szCs w:val="20"/>
          <w:lang w:val="es-ES"/>
        </w:rPr>
        <w:t>esolver</w:t>
      </w:r>
      <w:r w:rsidR="0055522E" w:rsidRPr="00D81013">
        <w:rPr>
          <w:rFonts w:ascii="Cambria" w:hAnsi="Cambria"/>
          <w:sz w:val="20"/>
          <w:szCs w:val="20"/>
          <w:lang w:val="es-ES"/>
        </w:rPr>
        <w:t xml:space="preserve"> </w:t>
      </w:r>
      <w:r w:rsidRPr="00D81013">
        <w:rPr>
          <w:rFonts w:ascii="Cambria" w:hAnsi="Cambria"/>
          <w:sz w:val="20"/>
          <w:szCs w:val="20"/>
          <w:lang w:val="es-ES"/>
        </w:rPr>
        <w:t xml:space="preserve">la existencia de una vulneración de derechos. </w:t>
      </w:r>
    </w:p>
    <w:p w14:paraId="50E3AC17" w14:textId="40289D2E" w:rsidR="00AD4141" w:rsidRPr="00D81013" w:rsidRDefault="0032388D" w:rsidP="007B262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81013">
        <w:rPr>
          <w:rFonts w:ascii="Cambria" w:hAnsi="Cambria"/>
          <w:sz w:val="20"/>
          <w:szCs w:val="20"/>
          <w:lang w:val="es-ES"/>
        </w:rPr>
        <w:t>Al respecto,</w:t>
      </w:r>
      <w:r w:rsidR="00892E7B" w:rsidRPr="00D81013">
        <w:rPr>
          <w:rFonts w:ascii="Cambria" w:hAnsi="Cambria"/>
          <w:sz w:val="20"/>
          <w:szCs w:val="20"/>
          <w:lang w:val="es-ES"/>
        </w:rPr>
        <w:t xml:space="preserve"> </w:t>
      </w:r>
      <w:r w:rsidRPr="00D81013">
        <w:rPr>
          <w:rFonts w:ascii="Cambria" w:hAnsi="Cambria"/>
          <w:sz w:val="20"/>
          <w:szCs w:val="20"/>
          <w:lang w:val="es-ES"/>
        </w:rPr>
        <w:t xml:space="preserve">la CIDH observa que el derecho a una vivienda adecuada deriva de la obligación </w:t>
      </w:r>
      <w:r w:rsidR="008D74BE" w:rsidRPr="00D81013">
        <w:rPr>
          <w:rFonts w:ascii="Cambria" w:hAnsi="Cambria"/>
          <w:sz w:val="20"/>
          <w:szCs w:val="20"/>
          <w:lang w:val="es-ES"/>
        </w:rPr>
        <w:t xml:space="preserve">prevista </w:t>
      </w:r>
      <w:r w:rsidRPr="00D81013">
        <w:rPr>
          <w:rFonts w:ascii="Cambria" w:hAnsi="Cambria"/>
          <w:sz w:val="20"/>
          <w:szCs w:val="20"/>
          <w:lang w:val="es-ES"/>
        </w:rPr>
        <w:t>en el artículo 26 de la Convención, y significa un correlativo deber de no retroceder en los logros avanzados en dicha materia. Tal es la obligación de no regresividad desarrollada por otros organismos internacionales y entendida por la CIDH como un deber estatal justiciable mediante el mecanismo de peticiones individuales consagrado en la Convenció</w:t>
      </w:r>
      <w:r w:rsidR="00144EBA" w:rsidRPr="00D81013">
        <w:rPr>
          <w:rFonts w:ascii="Cambria" w:hAnsi="Cambria"/>
          <w:sz w:val="20"/>
          <w:szCs w:val="20"/>
          <w:lang w:val="es-ES"/>
        </w:rPr>
        <w:t>n</w:t>
      </w:r>
      <w:r w:rsidRPr="00D81013">
        <w:rPr>
          <w:rFonts w:ascii="Cambria" w:hAnsi="Cambria"/>
          <w:sz w:val="20"/>
          <w:szCs w:val="20"/>
          <w:vertAlign w:val="superscript"/>
          <w:lang w:val="es-ES"/>
        </w:rPr>
        <w:footnoteReference w:id="7"/>
      </w:r>
      <w:r w:rsidRPr="00D81013">
        <w:rPr>
          <w:rFonts w:ascii="Cambria" w:hAnsi="Cambria"/>
          <w:sz w:val="20"/>
          <w:szCs w:val="20"/>
          <w:lang w:val="es-ES"/>
        </w:rPr>
        <w:t xml:space="preserve">. </w:t>
      </w:r>
      <w:r w:rsidR="00144EBA" w:rsidRPr="00D81013">
        <w:rPr>
          <w:rFonts w:ascii="Cambria" w:hAnsi="Cambria"/>
          <w:sz w:val="20"/>
          <w:szCs w:val="20"/>
          <w:lang w:val="es-ES"/>
        </w:rPr>
        <w:t xml:space="preserve">En ese </w:t>
      </w:r>
      <w:r w:rsidR="00024525" w:rsidRPr="00D81013">
        <w:rPr>
          <w:rFonts w:ascii="Cambria" w:hAnsi="Cambria"/>
          <w:sz w:val="20"/>
          <w:szCs w:val="20"/>
          <w:lang w:val="es-ES"/>
        </w:rPr>
        <w:t xml:space="preserve">mismo </w:t>
      </w:r>
      <w:r w:rsidR="00144EBA" w:rsidRPr="00D81013">
        <w:rPr>
          <w:rFonts w:ascii="Cambria" w:hAnsi="Cambria"/>
          <w:sz w:val="20"/>
          <w:szCs w:val="20"/>
          <w:lang w:val="es-ES"/>
        </w:rPr>
        <w:t xml:space="preserve">sentido, </w:t>
      </w:r>
      <w:r w:rsidR="009F2D2D" w:rsidRPr="00D81013">
        <w:rPr>
          <w:rFonts w:ascii="Cambria" w:hAnsi="Cambria"/>
          <w:sz w:val="20"/>
          <w:szCs w:val="20"/>
          <w:lang w:val="es-ES"/>
        </w:rPr>
        <w:t>el Alto Comisionado de las Naciones Unidas para los Derechos Humanos</w:t>
      </w:r>
      <w:r w:rsidR="00144EBA" w:rsidRPr="00D81013">
        <w:rPr>
          <w:rFonts w:ascii="Cambria" w:hAnsi="Cambria"/>
          <w:sz w:val="20"/>
          <w:szCs w:val="20"/>
          <w:lang w:val="es-ES"/>
        </w:rPr>
        <w:t xml:space="preserve"> </w:t>
      </w:r>
      <w:r w:rsidR="00AB1839" w:rsidRPr="00D81013">
        <w:rPr>
          <w:rFonts w:ascii="Cambria" w:hAnsi="Cambria"/>
          <w:sz w:val="20"/>
          <w:szCs w:val="20"/>
          <w:lang w:val="es-ES"/>
        </w:rPr>
        <w:t xml:space="preserve">ha señalado que los Estados deben adoptar políticas o planes </w:t>
      </w:r>
      <w:r w:rsidR="00024525" w:rsidRPr="00D81013">
        <w:rPr>
          <w:rFonts w:ascii="Cambria" w:hAnsi="Cambria"/>
          <w:sz w:val="20"/>
          <w:szCs w:val="20"/>
          <w:lang w:val="es-ES"/>
        </w:rPr>
        <w:t>en materia de</w:t>
      </w:r>
      <w:r w:rsidR="00AB1839" w:rsidRPr="00D81013">
        <w:rPr>
          <w:rFonts w:ascii="Cambria" w:hAnsi="Cambria"/>
          <w:sz w:val="20"/>
          <w:szCs w:val="20"/>
          <w:lang w:val="es-ES"/>
        </w:rPr>
        <w:t xml:space="preserve"> vivienda que definan objetivos orientados a los grupos desfavorecidos, precisen los recursos disponibles, asignen responsabilidades y plazos, prevean mecanismos de seguimiento y contemplen medidas de reparación frente a eventuales violaciones</w:t>
      </w:r>
      <w:r w:rsidR="00DA1486" w:rsidRPr="00D81013">
        <w:rPr>
          <w:rStyle w:val="FootnoteReference"/>
          <w:rFonts w:ascii="Cambria" w:hAnsi="Cambria"/>
          <w:sz w:val="20"/>
          <w:szCs w:val="20"/>
          <w:lang w:val="es-ES"/>
        </w:rPr>
        <w:footnoteReference w:id="8"/>
      </w:r>
      <w:r w:rsidR="00AB1839" w:rsidRPr="00D81013">
        <w:rPr>
          <w:rFonts w:ascii="Cambria" w:hAnsi="Cambria"/>
          <w:sz w:val="20"/>
          <w:szCs w:val="20"/>
          <w:lang w:val="es-ES"/>
        </w:rPr>
        <w:t xml:space="preserve">. Asimismo, se ha </w:t>
      </w:r>
      <w:r w:rsidR="00086B4F" w:rsidRPr="00D81013">
        <w:rPr>
          <w:rFonts w:ascii="Cambria" w:hAnsi="Cambria"/>
          <w:sz w:val="20"/>
          <w:szCs w:val="20"/>
          <w:lang w:val="es-ES"/>
        </w:rPr>
        <w:t xml:space="preserve">destacado </w:t>
      </w:r>
      <w:r w:rsidR="00AB1839" w:rsidRPr="00D81013">
        <w:rPr>
          <w:rFonts w:ascii="Cambria" w:hAnsi="Cambria"/>
          <w:sz w:val="20"/>
          <w:szCs w:val="20"/>
          <w:lang w:val="es-ES"/>
        </w:rPr>
        <w:t>que los desalojos no deben dar lugar a que las personas queden sin vivienda o expuestas a violaciones de otros derechos humanos</w:t>
      </w:r>
      <w:r w:rsidR="00086B4F" w:rsidRPr="00D81013">
        <w:rPr>
          <w:rFonts w:ascii="Cambria" w:hAnsi="Cambria"/>
          <w:sz w:val="20"/>
          <w:szCs w:val="20"/>
          <w:lang w:val="es-ES"/>
        </w:rPr>
        <w:t>;</w:t>
      </w:r>
      <w:r w:rsidR="00AB1839" w:rsidRPr="00D81013">
        <w:rPr>
          <w:rFonts w:ascii="Cambria" w:hAnsi="Cambria"/>
          <w:sz w:val="20"/>
          <w:szCs w:val="20"/>
          <w:lang w:val="es-ES"/>
        </w:rPr>
        <w:t xml:space="preserve"> y que cuando las personas afectadas carecen de recursos, el Estado debe adoptar</w:t>
      </w:r>
      <w:r w:rsidR="00024525" w:rsidRPr="00D81013">
        <w:rPr>
          <w:rFonts w:ascii="Cambria" w:hAnsi="Cambria"/>
          <w:sz w:val="20"/>
          <w:szCs w:val="20"/>
          <w:lang w:val="es-ES"/>
        </w:rPr>
        <w:t xml:space="preserve"> </w:t>
      </w:r>
      <w:r w:rsidR="00AB1839" w:rsidRPr="00D81013">
        <w:rPr>
          <w:rFonts w:ascii="Cambria" w:hAnsi="Cambria"/>
          <w:sz w:val="20"/>
          <w:szCs w:val="20"/>
          <w:lang w:val="es-ES"/>
        </w:rPr>
        <w:t>en la mayor medida que permitan sus recursos, medidas para ofrecer alternativas de vivienda, reasentamiento o acceso a tierras productivas, según proceda</w:t>
      </w:r>
      <w:r w:rsidR="00DA1486" w:rsidRPr="00D81013">
        <w:rPr>
          <w:rStyle w:val="FootnoteReference"/>
          <w:rFonts w:ascii="Cambria" w:hAnsi="Cambria"/>
          <w:sz w:val="20"/>
          <w:szCs w:val="20"/>
          <w:lang w:val="es-ES"/>
        </w:rPr>
        <w:footnoteReference w:id="9"/>
      </w:r>
      <w:r w:rsidR="00AB1839" w:rsidRPr="00D81013">
        <w:rPr>
          <w:rFonts w:ascii="Cambria" w:hAnsi="Cambria"/>
          <w:sz w:val="20"/>
          <w:szCs w:val="20"/>
          <w:lang w:val="es-ES"/>
        </w:rPr>
        <w:t>.</w:t>
      </w:r>
    </w:p>
    <w:p w14:paraId="180F16A0" w14:textId="7C5D882A" w:rsidR="00981B3A" w:rsidRPr="00D81013" w:rsidRDefault="00024525" w:rsidP="007B262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81013">
        <w:rPr>
          <w:rFonts w:ascii="Cambria" w:hAnsi="Cambria"/>
          <w:sz w:val="20"/>
          <w:szCs w:val="20"/>
          <w:lang w:val="es-ES"/>
        </w:rPr>
        <w:t>Asimismo</w:t>
      </w:r>
      <w:r w:rsidR="00981B3A" w:rsidRPr="00D81013">
        <w:rPr>
          <w:rFonts w:ascii="Cambria" w:hAnsi="Cambria"/>
          <w:sz w:val="20"/>
          <w:szCs w:val="20"/>
          <w:lang w:val="es-ES"/>
        </w:rPr>
        <w:t>, la CIDH ha enfatizado claramente que</w:t>
      </w:r>
      <w:r w:rsidR="00CC467A" w:rsidRPr="00D81013">
        <w:rPr>
          <w:rFonts w:ascii="Cambria" w:hAnsi="Cambria"/>
          <w:sz w:val="20"/>
          <w:szCs w:val="20"/>
          <w:lang w:val="es-ES"/>
        </w:rPr>
        <w:t>,</w:t>
      </w:r>
      <w:r w:rsidR="00981B3A" w:rsidRPr="00D81013">
        <w:rPr>
          <w:rFonts w:ascii="Cambria" w:hAnsi="Cambria"/>
          <w:sz w:val="20"/>
          <w:szCs w:val="20"/>
          <w:lang w:val="es-ES"/>
        </w:rPr>
        <w:t xml:space="preserve"> para garantizar los derechos humanos en el contexto de actividades empresariales, los Estados tienen deberes específicos de regulación, prevención, supervisión, investigación y acceso a reparación</w:t>
      </w:r>
      <w:r w:rsidR="00981B3A" w:rsidRPr="00D81013">
        <w:rPr>
          <w:rFonts w:ascii="Cambria" w:hAnsi="Cambria"/>
          <w:sz w:val="20"/>
          <w:szCs w:val="20"/>
          <w:vertAlign w:val="superscript"/>
          <w:lang w:val="es-ES"/>
        </w:rPr>
        <w:footnoteReference w:id="10"/>
      </w:r>
      <w:r w:rsidRPr="00D81013">
        <w:rPr>
          <w:rFonts w:ascii="Cambria" w:hAnsi="Cambria"/>
          <w:sz w:val="20"/>
          <w:szCs w:val="20"/>
          <w:lang w:val="es-ES"/>
        </w:rPr>
        <w:t xml:space="preserve">. </w:t>
      </w:r>
      <w:r w:rsidR="00981B3A" w:rsidRPr="00D81013">
        <w:rPr>
          <w:rFonts w:ascii="Cambria" w:hAnsi="Cambria"/>
          <w:sz w:val="20"/>
          <w:szCs w:val="20"/>
          <w:lang w:val="es-ES"/>
        </w:rPr>
        <w:t>Estas obligaciones se refuerzan especialmente cuando se trata de actores privados que realizan actividades que involucran intereses fundamentales de la sociedad y derechos básicos de las personas.</w:t>
      </w:r>
    </w:p>
    <w:p w14:paraId="4EACAD8E" w14:textId="7122CB72" w:rsidR="00F3488E" w:rsidRPr="00D81013" w:rsidRDefault="005837AA" w:rsidP="007B2620">
      <w:pPr>
        <w:pStyle w:val="p1"/>
        <w:numPr>
          <w:ilvl w:val="0"/>
          <w:numId w:val="56"/>
        </w:numPr>
        <w:spacing w:before="240" w:after="240"/>
        <w:jc w:val="both"/>
        <w:rPr>
          <w:rFonts w:ascii="Cambria" w:hAnsi="Cambria"/>
          <w:sz w:val="20"/>
          <w:szCs w:val="20"/>
          <w:lang w:val="es-ES"/>
        </w:rPr>
      </w:pPr>
      <w:r w:rsidRPr="00D81013">
        <w:rPr>
          <w:rFonts w:ascii="Cambria" w:eastAsia="Arial Unicode MS" w:hAnsi="Cambria" w:cs="Times New Roman"/>
          <w:color w:val="auto"/>
          <w:sz w:val="20"/>
          <w:szCs w:val="20"/>
          <w:bdr w:val="nil"/>
          <w:lang w:val="es-ES" w:eastAsia="en-US"/>
        </w:rPr>
        <w:t>A la luz de lo anterior</w:t>
      </w:r>
      <w:r w:rsidR="00F3488E" w:rsidRPr="00D81013">
        <w:rPr>
          <w:rFonts w:ascii="Cambria" w:hAnsi="Cambria"/>
          <w:sz w:val="20"/>
          <w:szCs w:val="20"/>
          <w:lang w:val="es-ES"/>
        </w:rPr>
        <w:t xml:space="preserve">, la CIDH observa que si bien los tribunales internos concluyeron que los terrenos de la Zona Americana son bienes de dominio público y que las presuntas víctimas no habían adquirido derechos posesorios frente a este, el peticionario aporta elementos fácticos como las advertencias de la </w:t>
      </w:r>
      <w:r w:rsidR="000A1403" w:rsidRPr="00D81013">
        <w:rPr>
          <w:rFonts w:ascii="Cambria" w:hAnsi="Cambria"/>
          <w:sz w:val="20"/>
          <w:szCs w:val="20"/>
          <w:lang w:val="es-ES"/>
        </w:rPr>
        <w:t>P</w:t>
      </w:r>
      <w:r w:rsidR="00F3488E" w:rsidRPr="00D81013">
        <w:rPr>
          <w:rFonts w:ascii="Cambria" w:hAnsi="Cambria"/>
          <w:sz w:val="20"/>
          <w:szCs w:val="20"/>
          <w:lang w:val="es-ES"/>
        </w:rPr>
        <w:t xml:space="preserve">rocuraduría, las actuaciones de la Defensoría de los Habitantes, la residencia prolongada de la comunidad y las expectativas derivadas de la actuación estatal y del contrato con la empresa bananera, que podrían ser un indicativo de que las decisiones y omisiones estatales contribuyeron a mantener sin resolver su situación habitacional y a colocarlas en riesgo de un desalojo colectivo sin alternativas razonables de vivienda o reasentamiento. A criterio de la Comisión, estos elementos, de corroborarse, podrían ser incompatibles con las obligaciones estatales relativas al derecho a una vivienda adecuada y a condiciones de vida dignas derivadas del artículo 26 de la Convención Americana, así como con los deberes de garantizar recursos judiciales idóneos </w:t>
      </w:r>
      <w:r w:rsidR="00F3488E" w:rsidRPr="00D81013">
        <w:rPr>
          <w:rFonts w:ascii="Cambria" w:hAnsi="Cambria"/>
          <w:sz w:val="20"/>
          <w:szCs w:val="20"/>
          <w:lang w:val="es-ES"/>
        </w:rPr>
        <w:lastRenderedPageBreak/>
        <w:t>y efectivos. En consecuencia, corresponde realizar un examen de fondo para determinar si el nivel de incidencia estatal resulta suficiente para comprometer la responsabilidad internacional de Costa Rica</w:t>
      </w:r>
      <w:r w:rsidR="00402C54" w:rsidRPr="00D81013">
        <w:rPr>
          <w:rFonts w:ascii="Cambria" w:hAnsi="Cambria"/>
          <w:sz w:val="20"/>
          <w:szCs w:val="20"/>
          <w:lang w:val="es-ES"/>
        </w:rPr>
        <w:t>.</w:t>
      </w:r>
      <w:r w:rsidR="00F3488E" w:rsidRPr="00D81013">
        <w:rPr>
          <w:rFonts w:ascii="Cambria" w:hAnsi="Cambria"/>
          <w:sz w:val="20"/>
          <w:szCs w:val="20"/>
          <w:lang w:val="es-ES"/>
        </w:rPr>
        <w:t xml:space="preserve"> </w:t>
      </w:r>
    </w:p>
    <w:p w14:paraId="32B33C34" w14:textId="60F6D60B" w:rsidR="000868BA" w:rsidRPr="00D81013" w:rsidRDefault="000868BA" w:rsidP="007B2620">
      <w:pPr>
        <w:pStyle w:val="p1"/>
        <w:numPr>
          <w:ilvl w:val="0"/>
          <w:numId w:val="56"/>
        </w:numPr>
        <w:spacing w:before="240" w:after="240"/>
        <w:jc w:val="both"/>
        <w:rPr>
          <w:rFonts w:ascii="Cambria" w:hAnsi="Cambria"/>
          <w:bCs/>
          <w:sz w:val="20"/>
          <w:szCs w:val="20"/>
          <w:lang w:val="es-ES"/>
        </w:rPr>
      </w:pPr>
      <w:r w:rsidRPr="00D81013">
        <w:rPr>
          <w:rFonts w:ascii="Cambria" w:hAnsi="Cambria"/>
          <w:sz w:val="20"/>
          <w:szCs w:val="20"/>
          <w:lang w:val="es-ES"/>
        </w:rPr>
        <w:t>En atención a estas consideraciones</w:t>
      </w:r>
      <w:r w:rsidR="001B3F2D" w:rsidRPr="00D81013">
        <w:rPr>
          <w:rFonts w:ascii="Cambria" w:hAnsi="Cambria"/>
          <w:sz w:val="20"/>
          <w:szCs w:val="20"/>
          <w:lang w:val="es-ES"/>
        </w:rPr>
        <w:t>,</w:t>
      </w:r>
      <w:r w:rsidRPr="00D81013">
        <w:rPr>
          <w:rFonts w:ascii="Cambria" w:hAnsi="Cambria"/>
          <w:sz w:val="20"/>
          <w:szCs w:val="20"/>
          <w:lang w:val="es-ES"/>
        </w:rPr>
        <w:t xml:space="preserve"> y tras examinar los elementos de hecho y de derecho expuestos por las partes</w:t>
      </w:r>
      <w:r w:rsidR="005E051E" w:rsidRPr="00D81013">
        <w:rPr>
          <w:rFonts w:ascii="Cambria" w:hAnsi="Cambria"/>
          <w:sz w:val="20"/>
          <w:szCs w:val="20"/>
          <w:lang w:val="es-ES"/>
        </w:rPr>
        <w:t>,</w:t>
      </w:r>
      <w:r w:rsidRPr="00D81013">
        <w:rPr>
          <w:rFonts w:ascii="Cambria" w:hAnsi="Cambria"/>
          <w:sz w:val="20"/>
          <w:szCs w:val="20"/>
          <w:lang w:val="es-ES"/>
        </w:rPr>
        <w:t xml:space="preserve"> la Comisión estima que las alegaciones </w:t>
      </w:r>
      <w:r w:rsidR="00F56009" w:rsidRPr="00D81013">
        <w:rPr>
          <w:rFonts w:ascii="Cambria" w:hAnsi="Cambria"/>
          <w:sz w:val="20"/>
          <w:szCs w:val="20"/>
          <w:lang w:val="es-ES"/>
        </w:rPr>
        <w:t>del peticionario</w:t>
      </w:r>
      <w:r w:rsidRPr="00D81013">
        <w:rPr>
          <w:rFonts w:ascii="Cambria" w:hAnsi="Cambria"/>
          <w:sz w:val="20"/>
          <w:szCs w:val="20"/>
          <w:lang w:val="es-ES"/>
        </w:rPr>
        <w:t xml:space="preserve"> no resultan manifiestamente infundadas y requieren un estudio de fondo; pues los hechos </w:t>
      </w:r>
      <w:r w:rsidR="005E051E" w:rsidRPr="00D81013">
        <w:rPr>
          <w:rFonts w:ascii="Cambria" w:hAnsi="Cambria"/>
          <w:sz w:val="20"/>
          <w:szCs w:val="20"/>
          <w:lang w:val="es-ES"/>
        </w:rPr>
        <w:t>denunciados</w:t>
      </w:r>
      <w:r w:rsidRPr="00D81013">
        <w:rPr>
          <w:rFonts w:ascii="Cambria" w:hAnsi="Cambria"/>
          <w:sz w:val="20"/>
          <w:szCs w:val="20"/>
          <w:lang w:val="es-ES"/>
        </w:rPr>
        <w:t xml:space="preserve">, de corroborarse como ciertos, podrían caracterizar violaciones a los artículos </w:t>
      </w:r>
      <w:r w:rsidRPr="00D81013">
        <w:rPr>
          <w:rFonts w:ascii="Cambria" w:hAnsi="Cambria"/>
          <w:bCs/>
          <w:sz w:val="20"/>
          <w:szCs w:val="20"/>
          <w:lang w:val="es-ES"/>
        </w:rPr>
        <w:t>8 (garantías judiciales), 11 (</w:t>
      </w:r>
      <w:r w:rsidR="009E67C7" w:rsidRPr="00D81013">
        <w:rPr>
          <w:rFonts w:ascii="Cambria" w:hAnsi="Cambria"/>
          <w:bCs/>
          <w:sz w:val="20"/>
          <w:szCs w:val="20"/>
          <w:lang w:val="es-ES"/>
        </w:rPr>
        <w:t>protección de la honra y de la dignidad</w:t>
      </w:r>
      <w:r w:rsidRPr="00D81013">
        <w:rPr>
          <w:rFonts w:ascii="Cambria" w:hAnsi="Cambria"/>
          <w:bCs/>
          <w:sz w:val="20"/>
          <w:szCs w:val="20"/>
          <w:lang w:val="es-ES"/>
        </w:rPr>
        <w:t xml:space="preserve">), </w:t>
      </w:r>
      <w:r w:rsidR="006A351F" w:rsidRPr="00D81013">
        <w:rPr>
          <w:rFonts w:ascii="Cambria" w:hAnsi="Cambria"/>
          <w:bCs/>
          <w:sz w:val="20"/>
          <w:szCs w:val="20"/>
          <w:lang w:val="es-ES"/>
        </w:rPr>
        <w:t xml:space="preserve">17 (protección de la familia), </w:t>
      </w:r>
      <w:r w:rsidRPr="00D81013">
        <w:rPr>
          <w:rFonts w:ascii="Cambria" w:hAnsi="Cambria"/>
          <w:bCs/>
          <w:sz w:val="20"/>
          <w:szCs w:val="20"/>
          <w:lang w:val="es-ES"/>
        </w:rPr>
        <w:t>19 (derechos del niño), 21 (propiedad privada), 25 (protección judicial)</w:t>
      </w:r>
      <w:r w:rsidR="005E051E" w:rsidRPr="00D81013">
        <w:rPr>
          <w:rFonts w:ascii="Cambria" w:hAnsi="Cambria"/>
          <w:bCs/>
          <w:sz w:val="20"/>
          <w:szCs w:val="20"/>
          <w:lang w:val="es-ES"/>
        </w:rPr>
        <w:t xml:space="preserve"> y</w:t>
      </w:r>
      <w:r w:rsidRPr="00D81013">
        <w:rPr>
          <w:rFonts w:ascii="Cambria" w:hAnsi="Cambria"/>
          <w:bCs/>
          <w:sz w:val="20"/>
          <w:szCs w:val="20"/>
          <w:lang w:val="es-ES"/>
        </w:rPr>
        <w:t xml:space="preserve"> 26 (derechos económicos, sociales y culturales) de la Convención Americana</w:t>
      </w:r>
      <w:r w:rsidRPr="00D81013">
        <w:rPr>
          <w:rFonts w:ascii="Cambria" w:hAnsi="Cambria"/>
          <w:sz w:val="20"/>
          <w:szCs w:val="20"/>
          <w:lang w:val="es-ES"/>
        </w:rPr>
        <w:t>, en relación con su artículo 1.1 (obligación de respetar y garantizar los derechos), en perjuicio de las presuntas víctimas</w:t>
      </w:r>
      <w:r w:rsidR="006A351F" w:rsidRPr="00D81013">
        <w:rPr>
          <w:rFonts w:ascii="Cambria" w:hAnsi="Cambria"/>
          <w:sz w:val="20"/>
          <w:szCs w:val="20"/>
          <w:lang w:val="es-ES"/>
        </w:rPr>
        <w:t xml:space="preserve"> </w:t>
      </w:r>
      <w:r w:rsidR="00293FB6" w:rsidRPr="00D81013">
        <w:rPr>
          <w:rFonts w:ascii="Cambria" w:hAnsi="Cambria"/>
          <w:sz w:val="20"/>
          <w:szCs w:val="20"/>
          <w:lang w:val="es-ES"/>
        </w:rPr>
        <w:t xml:space="preserve">individualizadas. </w:t>
      </w:r>
    </w:p>
    <w:p w14:paraId="06848099" w14:textId="215B86C8" w:rsidR="000E533B" w:rsidRPr="00D81013" w:rsidRDefault="00A37FEB" w:rsidP="007B2620">
      <w:pPr>
        <w:pStyle w:val="ListParagraph"/>
        <w:numPr>
          <w:ilvl w:val="0"/>
          <w:numId w:val="56"/>
        </w:numPr>
        <w:spacing w:before="240" w:after="240"/>
        <w:jc w:val="both"/>
        <w:rPr>
          <w:b/>
          <w:sz w:val="20"/>
          <w:szCs w:val="20"/>
          <w:lang w:val="es-ES"/>
        </w:rPr>
      </w:pPr>
      <w:r w:rsidRPr="00D81013">
        <w:rPr>
          <w:sz w:val="20"/>
          <w:szCs w:val="20"/>
          <w:lang w:val="es-ES"/>
        </w:rPr>
        <w:t xml:space="preserve">En cuanto al reclamo sobre la presunta violación de los artículos </w:t>
      </w:r>
      <w:r w:rsidRPr="00D81013">
        <w:rPr>
          <w:bCs/>
          <w:sz w:val="20"/>
          <w:szCs w:val="20"/>
          <w:lang w:val="es-ES"/>
        </w:rPr>
        <w:t>4 (vida), 5 (integridad personal), 7 (libertad personal)</w:t>
      </w:r>
      <w:r w:rsidR="00A71EC6" w:rsidRPr="00D81013">
        <w:rPr>
          <w:bCs/>
          <w:sz w:val="20"/>
          <w:szCs w:val="20"/>
          <w:lang w:val="es-ES"/>
        </w:rPr>
        <w:t xml:space="preserve"> y</w:t>
      </w:r>
      <w:r w:rsidR="005D2D11" w:rsidRPr="00D81013">
        <w:rPr>
          <w:bCs/>
          <w:sz w:val="20"/>
          <w:szCs w:val="20"/>
          <w:lang w:val="es-ES"/>
        </w:rPr>
        <w:t xml:space="preserve"> </w:t>
      </w:r>
      <w:r w:rsidRPr="00D81013">
        <w:rPr>
          <w:bCs/>
          <w:sz w:val="20"/>
          <w:szCs w:val="20"/>
          <w:lang w:val="es-ES"/>
        </w:rPr>
        <w:t>22 (residencia) de la Convención Americana, el artículo 13 (derecho a la educación) del Protocolo Adicional y el artículo XI (derecho a la preservación de la salud y al bienestar) de la Declaración Americana</w:t>
      </w:r>
      <w:r w:rsidRPr="00D81013">
        <w:rPr>
          <w:sz w:val="20"/>
          <w:szCs w:val="20"/>
          <w:lang w:val="es-ES"/>
        </w:rPr>
        <w:t xml:space="preserve">; la Comisión observa que los peticionarios no han ofrecido alegatos o sustento suficiente que permita considerar </w:t>
      </w:r>
      <w:r w:rsidRPr="00D81013">
        <w:rPr>
          <w:i/>
          <w:sz w:val="20"/>
          <w:szCs w:val="20"/>
          <w:lang w:val="es-ES"/>
        </w:rPr>
        <w:t>prima facie</w:t>
      </w:r>
      <w:r w:rsidRPr="00D81013">
        <w:rPr>
          <w:sz w:val="20"/>
          <w:szCs w:val="20"/>
          <w:lang w:val="es-ES"/>
        </w:rPr>
        <w:t xml:space="preserve"> su posible violación.</w:t>
      </w:r>
    </w:p>
    <w:p w14:paraId="22E95863" w14:textId="4F4E7628" w:rsidR="000E533B" w:rsidRPr="00D81013" w:rsidRDefault="000E533B" w:rsidP="007B2620">
      <w:pPr>
        <w:pStyle w:val="ListParagraph"/>
        <w:numPr>
          <w:ilvl w:val="0"/>
          <w:numId w:val="56"/>
        </w:numPr>
        <w:suppressAutoHyphens/>
        <w:spacing w:before="240" w:after="240"/>
        <w:jc w:val="both"/>
        <w:rPr>
          <w:sz w:val="20"/>
          <w:szCs w:val="20"/>
          <w:lang w:val="es-ES"/>
        </w:rPr>
      </w:pPr>
      <w:r w:rsidRPr="00D81013">
        <w:rPr>
          <w:sz w:val="20"/>
          <w:szCs w:val="20"/>
          <w:lang w:val="es-ES"/>
        </w:rPr>
        <w:t xml:space="preserve">En relación con los </w:t>
      </w:r>
      <w:r w:rsidR="00105866" w:rsidRPr="00D81013">
        <w:rPr>
          <w:sz w:val="20"/>
          <w:szCs w:val="20"/>
          <w:lang w:val="es-ES"/>
        </w:rPr>
        <w:t xml:space="preserve">planteos </w:t>
      </w:r>
      <w:r w:rsidRPr="00D81013">
        <w:rPr>
          <w:sz w:val="20"/>
          <w:szCs w:val="20"/>
          <w:lang w:val="es-ES"/>
        </w:rPr>
        <w:t xml:space="preserve">relativos al artículo 6 del Protocolo de San Salvador, la Comisión nota que la competencia prevista en los términos del artículo 19.6 de dicho tratado para pronunciarse en el contexto de un caso individual se limita a los artículos 8.1.a) y 13. </w:t>
      </w:r>
      <w:r w:rsidR="00C138A7" w:rsidRPr="00D81013">
        <w:rPr>
          <w:sz w:val="20"/>
          <w:szCs w:val="20"/>
          <w:lang w:val="es-ES"/>
        </w:rPr>
        <w:t>Asimismo</w:t>
      </w:r>
      <w:r w:rsidR="000A02D5" w:rsidRPr="00D81013">
        <w:rPr>
          <w:sz w:val="20"/>
          <w:szCs w:val="20"/>
          <w:lang w:val="es-ES"/>
        </w:rPr>
        <w:t>, respecto de la Declaración Universal de Derechos Humanos; el Pacto Internacional de Derechos Económicos, Sociales y Culturales; el Pacto Internacional de Derechos Civiles y Políticos; la Convención sobre los Derechos del Niño; la Convención sobre la Eliminación de Todas las Formas de Discriminación contra la Mujer; la Convención Internacional sobre la Eliminación de Todas las Formas de Discriminación Racial; y, el Convenio 165 de la OIT, la CIDH carece de competencia para establecer violaciones a las normas de dichos tratados, sin perjuicio de lo cual podrá tomarlo</w:t>
      </w:r>
      <w:r w:rsidR="00105866" w:rsidRPr="00D81013">
        <w:rPr>
          <w:sz w:val="20"/>
          <w:szCs w:val="20"/>
          <w:lang w:val="es-ES"/>
        </w:rPr>
        <w:t>s</w:t>
      </w:r>
      <w:r w:rsidR="000A02D5" w:rsidRPr="00D81013">
        <w:rPr>
          <w:sz w:val="20"/>
          <w:szCs w:val="20"/>
          <w:lang w:val="es-ES"/>
        </w:rPr>
        <w:t xml:space="preserve"> en cuenta como parte de su ejercicio interpretativo de las normas de la Convención Americana en la etapa de fondo del presente caso, en los términos del artículo 29 de la Convención.</w:t>
      </w:r>
    </w:p>
    <w:p w14:paraId="445BF42E" w14:textId="77777777" w:rsidR="003239B8" w:rsidRPr="00D81013" w:rsidRDefault="003239B8" w:rsidP="00A1479A">
      <w:pPr>
        <w:pStyle w:val="ListParagraph"/>
        <w:spacing w:before="240" w:after="240"/>
        <w:ind w:left="0" w:firstLine="720"/>
        <w:jc w:val="both"/>
        <w:rPr>
          <w:b/>
          <w:bCs/>
          <w:sz w:val="20"/>
          <w:szCs w:val="20"/>
          <w:lang w:val="es-ES"/>
        </w:rPr>
      </w:pPr>
      <w:r w:rsidRPr="00D81013">
        <w:rPr>
          <w:b/>
          <w:bCs/>
          <w:sz w:val="20"/>
          <w:szCs w:val="20"/>
          <w:lang w:val="es-ES"/>
        </w:rPr>
        <w:t xml:space="preserve">VIII. </w:t>
      </w:r>
      <w:r w:rsidRPr="00D81013">
        <w:rPr>
          <w:b/>
          <w:bCs/>
          <w:sz w:val="20"/>
          <w:szCs w:val="20"/>
          <w:lang w:val="es-ES"/>
        </w:rPr>
        <w:tab/>
        <w:t>DECISIÓN</w:t>
      </w:r>
    </w:p>
    <w:p w14:paraId="16B36F97" w14:textId="6F81328A" w:rsidR="003239B8" w:rsidRPr="00D81013" w:rsidRDefault="003239B8" w:rsidP="00A1479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81013">
        <w:rPr>
          <w:rFonts w:ascii="Cambria" w:hAnsi="Cambria"/>
          <w:sz w:val="20"/>
          <w:szCs w:val="20"/>
          <w:lang w:val="es-ES"/>
        </w:rPr>
        <w:t>Declarar admisible la presente petición en relación con</w:t>
      </w:r>
      <w:r w:rsidR="001D7F96" w:rsidRPr="00D81013">
        <w:rPr>
          <w:rFonts w:ascii="Cambria" w:hAnsi="Cambria"/>
          <w:sz w:val="20"/>
          <w:szCs w:val="20"/>
          <w:lang w:val="es-ES"/>
        </w:rPr>
        <w:t xml:space="preserve"> </w:t>
      </w:r>
      <w:r w:rsidR="008D54E5" w:rsidRPr="00D81013">
        <w:rPr>
          <w:rFonts w:ascii="Cambria" w:hAnsi="Cambria"/>
          <w:bCs/>
          <w:sz w:val="20"/>
          <w:szCs w:val="20"/>
          <w:lang w:val="es-ES"/>
        </w:rPr>
        <w:t xml:space="preserve">8, 11, </w:t>
      </w:r>
      <w:r w:rsidR="00CD19E4" w:rsidRPr="00D81013">
        <w:rPr>
          <w:rFonts w:ascii="Cambria" w:hAnsi="Cambria"/>
          <w:bCs/>
          <w:sz w:val="20"/>
          <w:szCs w:val="20"/>
          <w:lang w:val="es-ES"/>
        </w:rPr>
        <w:t xml:space="preserve">17, </w:t>
      </w:r>
      <w:r w:rsidR="008D54E5" w:rsidRPr="00D81013">
        <w:rPr>
          <w:rFonts w:ascii="Cambria" w:hAnsi="Cambria"/>
          <w:bCs/>
          <w:sz w:val="20"/>
          <w:szCs w:val="20"/>
          <w:lang w:val="es-ES"/>
        </w:rPr>
        <w:t>19, 21, 25</w:t>
      </w:r>
      <w:r w:rsidR="00020C21" w:rsidRPr="00D81013">
        <w:rPr>
          <w:rFonts w:ascii="Cambria" w:hAnsi="Cambria"/>
          <w:bCs/>
          <w:sz w:val="20"/>
          <w:szCs w:val="20"/>
          <w:lang w:val="es-ES"/>
        </w:rPr>
        <w:t xml:space="preserve"> y</w:t>
      </w:r>
      <w:r w:rsidR="008D54E5" w:rsidRPr="00D81013">
        <w:rPr>
          <w:rFonts w:ascii="Cambria" w:hAnsi="Cambria"/>
          <w:bCs/>
          <w:sz w:val="20"/>
          <w:szCs w:val="20"/>
          <w:lang w:val="es-ES"/>
        </w:rPr>
        <w:t xml:space="preserve"> 26 </w:t>
      </w:r>
      <w:r w:rsidR="008D54E5" w:rsidRPr="00D81013">
        <w:rPr>
          <w:rFonts w:ascii="Cambria" w:hAnsi="Cambria"/>
          <w:sz w:val="20"/>
          <w:szCs w:val="20"/>
          <w:lang w:val="es-ES"/>
        </w:rPr>
        <w:t>de la Convención Americana, en relación con su artículo 1.1</w:t>
      </w:r>
      <w:r w:rsidR="00C45317">
        <w:rPr>
          <w:rFonts w:ascii="Cambria" w:hAnsi="Cambria"/>
          <w:sz w:val="20"/>
          <w:szCs w:val="20"/>
          <w:lang w:val="es-ES"/>
        </w:rPr>
        <w:t>;</w:t>
      </w:r>
    </w:p>
    <w:p w14:paraId="547DFF8E" w14:textId="3D333938" w:rsidR="000419AD" w:rsidRPr="00D81013" w:rsidRDefault="000419AD" w:rsidP="00A1479A">
      <w:pPr>
        <w:pStyle w:val="ListParagraph"/>
        <w:numPr>
          <w:ilvl w:val="0"/>
          <w:numId w:val="55"/>
        </w:numPr>
        <w:spacing w:before="240" w:after="240"/>
        <w:jc w:val="both"/>
        <w:rPr>
          <w:rFonts w:eastAsia="Arial Unicode MS" w:cs="Times New Roman"/>
          <w:color w:val="auto"/>
          <w:sz w:val="20"/>
          <w:szCs w:val="20"/>
          <w:lang w:val="es-ES" w:eastAsia="en-US"/>
        </w:rPr>
      </w:pPr>
      <w:r w:rsidRPr="00D81013">
        <w:rPr>
          <w:rFonts w:eastAsia="Arial Unicode MS" w:cs="Times New Roman"/>
          <w:color w:val="auto"/>
          <w:sz w:val="20"/>
          <w:szCs w:val="20"/>
          <w:lang w:val="es-ES" w:eastAsia="en-US"/>
        </w:rPr>
        <w:t xml:space="preserve">Declarar inadmisible la presente petición en relación con </w:t>
      </w:r>
      <w:r w:rsidR="008D54E5" w:rsidRPr="00D81013">
        <w:rPr>
          <w:bCs/>
          <w:sz w:val="20"/>
          <w:szCs w:val="20"/>
          <w:lang w:val="es-ES"/>
        </w:rPr>
        <w:t>4, 5, 7</w:t>
      </w:r>
      <w:r w:rsidR="00020C21" w:rsidRPr="00D81013">
        <w:rPr>
          <w:bCs/>
          <w:sz w:val="20"/>
          <w:szCs w:val="20"/>
          <w:lang w:val="es-ES"/>
        </w:rPr>
        <w:t xml:space="preserve"> y</w:t>
      </w:r>
      <w:r w:rsidR="005D2D11" w:rsidRPr="00D81013">
        <w:rPr>
          <w:bCs/>
          <w:sz w:val="20"/>
          <w:szCs w:val="20"/>
          <w:lang w:val="es-ES"/>
        </w:rPr>
        <w:t xml:space="preserve"> </w:t>
      </w:r>
      <w:r w:rsidR="008D54E5" w:rsidRPr="00D81013">
        <w:rPr>
          <w:bCs/>
          <w:sz w:val="20"/>
          <w:szCs w:val="20"/>
          <w:lang w:val="es-ES"/>
        </w:rPr>
        <w:t>22 de la Convención Americana</w:t>
      </w:r>
      <w:r w:rsidR="00C45317">
        <w:rPr>
          <w:rFonts w:eastAsia="Arial Unicode MS" w:cs="Times New Roman"/>
          <w:color w:val="auto"/>
          <w:sz w:val="20"/>
          <w:szCs w:val="20"/>
          <w:lang w:val="es-ES" w:eastAsia="en-US"/>
        </w:rPr>
        <w:t>, y;</w:t>
      </w:r>
    </w:p>
    <w:p w14:paraId="35FDB655" w14:textId="1436079B" w:rsidR="00921546" w:rsidRDefault="004A6A54" w:rsidP="00A1479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81013">
        <w:rPr>
          <w:rFonts w:ascii="Cambria" w:hAnsi="Cambria"/>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125C0F3C" w14:textId="043FB9A7" w:rsidR="006D72EB" w:rsidRPr="006D72EB" w:rsidRDefault="00EC3C33" w:rsidP="006D72EB">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w:t>
      </w:r>
      <w:r w:rsidRPr="00492D44">
        <w:rPr>
          <w:rStyle w:val="normaltextrun"/>
          <w:rFonts w:ascii="Cambria" w:hAnsi="Cambria" w:cs="Segoe UI"/>
          <w:sz w:val="20"/>
          <w:szCs w:val="20"/>
          <w:lang w:val="es-CL"/>
        </w:rPr>
        <w:t xml:space="preserve">s a los </w:t>
      </w:r>
      <w:r w:rsidR="001B3E46" w:rsidRPr="00492D44">
        <w:rPr>
          <w:rStyle w:val="normaltextrun"/>
          <w:rFonts w:ascii="Cambria" w:hAnsi="Cambria" w:cs="Segoe UI"/>
          <w:sz w:val="20"/>
          <w:szCs w:val="20"/>
          <w:lang w:val="es-CL"/>
        </w:rPr>
        <w:t>27</w:t>
      </w:r>
      <w:r w:rsidRPr="00492D44">
        <w:rPr>
          <w:rStyle w:val="normaltextrun"/>
          <w:rFonts w:ascii="Cambria" w:hAnsi="Cambria" w:cs="Segoe UI"/>
          <w:sz w:val="20"/>
          <w:szCs w:val="20"/>
          <w:lang w:val="es-CL"/>
        </w:rPr>
        <w:t xml:space="preserve"> días del mes de </w:t>
      </w:r>
      <w:r w:rsidR="001B3E46" w:rsidRPr="00492D44">
        <w:rPr>
          <w:rStyle w:val="normaltextrun"/>
          <w:rFonts w:ascii="Cambria" w:hAnsi="Cambria" w:cs="Segoe UI"/>
          <w:sz w:val="20"/>
          <w:szCs w:val="20"/>
          <w:lang w:val="es-CL"/>
        </w:rPr>
        <w:t>diciembre</w:t>
      </w:r>
      <w:r w:rsidRPr="00492D44">
        <w:rPr>
          <w:rStyle w:val="normaltextrun"/>
          <w:rFonts w:ascii="Cambria" w:hAnsi="Cambria" w:cs="Segoe UI"/>
          <w:sz w:val="20"/>
          <w:szCs w:val="20"/>
          <w:lang w:val="es-CL"/>
        </w:rPr>
        <w:t xml:space="preserve"> de 20</w:t>
      </w:r>
      <w:r w:rsidR="00CE0F93" w:rsidRPr="00492D44">
        <w:rPr>
          <w:rStyle w:val="normaltextrun"/>
          <w:rFonts w:ascii="Cambria" w:hAnsi="Cambria" w:cs="Segoe UI"/>
          <w:sz w:val="20"/>
          <w:szCs w:val="20"/>
          <w:lang w:val="es-CL"/>
        </w:rPr>
        <w:t>25</w:t>
      </w:r>
      <w:r w:rsidRPr="00492D44">
        <w:rPr>
          <w:rStyle w:val="normaltextrun"/>
          <w:rFonts w:ascii="Cambria" w:hAnsi="Cambria" w:cs="Segoe UI"/>
          <w:sz w:val="20"/>
          <w:szCs w:val="20"/>
          <w:lang w:val="es-CL"/>
        </w:rPr>
        <w:t>.  (Firmado): José Luis Caballero Ochoa, Presidente; Andrea Pochak, Primera Vicepresidenta; Edgar Stuardo Ralón Orellana</w:t>
      </w:r>
      <w:r w:rsidR="00CE0F93" w:rsidRPr="00492D44">
        <w:rPr>
          <w:rStyle w:val="normaltextrun"/>
          <w:rFonts w:ascii="Cambria" w:hAnsi="Cambria" w:cs="Segoe UI"/>
          <w:sz w:val="20"/>
          <w:szCs w:val="20"/>
          <w:lang w:val="es-CL"/>
        </w:rPr>
        <w:t xml:space="preserve"> y</w:t>
      </w:r>
      <w:r w:rsidRPr="00492D44">
        <w:rPr>
          <w:rStyle w:val="normaltextrun"/>
          <w:rFonts w:ascii="Cambria" w:hAnsi="Cambria" w:cs="Segoe UI"/>
          <w:sz w:val="20"/>
          <w:szCs w:val="20"/>
          <w:lang w:val="es-CL"/>
        </w:rPr>
        <w:t xml:space="preserve"> Carlos Bernal Pulido, </w:t>
      </w:r>
      <w:r w:rsidR="006D72EB">
        <w:rPr>
          <w:rStyle w:val="normaltextrun"/>
          <w:rFonts w:ascii="Cambria" w:hAnsi="Cambria" w:cs="Segoe UI"/>
          <w:sz w:val="20"/>
          <w:szCs w:val="20"/>
          <w:lang w:val="es-CL"/>
        </w:rPr>
        <w:t>m</w:t>
      </w:r>
      <w:r w:rsidRPr="00492D44">
        <w:rPr>
          <w:rStyle w:val="normaltextrun"/>
          <w:rFonts w:ascii="Cambria" w:hAnsi="Cambria" w:cs="Segoe UI"/>
          <w:sz w:val="20"/>
          <w:szCs w:val="20"/>
          <w:lang w:val="es-CL"/>
        </w:rPr>
        <w:t>iembros de la Comisión.</w:t>
      </w:r>
    </w:p>
    <w:p w14:paraId="7F32AF38" w14:textId="30203957" w:rsidR="00764F54" w:rsidRPr="006D72EB" w:rsidRDefault="00764F54" w:rsidP="00492D44">
      <w:pPr>
        <w:pStyle w:val="paragraph"/>
        <w:tabs>
          <w:tab w:val="left" w:pos="3655"/>
        </w:tabs>
        <w:spacing w:before="0" w:beforeAutospacing="0" w:after="0" w:afterAutospacing="0"/>
        <w:jc w:val="center"/>
        <w:textAlignment w:val="baseline"/>
        <w:rPr>
          <w:rFonts w:ascii="Cambria" w:hAnsi="Cambria" w:cs="Calibri"/>
          <w:sz w:val="20"/>
          <w:szCs w:val="20"/>
          <w:lang w:val="es-ES"/>
        </w:rPr>
      </w:pPr>
      <w:r w:rsidRPr="006D72EB">
        <w:rPr>
          <w:rFonts w:ascii="Cambria" w:hAnsi="Cambria" w:cs="Calibri"/>
          <w:sz w:val="20"/>
          <w:szCs w:val="20"/>
          <w:lang w:val="es-ES"/>
        </w:rPr>
        <w:br w:type="page"/>
      </w:r>
    </w:p>
    <w:p w14:paraId="5678F11A" w14:textId="77777777" w:rsidR="00764F54" w:rsidRPr="006D72EB" w:rsidRDefault="00764F54" w:rsidP="00855EF8">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right="4"/>
        <w:jc w:val="center"/>
        <w:rPr>
          <w:rFonts w:ascii="Cambria" w:eastAsia="Times New Roman" w:hAnsi="Cambria"/>
          <w:b/>
          <w:bCs/>
          <w:color w:val="000000"/>
          <w:sz w:val="20"/>
          <w:szCs w:val="20"/>
          <w:bdr w:val="none" w:sz="0" w:space="0" w:color="auto"/>
          <w:lang w:val="es-ES" w:eastAsia="es-MX"/>
        </w:rPr>
      </w:pPr>
      <w:r w:rsidRPr="006D72EB">
        <w:rPr>
          <w:rFonts w:ascii="Cambria" w:eastAsia="Times New Roman" w:hAnsi="Cambria"/>
          <w:b/>
          <w:bCs/>
          <w:color w:val="000000"/>
          <w:sz w:val="20"/>
          <w:szCs w:val="20"/>
          <w:bdr w:val="none" w:sz="0" w:space="0" w:color="auto"/>
          <w:lang w:val="es-ES" w:eastAsia="es-MX"/>
        </w:rPr>
        <w:lastRenderedPageBreak/>
        <w:t>Anexo</w:t>
      </w:r>
    </w:p>
    <w:p w14:paraId="78C652BA" w14:textId="666B7FB8" w:rsidR="00764F54" w:rsidRPr="00855EF8" w:rsidRDefault="00764F54" w:rsidP="00855EF8">
      <w:p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right="4"/>
        <w:jc w:val="center"/>
        <w:rPr>
          <w:rFonts w:ascii="Cambria" w:eastAsia="Times New Roman" w:hAnsi="Cambria"/>
          <w:b/>
          <w:bCs/>
          <w:color w:val="000000"/>
          <w:sz w:val="20"/>
          <w:szCs w:val="20"/>
          <w:bdr w:val="none" w:sz="0" w:space="0" w:color="auto"/>
          <w:lang w:val="es-ES" w:eastAsia="es-MX"/>
        </w:rPr>
      </w:pPr>
      <w:r w:rsidRPr="00855EF8">
        <w:rPr>
          <w:rFonts w:ascii="Cambria" w:eastAsia="Times New Roman" w:hAnsi="Cambria"/>
          <w:b/>
          <w:bCs/>
          <w:color w:val="000000"/>
          <w:sz w:val="20"/>
          <w:szCs w:val="20"/>
          <w:bdr w:val="none" w:sz="0" w:space="0" w:color="auto"/>
          <w:lang w:val="es-ES" w:eastAsia="es-MX"/>
        </w:rPr>
        <w:t>Listado de las presuntas víctimas</w:t>
      </w:r>
      <w:r w:rsidR="008C2247" w:rsidRPr="00855EF8">
        <w:rPr>
          <w:rStyle w:val="FootnoteReference"/>
          <w:rFonts w:ascii="Cambria" w:eastAsia="Times New Roman" w:hAnsi="Cambria"/>
          <w:b/>
          <w:bCs/>
          <w:color w:val="000000"/>
          <w:sz w:val="20"/>
          <w:szCs w:val="20"/>
          <w:bdr w:val="none" w:sz="0" w:space="0" w:color="auto"/>
          <w:lang w:val="es-ES" w:eastAsia="es-MX"/>
        </w:rPr>
        <w:footnoteReference w:id="11"/>
      </w:r>
    </w:p>
    <w:p w14:paraId="4757CA1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Jennifer Acuña Vargas – 34 años</w:t>
      </w:r>
    </w:p>
    <w:p w14:paraId="2ACA771B"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Ilanny Pamela Loría Acuña – 16 años</w:t>
      </w:r>
    </w:p>
    <w:p w14:paraId="4884D0B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Esteban Josúe Loría Acuña – 12 años</w:t>
      </w:r>
    </w:p>
    <w:p w14:paraId="42516BCB"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Pablo Andrés Ortiz Acuña – 5 años</w:t>
      </w:r>
    </w:p>
    <w:p w14:paraId="5845BFE2" w14:textId="06D20689"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Paula Saray Acuña Vargas – 3 años</w:t>
      </w:r>
    </w:p>
    <w:p w14:paraId="5F0D28B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Ligia Agüero Zúñiga – 66 años</w:t>
      </w:r>
    </w:p>
    <w:p w14:paraId="05C604A7"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Johannes Kohkemper Marenco – 67 años</w:t>
      </w:r>
    </w:p>
    <w:p w14:paraId="06DF297B" w14:textId="316B8B26"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Cristopher Kohkemper Agüero – 29 años</w:t>
      </w:r>
    </w:p>
    <w:p w14:paraId="320D160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Víctor Manuel Aguilar Vindas – 63 años</w:t>
      </w:r>
    </w:p>
    <w:p w14:paraId="2582489A" w14:textId="26B6133F"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Gerarda Zúñiga Navarro – 57 años</w:t>
      </w:r>
    </w:p>
    <w:p w14:paraId="3A470822" w14:textId="4848A22C"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Ricardo Aguilar Vindas – 32 años</w:t>
      </w:r>
    </w:p>
    <w:p w14:paraId="520FDFE2" w14:textId="77777777"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Víctor Araya Vega – 67 años</w:t>
      </w:r>
    </w:p>
    <w:p w14:paraId="0F4A993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Ruth Arias Cordero – 53 años</w:t>
      </w:r>
    </w:p>
    <w:p w14:paraId="71284A4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Fernanda Solano Arias – 24 años</w:t>
      </w:r>
    </w:p>
    <w:p w14:paraId="460CD1A5" w14:textId="46B6E2D1"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Yamil Robles Solano – 6 años</w:t>
      </w:r>
    </w:p>
    <w:p w14:paraId="78E68497"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Víctor Hugo Bolivar Morales – 50 años</w:t>
      </w:r>
    </w:p>
    <w:p w14:paraId="3925018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Kattya Mayela Elizondo Zúñiga – 43 años</w:t>
      </w:r>
    </w:p>
    <w:p w14:paraId="3CC5894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Alejandra Bolivar Elizondo – 26 años</w:t>
      </w:r>
    </w:p>
    <w:p w14:paraId="74D37A09" w14:textId="497230C3"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Victor Alonso Bolivar Elizondo – 19 años</w:t>
      </w:r>
    </w:p>
    <w:p w14:paraId="53C64AD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German Barrientos Ortiz – 52 años</w:t>
      </w:r>
    </w:p>
    <w:p w14:paraId="100C26F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de los Ángeles Espinoza Camacho – 47 años</w:t>
      </w:r>
    </w:p>
    <w:p w14:paraId="3E50474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Clareth Barrientos Espinoza – 25 años</w:t>
      </w:r>
    </w:p>
    <w:p w14:paraId="2F19E7E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Fátima Barrientos Espinoza – 3 años</w:t>
      </w:r>
    </w:p>
    <w:p w14:paraId="71E6D8CD"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Isaac Barrientos Espinoza – 22 años</w:t>
      </w:r>
    </w:p>
    <w:p w14:paraId="3B009D2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lastRenderedPageBreak/>
        <w:t>Nazareth Barrientos Espinoza – 21 años</w:t>
      </w:r>
    </w:p>
    <w:p w14:paraId="30F3EBA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del Carmen Barrientos Espinoza – 15 años</w:t>
      </w:r>
    </w:p>
    <w:p w14:paraId="50D5F017"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Josué Barrientos Espinoza – 13 años</w:t>
      </w:r>
    </w:p>
    <w:p w14:paraId="6FFD95F7" w14:textId="0DE9790F"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Guadalupe Barrientos Espinoza – 7 años</w:t>
      </w:r>
    </w:p>
    <w:p w14:paraId="3361115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Ana Patricia Barrientos Ortiz – 54 años</w:t>
      </w:r>
    </w:p>
    <w:p w14:paraId="1F1E0F3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Karla Rosaura Umaña Barrientos – 20 años</w:t>
      </w:r>
    </w:p>
    <w:p w14:paraId="1ACA5B3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Annia Patricia Barrientos Ortiz – 29 años</w:t>
      </w:r>
    </w:p>
    <w:p w14:paraId="32BA11A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Adriel Samuel Segura Barrientos – 3 años</w:t>
      </w:r>
    </w:p>
    <w:p w14:paraId="6E6F17BE" w14:textId="6B40DF0E"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Erick Segura Ortíz – 29 años</w:t>
      </w:r>
    </w:p>
    <w:p w14:paraId="1CD9862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Rigoberto Barrientos Ortiz – 55 años</w:t>
      </w:r>
    </w:p>
    <w:p w14:paraId="7298025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Blanca Rosa de Jesús Moya Valverde – 54 años</w:t>
      </w:r>
    </w:p>
    <w:p w14:paraId="36EECD55" w14:textId="62A51809"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Geovanny Barrientos Moya – 37 años</w:t>
      </w:r>
    </w:p>
    <w:p w14:paraId="594FD20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Juan de Dios Bellido Mairena – 59 años</w:t>
      </w:r>
    </w:p>
    <w:p w14:paraId="4C5C6DD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Nuria María Quirós Jiménez – 43 años</w:t>
      </w:r>
    </w:p>
    <w:p w14:paraId="6D425CB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Juan Diego Bellido Quirós – 23 años</w:t>
      </w:r>
    </w:p>
    <w:p w14:paraId="5ECCF8CD"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Gustavo Adolfo Bellido Quirós – 22 años</w:t>
      </w:r>
    </w:p>
    <w:p w14:paraId="5EC6F52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Cristhian Mauricio Bellido Quirós – 17 años</w:t>
      </w:r>
    </w:p>
    <w:p w14:paraId="0EC0AF3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Adita Bosques Guadamuz – 73 año</w:t>
      </w:r>
      <w:r w:rsidR="00233921" w:rsidRPr="00855EF8">
        <w:rPr>
          <w:rStyle w:val="FootnoteReference"/>
          <w:color w:val="auto"/>
          <w:sz w:val="20"/>
          <w:szCs w:val="20"/>
          <w:vertAlign w:val="baseline"/>
          <w:lang w:val="es-ES"/>
        </w:rPr>
        <w:t>s</w:t>
      </w:r>
    </w:p>
    <w:p w14:paraId="4670AC7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Alberto López Bosques – 55 años</w:t>
      </w:r>
    </w:p>
    <w:p w14:paraId="5D37F114"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Oscar Gabriel López Bosques – 51 año</w:t>
      </w:r>
      <w:r w:rsidR="00233921" w:rsidRPr="00855EF8">
        <w:rPr>
          <w:rStyle w:val="FootnoteReference"/>
          <w:color w:val="auto"/>
          <w:sz w:val="20"/>
          <w:szCs w:val="20"/>
          <w:vertAlign w:val="baseline"/>
          <w:lang w:val="es-ES"/>
        </w:rPr>
        <w:t>s</w:t>
      </w:r>
    </w:p>
    <w:p w14:paraId="3C9B78CD"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Beberly López Bosques – 42 años</w:t>
      </w:r>
    </w:p>
    <w:p w14:paraId="30C4E16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Marco Antonio Brenes Rodríguez – 54 años</w:t>
      </w:r>
    </w:p>
    <w:p w14:paraId="575C1633"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Zaida del Carmen Acuña Ugalde – 52 años</w:t>
      </w:r>
    </w:p>
    <w:p w14:paraId="4BA28F5E"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Cinthia Elizabeth Brenes Acuña – 35 años</w:t>
      </w:r>
    </w:p>
    <w:p w14:paraId="614C47F8" w14:textId="79EE7244"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Marco Antonio Brenes Acuña – 23 años</w:t>
      </w:r>
    </w:p>
    <w:p w14:paraId="0F8CBC6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Luis Calvo Quirós – 62 años</w:t>
      </w:r>
    </w:p>
    <w:p w14:paraId="0163028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Ramón Campos González – 61 años</w:t>
      </w:r>
    </w:p>
    <w:p w14:paraId="4F18333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lastRenderedPageBreak/>
        <w:t>Xinia Marchena Marchena – 57 años</w:t>
      </w:r>
    </w:p>
    <w:p w14:paraId="04BDD15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Juan José Campos Marchena – 25 años</w:t>
      </w:r>
    </w:p>
    <w:p w14:paraId="1B104AFA" w14:textId="7C027134"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Pablo Emilio Campos Marchena – 21 años</w:t>
      </w:r>
    </w:p>
    <w:p w14:paraId="3FEF6BB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Amelia Campos Vargas – 84 años</w:t>
      </w:r>
    </w:p>
    <w:p w14:paraId="6F8978A3"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Rebeca Eugenia Martínez Campos – 45 años</w:t>
      </w:r>
    </w:p>
    <w:p w14:paraId="0317963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Noe Cerdas Espinoza – 57 años</w:t>
      </w:r>
    </w:p>
    <w:p w14:paraId="1C30E10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Mayela de los Ángeles González Carvajal – 54 años</w:t>
      </w:r>
    </w:p>
    <w:p w14:paraId="5D983C4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Cesia Noelia Cerdas González – 33 años</w:t>
      </w:r>
    </w:p>
    <w:p w14:paraId="6F49B4E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Jairo Noé Cerdas González – 32 años</w:t>
      </w:r>
    </w:p>
    <w:p w14:paraId="069A021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Diego Adrián Cerdas González – 30 años</w:t>
      </w:r>
    </w:p>
    <w:p w14:paraId="29CD515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Ricardo Gari Cerdas González – 27 años</w:t>
      </w:r>
    </w:p>
    <w:p w14:paraId="56448D34"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Fabio Alejandro Cerdas González – 26 años</w:t>
      </w:r>
    </w:p>
    <w:p w14:paraId="106A2317"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Ervin Marcos González Carvajal – 73 años</w:t>
      </w:r>
    </w:p>
    <w:p w14:paraId="19B0E69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Virginia Chavarría Arce – 59 años</w:t>
      </w:r>
    </w:p>
    <w:p w14:paraId="76E568A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Luis Ramón Urbina Guadámuz – 55 años</w:t>
      </w:r>
    </w:p>
    <w:p w14:paraId="638A7D8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Masiel Urbina Chavarría – 32 añosCarolina Urbina Chavarría – 28 años</w:t>
      </w:r>
    </w:p>
    <w:p w14:paraId="15194D1E"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Saira Corea López – 49 años</w:t>
      </w:r>
    </w:p>
    <w:p w14:paraId="56E6AE7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Aldo Gregorio Dal Maso Nardi – 71 años</w:t>
      </w:r>
    </w:p>
    <w:p w14:paraId="3B221CC3"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Nora Graciela Denegri Sánchez – 60 años</w:t>
      </w:r>
    </w:p>
    <w:p w14:paraId="2BC68AE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Nahuel Leandro Dal Maso Denegri – 40 años</w:t>
      </w:r>
    </w:p>
    <w:p w14:paraId="6648324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Mariano Ranquel Dal Maso Denegri – 37 años</w:t>
      </w:r>
    </w:p>
    <w:p w14:paraId="074C539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Ana Malena Dalmaso Denegrí – 33 años</w:t>
      </w:r>
    </w:p>
    <w:p w14:paraId="501309A7"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Aldo José Meléndez Dal Maso – 14 años</w:t>
      </w:r>
    </w:p>
    <w:p w14:paraId="7EE931D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Ubaldo Díaz Rodríguez – 57 años</w:t>
      </w:r>
    </w:p>
    <w:p w14:paraId="0411551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Teresa Ureña Ramírez – 51 años</w:t>
      </w:r>
    </w:p>
    <w:p w14:paraId="70FF69B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Fabián Díaz Ureña – 30 años</w:t>
      </w:r>
    </w:p>
    <w:p w14:paraId="3094E3E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Frander José Díaz Ureña – 18 años</w:t>
      </w:r>
    </w:p>
    <w:p w14:paraId="1ADE84F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lastRenderedPageBreak/>
        <w:t>Adelaida Espinoza Mosquera – 53 años</w:t>
      </w:r>
    </w:p>
    <w:p w14:paraId="1829249D"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Jeimy Obando Espinoza – 33 años</w:t>
      </w:r>
    </w:p>
    <w:p w14:paraId="5BECC703"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Daisy Mayela Obando Espinoza – 31 años</w:t>
      </w:r>
    </w:p>
    <w:p w14:paraId="4F02D26E"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Carlos Gabriel Bonilla Cerdas – 33 años</w:t>
      </w:r>
    </w:p>
    <w:p w14:paraId="708A0C4F"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Alexis Fallas Caton – 51 años</w:t>
      </w:r>
    </w:p>
    <w:p w14:paraId="589E029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Rosmery de los Ángeles Salazar Villegas – 47 años</w:t>
      </w:r>
    </w:p>
    <w:p w14:paraId="35AE6BED"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Roger Alexis Fallas Salazar – 19 años</w:t>
      </w:r>
    </w:p>
    <w:p w14:paraId="37E9130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Fidel Fallas Chacón – 51 años</w:t>
      </w:r>
    </w:p>
    <w:p w14:paraId="13ECAD5F"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Grace Adilza Agüero Mora – 45 años</w:t>
      </w:r>
    </w:p>
    <w:p w14:paraId="618DDD6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Isaí Fallas Agüero – 23 años</w:t>
      </w:r>
    </w:p>
    <w:p w14:paraId="0281804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Brayan Josué Pérez Agüero – 15 años</w:t>
      </w:r>
    </w:p>
    <w:p w14:paraId="2EA6ACEF" w14:textId="641B3307"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Byron Jafeth Pérez Agüero – 11 años</w:t>
      </w:r>
    </w:p>
    <w:p w14:paraId="7F0DF89C"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Rafael Fallas Morales – 74 años</w:t>
      </w:r>
    </w:p>
    <w:p w14:paraId="0A7AF5C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Ramón Acuña Vargas – 48 años</w:t>
      </w:r>
    </w:p>
    <w:p w14:paraId="4B4518BA" w14:textId="793BE988"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Roy Acuña Varga – 28 años</w:t>
      </w:r>
    </w:p>
    <w:p w14:paraId="043FBF07"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Javier Fernández Jiménez – 51 años</w:t>
      </w:r>
    </w:p>
    <w:p w14:paraId="274AF49F"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de los Ángeles López Cascante – 46 años</w:t>
      </w:r>
    </w:p>
    <w:p w14:paraId="1608BAC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Oscar Mario Fernández López – 21 años</w:t>
      </w:r>
    </w:p>
    <w:p w14:paraId="7EE75AE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Cristian Javier Fernández López – 23 años</w:t>
      </w:r>
    </w:p>
    <w:p w14:paraId="34D2717C" w14:textId="62DACC95"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Marina Cascante Cerdas – 63 años</w:t>
      </w:r>
    </w:p>
    <w:p w14:paraId="03423B4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Venus Flores Chávez – 63 años</w:t>
      </w:r>
    </w:p>
    <w:p w14:paraId="08587AB1" w14:textId="1D3B33E3"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Ángel Gonzalo Alvarado Salgado – 63 años</w:t>
      </w:r>
    </w:p>
    <w:p w14:paraId="32AC7B6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Gerardo Fuentes Bolaños – 59 años</w:t>
      </w:r>
    </w:p>
    <w:p w14:paraId="752F647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Gilda Avendaño Alpizar – 60 años</w:t>
      </w:r>
    </w:p>
    <w:p w14:paraId="45678735" w14:textId="63956422"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Cesar Alberto Fuentes Avendaño – 31 años</w:t>
      </w:r>
    </w:p>
    <w:p w14:paraId="69C1747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Cesar Gómez Thomas – 41 años</w:t>
      </w:r>
    </w:p>
    <w:p w14:paraId="46ACF16E"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Carmen María Vega Sánchez – 40 años</w:t>
      </w:r>
    </w:p>
    <w:p w14:paraId="2FBACADB" w14:textId="795B8291"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lastRenderedPageBreak/>
        <w:t>Camila Gómez Vega – 13 años</w:t>
      </w:r>
    </w:p>
    <w:p w14:paraId="2C04FBCA" w14:textId="77777777"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Bernando Evelio Guevara Álvarez – 62 años</w:t>
      </w:r>
    </w:p>
    <w:p w14:paraId="0EE0CC9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Gerardo Hernández Montero – 72 años</w:t>
      </w:r>
    </w:p>
    <w:p w14:paraId="493E7E0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Elsa Susana del Carmen Vargas Kinderson – 66 años</w:t>
      </w:r>
    </w:p>
    <w:p w14:paraId="5040A67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Gabriel Gerardo Hernández Vargas – 48 años</w:t>
      </w:r>
    </w:p>
    <w:p w14:paraId="3D2B44B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Rina Marcela Hernández Vargas – 38 años</w:t>
      </w:r>
    </w:p>
    <w:p w14:paraId="563C521E" w14:textId="2605877B"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Santiago Artavia Hernández – 2 años</w:t>
      </w:r>
    </w:p>
    <w:p w14:paraId="6632946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Carlos Alfonso Herrera Monge – 56 años</w:t>
      </w:r>
    </w:p>
    <w:p w14:paraId="2C998CA0" w14:textId="3F20BE55"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Carmen María Madrigal León – 42 años</w:t>
      </w:r>
    </w:p>
    <w:p w14:paraId="63272BA7" w14:textId="4131BFD8"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Janfranco Herrera Méndez – 14 años</w:t>
      </w:r>
    </w:p>
    <w:p w14:paraId="37480F4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Donald Alexander Hidalgo Vargas – 47 años</w:t>
      </w:r>
    </w:p>
    <w:p w14:paraId="10CB9E79" w14:textId="710065A3"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Leticia María Cárdenas Cárdenas – 42 años</w:t>
      </w:r>
    </w:p>
    <w:p w14:paraId="3BEC72CA" w14:textId="0ADE64BF"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Alejandro David Hidalgo Cárdenas – 21 años</w:t>
      </w:r>
    </w:p>
    <w:p w14:paraId="70C28EF1" w14:textId="7709541A"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Andrés Alberto Hidalgo Cárdenas – 17 años</w:t>
      </w:r>
    </w:p>
    <w:p w14:paraId="56529FD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Ernesto Leiva Milanés – 56 años</w:t>
      </w:r>
    </w:p>
    <w:p w14:paraId="279461F4" w14:textId="4C683F56"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Grettel Araya Vega – 40 años</w:t>
      </w:r>
    </w:p>
    <w:p w14:paraId="28270210" w14:textId="01474E52"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Jorge Ernesto Leiva Araya – 19 años</w:t>
      </w:r>
    </w:p>
    <w:p w14:paraId="72F29541" w14:textId="65EF4B42"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Ian Alejandro Leiva Araya – 9 años</w:t>
      </w:r>
    </w:p>
    <w:p w14:paraId="7C0C2AD7"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Elizabeth Lizano Marín – 62 años</w:t>
      </w:r>
    </w:p>
    <w:p w14:paraId="6E388F01" w14:textId="5FB69F5A"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Alonso Castro Lizano – 35 años</w:t>
      </w:r>
    </w:p>
    <w:p w14:paraId="5F54D96B" w14:textId="2B8025D8"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Rolando Castro Lizano – 31 años</w:t>
      </w:r>
    </w:p>
    <w:p w14:paraId="54179EB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Gerlin López Vega – 42 años</w:t>
      </w:r>
    </w:p>
    <w:p w14:paraId="02342A42" w14:textId="61DC1B7E"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Jorge Luis Araya Morales – 43 años</w:t>
      </w:r>
    </w:p>
    <w:p w14:paraId="5525D2FC" w14:textId="52F0FD59"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Fernanda Araya López – 15 años</w:t>
      </w:r>
    </w:p>
    <w:p w14:paraId="270F6A7F"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Icesell López Vega – 41 años</w:t>
      </w:r>
    </w:p>
    <w:p w14:paraId="271BE3B7" w14:textId="022A2D10"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Yender Francisco Jiménez López – 18 años</w:t>
      </w:r>
    </w:p>
    <w:p w14:paraId="0DBF38C6"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Alexander Madrigal Vargas – 49 años</w:t>
      </w:r>
    </w:p>
    <w:p w14:paraId="2853244B" w14:textId="6C18C80B"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lastRenderedPageBreak/>
        <w:t>Febe Mesén González – 41 años</w:t>
      </w:r>
    </w:p>
    <w:p w14:paraId="3078B22D" w14:textId="50F0289E"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Ismerai Madrigal Mesén – 22 años</w:t>
      </w:r>
    </w:p>
    <w:p w14:paraId="37A03745" w14:textId="5ED51AF9"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Eliel Alexander Madrigal Mesén – 20 años</w:t>
      </w:r>
    </w:p>
    <w:p w14:paraId="73FBB8F9" w14:textId="6F0F4392"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Nazareth Madrigal Mesén – 18 años</w:t>
      </w:r>
    </w:p>
    <w:p w14:paraId="4793D63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Feliciana Damaris Marchena Caravaca – 72 años</w:t>
      </w:r>
    </w:p>
    <w:p w14:paraId="121F84EB" w14:textId="131C812A"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Celenia Marchena Caravaca – 49 años</w:t>
      </w:r>
    </w:p>
    <w:p w14:paraId="25EB5A9B" w14:textId="7B0BE365"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Yubí Cascante Marchena – 30 años</w:t>
      </w:r>
    </w:p>
    <w:p w14:paraId="400F28B2" w14:textId="27FCBCFF"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Eliana Cascante Marchena – 30 años</w:t>
      </w:r>
    </w:p>
    <w:p w14:paraId="18EF2481" w14:textId="377FE208"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Jordán Salazar Marchena – 18 años</w:t>
      </w:r>
    </w:p>
    <w:p w14:paraId="5CC2BD24" w14:textId="4598FB5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Jordi Salazar Marchena – 18 años</w:t>
      </w:r>
    </w:p>
    <w:p w14:paraId="39DD7CCA" w14:textId="570E5AEB"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Eimmy Céspedes Cascante – 9 años</w:t>
      </w:r>
    </w:p>
    <w:p w14:paraId="738EAE65" w14:textId="02F631B4"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Tavata Ainara Martínez Segura – 3 años</w:t>
      </w:r>
    </w:p>
    <w:p w14:paraId="7FE2A7F8" w14:textId="4374D14F"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Leandro Martínez Segura – 5 años</w:t>
      </w:r>
    </w:p>
    <w:p w14:paraId="20D6D181" w14:textId="09118331"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Cristal Vanessa Pérez Segura – 10 años</w:t>
      </w:r>
    </w:p>
    <w:p w14:paraId="414C3303" w14:textId="7A44149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Aracelly Segura Cabrera – 32 años</w:t>
      </w:r>
    </w:p>
    <w:p w14:paraId="55CBABD1" w14:textId="57F3DC03"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Kenneth Martínez Velásquez – 26 años</w:t>
      </w:r>
    </w:p>
    <w:p w14:paraId="1AF40BF7" w14:textId="006C4CD1"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Gustavo Martínez Campos – 51 años</w:t>
      </w:r>
    </w:p>
    <w:p w14:paraId="74357D4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Sofía Mendieta Escudero (fallecido)</w:t>
      </w:r>
    </w:p>
    <w:p w14:paraId="01A2F76D" w14:textId="272C93F9"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Víctor Manuel de la Trinidad Jiménez Navarro – 69 años</w:t>
      </w:r>
    </w:p>
    <w:p w14:paraId="1F7BBE9A" w14:textId="5073B2E6"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Karina Jiménez Mendieta – 39 años</w:t>
      </w:r>
    </w:p>
    <w:p w14:paraId="6A8CDDF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Alberto Merlo Brenes – 48 años</w:t>
      </w:r>
    </w:p>
    <w:p w14:paraId="4DEF7617" w14:textId="60A30F3F"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Rosa Mileidy Boza Solorzano – 42 años</w:t>
      </w:r>
    </w:p>
    <w:p w14:paraId="694BD270" w14:textId="7CFB40BC"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Alberto Merlo Boza – 18 años</w:t>
      </w:r>
    </w:p>
    <w:p w14:paraId="349A212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Nicolás Mojarro Medina – 62 años</w:t>
      </w:r>
    </w:p>
    <w:p w14:paraId="6144643B" w14:textId="22BC807E"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Marta Margarita Zúñiga Rojas – 53 años</w:t>
      </w:r>
    </w:p>
    <w:p w14:paraId="4A9D9089" w14:textId="42E188A8"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Xochitl Mojarro Zúñiga – 18 años</w:t>
      </w:r>
    </w:p>
    <w:p w14:paraId="4390E5F9" w14:textId="50B854E4"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Javier Gerardo Morales Fonseca – 50 años</w:t>
      </w:r>
    </w:p>
    <w:p w14:paraId="51F09994" w14:textId="46158B61"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lastRenderedPageBreak/>
        <w:t>Nury Mayela Zúñiga Rojas – 47 años</w:t>
      </w:r>
    </w:p>
    <w:p w14:paraId="720E99DD" w14:textId="4EE2129B"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Melina María Madriz Zúñiga – 23 años</w:t>
      </w:r>
    </w:p>
    <w:p w14:paraId="7DC84C64" w14:textId="716CB2A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Jeremy Noel Madriz Zúñiga – 13 años</w:t>
      </w:r>
    </w:p>
    <w:p w14:paraId="1CD5113E" w14:textId="09723783"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Anthony Javier Morales Zúñiga – 9 años</w:t>
      </w:r>
    </w:p>
    <w:p w14:paraId="1A7F918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Santiago Moncada Rugama – 76 años</w:t>
      </w:r>
    </w:p>
    <w:p w14:paraId="6390BFA4" w14:textId="154F33B6"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Mayra Ruiz Fonseca – 76 años</w:t>
      </w:r>
    </w:p>
    <w:p w14:paraId="35034959" w14:textId="6A1C87C0"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Alfredo Moncada Ruiz – 54 años</w:t>
      </w:r>
    </w:p>
    <w:p w14:paraId="726F104F"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Herminia Mora González – 51 años</w:t>
      </w:r>
    </w:p>
    <w:p w14:paraId="0E1ACF07" w14:textId="4771C3BD"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Geimy Lucia Arias Mora – 29 años</w:t>
      </w:r>
    </w:p>
    <w:p w14:paraId="1B7CB6CF" w14:textId="69EEED84"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Rodrigo Arnoldo Arias Mora – 28 años</w:t>
      </w:r>
    </w:p>
    <w:p w14:paraId="5A219C4B" w14:textId="2EC3756E"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Juan de Dios Arias Mora – 27 años</w:t>
      </w:r>
    </w:p>
    <w:p w14:paraId="5DF4857D"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Anabelle Obando Obando – 57 años</w:t>
      </w:r>
    </w:p>
    <w:p w14:paraId="5675D597" w14:textId="4215EB66"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Cinthya Priscila Ramírez Obando – 23 años</w:t>
      </w:r>
    </w:p>
    <w:p w14:paraId="0896621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Anabelle Orozco Blanco – 63 años</w:t>
      </w:r>
    </w:p>
    <w:p w14:paraId="6720A461" w14:textId="77155623"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Luisa Chaves Orozco – 42 años</w:t>
      </w:r>
    </w:p>
    <w:p w14:paraId="018FF4BA" w14:textId="4317122A"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Olger Gerardo Chaves Orozco – 43 años</w:t>
      </w:r>
    </w:p>
    <w:p w14:paraId="2B7FD98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Carlos Ortega Fonseca – 56 años</w:t>
      </w:r>
    </w:p>
    <w:p w14:paraId="2B14BCC3" w14:textId="1CF2D91C"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Ana Cecilia Saiz Mora – 51 años</w:t>
      </w:r>
    </w:p>
    <w:p w14:paraId="223CD6D1" w14:textId="78B3F6EC"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Thomas Ortega Saiz – 23 años</w:t>
      </w:r>
    </w:p>
    <w:p w14:paraId="0AAC2225" w14:textId="157E1D75"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Dixon Vargas Saiz – 18 años</w:t>
      </w:r>
    </w:p>
    <w:p w14:paraId="08A69D1E" w14:textId="77777777"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Marvin Quirós Salazar – 55 años</w:t>
      </w:r>
    </w:p>
    <w:p w14:paraId="3272327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Mario Alberto Rodríguez Céspedes – 56 años</w:t>
      </w:r>
    </w:p>
    <w:p w14:paraId="53224347" w14:textId="00A4197B"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Rosíbel de las Piedades Chaves Barrantes – 54 años</w:t>
      </w:r>
    </w:p>
    <w:p w14:paraId="12F98F77" w14:textId="56353AEC"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Jessica Mariana Rodríguez Chaves – 31 años</w:t>
      </w:r>
    </w:p>
    <w:p w14:paraId="1D50FDE8" w14:textId="1A7198A4"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Ana Gabriela Rodríguez Chaves – 22 años</w:t>
      </w:r>
    </w:p>
    <w:p w14:paraId="7AE6454D" w14:textId="12D8AC27"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Ariel Andrés Rodríguez Chaves – 18 años</w:t>
      </w:r>
    </w:p>
    <w:p w14:paraId="1C9C20A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Sidey Salas Mora – 55 años</w:t>
      </w:r>
    </w:p>
    <w:p w14:paraId="6FC9B2C5" w14:textId="42F3C36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lastRenderedPageBreak/>
        <w:t>Fabián Nautilio Salas Mora – 35 años</w:t>
      </w:r>
    </w:p>
    <w:p w14:paraId="55CEAA94" w14:textId="76F9FF72"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Bianca Raquel Mora Salas – 26 años</w:t>
      </w:r>
    </w:p>
    <w:p w14:paraId="6EFD8269" w14:textId="5E67F92A"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Iván Alberto Castillo Salas – 32 años</w:t>
      </w:r>
    </w:p>
    <w:p w14:paraId="34DA9F2D"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Gladys Salazar Porras – 65 años</w:t>
      </w:r>
    </w:p>
    <w:p w14:paraId="0E80D9BA" w14:textId="25407524"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Christopher Kelly Salazar – 34 años</w:t>
      </w:r>
    </w:p>
    <w:p w14:paraId="7633B2F5"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Ramón Santiesteban Portal – 71 años</w:t>
      </w:r>
    </w:p>
    <w:p w14:paraId="43EEF539" w14:textId="297B31D6"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Marlene Aguilera Batista – 67 años</w:t>
      </w:r>
    </w:p>
    <w:p w14:paraId="002D777C" w14:textId="114CA1FC"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Lisandro Frank Santiesteban Aguilera – 38 años</w:t>
      </w:r>
    </w:p>
    <w:p w14:paraId="3B745BBD"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Carlos Campos Solera – 66 años</w:t>
      </w:r>
    </w:p>
    <w:p w14:paraId="7333C87E" w14:textId="16EA741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Mirna Iris Bermúdez Briones – 71 años</w:t>
      </w:r>
    </w:p>
    <w:p w14:paraId="6B4D8B63" w14:textId="2A7204ED"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Jimmy Campos Bermúdez – 41 años</w:t>
      </w:r>
    </w:p>
    <w:p w14:paraId="38B2C08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Cesar Suarez Bermúdez – 78 años</w:t>
      </w:r>
    </w:p>
    <w:p w14:paraId="7431C6CA" w14:textId="16F7BA4C"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Zulay de los Ángeles Valdivia Oviedo – 67 años</w:t>
      </w:r>
    </w:p>
    <w:p w14:paraId="639B556B" w14:textId="0CBAC55A"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Johenny María Suarez Valdivia – 33 años</w:t>
      </w:r>
    </w:p>
    <w:p w14:paraId="1AC73730" w14:textId="09F0528B"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Angelique Rodríguez Suarez – 9 años</w:t>
      </w:r>
    </w:p>
    <w:p w14:paraId="094CB378" w14:textId="7F632D21"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Evan Suárez Valdivia – 1 año</w:t>
      </w:r>
    </w:p>
    <w:p w14:paraId="0C944664" w14:textId="242A640B"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Iván Mauricio Suarez Valdivia – 37 años</w:t>
      </w:r>
    </w:p>
    <w:p w14:paraId="11180007" w14:textId="20698EB4"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María Fernanda Acosta Cubero – 23 años</w:t>
      </w:r>
    </w:p>
    <w:p w14:paraId="69E6AEA4" w14:textId="50DEDED9"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Iván Daniel Suarez Acosta – 1 año</w:t>
      </w:r>
    </w:p>
    <w:p w14:paraId="18E94FC7" w14:textId="536F24E1"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William Santiago Carvajal Acosta – 5 años</w:t>
      </w:r>
    </w:p>
    <w:p w14:paraId="64A147F2"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José Ramon Torres Jiménez – 60 años</w:t>
      </w:r>
    </w:p>
    <w:p w14:paraId="1B1C4EED" w14:textId="03D6DB22"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Vilma Odilie del Socorro Jiménez Jiménez – 59 años</w:t>
      </w:r>
    </w:p>
    <w:p w14:paraId="29D26905" w14:textId="78B6E280"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Alberth Jhonn Torres Jiménez – 35 años</w:t>
      </w:r>
    </w:p>
    <w:p w14:paraId="45E69FFB" w14:textId="3FBF52A5"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Wilson Torres Jiménez – 32 años</w:t>
      </w:r>
    </w:p>
    <w:p w14:paraId="48900FCD" w14:textId="75D34AB9"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Randall Torres Jiménez – 27 años</w:t>
      </w:r>
    </w:p>
    <w:p w14:paraId="235D33EF" w14:textId="4F4C98D5"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Alejandra Jiménez Cruz – 28 años</w:t>
      </w:r>
    </w:p>
    <w:p w14:paraId="24C41DE9" w14:textId="5B09D5D5"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Danazareth Torres Jiménez – 7 años</w:t>
      </w:r>
    </w:p>
    <w:p w14:paraId="2AF6E44C" w14:textId="27D1555A"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lastRenderedPageBreak/>
        <w:t>Valentina Martínez Jiménez – 3 años</w:t>
      </w:r>
    </w:p>
    <w:p w14:paraId="49A63BEA" w14:textId="4C9FD68E"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Brenda Jazmín Rojas Araya – 19 años</w:t>
      </w:r>
    </w:p>
    <w:p w14:paraId="27E2F294"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Juan Vallejos Vallejos – 71 años</w:t>
      </w:r>
    </w:p>
    <w:p w14:paraId="413BCCD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Carmen Cordero Mejías – 74 años</w:t>
      </w:r>
    </w:p>
    <w:p w14:paraId="095569CF" w14:textId="14B36524"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Jessica Vallejos Cordero – 39 años</w:t>
      </w:r>
    </w:p>
    <w:p w14:paraId="53FA5241"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Douglas Vargas Molina – 51 años</w:t>
      </w:r>
    </w:p>
    <w:p w14:paraId="30A6C1C7"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Lidian Ruth Chinchilla Chinchilla – 45 años</w:t>
      </w:r>
    </w:p>
    <w:p w14:paraId="1DDD7DA9"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Sahori Vannessa Vargas Chinchilla – 17 años</w:t>
      </w:r>
    </w:p>
    <w:p w14:paraId="765B1064"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Douglas Vargas Chinchilla – 25 años</w:t>
      </w:r>
    </w:p>
    <w:p w14:paraId="2CC8EFF5" w14:textId="5A151888"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Mariela Martínez Paniagua – 24 años</w:t>
      </w:r>
    </w:p>
    <w:p w14:paraId="4640066A"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Carlos Vargas Valerio (fallecido)</w:t>
      </w:r>
    </w:p>
    <w:p w14:paraId="1B5472A8"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Clotilde Oliva Molina Duarte – 77 años</w:t>
      </w:r>
    </w:p>
    <w:p w14:paraId="4EC36E70" w14:textId="77777777" w:rsidR="00233921"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rStyle w:val="FootnoteReference"/>
          <w:color w:val="auto"/>
          <w:sz w:val="20"/>
          <w:szCs w:val="20"/>
          <w:vertAlign w:val="baseline"/>
          <w:lang w:val="es-ES"/>
        </w:rPr>
      </w:pPr>
      <w:r w:rsidRPr="00855EF8">
        <w:rPr>
          <w:rStyle w:val="FootnoteReference"/>
          <w:color w:val="auto"/>
          <w:sz w:val="20"/>
          <w:szCs w:val="20"/>
          <w:vertAlign w:val="baseline"/>
          <w:lang w:val="es-ES"/>
        </w:rPr>
        <w:t>Luis Fernando Vargas Molina – 52 años</w:t>
      </w:r>
    </w:p>
    <w:p w14:paraId="33AA67F7" w14:textId="75BC2AD0" w:rsidR="00D446E5" w:rsidRPr="00855EF8" w:rsidRDefault="00D446E5" w:rsidP="00855E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before="240" w:after="240"/>
        <w:jc w:val="both"/>
        <w:rPr>
          <w:sz w:val="20"/>
          <w:szCs w:val="20"/>
          <w:lang w:val="es-ES"/>
        </w:rPr>
      </w:pPr>
      <w:r w:rsidRPr="00855EF8">
        <w:rPr>
          <w:rStyle w:val="FootnoteReference"/>
          <w:color w:val="auto"/>
          <w:sz w:val="20"/>
          <w:szCs w:val="20"/>
          <w:vertAlign w:val="baseline"/>
          <w:lang w:val="es-ES"/>
        </w:rPr>
        <w:t>Greivin Vargas Molina –</w:t>
      </w:r>
      <w:r w:rsidRPr="00855EF8">
        <w:rPr>
          <w:sz w:val="20"/>
          <w:szCs w:val="20"/>
          <w:lang w:val="es-ES"/>
        </w:rPr>
        <w:t xml:space="preserve"> 46 años</w:t>
      </w:r>
    </w:p>
    <w:sectPr w:rsidR="00D446E5" w:rsidRPr="00855EF8"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054F" w14:textId="77777777" w:rsidR="00FA7EFE" w:rsidRDefault="00FA7EFE">
      <w:r>
        <w:separator/>
      </w:r>
    </w:p>
  </w:endnote>
  <w:endnote w:type="continuationSeparator" w:id="0">
    <w:p w14:paraId="14573341" w14:textId="77777777" w:rsidR="00FA7EFE" w:rsidRDefault="00FA7EFE">
      <w:r>
        <w:continuationSeparator/>
      </w:r>
    </w:p>
  </w:endnote>
  <w:endnote w:type="continuationNotice" w:id="1">
    <w:p w14:paraId="2E54ADEF" w14:textId="77777777" w:rsidR="00FA7EFE" w:rsidRDefault="00FA7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3BEC" w14:textId="77777777" w:rsidR="00FA7EFE" w:rsidRPr="000F35ED" w:rsidRDefault="00FA7EFE">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A0C155F" w14:textId="77777777" w:rsidR="00FA7EFE" w:rsidRPr="000F35ED" w:rsidRDefault="00FA7EFE" w:rsidP="000F35ED">
      <w:pPr>
        <w:rPr>
          <w:rFonts w:asciiTheme="majorHAnsi" w:hAnsiTheme="majorHAnsi"/>
          <w:sz w:val="16"/>
          <w:szCs w:val="16"/>
        </w:rPr>
      </w:pPr>
      <w:r w:rsidRPr="000F35ED">
        <w:rPr>
          <w:rFonts w:asciiTheme="majorHAnsi" w:hAnsiTheme="majorHAnsi"/>
          <w:sz w:val="16"/>
          <w:szCs w:val="16"/>
        </w:rPr>
        <w:separator/>
      </w:r>
    </w:p>
    <w:p w14:paraId="4C9CC86F" w14:textId="77777777" w:rsidR="00FA7EFE" w:rsidRPr="000F35ED" w:rsidRDefault="00FA7EFE"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51A439B" w14:textId="77777777" w:rsidR="00FA7EFE" w:rsidRPr="000F35ED" w:rsidRDefault="00FA7EFE"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2D5B6A7" w14:textId="77777777" w:rsidR="00AB19EF" w:rsidRPr="006711D8" w:rsidRDefault="00AB19EF" w:rsidP="00DA1486">
      <w:pPr>
        <w:pStyle w:val="FootnoteText"/>
        <w:ind w:firstLine="720"/>
        <w:jc w:val="both"/>
        <w:rPr>
          <w:rFonts w:ascii="Cambria" w:hAnsi="Cambria"/>
          <w:color w:val="auto"/>
          <w:sz w:val="16"/>
          <w:szCs w:val="16"/>
          <w:lang w:val="es-ES"/>
        </w:rPr>
      </w:pPr>
      <w:r w:rsidRPr="006711D8">
        <w:rPr>
          <w:rStyle w:val="FootnoteReference"/>
          <w:rFonts w:ascii="Cambria" w:hAnsi="Cambria"/>
          <w:color w:val="auto"/>
          <w:sz w:val="16"/>
          <w:szCs w:val="16"/>
          <w:lang w:val="es-ES"/>
        </w:rPr>
        <w:footnoteRef/>
      </w:r>
      <w:r w:rsidRPr="006711D8">
        <w:rPr>
          <w:rFonts w:ascii="Cambria" w:hAnsi="Cambria"/>
          <w:color w:val="auto"/>
          <w:sz w:val="16"/>
          <w:szCs w:val="16"/>
          <w:lang w:val="es-ES"/>
        </w:rPr>
        <w:t xml:space="preserve"> En adelante, “la Convención Americana” o “la Convención”.</w:t>
      </w:r>
    </w:p>
  </w:footnote>
  <w:footnote w:id="3">
    <w:p w14:paraId="1810BA5D" w14:textId="710D31EC" w:rsidR="00C51B3F" w:rsidRPr="006711D8" w:rsidRDefault="00C51B3F" w:rsidP="00DA1486">
      <w:pPr>
        <w:pStyle w:val="FootnoteText"/>
        <w:ind w:firstLine="720"/>
        <w:jc w:val="both"/>
        <w:rPr>
          <w:rFonts w:ascii="Cambria" w:hAnsi="Cambria"/>
          <w:sz w:val="16"/>
          <w:szCs w:val="16"/>
          <w:lang w:val="es-ES"/>
        </w:rPr>
      </w:pPr>
      <w:r w:rsidRPr="006711D8">
        <w:rPr>
          <w:rStyle w:val="FootnoteReference"/>
          <w:rFonts w:ascii="Cambria" w:hAnsi="Cambria"/>
          <w:sz w:val="16"/>
          <w:szCs w:val="16"/>
          <w:lang w:val="es-ES"/>
        </w:rPr>
        <w:footnoteRef/>
      </w:r>
      <w:r w:rsidRPr="006711D8">
        <w:rPr>
          <w:rFonts w:ascii="Cambria" w:hAnsi="Cambria"/>
          <w:sz w:val="16"/>
          <w:szCs w:val="16"/>
          <w:lang w:val="es-ES"/>
        </w:rPr>
        <w:t xml:space="preserve"> En </w:t>
      </w:r>
      <w:r w:rsidR="0032388D" w:rsidRPr="006711D8">
        <w:rPr>
          <w:rFonts w:ascii="Cambria" w:hAnsi="Cambria"/>
          <w:sz w:val="16"/>
          <w:szCs w:val="16"/>
          <w:lang w:val="es-ES"/>
        </w:rPr>
        <w:t>a</w:t>
      </w:r>
      <w:r w:rsidRPr="006711D8">
        <w:rPr>
          <w:rFonts w:ascii="Cambria" w:hAnsi="Cambria"/>
          <w:sz w:val="16"/>
          <w:szCs w:val="16"/>
          <w:lang w:val="es-ES"/>
        </w:rPr>
        <w:t>delante</w:t>
      </w:r>
      <w:r w:rsidR="0032388D" w:rsidRPr="006711D8">
        <w:rPr>
          <w:rFonts w:ascii="Cambria" w:hAnsi="Cambria"/>
          <w:sz w:val="16"/>
          <w:szCs w:val="16"/>
          <w:lang w:val="es-ES"/>
        </w:rPr>
        <w:t>,</w:t>
      </w:r>
      <w:r w:rsidRPr="006711D8">
        <w:rPr>
          <w:rFonts w:ascii="Cambria" w:hAnsi="Cambria"/>
          <w:sz w:val="16"/>
          <w:szCs w:val="16"/>
          <w:lang w:val="es-ES"/>
        </w:rPr>
        <w:t xml:space="preserve"> “la Declaración Americana” o “la Declaración”.</w:t>
      </w:r>
    </w:p>
  </w:footnote>
  <w:footnote w:id="4">
    <w:p w14:paraId="4BCCF417" w14:textId="77777777" w:rsidR="00AB19EF" w:rsidRPr="006711D8" w:rsidRDefault="00AB19EF" w:rsidP="00DA1486">
      <w:pPr>
        <w:pStyle w:val="FootnoteText"/>
        <w:ind w:firstLine="720"/>
        <w:jc w:val="both"/>
        <w:rPr>
          <w:rFonts w:ascii="Cambria" w:hAnsi="Cambria"/>
          <w:color w:val="auto"/>
          <w:sz w:val="16"/>
          <w:szCs w:val="16"/>
          <w:lang w:val="es-ES"/>
        </w:rPr>
      </w:pPr>
      <w:r w:rsidRPr="006711D8">
        <w:rPr>
          <w:rStyle w:val="FootnoteReference"/>
          <w:rFonts w:ascii="Cambria" w:hAnsi="Cambria"/>
          <w:color w:val="auto"/>
          <w:sz w:val="16"/>
          <w:szCs w:val="16"/>
          <w:lang w:val="es-ES"/>
        </w:rPr>
        <w:footnoteRef/>
      </w:r>
      <w:r w:rsidRPr="006711D8">
        <w:rPr>
          <w:rFonts w:ascii="Cambria" w:hAnsi="Cambria"/>
          <w:color w:val="auto"/>
          <w:sz w:val="16"/>
          <w:szCs w:val="16"/>
          <w:lang w:val="es-ES"/>
        </w:rPr>
        <w:t xml:space="preserve"> En adelante, “el Protocolo de San Salvador”.</w:t>
      </w:r>
    </w:p>
  </w:footnote>
  <w:footnote w:id="5">
    <w:p w14:paraId="1FB5D15C" w14:textId="6AFD3EBF" w:rsidR="00C51B3F" w:rsidRPr="006711D8" w:rsidRDefault="00C51B3F" w:rsidP="00DA1486">
      <w:pPr>
        <w:pStyle w:val="FootnoteText"/>
        <w:ind w:firstLine="720"/>
        <w:jc w:val="both"/>
        <w:rPr>
          <w:rFonts w:ascii="Cambria" w:hAnsi="Cambria"/>
          <w:sz w:val="16"/>
          <w:szCs w:val="16"/>
          <w:lang w:val="es-ES"/>
        </w:rPr>
      </w:pPr>
      <w:r w:rsidRPr="006711D8">
        <w:rPr>
          <w:rStyle w:val="FootnoteReference"/>
          <w:rFonts w:ascii="Cambria" w:hAnsi="Cambria"/>
          <w:sz w:val="16"/>
          <w:szCs w:val="16"/>
          <w:lang w:val="es-ES"/>
        </w:rPr>
        <w:footnoteRef/>
      </w:r>
      <w:r w:rsidRPr="006711D8">
        <w:rPr>
          <w:rFonts w:ascii="Cambria" w:hAnsi="Cambria"/>
          <w:sz w:val="16"/>
          <w:szCs w:val="16"/>
          <w:lang w:val="es-ES"/>
        </w:rPr>
        <w:t xml:space="preserve"> </w:t>
      </w:r>
      <w:r w:rsidR="005B2800">
        <w:rPr>
          <w:rFonts w:ascii="Cambria" w:hAnsi="Cambria"/>
          <w:sz w:val="16"/>
          <w:szCs w:val="16"/>
          <w:lang w:val="es-ES"/>
        </w:rPr>
        <w:t xml:space="preserve">Igualmente citan los siguientes instrumentos internacionales: </w:t>
      </w:r>
      <w:r w:rsidRPr="006711D8">
        <w:rPr>
          <w:rFonts w:ascii="Cambria" w:hAnsi="Cambria"/>
          <w:sz w:val="16"/>
          <w:szCs w:val="16"/>
          <w:lang w:val="es-ES"/>
        </w:rPr>
        <w:t>Declaración Universal de Derechos Humanos, artículo 25; Pacto Internacional de Derechos Económicos, Sociales y Culturales, artículo 11; Pacto Internacional de Derechos Civiles y Políticos, artículo</w:t>
      </w:r>
      <w:r w:rsidR="00185274" w:rsidRPr="006711D8">
        <w:rPr>
          <w:rFonts w:ascii="Cambria" w:hAnsi="Cambria"/>
          <w:sz w:val="16"/>
          <w:szCs w:val="16"/>
          <w:lang w:val="es-ES"/>
        </w:rPr>
        <w:t>s 11 y</w:t>
      </w:r>
      <w:r w:rsidRPr="006711D8">
        <w:rPr>
          <w:rFonts w:ascii="Cambria" w:hAnsi="Cambria"/>
          <w:sz w:val="16"/>
          <w:szCs w:val="16"/>
          <w:lang w:val="es-ES"/>
        </w:rPr>
        <w:t xml:space="preserve"> 17; Convención sobre los Derechos del Niño, artículos 16 y 27; Convención sobre la Eliminación de Todas las Formas de Discriminación contra la Mujer, artículo 14.2.h; Convención Internacional sobre la Eliminación de Todas las Formas de Discriminación Racial, artículo 5.e.iii; y Convenio 165 de la Organización Internacional del Trabajo.</w:t>
      </w:r>
    </w:p>
  </w:footnote>
  <w:footnote w:id="6">
    <w:p w14:paraId="1AFEF3B0" w14:textId="0C642980" w:rsidR="008E3BFE" w:rsidRPr="006711D8" w:rsidRDefault="008E3BFE" w:rsidP="00DA1486">
      <w:pPr>
        <w:pStyle w:val="FootnoteText"/>
        <w:ind w:firstLine="720"/>
        <w:jc w:val="both"/>
        <w:rPr>
          <w:rFonts w:ascii="Cambria" w:hAnsi="Cambria"/>
          <w:sz w:val="16"/>
          <w:szCs w:val="16"/>
          <w:lang w:val="es-ES"/>
        </w:rPr>
      </w:pPr>
      <w:r w:rsidRPr="006711D8">
        <w:rPr>
          <w:rStyle w:val="FootnoteReference"/>
          <w:rFonts w:ascii="Cambria" w:hAnsi="Cambria"/>
          <w:sz w:val="16"/>
          <w:szCs w:val="16"/>
          <w:lang w:val="es-ES"/>
        </w:rPr>
        <w:footnoteRef/>
      </w:r>
      <w:r w:rsidRPr="006711D8">
        <w:rPr>
          <w:rFonts w:ascii="Cambria" w:hAnsi="Cambria"/>
          <w:sz w:val="16"/>
          <w:szCs w:val="16"/>
          <w:lang w:val="es-ES"/>
        </w:rPr>
        <w:t xml:space="preserve"> Las observaciones de cada parte fueron debidamente trasladadas a la parte contraria.</w:t>
      </w:r>
      <w:r w:rsidR="009A56CE" w:rsidRPr="006711D8">
        <w:rPr>
          <w:rFonts w:ascii="Cambria" w:hAnsi="Cambria"/>
          <w:sz w:val="16"/>
          <w:szCs w:val="16"/>
          <w:lang w:val="es-ES"/>
        </w:rPr>
        <w:t xml:space="preserve"> </w:t>
      </w:r>
    </w:p>
  </w:footnote>
  <w:footnote w:id="7">
    <w:p w14:paraId="234661ED" w14:textId="19BA1033" w:rsidR="0032388D" w:rsidRPr="006711D8" w:rsidRDefault="0032388D" w:rsidP="00DA1486">
      <w:pPr>
        <w:pStyle w:val="FootnoteText"/>
        <w:ind w:firstLine="720"/>
        <w:jc w:val="both"/>
        <w:rPr>
          <w:rFonts w:ascii="Cambria" w:hAnsi="Cambria"/>
          <w:sz w:val="16"/>
          <w:szCs w:val="16"/>
          <w:vertAlign w:val="superscript"/>
          <w:lang w:val="es-ES"/>
        </w:rPr>
      </w:pPr>
      <w:r w:rsidRPr="006711D8">
        <w:rPr>
          <w:rFonts w:ascii="Cambria" w:hAnsi="Cambria"/>
          <w:sz w:val="16"/>
          <w:szCs w:val="16"/>
          <w:vertAlign w:val="superscript"/>
          <w:lang w:val="es-ES"/>
        </w:rPr>
        <w:footnoteRef/>
      </w:r>
      <w:r w:rsidRPr="006711D8">
        <w:rPr>
          <w:rFonts w:ascii="Cambria" w:hAnsi="Cambria"/>
          <w:sz w:val="16"/>
          <w:szCs w:val="16"/>
          <w:vertAlign w:val="superscript"/>
          <w:lang w:val="es-ES"/>
        </w:rPr>
        <w:t xml:space="preserve"> </w:t>
      </w:r>
      <w:r w:rsidRPr="006711D8">
        <w:rPr>
          <w:rFonts w:ascii="Cambria" w:hAnsi="Cambria"/>
          <w:sz w:val="16"/>
          <w:szCs w:val="16"/>
          <w:lang w:val="es-ES"/>
        </w:rPr>
        <w:t>CIDH, Informe No. 38/10, Petición 1198-05, Admisibilidad, Ivanildo Amaro Da Silva y otros, Brasil, 17 de marzo de 2010, párr. 41.</w:t>
      </w:r>
    </w:p>
  </w:footnote>
  <w:footnote w:id="8">
    <w:p w14:paraId="29E5A827" w14:textId="034E1570" w:rsidR="00DA1486" w:rsidRPr="006711D8" w:rsidRDefault="00DA1486" w:rsidP="00DA1486">
      <w:pPr>
        <w:pStyle w:val="FootnoteText"/>
        <w:ind w:firstLine="720"/>
        <w:jc w:val="both"/>
        <w:rPr>
          <w:rFonts w:ascii="Cambria" w:hAnsi="Cambria"/>
          <w:sz w:val="16"/>
          <w:szCs w:val="16"/>
          <w:lang w:val="es-ES"/>
        </w:rPr>
      </w:pPr>
      <w:r w:rsidRPr="006711D8">
        <w:rPr>
          <w:rFonts w:ascii="Cambria" w:hAnsi="Cambria"/>
          <w:sz w:val="16"/>
          <w:szCs w:val="16"/>
          <w:vertAlign w:val="superscript"/>
          <w:lang w:val="es-ES"/>
        </w:rPr>
        <w:footnoteRef/>
      </w:r>
      <w:r w:rsidRPr="006711D8">
        <w:rPr>
          <w:rFonts w:ascii="Cambria" w:hAnsi="Cambria"/>
          <w:sz w:val="16"/>
          <w:szCs w:val="16"/>
          <w:vertAlign w:val="superscript"/>
          <w:lang w:val="es-ES"/>
        </w:rPr>
        <w:t xml:space="preserve"> </w:t>
      </w:r>
      <w:r w:rsidRPr="006711D8">
        <w:rPr>
          <w:rFonts w:ascii="Cambria" w:hAnsi="Cambria"/>
          <w:sz w:val="16"/>
          <w:szCs w:val="16"/>
          <w:lang w:val="es-ES"/>
        </w:rPr>
        <w:t>Oficina del Alto Comisionado para los Derechos Humanos, Folleto Informativo No. 21, El Derecho a una vivienda adecuada, pág. 36.</w:t>
      </w:r>
    </w:p>
  </w:footnote>
  <w:footnote w:id="9">
    <w:p w14:paraId="598855F5" w14:textId="1FFA64EB" w:rsidR="00DA1486" w:rsidRPr="006711D8" w:rsidRDefault="00DA1486" w:rsidP="00DA1486">
      <w:pPr>
        <w:pStyle w:val="FootnoteText"/>
        <w:ind w:firstLine="720"/>
        <w:jc w:val="both"/>
        <w:rPr>
          <w:sz w:val="16"/>
          <w:szCs w:val="16"/>
          <w:lang w:val="es-ES"/>
        </w:rPr>
      </w:pPr>
      <w:r w:rsidRPr="006711D8">
        <w:rPr>
          <w:rFonts w:ascii="Cambria" w:hAnsi="Cambria"/>
          <w:sz w:val="16"/>
          <w:szCs w:val="16"/>
          <w:vertAlign w:val="superscript"/>
          <w:lang w:val="es-ES"/>
        </w:rPr>
        <w:footnoteRef/>
      </w:r>
      <w:r w:rsidRPr="006711D8">
        <w:rPr>
          <w:rFonts w:ascii="Cambria" w:hAnsi="Cambria"/>
          <w:sz w:val="16"/>
          <w:szCs w:val="16"/>
          <w:vertAlign w:val="superscript"/>
          <w:lang w:val="es-ES"/>
        </w:rPr>
        <w:t xml:space="preserve"> </w:t>
      </w:r>
      <w:r w:rsidRPr="006711D8">
        <w:rPr>
          <w:rFonts w:ascii="Cambria" w:hAnsi="Cambria"/>
          <w:sz w:val="16"/>
          <w:szCs w:val="16"/>
          <w:lang w:val="es-ES"/>
        </w:rPr>
        <w:t>Comité de Derechos Económicos, Sociales y Culturales, El derecho a una vivienda adecuada (párrafo 1 del artículo 11 del Pacto): los desalojos forzosos, Observación General No. 7, 28 de abril a 16 de mayo de 1997, párr. 16.</w:t>
      </w:r>
    </w:p>
  </w:footnote>
  <w:footnote w:id="10">
    <w:p w14:paraId="15E3BFC2" w14:textId="6F860B7D" w:rsidR="00981B3A" w:rsidRPr="006711D8" w:rsidRDefault="00981B3A" w:rsidP="00981B3A">
      <w:pPr>
        <w:pStyle w:val="FootnoteText"/>
        <w:ind w:firstLine="720"/>
        <w:jc w:val="both"/>
        <w:rPr>
          <w:rFonts w:asciiTheme="majorHAnsi" w:hAnsiTheme="majorHAnsi"/>
          <w:color w:val="auto"/>
          <w:sz w:val="16"/>
          <w:szCs w:val="16"/>
          <w:lang w:val="es-ES"/>
        </w:rPr>
      </w:pPr>
      <w:r w:rsidRPr="006711D8">
        <w:rPr>
          <w:rStyle w:val="FootnoteReference"/>
          <w:rFonts w:asciiTheme="majorHAnsi" w:hAnsiTheme="majorHAnsi"/>
          <w:color w:val="auto"/>
          <w:sz w:val="16"/>
          <w:szCs w:val="16"/>
          <w:lang w:val="es-ES"/>
        </w:rPr>
        <w:footnoteRef/>
      </w:r>
      <w:r w:rsidRPr="006711D8">
        <w:rPr>
          <w:rFonts w:asciiTheme="majorHAnsi" w:hAnsiTheme="majorHAnsi"/>
          <w:color w:val="auto"/>
          <w:sz w:val="16"/>
          <w:szCs w:val="16"/>
          <w:lang w:val="es-ES"/>
        </w:rPr>
        <w:t xml:space="preserve"> </w:t>
      </w:r>
      <w:r w:rsidRPr="006711D8">
        <w:rPr>
          <w:rFonts w:asciiTheme="majorHAnsi" w:hAnsiTheme="majorHAnsi" w:cs="Tahoma"/>
          <w:color w:val="auto"/>
          <w:sz w:val="16"/>
          <w:szCs w:val="16"/>
          <w:lang w:val="es-ES"/>
        </w:rPr>
        <w:t>CIDH, Empresas y Derechos Humanos: Estándares Interamericanos, Relatoría Especial sobre Derechos Económicos Sociales Culturales y Ambientales, 1 de noviembre de 2019, párr</w:t>
      </w:r>
      <w:r w:rsidR="001B3F2D">
        <w:rPr>
          <w:rFonts w:asciiTheme="majorHAnsi" w:hAnsiTheme="majorHAnsi" w:cs="Tahoma"/>
          <w:color w:val="auto"/>
          <w:sz w:val="16"/>
          <w:szCs w:val="16"/>
          <w:lang w:val="es-ES"/>
        </w:rPr>
        <w:t>s</w:t>
      </w:r>
      <w:r w:rsidRPr="006711D8">
        <w:rPr>
          <w:rFonts w:asciiTheme="majorHAnsi" w:hAnsiTheme="majorHAnsi" w:cs="Tahoma"/>
          <w:color w:val="auto"/>
          <w:sz w:val="16"/>
          <w:szCs w:val="16"/>
          <w:lang w:val="es-ES"/>
        </w:rPr>
        <w:t xml:space="preserve">. </w:t>
      </w:r>
      <w:r w:rsidRPr="006711D8">
        <w:rPr>
          <w:rFonts w:asciiTheme="majorHAnsi" w:hAnsiTheme="majorHAnsi"/>
          <w:color w:val="auto"/>
          <w:sz w:val="16"/>
          <w:szCs w:val="16"/>
          <w:lang w:val="es-ES"/>
        </w:rPr>
        <w:t>80-146.</w:t>
      </w:r>
    </w:p>
  </w:footnote>
  <w:footnote w:id="11">
    <w:p w14:paraId="450F9F6B" w14:textId="3601E924" w:rsidR="008C2247" w:rsidRPr="006711D8" w:rsidRDefault="008C2247" w:rsidP="00DA1486">
      <w:pPr>
        <w:pStyle w:val="FootnoteText"/>
        <w:ind w:firstLine="720"/>
        <w:jc w:val="both"/>
        <w:rPr>
          <w:rFonts w:ascii="Cambria" w:hAnsi="Cambria"/>
          <w:sz w:val="16"/>
          <w:szCs w:val="16"/>
          <w:lang w:val="es-ES"/>
        </w:rPr>
      </w:pPr>
      <w:r w:rsidRPr="006711D8">
        <w:rPr>
          <w:rStyle w:val="FootnoteReference"/>
          <w:rFonts w:ascii="Cambria" w:hAnsi="Cambria"/>
          <w:color w:val="auto"/>
          <w:sz w:val="16"/>
          <w:szCs w:val="16"/>
          <w:lang w:val="es-ES"/>
        </w:rPr>
        <w:footnoteRef/>
      </w:r>
      <w:r w:rsidRPr="006711D8">
        <w:rPr>
          <w:rStyle w:val="FootnoteReference"/>
          <w:rFonts w:ascii="Cambria" w:hAnsi="Cambria"/>
          <w:color w:val="auto"/>
          <w:sz w:val="16"/>
          <w:szCs w:val="16"/>
          <w:lang w:val="es-ES"/>
        </w:rPr>
        <w:t xml:space="preserve"> </w:t>
      </w:r>
      <w:r w:rsidR="00C64B36" w:rsidRPr="006711D8">
        <w:rPr>
          <w:rFonts w:ascii="Cambria" w:hAnsi="Cambria"/>
          <w:sz w:val="16"/>
          <w:szCs w:val="16"/>
          <w:lang w:val="es-ES"/>
        </w:rPr>
        <w:t>Las edades de las presuntas víctimas</w:t>
      </w:r>
      <w:r w:rsidR="00C138A7" w:rsidRPr="006711D8">
        <w:rPr>
          <w:rFonts w:ascii="Cambria" w:hAnsi="Cambria"/>
          <w:sz w:val="16"/>
          <w:szCs w:val="16"/>
          <w:lang w:val="es-ES"/>
        </w:rPr>
        <w:t xml:space="preserve">, </w:t>
      </w:r>
      <w:r w:rsidR="00C64B36" w:rsidRPr="006711D8">
        <w:rPr>
          <w:rFonts w:ascii="Cambria" w:hAnsi="Cambria"/>
          <w:sz w:val="16"/>
          <w:szCs w:val="16"/>
          <w:lang w:val="es-ES"/>
        </w:rPr>
        <w:t>aportadas por el peticionario</w:t>
      </w:r>
      <w:r w:rsidR="00C138A7" w:rsidRPr="006711D8">
        <w:rPr>
          <w:rFonts w:ascii="Cambria" w:hAnsi="Cambria"/>
          <w:sz w:val="16"/>
          <w:szCs w:val="16"/>
          <w:lang w:val="es-ES"/>
        </w:rPr>
        <w:t xml:space="preserve">, </w:t>
      </w:r>
      <w:r w:rsidR="00C64B36" w:rsidRPr="006711D8">
        <w:rPr>
          <w:rFonts w:ascii="Cambria" w:hAnsi="Cambria"/>
          <w:sz w:val="16"/>
          <w:szCs w:val="16"/>
          <w:lang w:val="es-ES"/>
        </w:rPr>
        <w:t xml:space="preserve">se </w:t>
      </w:r>
      <w:r w:rsidR="00C138A7" w:rsidRPr="006711D8">
        <w:rPr>
          <w:rFonts w:ascii="Cambria" w:hAnsi="Cambria"/>
          <w:sz w:val="16"/>
          <w:szCs w:val="16"/>
          <w:lang w:val="es-ES"/>
        </w:rPr>
        <w:t>encuentran</w:t>
      </w:r>
      <w:r w:rsidR="00C64B36" w:rsidRPr="006711D8">
        <w:rPr>
          <w:rFonts w:ascii="Cambria" w:hAnsi="Cambria"/>
          <w:sz w:val="16"/>
          <w:szCs w:val="16"/>
          <w:lang w:val="es-ES"/>
        </w:rPr>
        <w:t xml:space="preserve"> actualizadas al 8 de noviembre de 2016.</w:t>
      </w:r>
      <w:r w:rsidR="00D813FD">
        <w:rPr>
          <w:rFonts w:ascii="Cambria" w:hAnsi="Cambria"/>
          <w:sz w:val="16"/>
          <w:szCs w:val="16"/>
          <w:lang w:val="es-ES"/>
        </w:rPr>
        <w:t xml:space="preserve"> Las pres</w:t>
      </w:r>
      <w:r w:rsidR="002100DF">
        <w:rPr>
          <w:rFonts w:ascii="Cambria" w:hAnsi="Cambria"/>
          <w:sz w:val="16"/>
          <w:szCs w:val="16"/>
          <w:lang w:val="es-ES"/>
        </w:rPr>
        <w:t>untas víctimas se encuentran agrupadas por grupos familiares.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8B0A9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4429FE" w:rsidP="00A50FCF">
    <w:pPr>
      <w:pStyle w:val="Header"/>
      <w:tabs>
        <w:tab w:val="clear" w:pos="4320"/>
        <w:tab w:val="clear" w:pos="8640"/>
      </w:tabs>
      <w:jc w:val="center"/>
      <w:rPr>
        <w:sz w:val="22"/>
        <w:szCs w:val="22"/>
      </w:rPr>
    </w:pPr>
    <w:r>
      <w:rPr>
        <w:noProof/>
        <w:sz w:val="22"/>
        <w:szCs w:val="22"/>
        <w:bdr w:val="nil"/>
      </w:rPr>
      <w:pict w14:anchorId="71DCE10A">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CC9038B"/>
    <w:multiLevelType w:val="hybridMultilevel"/>
    <w:tmpl w:val="07F460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464468C"/>
    <w:multiLevelType w:val="hybridMultilevel"/>
    <w:tmpl w:val="D4EA90BE"/>
    <w:lvl w:ilvl="0" w:tplc="FFFFFFFF">
      <w:start w:val="1"/>
      <w:numFmt w:val="decimal"/>
      <w:lvlText w:val="%1."/>
      <w:lvlJc w:val="left"/>
      <w:pPr>
        <w:tabs>
          <w:tab w:val="num" w:pos="720"/>
        </w:tabs>
        <w:ind w:left="0" w:firstLine="720"/>
      </w:pPr>
      <w:rPr>
        <w:rFonts w:hint="default"/>
        <w:i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12789D"/>
    <w:multiLevelType w:val="hybridMultilevel"/>
    <w:tmpl w:val="BCDAB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4"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3"/>
  </w:num>
  <w:num w:numId="4" w16cid:durableId="2018339747">
    <w:abstractNumId w:val="22"/>
  </w:num>
  <w:num w:numId="5" w16cid:durableId="368341374">
    <w:abstractNumId w:val="47"/>
  </w:num>
  <w:num w:numId="6" w16cid:durableId="1074009954">
    <w:abstractNumId w:val="28"/>
  </w:num>
  <w:num w:numId="7" w16cid:durableId="1545016965">
    <w:abstractNumId w:val="6"/>
  </w:num>
  <w:num w:numId="8" w16cid:durableId="1165165820">
    <w:abstractNumId w:val="18"/>
  </w:num>
  <w:num w:numId="9" w16cid:durableId="751703382">
    <w:abstractNumId w:val="42"/>
  </w:num>
  <w:num w:numId="10" w16cid:durableId="1010065578">
    <w:abstractNumId w:val="0"/>
  </w:num>
  <w:num w:numId="11" w16cid:durableId="599265313">
    <w:abstractNumId w:val="37"/>
  </w:num>
  <w:num w:numId="12" w16cid:durableId="1094203649">
    <w:abstractNumId w:val="38"/>
  </w:num>
  <w:num w:numId="13" w16cid:durableId="393090155">
    <w:abstractNumId w:val="44"/>
  </w:num>
  <w:num w:numId="14" w16cid:durableId="1198931784">
    <w:abstractNumId w:val="1"/>
  </w:num>
  <w:num w:numId="15" w16cid:durableId="2056192837">
    <w:abstractNumId w:val="2"/>
  </w:num>
  <w:num w:numId="16" w16cid:durableId="1680153077">
    <w:abstractNumId w:val="7"/>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6"/>
  </w:num>
  <w:num w:numId="24" w16cid:durableId="477890311">
    <w:abstractNumId w:val="17"/>
  </w:num>
  <w:num w:numId="25" w16cid:durableId="1967855925">
    <w:abstractNumId w:val="19"/>
  </w:num>
  <w:num w:numId="26" w16cid:durableId="998537020">
    <w:abstractNumId w:val="20"/>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29"/>
  </w:num>
  <w:num w:numId="32" w16cid:durableId="535119711">
    <w:abstractNumId w:val="30"/>
  </w:num>
  <w:num w:numId="33" w16cid:durableId="2078547275">
    <w:abstractNumId w:val="31"/>
  </w:num>
  <w:num w:numId="34" w16cid:durableId="1703632659">
    <w:abstractNumId w:val="32"/>
  </w:num>
  <w:num w:numId="35" w16cid:durableId="1264075887">
    <w:abstractNumId w:val="33"/>
  </w:num>
  <w:num w:numId="36" w16cid:durableId="1752315512">
    <w:abstractNumId w:val="34"/>
  </w:num>
  <w:num w:numId="37" w16cid:durableId="1536426887">
    <w:abstractNumId w:val="35"/>
  </w:num>
  <w:num w:numId="38" w16cid:durableId="949702590">
    <w:abstractNumId w:val="36"/>
  </w:num>
  <w:num w:numId="39" w16cid:durableId="115605940">
    <w:abstractNumId w:val="39"/>
  </w:num>
  <w:num w:numId="40" w16cid:durableId="2008750670">
    <w:abstractNumId w:val="40"/>
  </w:num>
  <w:num w:numId="41" w16cid:durableId="579801488">
    <w:abstractNumId w:val="46"/>
  </w:num>
  <w:num w:numId="42" w16cid:durableId="910309630">
    <w:abstractNumId w:val="48"/>
  </w:num>
  <w:num w:numId="43" w16cid:durableId="221603102">
    <w:abstractNumId w:val="49"/>
  </w:num>
  <w:num w:numId="44" w16cid:durableId="779104680">
    <w:abstractNumId w:val="51"/>
  </w:num>
  <w:num w:numId="45" w16cid:durableId="1713115894">
    <w:abstractNumId w:val="52"/>
  </w:num>
  <w:num w:numId="46" w16cid:durableId="1387951419">
    <w:abstractNumId w:val="54"/>
  </w:num>
  <w:num w:numId="47" w16cid:durableId="648510715">
    <w:abstractNumId w:val="55"/>
  </w:num>
  <w:num w:numId="48" w16cid:durableId="1806315575">
    <w:abstractNumId w:val="56"/>
  </w:num>
  <w:num w:numId="49" w16cid:durableId="1682586011">
    <w:abstractNumId w:val="57"/>
  </w:num>
  <w:num w:numId="50" w16cid:durableId="2025083079">
    <w:abstractNumId w:val="58"/>
  </w:num>
  <w:num w:numId="51" w16cid:durableId="530342504">
    <w:abstractNumId w:val="21"/>
  </w:num>
  <w:num w:numId="52" w16cid:durableId="955454438">
    <w:abstractNumId w:val="41"/>
  </w:num>
  <w:num w:numId="53" w16cid:durableId="586957926">
    <w:abstractNumId w:val="50"/>
  </w:num>
  <w:num w:numId="54" w16cid:durableId="1498381482">
    <w:abstractNumId w:val="45"/>
  </w:num>
  <w:num w:numId="55" w16cid:durableId="1930308158">
    <w:abstractNumId w:val="43"/>
  </w:num>
  <w:num w:numId="56" w16cid:durableId="219633537">
    <w:abstractNumId w:val="4"/>
  </w:num>
  <w:num w:numId="57" w16cid:durableId="2023316976">
    <w:abstractNumId w:val="8"/>
  </w:num>
  <w:num w:numId="58" w16cid:durableId="1850871949">
    <w:abstractNumId w:val="26"/>
  </w:num>
  <w:num w:numId="59" w16cid:durableId="907880176">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2278"/>
    <w:rsid w:val="000051CE"/>
    <w:rsid w:val="00006E1F"/>
    <w:rsid w:val="000070D7"/>
    <w:rsid w:val="00013D9D"/>
    <w:rsid w:val="0001788C"/>
    <w:rsid w:val="00020C21"/>
    <w:rsid w:val="00024525"/>
    <w:rsid w:val="0002750D"/>
    <w:rsid w:val="00032AC9"/>
    <w:rsid w:val="000337EF"/>
    <w:rsid w:val="00040C3A"/>
    <w:rsid w:val="000419AD"/>
    <w:rsid w:val="00042722"/>
    <w:rsid w:val="000429A7"/>
    <w:rsid w:val="00042D6E"/>
    <w:rsid w:val="000433C9"/>
    <w:rsid w:val="00071174"/>
    <w:rsid w:val="000716C5"/>
    <w:rsid w:val="00071F0A"/>
    <w:rsid w:val="00075E23"/>
    <w:rsid w:val="00076879"/>
    <w:rsid w:val="000868BA"/>
    <w:rsid w:val="00086B4F"/>
    <w:rsid w:val="0009030D"/>
    <w:rsid w:val="0009344A"/>
    <w:rsid w:val="000A02D5"/>
    <w:rsid w:val="000A0C5A"/>
    <w:rsid w:val="000A1403"/>
    <w:rsid w:val="000A2427"/>
    <w:rsid w:val="000A2519"/>
    <w:rsid w:val="000A392E"/>
    <w:rsid w:val="000A575F"/>
    <w:rsid w:val="000B6628"/>
    <w:rsid w:val="000D05CB"/>
    <w:rsid w:val="000D06A7"/>
    <w:rsid w:val="000D10DB"/>
    <w:rsid w:val="000D31F9"/>
    <w:rsid w:val="000E1DF9"/>
    <w:rsid w:val="000E4407"/>
    <w:rsid w:val="000E533B"/>
    <w:rsid w:val="000E5EB5"/>
    <w:rsid w:val="000F089E"/>
    <w:rsid w:val="000F35ED"/>
    <w:rsid w:val="001004FE"/>
    <w:rsid w:val="00105866"/>
    <w:rsid w:val="00107131"/>
    <w:rsid w:val="0010736F"/>
    <w:rsid w:val="00113F73"/>
    <w:rsid w:val="001154E8"/>
    <w:rsid w:val="0012075E"/>
    <w:rsid w:val="00121CC2"/>
    <w:rsid w:val="00125A29"/>
    <w:rsid w:val="00131425"/>
    <w:rsid w:val="00131C13"/>
    <w:rsid w:val="00131F62"/>
    <w:rsid w:val="00133EE5"/>
    <w:rsid w:val="00134DF9"/>
    <w:rsid w:val="001357F0"/>
    <w:rsid w:val="00144EBA"/>
    <w:rsid w:val="00152953"/>
    <w:rsid w:val="00157FB5"/>
    <w:rsid w:val="00167A34"/>
    <w:rsid w:val="00170C42"/>
    <w:rsid w:val="0017513C"/>
    <w:rsid w:val="00180EA4"/>
    <w:rsid w:val="00185274"/>
    <w:rsid w:val="0018735F"/>
    <w:rsid w:val="00190D0D"/>
    <w:rsid w:val="001950EA"/>
    <w:rsid w:val="001A1A14"/>
    <w:rsid w:val="001A520D"/>
    <w:rsid w:val="001A7870"/>
    <w:rsid w:val="001B3A00"/>
    <w:rsid w:val="001B3E46"/>
    <w:rsid w:val="001B3F2D"/>
    <w:rsid w:val="001B4652"/>
    <w:rsid w:val="001B478B"/>
    <w:rsid w:val="001C1B41"/>
    <w:rsid w:val="001C48AA"/>
    <w:rsid w:val="001D30A4"/>
    <w:rsid w:val="001D65EF"/>
    <w:rsid w:val="001D6F09"/>
    <w:rsid w:val="001D7F96"/>
    <w:rsid w:val="001E0287"/>
    <w:rsid w:val="001E49E7"/>
    <w:rsid w:val="001F4705"/>
    <w:rsid w:val="001F7201"/>
    <w:rsid w:val="001F768F"/>
    <w:rsid w:val="00206DAD"/>
    <w:rsid w:val="002100DF"/>
    <w:rsid w:val="00210E87"/>
    <w:rsid w:val="0022099D"/>
    <w:rsid w:val="00223A29"/>
    <w:rsid w:val="002250A3"/>
    <w:rsid w:val="00226814"/>
    <w:rsid w:val="00233921"/>
    <w:rsid w:val="00235217"/>
    <w:rsid w:val="002411D3"/>
    <w:rsid w:val="00246D1F"/>
    <w:rsid w:val="00247403"/>
    <w:rsid w:val="00247542"/>
    <w:rsid w:val="002576B2"/>
    <w:rsid w:val="00266B61"/>
    <w:rsid w:val="0026712A"/>
    <w:rsid w:val="002704DB"/>
    <w:rsid w:val="0028169F"/>
    <w:rsid w:val="00293FB6"/>
    <w:rsid w:val="002953DE"/>
    <w:rsid w:val="002A0AAE"/>
    <w:rsid w:val="002A4C04"/>
    <w:rsid w:val="002A5820"/>
    <w:rsid w:val="002B5729"/>
    <w:rsid w:val="002D26DF"/>
    <w:rsid w:val="002D2B26"/>
    <w:rsid w:val="002D436E"/>
    <w:rsid w:val="002D5E97"/>
    <w:rsid w:val="002D7EA2"/>
    <w:rsid w:val="002E187C"/>
    <w:rsid w:val="002E2011"/>
    <w:rsid w:val="002F0AAF"/>
    <w:rsid w:val="002F561E"/>
    <w:rsid w:val="002F6B38"/>
    <w:rsid w:val="00300159"/>
    <w:rsid w:val="00301242"/>
    <w:rsid w:val="00302733"/>
    <w:rsid w:val="00305835"/>
    <w:rsid w:val="00306F33"/>
    <w:rsid w:val="003127D9"/>
    <w:rsid w:val="00314078"/>
    <w:rsid w:val="0031535D"/>
    <w:rsid w:val="003169A1"/>
    <w:rsid w:val="0032388D"/>
    <w:rsid w:val="003239B8"/>
    <w:rsid w:val="0033125C"/>
    <w:rsid w:val="0033169F"/>
    <w:rsid w:val="003334BD"/>
    <w:rsid w:val="00344977"/>
    <w:rsid w:val="00346C95"/>
    <w:rsid w:val="003530C2"/>
    <w:rsid w:val="00356185"/>
    <w:rsid w:val="00360380"/>
    <w:rsid w:val="003628ED"/>
    <w:rsid w:val="00375079"/>
    <w:rsid w:val="0037519E"/>
    <w:rsid w:val="0038606E"/>
    <w:rsid w:val="00386CF0"/>
    <w:rsid w:val="00394073"/>
    <w:rsid w:val="00395391"/>
    <w:rsid w:val="003A0F7F"/>
    <w:rsid w:val="003B70FB"/>
    <w:rsid w:val="003C5352"/>
    <w:rsid w:val="003C676B"/>
    <w:rsid w:val="003D0465"/>
    <w:rsid w:val="003D247F"/>
    <w:rsid w:val="003D2F14"/>
    <w:rsid w:val="003D3566"/>
    <w:rsid w:val="003D3BC2"/>
    <w:rsid w:val="003E5C8F"/>
    <w:rsid w:val="003E6B39"/>
    <w:rsid w:val="003E6CA1"/>
    <w:rsid w:val="003E7577"/>
    <w:rsid w:val="003F202C"/>
    <w:rsid w:val="003F5154"/>
    <w:rsid w:val="00402C54"/>
    <w:rsid w:val="00404BC3"/>
    <w:rsid w:val="00405F9C"/>
    <w:rsid w:val="004065A8"/>
    <w:rsid w:val="00407B82"/>
    <w:rsid w:val="004128D9"/>
    <w:rsid w:val="004165C2"/>
    <w:rsid w:val="00423290"/>
    <w:rsid w:val="004241A0"/>
    <w:rsid w:val="004379F5"/>
    <w:rsid w:val="00441DDC"/>
    <w:rsid w:val="00441ECB"/>
    <w:rsid w:val="004429FE"/>
    <w:rsid w:val="00445193"/>
    <w:rsid w:val="00446668"/>
    <w:rsid w:val="00462C1B"/>
    <w:rsid w:val="00467B7E"/>
    <w:rsid w:val="00473BB4"/>
    <w:rsid w:val="00477592"/>
    <w:rsid w:val="00480370"/>
    <w:rsid w:val="00480E91"/>
    <w:rsid w:val="0048130E"/>
    <w:rsid w:val="00486F1C"/>
    <w:rsid w:val="00492D44"/>
    <w:rsid w:val="0049419D"/>
    <w:rsid w:val="004A057B"/>
    <w:rsid w:val="004A48BB"/>
    <w:rsid w:val="004A6A54"/>
    <w:rsid w:val="004B421C"/>
    <w:rsid w:val="004C20D2"/>
    <w:rsid w:val="004C2312"/>
    <w:rsid w:val="004C4B62"/>
    <w:rsid w:val="004C54C9"/>
    <w:rsid w:val="004D0165"/>
    <w:rsid w:val="004D1818"/>
    <w:rsid w:val="004D4ABA"/>
    <w:rsid w:val="004D6025"/>
    <w:rsid w:val="004E0725"/>
    <w:rsid w:val="004E2649"/>
    <w:rsid w:val="004F626F"/>
    <w:rsid w:val="00501399"/>
    <w:rsid w:val="005047ED"/>
    <w:rsid w:val="0050633D"/>
    <w:rsid w:val="00507BC4"/>
    <w:rsid w:val="005128E4"/>
    <w:rsid w:val="005133DB"/>
    <w:rsid w:val="00513D22"/>
    <w:rsid w:val="00514504"/>
    <w:rsid w:val="00521E1F"/>
    <w:rsid w:val="00525560"/>
    <w:rsid w:val="005328F2"/>
    <w:rsid w:val="00532A99"/>
    <w:rsid w:val="00536BC6"/>
    <w:rsid w:val="005430E2"/>
    <w:rsid w:val="005449B3"/>
    <w:rsid w:val="00544C49"/>
    <w:rsid w:val="005516A1"/>
    <w:rsid w:val="0055522E"/>
    <w:rsid w:val="005559EF"/>
    <w:rsid w:val="00557773"/>
    <w:rsid w:val="00563557"/>
    <w:rsid w:val="00572429"/>
    <w:rsid w:val="0057402A"/>
    <w:rsid w:val="005771D0"/>
    <w:rsid w:val="005837AA"/>
    <w:rsid w:val="005904E9"/>
    <w:rsid w:val="00590D3B"/>
    <w:rsid w:val="0059191A"/>
    <w:rsid w:val="005921FF"/>
    <w:rsid w:val="00593D83"/>
    <w:rsid w:val="005A089A"/>
    <w:rsid w:val="005A24ED"/>
    <w:rsid w:val="005A654B"/>
    <w:rsid w:val="005A6D0E"/>
    <w:rsid w:val="005B0E36"/>
    <w:rsid w:val="005B1138"/>
    <w:rsid w:val="005B2800"/>
    <w:rsid w:val="005B52B0"/>
    <w:rsid w:val="005B6806"/>
    <w:rsid w:val="005B6BEC"/>
    <w:rsid w:val="005C1989"/>
    <w:rsid w:val="005C4225"/>
    <w:rsid w:val="005D2D11"/>
    <w:rsid w:val="005E051E"/>
    <w:rsid w:val="005E50D7"/>
    <w:rsid w:val="005E5FA0"/>
    <w:rsid w:val="005E6738"/>
    <w:rsid w:val="005F0DAD"/>
    <w:rsid w:val="005F0F33"/>
    <w:rsid w:val="00600DEB"/>
    <w:rsid w:val="006010AB"/>
    <w:rsid w:val="006239FF"/>
    <w:rsid w:val="00623BE5"/>
    <w:rsid w:val="00624FF0"/>
    <w:rsid w:val="006270F0"/>
    <w:rsid w:val="00627C9F"/>
    <w:rsid w:val="006311E9"/>
    <w:rsid w:val="0063164E"/>
    <w:rsid w:val="00632354"/>
    <w:rsid w:val="00632E17"/>
    <w:rsid w:val="00635421"/>
    <w:rsid w:val="00635DC1"/>
    <w:rsid w:val="00641F00"/>
    <w:rsid w:val="0064251E"/>
    <w:rsid w:val="00642810"/>
    <w:rsid w:val="00646012"/>
    <w:rsid w:val="00646393"/>
    <w:rsid w:val="0065124A"/>
    <w:rsid w:val="00652333"/>
    <w:rsid w:val="006569C0"/>
    <w:rsid w:val="006604D1"/>
    <w:rsid w:val="0066206B"/>
    <w:rsid w:val="006660E6"/>
    <w:rsid w:val="00671132"/>
    <w:rsid w:val="006711D8"/>
    <w:rsid w:val="0068009E"/>
    <w:rsid w:val="0068687C"/>
    <w:rsid w:val="00692219"/>
    <w:rsid w:val="006A17D2"/>
    <w:rsid w:val="006A351F"/>
    <w:rsid w:val="006A4E9C"/>
    <w:rsid w:val="006A73E6"/>
    <w:rsid w:val="006B17AF"/>
    <w:rsid w:val="006B2D5C"/>
    <w:rsid w:val="006C0078"/>
    <w:rsid w:val="006C0ECF"/>
    <w:rsid w:val="006C3200"/>
    <w:rsid w:val="006C4EB1"/>
    <w:rsid w:val="006C6F93"/>
    <w:rsid w:val="006C75AE"/>
    <w:rsid w:val="006D72EB"/>
    <w:rsid w:val="006E0166"/>
    <w:rsid w:val="006E2FFB"/>
    <w:rsid w:val="006E3DD9"/>
    <w:rsid w:val="006E5661"/>
    <w:rsid w:val="006E7B34"/>
    <w:rsid w:val="006F2703"/>
    <w:rsid w:val="0070697F"/>
    <w:rsid w:val="007103C4"/>
    <w:rsid w:val="00711338"/>
    <w:rsid w:val="00712A43"/>
    <w:rsid w:val="0072199C"/>
    <w:rsid w:val="00722C9F"/>
    <w:rsid w:val="007253B8"/>
    <w:rsid w:val="00725980"/>
    <w:rsid w:val="007321CC"/>
    <w:rsid w:val="0073741F"/>
    <w:rsid w:val="00737E78"/>
    <w:rsid w:val="00740CC6"/>
    <w:rsid w:val="00742063"/>
    <w:rsid w:val="0074469D"/>
    <w:rsid w:val="00746762"/>
    <w:rsid w:val="00754B03"/>
    <w:rsid w:val="0076090F"/>
    <w:rsid w:val="00760D1B"/>
    <w:rsid w:val="00764F54"/>
    <w:rsid w:val="0076643F"/>
    <w:rsid w:val="007664A0"/>
    <w:rsid w:val="00770597"/>
    <w:rsid w:val="00777F63"/>
    <w:rsid w:val="00787D5D"/>
    <w:rsid w:val="00793183"/>
    <w:rsid w:val="00797C40"/>
    <w:rsid w:val="007A0EE2"/>
    <w:rsid w:val="007A5817"/>
    <w:rsid w:val="007B05C4"/>
    <w:rsid w:val="007B2620"/>
    <w:rsid w:val="007B4F40"/>
    <w:rsid w:val="007B60E9"/>
    <w:rsid w:val="007B6CC3"/>
    <w:rsid w:val="007B72C2"/>
    <w:rsid w:val="007B76D3"/>
    <w:rsid w:val="007C3334"/>
    <w:rsid w:val="007D2B98"/>
    <w:rsid w:val="007D6336"/>
    <w:rsid w:val="007D6C80"/>
    <w:rsid w:val="007E21BC"/>
    <w:rsid w:val="007E7C82"/>
    <w:rsid w:val="007F2AA1"/>
    <w:rsid w:val="007F588D"/>
    <w:rsid w:val="00801696"/>
    <w:rsid w:val="00803F1C"/>
    <w:rsid w:val="0080600E"/>
    <w:rsid w:val="00811C52"/>
    <w:rsid w:val="00814688"/>
    <w:rsid w:val="00817612"/>
    <w:rsid w:val="008338A4"/>
    <w:rsid w:val="00834364"/>
    <w:rsid w:val="00834D49"/>
    <w:rsid w:val="00837557"/>
    <w:rsid w:val="00837C45"/>
    <w:rsid w:val="00844730"/>
    <w:rsid w:val="008457C2"/>
    <w:rsid w:val="0085130C"/>
    <w:rsid w:val="00852E36"/>
    <w:rsid w:val="0085523C"/>
    <w:rsid w:val="00855EF8"/>
    <w:rsid w:val="00856996"/>
    <w:rsid w:val="00857A82"/>
    <w:rsid w:val="00866F7B"/>
    <w:rsid w:val="008718EA"/>
    <w:rsid w:val="00871A06"/>
    <w:rsid w:val="00873836"/>
    <w:rsid w:val="00875FF8"/>
    <w:rsid w:val="008761F3"/>
    <w:rsid w:val="00876CCA"/>
    <w:rsid w:val="00877640"/>
    <w:rsid w:val="00877BA3"/>
    <w:rsid w:val="00880B5B"/>
    <w:rsid w:val="0088433E"/>
    <w:rsid w:val="00885737"/>
    <w:rsid w:val="00890650"/>
    <w:rsid w:val="00891886"/>
    <w:rsid w:val="008927C6"/>
    <w:rsid w:val="00892E7B"/>
    <w:rsid w:val="008944DC"/>
    <w:rsid w:val="00897E12"/>
    <w:rsid w:val="008A1414"/>
    <w:rsid w:val="008A7E0F"/>
    <w:rsid w:val="008B0A9F"/>
    <w:rsid w:val="008B12F5"/>
    <w:rsid w:val="008C0F0E"/>
    <w:rsid w:val="008C2247"/>
    <w:rsid w:val="008C37B9"/>
    <w:rsid w:val="008C5E2D"/>
    <w:rsid w:val="008D54E5"/>
    <w:rsid w:val="008D74BE"/>
    <w:rsid w:val="008D768D"/>
    <w:rsid w:val="008E3759"/>
    <w:rsid w:val="008E3BFE"/>
    <w:rsid w:val="008E465A"/>
    <w:rsid w:val="008E653F"/>
    <w:rsid w:val="008F1912"/>
    <w:rsid w:val="008F5E88"/>
    <w:rsid w:val="0090270B"/>
    <w:rsid w:val="009041DC"/>
    <w:rsid w:val="00917B5A"/>
    <w:rsid w:val="00920A58"/>
    <w:rsid w:val="00920A8C"/>
    <w:rsid w:val="00921546"/>
    <w:rsid w:val="009304C3"/>
    <w:rsid w:val="00934A2C"/>
    <w:rsid w:val="00940975"/>
    <w:rsid w:val="00942F13"/>
    <w:rsid w:val="009440D1"/>
    <w:rsid w:val="00944397"/>
    <w:rsid w:val="0096706E"/>
    <w:rsid w:val="00973623"/>
    <w:rsid w:val="00974491"/>
    <w:rsid w:val="00975C4E"/>
    <w:rsid w:val="00980CCC"/>
    <w:rsid w:val="00981B3A"/>
    <w:rsid w:val="00981FBA"/>
    <w:rsid w:val="009949E8"/>
    <w:rsid w:val="009978C2"/>
    <w:rsid w:val="00997BC5"/>
    <w:rsid w:val="009A1D4D"/>
    <w:rsid w:val="009A3914"/>
    <w:rsid w:val="009A3D53"/>
    <w:rsid w:val="009A435E"/>
    <w:rsid w:val="009A4DD6"/>
    <w:rsid w:val="009A4F41"/>
    <w:rsid w:val="009A56CE"/>
    <w:rsid w:val="009A5E1D"/>
    <w:rsid w:val="009B0D48"/>
    <w:rsid w:val="009B381B"/>
    <w:rsid w:val="009B3AE8"/>
    <w:rsid w:val="009B7FD0"/>
    <w:rsid w:val="009C05E1"/>
    <w:rsid w:val="009C0DB0"/>
    <w:rsid w:val="009D0E6B"/>
    <w:rsid w:val="009D1753"/>
    <w:rsid w:val="009D7611"/>
    <w:rsid w:val="009E0144"/>
    <w:rsid w:val="009E0B61"/>
    <w:rsid w:val="009E53DE"/>
    <w:rsid w:val="009E67C7"/>
    <w:rsid w:val="009E71DB"/>
    <w:rsid w:val="009E7F1E"/>
    <w:rsid w:val="009F2D2D"/>
    <w:rsid w:val="00A01AE6"/>
    <w:rsid w:val="00A02C3F"/>
    <w:rsid w:val="00A03C59"/>
    <w:rsid w:val="00A0696E"/>
    <w:rsid w:val="00A11212"/>
    <w:rsid w:val="00A11E44"/>
    <w:rsid w:val="00A1479A"/>
    <w:rsid w:val="00A15562"/>
    <w:rsid w:val="00A21C44"/>
    <w:rsid w:val="00A30100"/>
    <w:rsid w:val="00A328B3"/>
    <w:rsid w:val="00A376F7"/>
    <w:rsid w:val="00A37FEB"/>
    <w:rsid w:val="00A50FCF"/>
    <w:rsid w:val="00A51B00"/>
    <w:rsid w:val="00A523CC"/>
    <w:rsid w:val="00A528D1"/>
    <w:rsid w:val="00A5515D"/>
    <w:rsid w:val="00A610CD"/>
    <w:rsid w:val="00A71EC6"/>
    <w:rsid w:val="00A7202F"/>
    <w:rsid w:val="00A758AA"/>
    <w:rsid w:val="00A83D0E"/>
    <w:rsid w:val="00A91B01"/>
    <w:rsid w:val="00A94906"/>
    <w:rsid w:val="00A95801"/>
    <w:rsid w:val="00AA09A2"/>
    <w:rsid w:val="00AA7996"/>
    <w:rsid w:val="00AB1839"/>
    <w:rsid w:val="00AB19EF"/>
    <w:rsid w:val="00AB1F2F"/>
    <w:rsid w:val="00AB5940"/>
    <w:rsid w:val="00AC19CB"/>
    <w:rsid w:val="00AC32EF"/>
    <w:rsid w:val="00AD4141"/>
    <w:rsid w:val="00AD4BC5"/>
    <w:rsid w:val="00AD5ED1"/>
    <w:rsid w:val="00AD7473"/>
    <w:rsid w:val="00AE5488"/>
    <w:rsid w:val="00AE6106"/>
    <w:rsid w:val="00AE6A08"/>
    <w:rsid w:val="00AE6F91"/>
    <w:rsid w:val="00AF5571"/>
    <w:rsid w:val="00B025CC"/>
    <w:rsid w:val="00B04818"/>
    <w:rsid w:val="00B07341"/>
    <w:rsid w:val="00B1141D"/>
    <w:rsid w:val="00B23144"/>
    <w:rsid w:val="00B2320C"/>
    <w:rsid w:val="00B239E8"/>
    <w:rsid w:val="00B25FC0"/>
    <w:rsid w:val="00B30539"/>
    <w:rsid w:val="00B314DB"/>
    <w:rsid w:val="00B34A22"/>
    <w:rsid w:val="00B361F2"/>
    <w:rsid w:val="00B3718B"/>
    <w:rsid w:val="00B3745F"/>
    <w:rsid w:val="00B4632A"/>
    <w:rsid w:val="00B530F1"/>
    <w:rsid w:val="00B655B8"/>
    <w:rsid w:val="00B665F3"/>
    <w:rsid w:val="00B76BE8"/>
    <w:rsid w:val="00B77C4B"/>
    <w:rsid w:val="00B80F62"/>
    <w:rsid w:val="00B87269"/>
    <w:rsid w:val="00B93D7F"/>
    <w:rsid w:val="00B971C9"/>
    <w:rsid w:val="00BA1514"/>
    <w:rsid w:val="00BA15BF"/>
    <w:rsid w:val="00BA2303"/>
    <w:rsid w:val="00BA276C"/>
    <w:rsid w:val="00BA60E5"/>
    <w:rsid w:val="00BB019D"/>
    <w:rsid w:val="00BB306F"/>
    <w:rsid w:val="00BC77E0"/>
    <w:rsid w:val="00BD0FF5"/>
    <w:rsid w:val="00BD4B89"/>
    <w:rsid w:val="00BD5922"/>
    <w:rsid w:val="00BD620D"/>
    <w:rsid w:val="00BE1C4D"/>
    <w:rsid w:val="00BE2E0A"/>
    <w:rsid w:val="00BF02CB"/>
    <w:rsid w:val="00BF49E5"/>
    <w:rsid w:val="00BF6BE1"/>
    <w:rsid w:val="00BF6FD8"/>
    <w:rsid w:val="00C03680"/>
    <w:rsid w:val="00C054DF"/>
    <w:rsid w:val="00C06878"/>
    <w:rsid w:val="00C138A7"/>
    <w:rsid w:val="00C21762"/>
    <w:rsid w:val="00C21FEF"/>
    <w:rsid w:val="00C232C4"/>
    <w:rsid w:val="00C23BA4"/>
    <w:rsid w:val="00C24543"/>
    <w:rsid w:val="00C256A2"/>
    <w:rsid w:val="00C25ADB"/>
    <w:rsid w:val="00C33081"/>
    <w:rsid w:val="00C44D77"/>
    <w:rsid w:val="00C45317"/>
    <w:rsid w:val="00C47935"/>
    <w:rsid w:val="00C5091E"/>
    <w:rsid w:val="00C51515"/>
    <w:rsid w:val="00C51B3F"/>
    <w:rsid w:val="00C5660B"/>
    <w:rsid w:val="00C61089"/>
    <w:rsid w:val="00C64B36"/>
    <w:rsid w:val="00C66B72"/>
    <w:rsid w:val="00C83892"/>
    <w:rsid w:val="00C8446B"/>
    <w:rsid w:val="00C87AC4"/>
    <w:rsid w:val="00C9567A"/>
    <w:rsid w:val="00C96D62"/>
    <w:rsid w:val="00CA1BD5"/>
    <w:rsid w:val="00CA41A2"/>
    <w:rsid w:val="00CB212D"/>
    <w:rsid w:val="00CB2660"/>
    <w:rsid w:val="00CB5990"/>
    <w:rsid w:val="00CB71B2"/>
    <w:rsid w:val="00CC467A"/>
    <w:rsid w:val="00CC5E90"/>
    <w:rsid w:val="00CC7DB1"/>
    <w:rsid w:val="00CD046C"/>
    <w:rsid w:val="00CD05FB"/>
    <w:rsid w:val="00CD19E4"/>
    <w:rsid w:val="00CE076C"/>
    <w:rsid w:val="00CE0C19"/>
    <w:rsid w:val="00CE0F93"/>
    <w:rsid w:val="00CE5199"/>
    <w:rsid w:val="00CE66D5"/>
    <w:rsid w:val="00CF637A"/>
    <w:rsid w:val="00D00373"/>
    <w:rsid w:val="00D059DE"/>
    <w:rsid w:val="00D05ABD"/>
    <w:rsid w:val="00D10409"/>
    <w:rsid w:val="00D13FCE"/>
    <w:rsid w:val="00D14B34"/>
    <w:rsid w:val="00D1733A"/>
    <w:rsid w:val="00D306D1"/>
    <w:rsid w:val="00D30800"/>
    <w:rsid w:val="00D34786"/>
    <w:rsid w:val="00D37BFC"/>
    <w:rsid w:val="00D43AA2"/>
    <w:rsid w:val="00D446E5"/>
    <w:rsid w:val="00D47A8E"/>
    <w:rsid w:val="00D52D14"/>
    <w:rsid w:val="00D544DF"/>
    <w:rsid w:val="00D55654"/>
    <w:rsid w:val="00D712D3"/>
    <w:rsid w:val="00D71422"/>
    <w:rsid w:val="00D72DC6"/>
    <w:rsid w:val="00D7558D"/>
    <w:rsid w:val="00D81013"/>
    <w:rsid w:val="00D813FD"/>
    <w:rsid w:val="00D81D92"/>
    <w:rsid w:val="00D8202A"/>
    <w:rsid w:val="00D876F9"/>
    <w:rsid w:val="00D9101F"/>
    <w:rsid w:val="00DA1486"/>
    <w:rsid w:val="00DA79F6"/>
    <w:rsid w:val="00DA7B5F"/>
    <w:rsid w:val="00DC11E7"/>
    <w:rsid w:val="00DC24E3"/>
    <w:rsid w:val="00DC7023"/>
    <w:rsid w:val="00DC769A"/>
    <w:rsid w:val="00DD310E"/>
    <w:rsid w:val="00DD3D22"/>
    <w:rsid w:val="00DD3D86"/>
    <w:rsid w:val="00DD4AD2"/>
    <w:rsid w:val="00DD5FA7"/>
    <w:rsid w:val="00DE0208"/>
    <w:rsid w:val="00DE2862"/>
    <w:rsid w:val="00DE38B6"/>
    <w:rsid w:val="00DE7922"/>
    <w:rsid w:val="00DF1301"/>
    <w:rsid w:val="00DF1EC4"/>
    <w:rsid w:val="00DF79CE"/>
    <w:rsid w:val="00E026C5"/>
    <w:rsid w:val="00E0340B"/>
    <w:rsid w:val="00E04A90"/>
    <w:rsid w:val="00E0551F"/>
    <w:rsid w:val="00E16326"/>
    <w:rsid w:val="00E1747C"/>
    <w:rsid w:val="00E219C7"/>
    <w:rsid w:val="00E23D7D"/>
    <w:rsid w:val="00E4118C"/>
    <w:rsid w:val="00E43157"/>
    <w:rsid w:val="00E461CE"/>
    <w:rsid w:val="00E46215"/>
    <w:rsid w:val="00E474C8"/>
    <w:rsid w:val="00E573E4"/>
    <w:rsid w:val="00E645E2"/>
    <w:rsid w:val="00E64C3D"/>
    <w:rsid w:val="00E720CA"/>
    <w:rsid w:val="00E73579"/>
    <w:rsid w:val="00E84EB5"/>
    <w:rsid w:val="00E85662"/>
    <w:rsid w:val="00E8573A"/>
    <w:rsid w:val="00E87747"/>
    <w:rsid w:val="00E877BA"/>
    <w:rsid w:val="00E8789F"/>
    <w:rsid w:val="00E95C24"/>
    <w:rsid w:val="00E97B71"/>
    <w:rsid w:val="00EA369A"/>
    <w:rsid w:val="00EA3D34"/>
    <w:rsid w:val="00EA62A8"/>
    <w:rsid w:val="00EB4051"/>
    <w:rsid w:val="00EB454D"/>
    <w:rsid w:val="00EB4B61"/>
    <w:rsid w:val="00EB670C"/>
    <w:rsid w:val="00EC3C33"/>
    <w:rsid w:val="00EC6749"/>
    <w:rsid w:val="00ED521E"/>
    <w:rsid w:val="00ED549D"/>
    <w:rsid w:val="00ED5E10"/>
    <w:rsid w:val="00ED76BE"/>
    <w:rsid w:val="00EE00E9"/>
    <w:rsid w:val="00EF1AAA"/>
    <w:rsid w:val="00EF619B"/>
    <w:rsid w:val="00F00B55"/>
    <w:rsid w:val="00F02AD1"/>
    <w:rsid w:val="00F0525B"/>
    <w:rsid w:val="00F23E42"/>
    <w:rsid w:val="00F253CC"/>
    <w:rsid w:val="00F3488E"/>
    <w:rsid w:val="00F37106"/>
    <w:rsid w:val="00F4206D"/>
    <w:rsid w:val="00F445EC"/>
    <w:rsid w:val="00F44E25"/>
    <w:rsid w:val="00F519CF"/>
    <w:rsid w:val="00F56009"/>
    <w:rsid w:val="00F56BA5"/>
    <w:rsid w:val="00F56ECB"/>
    <w:rsid w:val="00F60E22"/>
    <w:rsid w:val="00F61CE9"/>
    <w:rsid w:val="00F667D1"/>
    <w:rsid w:val="00F81290"/>
    <w:rsid w:val="00F81395"/>
    <w:rsid w:val="00F81BB8"/>
    <w:rsid w:val="00F85FDE"/>
    <w:rsid w:val="00F863E2"/>
    <w:rsid w:val="00F90C64"/>
    <w:rsid w:val="00F917D1"/>
    <w:rsid w:val="00F93FEF"/>
    <w:rsid w:val="00F9653B"/>
    <w:rsid w:val="00FA227C"/>
    <w:rsid w:val="00FA561C"/>
    <w:rsid w:val="00FA7B8B"/>
    <w:rsid w:val="00FA7EFE"/>
    <w:rsid w:val="00FB1CB0"/>
    <w:rsid w:val="00FB5A13"/>
    <w:rsid w:val="00FB62CF"/>
    <w:rsid w:val="00FC2675"/>
    <w:rsid w:val="00FD3C3B"/>
    <w:rsid w:val="00FE07DD"/>
    <w:rsid w:val="00FE3BC2"/>
    <w:rsid w:val="00FE55D9"/>
    <w:rsid w:val="00FE6B45"/>
    <w:rsid w:val="00FF1E26"/>
    <w:rsid w:val="00FF49D9"/>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1">
    <w:name w:val="List 21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1">
    <w:name w:val="List 31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1">
    <w:name w:val="List 41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1">
    <w:name w:val="List 51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p1">
    <w:name w:val="p1"/>
    <w:basedOn w:val="Normal"/>
    <w:rsid w:val="0064251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18"/>
      <w:szCs w:val="18"/>
      <w:bdr w:val="none" w:sz="0" w:space="0" w:color="auto"/>
      <w:lang w:val="es-EC" w:eastAsia="es-MX"/>
    </w:rPr>
  </w:style>
  <w:style w:type="paragraph" w:customStyle="1" w:styleId="Char2">
    <w:name w:val="Char2"/>
    <w:basedOn w:val="Normal"/>
    <w:link w:val="FootnoteReference"/>
    <w:rsid w:val="00AB19E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764F54"/>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6569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customStyle="1" w:styleId="apple-converted-space">
    <w:name w:val="apple-converted-space"/>
    <w:basedOn w:val="DefaultParagraphFont"/>
    <w:rsid w:val="006569C0"/>
  </w:style>
  <w:style w:type="character" w:styleId="Strong">
    <w:name w:val="Strong"/>
    <w:basedOn w:val="DefaultParagraphFont"/>
    <w:uiPriority w:val="22"/>
    <w:qFormat/>
    <w:rsid w:val="006569C0"/>
    <w:rPr>
      <w:b/>
      <w:bCs/>
    </w:rPr>
  </w:style>
  <w:style w:type="character" w:customStyle="1" w:styleId="s1">
    <w:name w:val="s1"/>
    <w:basedOn w:val="DefaultParagraphFont"/>
    <w:rsid w:val="00E16326"/>
    <w:rPr>
      <w:rFonts w:ascii="Helvetica" w:hAnsi="Helvetica" w:hint="default"/>
      <w:sz w:val="10"/>
      <w:szCs w:val="10"/>
    </w:rPr>
  </w:style>
  <w:style w:type="character" w:customStyle="1" w:styleId="s2">
    <w:name w:val="s2"/>
    <w:basedOn w:val="DefaultParagraphFont"/>
    <w:rsid w:val="000E533B"/>
    <w:rPr>
      <w:color w:val="6E6E6E"/>
    </w:rPr>
  </w:style>
  <w:style w:type="character" w:customStyle="1" w:styleId="s3">
    <w:name w:val="s3"/>
    <w:basedOn w:val="DefaultParagraphFont"/>
    <w:rsid w:val="000E533B"/>
    <w:rPr>
      <w:rFonts w:ascii="Arial" w:hAnsi="Arial" w:cs="Arial" w:hint="default"/>
      <w:color w:val="6E6E6E"/>
      <w:sz w:val="15"/>
      <w:szCs w:val="15"/>
    </w:rPr>
  </w:style>
  <w:style w:type="paragraph" w:styleId="CommentText">
    <w:name w:val="annotation text"/>
    <w:basedOn w:val="Normal"/>
    <w:link w:val="CommentTextChar"/>
    <w:uiPriority w:val="99"/>
    <w:semiHidden/>
    <w:unhideWhenUsed/>
    <w:rsid w:val="00EC6749"/>
    <w:rPr>
      <w:sz w:val="20"/>
      <w:szCs w:val="20"/>
    </w:rPr>
  </w:style>
  <w:style w:type="character" w:customStyle="1" w:styleId="CommentTextChar">
    <w:name w:val="Comment Text Char"/>
    <w:basedOn w:val="DefaultParagraphFont"/>
    <w:link w:val="CommentText"/>
    <w:uiPriority w:val="99"/>
    <w:semiHidden/>
    <w:rsid w:val="00EC6749"/>
    <w:rPr>
      <w:lang w:val="en-US" w:eastAsia="en-US"/>
    </w:rPr>
  </w:style>
  <w:style w:type="paragraph" w:styleId="CommentSubject">
    <w:name w:val="annotation subject"/>
    <w:basedOn w:val="CommentText"/>
    <w:next w:val="CommentText"/>
    <w:link w:val="CommentSubjectChar"/>
    <w:uiPriority w:val="99"/>
    <w:semiHidden/>
    <w:unhideWhenUsed/>
    <w:rsid w:val="00EC6749"/>
    <w:rPr>
      <w:b/>
      <w:bCs/>
    </w:rPr>
  </w:style>
  <w:style w:type="character" w:customStyle="1" w:styleId="CommentSubjectChar">
    <w:name w:val="Comment Subject Char"/>
    <w:basedOn w:val="CommentTextChar"/>
    <w:link w:val="CommentSubject"/>
    <w:uiPriority w:val="99"/>
    <w:semiHidden/>
    <w:rsid w:val="00EC6749"/>
    <w:rPr>
      <w:b/>
      <w:bCs/>
      <w:lang w:val="en-US" w:eastAsia="en-US"/>
    </w:rPr>
  </w:style>
  <w:style w:type="paragraph" w:styleId="Revision">
    <w:name w:val="Revision"/>
    <w:hidden/>
    <w:uiPriority w:val="99"/>
    <w:semiHidden/>
    <w:rsid w:val="00D8101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EC3C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EC3C33"/>
  </w:style>
  <w:style w:type="character" w:customStyle="1" w:styleId="eop">
    <w:name w:val="eop"/>
    <w:basedOn w:val="DefaultParagraphFont"/>
    <w:rsid w:val="00EC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AB2A7FA46744DB60301634082679F"/>
        <w:category>
          <w:name w:val="General"/>
          <w:gallery w:val="placeholder"/>
        </w:category>
        <w:types>
          <w:type w:val="bbPlcHdr"/>
        </w:types>
        <w:behaviors>
          <w:behavior w:val="content"/>
        </w:behaviors>
        <w:guid w:val="{77204AB4-D001-2B49-964D-0BECFB741DB1}"/>
      </w:docPartPr>
      <w:docPartBody>
        <w:p w:rsidR="005E00A3" w:rsidRDefault="005E00A3" w:rsidP="005E00A3">
          <w:pPr>
            <w:pStyle w:val="3B2AB2A7FA46744DB60301634082679F"/>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42D6E"/>
    <w:rsid w:val="0009030D"/>
    <w:rsid w:val="000C0A50"/>
    <w:rsid w:val="00200821"/>
    <w:rsid w:val="0025245B"/>
    <w:rsid w:val="002A3923"/>
    <w:rsid w:val="002D26DF"/>
    <w:rsid w:val="002E15C9"/>
    <w:rsid w:val="002F0AAF"/>
    <w:rsid w:val="002F5FE8"/>
    <w:rsid w:val="00394049"/>
    <w:rsid w:val="003B0C71"/>
    <w:rsid w:val="00443E30"/>
    <w:rsid w:val="00444401"/>
    <w:rsid w:val="00446668"/>
    <w:rsid w:val="004B5BBB"/>
    <w:rsid w:val="004C4FBD"/>
    <w:rsid w:val="004F2DF8"/>
    <w:rsid w:val="00517E2A"/>
    <w:rsid w:val="0056042F"/>
    <w:rsid w:val="005E00A3"/>
    <w:rsid w:val="005E7E4A"/>
    <w:rsid w:val="006D3128"/>
    <w:rsid w:val="006F24A1"/>
    <w:rsid w:val="00746762"/>
    <w:rsid w:val="008548AD"/>
    <w:rsid w:val="00875B8A"/>
    <w:rsid w:val="008953BC"/>
    <w:rsid w:val="008F5E88"/>
    <w:rsid w:val="00943881"/>
    <w:rsid w:val="00974076"/>
    <w:rsid w:val="00982779"/>
    <w:rsid w:val="009978C2"/>
    <w:rsid w:val="009A261B"/>
    <w:rsid w:val="00A91B01"/>
    <w:rsid w:val="00AA2E17"/>
    <w:rsid w:val="00AC15A4"/>
    <w:rsid w:val="00AD4BC5"/>
    <w:rsid w:val="00AE6A08"/>
    <w:rsid w:val="00B0336C"/>
    <w:rsid w:val="00B77C4B"/>
    <w:rsid w:val="00BA2303"/>
    <w:rsid w:val="00BB1471"/>
    <w:rsid w:val="00BC516C"/>
    <w:rsid w:val="00BD620D"/>
    <w:rsid w:val="00C5091E"/>
    <w:rsid w:val="00D241E9"/>
    <w:rsid w:val="00D7750D"/>
    <w:rsid w:val="00DD310E"/>
    <w:rsid w:val="00E36527"/>
    <w:rsid w:val="00F00D2F"/>
    <w:rsid w:val="00F0525B"/>
    <w:rsid w:val="00F128DF"/>
    <w:rsid w:val="00F93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0A3"/>
    <w:rPr>
      <w:color w:val="808080"/>
    </w:rPr>
  </w:style>
  <w:style w:type="paragraph" w:customStyle="1" w:styleId="3B2AB2A7FA46744DB60301634082679F">
    <w:name w:val="3B2AB2A7FA46744DB60301634082679F"/>
    <w:rsid w:val="005E00A3"/>
    <w:pPr>
      <w:spacing w:after="160" w:line="278" w:lineRule="auto"/>
    </w:pPr>
    <w:rPr>
      <w:kern w:val="2"/>
      <w:sz w:val="24"/>
      <w:szCs w:val="24"/>
      <w:lang w:val="es-EC"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38B93667-45D8-4BD4-8198-4F73B834BD7E}">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5F419EA7-7960-496A-8142-D8A1B051F774}">
  <ds:schemaRefs>
    <ds:schemaRef ds:uri="http://schemas.microsoft.com/sharepoint/v3/contenttype/forms"/>
  </ds:schemaRefs>
</ds:datastoreItem>
</file>

<file path=customXml/itemProps4.xml><?xml version="1.0" encoding="utf-8"?>
<ds:datastoreItem xmlns:ds="http://schemas.openxmlformats.org/officeDocument/2006/customXml" ds:itemID="{26DFAECC-5CA1-44F1-B3DE-E4FD18AC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5322</Words>
  <Characters>30342</Characters>
  <Application>Microsoft Office Word</Application>
  <DocSecurity>0</DocSecurity>
  <Lines>252</Lines>
  <Paragraphs>71</Paragraphs>
  <ScaleCrop>false</ScaleCrop>
  <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2026-01-29T14:11:00Z</dcterms:created>
  <dcterms:modified xsi:type="dcterms:W3CDTF">2026-01-29T14:11:00Z</dcterms:modified>
</cp:coreProperties>
</file>