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1BB3" w14:textId="77777777" w:rsidR="00040C3A" w:rsidRPr="009545B0" w:rsidRDefault="00D306D1" w:rsidP="00627C9F">
      <w:pPr>
        <w:jc w:val="both"/>
        <w:rPr>
          <w:rFonts w:asciiTheme="majorHAnsi" w:hAnsiTheme="majorHAnsi" w:cs="Univers"/>
          <w:b/>
          <w:bCs/>
          <w:sz w:val="22"/>
          <w:szCs w:val="22"/>
          <w:lang w:val="es-ES"/>
        </w:rPr>
      </w:pPr>
      <w:r w:rsidRPr="009545B0">
        <w:rPr>
          <w:rFonts w:asciiTheme="majorHAnsi" w:hAnsiTheme="majorHAnsi"/>
          <w:noProof/>
          <w:sz w:val="22"/>
          <w:szCs w:val="22"/>
          <w:lang w:val="es-ES" w:eastAsia="es-419"/>
        </w:rPr>
        <mc:AlternateContent>
          <mc:Choice Requires="wps">
            <w:drawing>
              <wp:anchor distT="0" distB="0" distL="114300" distR="114300" simplePos="0" relativeHeight="251658240" behindDoc="0" locked="0" layoutInCell="1" allowOverlap="1" wp14:anchorId="179A3F0F" wp14:editId="1371D494">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9342370">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760F12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9545B0">
        <w:rPr>
          <w:rFonts w:asciiTheme="majorHAnsi" w:hAnsiTheme="majorHAnsi"/>
          <w:noProof/>
          <w:sz w:val="22"/>
          <w:szCs w:val="22"/>
          <w:lang w:val="es-ES" w:eastAsia="es-419"/>
        </w:rPr>
        <mc:AlternateContent>
          <mc:Choice Requires="wps">
            <w:drawing>
              <wp:anchor distT="0" distB="0" distL="114300" distR="114300" simplePos="0" relativeHeight="251658244" behindDoc="0" locked="0" layoutInCell="1" allowOverlap="1" wp14:anchorId="10F4F91A" wp14:editId="21050AED">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4F91A"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v:textbox>
              </v:shape>
            </w:pict>
          </mc:Fallback>
        </mc:AlternateContent>
      </w:r>
    </w:p>
    <w:p w14:paraId="47386BAF" w14:textId="77777777" w:rsidR="00040C3A" w:rsidRPr="009545B0" w:rsidRDefault="00040C3A" w:rsidP="00040C3A">
      <w:pPr>
        <w:tabs>
          <w:tab w:val="center" w:pos="5400"/>
        </w:tabs>
        <w:suppressAutoHyphens/>
        <w:jc w:val="both"/>
        <w:rPr>
          <w:rFonts w:asciiTheme="majorHAnsi" w:hAnsiTheme="majorHAnsi"/>
          <w:sz w:val="22"/>
          <w:szCs w:val="22"/>
          <w:lang w:val="es-ES"/>
        </w:rPr>
      </w:pPr>
    </w:p>
    <w:p w14:paraId="5A87E141" w14:textId="77777777" w:rsidR="00040C3A" w:rsidRPr="009545B0" w:rsidRDefault="00040C3A" w:rsidP="00040C3A">
      <w:pPr>
        <w:tabs>
          <w:tab w:val="center" w:pos="5400"/>
        </w:tabs>
        <w:suppressAutoHyphens/>
        <w:jc w:val="both"/>
        <w:rPr>
          <w:rFonts w:asciiTheme="majorHAnsi" w:hAnsiTheme="majorHAnsi"/>
          <w:sz w:val="22"/>
          <w:szCs w:val="22"/>
          <w:lang w:val="es-ES"/>
        </w:rPr>
      </w:pPr>
    </w:p>
    <w:p w14:paraId="29D95BCC" w14:textId="77777777" w:rsidR="005128E4" w:rsidRPr="009545B0" w:rsidRDefault="005128E4" w:rsidP="00040C3A">
      <w:pPr>
        <w:tabs>
          <w:tab w:val="center" w:pos="5400"/>
        </w:tabs>
        <w:suppressAutoHyphens/>
        <w:rPr>
          <w:rFonts w:asciiTheme="majorHAnsi" w:hAnsiTheme="majorHAnsi"/>
          <w:sz w:val="22"/>
          <w:szCs w:val="22"/>
          <w:lang w:val="es-ES"/>
        </w:rPr>
      </w:pPr>
    </w:p>
    <w:p w14:paraId="12A36B24" w14:textId="77777777" w:rsidR="005128E4" w:rsidRPr="009545B0" w:rsidRDefault="005128E4" w:rsidP="00040C3A">
      <w:pPr>
        <w:tabs>
          <w:tab w:val="center" w:pos="5400"/>
        </w:tabs>
        <w:suppressAutoHyphens/>
        <w:rPr>
          <w:rFonts w:asciiTheme="majorHAnsi" w:hAnsiTheme="majorHAnsi"/>
          <w:sz w:val="22"/>
          <w:szCs w:val="22"/>
          <w:lang w:val="es-ES"/>
        </w:rPr>
      </w:pPr>
    </w:p>
    <w:p w14:paraId="2252093D" w14:textId="77777777" w:rsidR="005128E4" w:rsidRPr="009545B0" w:rsidRDefault="005128E4" w:rsidP="00040C3A">
      <w:pPr>
        <w:tabs>
          <w:tab w:val="center" w:pos="5400"/>
        </w:tabs>
        <w:suppressAutoHyphens/>
        <w:rPr>
          <w:rFonts w:asciiTheme="majorHAnsi" w:hAnsiTheme="majorHAnsi"/>
          <w:sz w:val="22"/>
          <w:szCs w:val="22"/>
          <w:lang w:val="es-ES"/>
        </w:rPr>
      </w:pPr>
    </w:p>
    <w:p w14:paraId="403935BD" w14:textId="77777777" w:rsidR="00040C3A" w:rsidRPr="009545B0" w:rsidRDefault="00040C3A" w:rsidP="005128E4">
      <w:pPr>
        <w:tabs>
          <w:tab w:val="center" w:pos="5400"/>
        </w:tabs>
        <w:suppressAutoHyphens/>
        <w:jc w:val="center"/>
        <w:rPr>
          <w:rFonts w:asciiTheme="majorHAnsi" w:hAnsiTheme="majorHAnsi"/>
          <w:sz w:val="22"/>
          <w:szCs w:val="22"/>
          <w:lang w:val="es-ES"/>
        </w:rPr>
      </w:pPr>
    </w:p>
    <w:p w14:paraId="6DCF5F8F" w14:textId="77777777" w:rsidR="00040C3A" w:rsidRPr="009545B0" w:rsidRDefault="00040C3A" w:rsidP="005128E4">
      <w:pPr>
        <w:tabs>
          <w:tab w:val="center" w:pos="5400"/>
        </w:tabs>
        <w:suppressAutoHyphens/>
        <w:jc w:val="center"/>
        <w:rPr>
          <w:rFonts w:asciiTheme="majorHAnsi" w:hAnsiTheme="majorHAnsi"/>
          <w:sz w:val="22"/>
          <w:szCs w:val="22"/>
          <w:lang w:val="es-ES"/>
        </w:rPr>
      </w:pPr>
    </w:p>
    <w:p w14:paraId="4791F13A" w14:textId="77777777" w:rsidR="005B52B0" w:rsidRPr="009545B0" w:rsidRDefault="005B52B0" w:rsidP="005128E4">
      <w:pPr>
        <w:tabs>
          <w:tab w:val="center" w:pos="5400"/>
        </w:tabs>
        <w:suppressAutoHyphens/>
        <w:jc w:val="center"/>
        <w:rPr>
          <w:rFonts w:asciiTheme="majorHAnsi" w:hAnsiTheme="majorHAnsi"/>
          <w:sz w:val="22"/>
          <w:szCs w:val="22"/>
          <w:lang w:val="es-ES"/>
        </w:rPr>
      </w:pPr>
    </w:p>
    <w:p w14:paraId="44E016B6" w14:textId="77777777" w:rsidR="005B52B0" w:rsidRPr="009545B0" w:rsidRDefault="005B52B0" w:rsidP="005128E4">
      <w:pPr>
        <w:tabs>
          <w:tab w:val="center" w:pos="5400"/>
        </w:tabs>
        <w:suppressAutoHyphens/>
        <w:jc w:val="center"/>
        <w:rPr>
          <w:rFonts w:asciiTheme="majorHAnsi" w:hAnsiTheme="majorHAnsi"/>
          <w:sz w:val="22"/>
          <w:szCs w:val="22"/>
          <w:lang w:val="es-ES"/>
        </w:rPr>
      </w:pPr>
    </w:p>
    <w:p w14:paraId="63D41962" w14:textId="77777777" w:rsidR="005B52B0" w:rsidRPr="009545B0" w:rsidRDefault="005B52B0" w:rsidP="005128E4">
      <w:pPr>
        <w:tabs>
          <w:tab w:val="center" w:pos="5400"/>
        </w:tabs>
        <w:suppressAutoHyphens/>
        <w:jc w:val="center"/>
        <w:rPr>
          <w:rFonts w:asciiTheme="majorHAnsi" w:hAnsiTheme="majorHAnsi"/>
          <w:sz w:val="22"/>
          <w:szCs w:val="22"/>
          <w:lang w:val="es-ES"/>
        </w:rPr>
      </w:pPr>
    </w:p>
    <w:p w14:paraId="5ADEB990" w14:textId="77777777" w:rsidR="00040C3A" w:rsidRPr="009545B0" w:rsidRDefault="00040C3A" w:rsidP="00040C3A">
      <w:pPr>
        <w:tabs>
          <w:tab w:val="center" w:pos="5400"/>
        </w:tabs>
        <w:suppressAutoHyphens/>
        <w:jc w:val="center"/>
        <w:rPr>
          <w:rFonts w:asciiTheme="majorHAnsi" w:hAnsiTheme="majorHAnsi"/>
          <w:sz w:val="22"/>
          <w:szCs w:val="22"/>
          <w:lang w:val="es-ES"/>
        </w:rPr>
      </w:pPr>
    </w:p>
    <w:p w14:paraId="2D81B7E8" w14:textId="77777777" w:rsidR="00040C3A" w:rsidRPr="009545B0" w:rsidRDefault="00040C3A" w:rsidP="00040C3A">
      <w:pPr>
        <w:tabs>
          <w:tab w:val="center" w:pos="5400"/>
        </w:tabs>
        <w:suppressAutoHyphens/>
        <w:jc w:val="center"/>
        <w:rPr>
          <w:rFonts w:asciiTheme="majorHAnsi" w:hAnsiTheme="majorHAnsi"/>
          <w:sz w:val="22"/>
          <w:szCs w:val="22"/>
          <w:lang w:val="es-ES"/>
        </w:rPr>
      </w:pPr>
    </w:p>
    <w:p w14:paraId="64791D04" w14:textId="77777777" w:rsidR="00040C3A" w:rsidRPr="009545B0" w:rsidRDefault="003D3BC2" w:rsidP="00040C3A">
      <w:pPr>
        <w:tabs>
          <w:tab w:val="center" w:pos="5400"/>
        </w:tabs>
        <w:suppressAutoHyphens/>
        <w:jc w:val="center"/>
        <w:rPr>
          <w:rFonts w:asciiTheme="majorHAnsi" w:hAnsiTheme="majorHAnsi"/>
          <w:sz w:val="22"/>
          <w:szCs w:val="22"/>
          <w:lang w:val="es-ES"/>
        </w:rPr>
      </w:pPr>
      <w:r w:rsidRPr="009545B0">
        <w:rPr>
          <w:rFonts w:asciiTheme="majorHAnsi" w:hAnsiTheme="majorHAnsi"/>
          <w:noProof/>
          <w:sz w:val="22"/>
          <w:szCs w:val="22"/>
          <w:lang w:val="es-ES" w:eastAsia="es-419"/>
        </w:rPr>
        <mc:AlternateContent>
          <mc:Choice Requires="wps">
            <w:drawing>
              <wp:anchor distT="0" distB="0" distL="114300" distR="114300" simplePos="0" relativeHeight="251658241" behindDoc="0" locked="0" layoutInCell="1" allowOverlap="1" wp14:anchorId="5980ED94" wp14:editId="42272B8B">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FE29C" w14:textId="22BA56CA"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B6011E">
                              <w:rPr>
                                <w:rFonts w:asciiTheme="majorHAnsi" w:hAnsiTheme="majorHAnsi" w:cs="Arial"/>
                                <w:b/>
                                <w:bCs/>
                                <w:color w:val="0D0D0D" w:themeColor="text1" w:themeTint="F2"/>
                                <w:sz w:val="36"/>
                                <w:szCs w:val="22"/>
                                <w:lang w:val="es-ES_tradnl"/>
                              </w:rPr>
                              <w:t>306</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68779114"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PETICIÓN</w:t>
                            </w:r>
                            <w:r w:rsidR="0090405C">
                              <w:rPr>
                                <w:rFonts w:asciiTheme="majorHAnsi" w:hAnsiTheme="majorHAnsi" w:cs="Arial"/>
                                <w:b/>
                                <w:color w:val="0D0D0D" w:themeColor="text1" w:themeTint="F2"/>
                                <w:sz w:val="36"/>
                                <w:szCs w:val="22"/>
                                <w:lang w:val="es-ES_tradnl"/>
                              </w:rPr>
                              <w:t xml:space="preserve"> 878-16</w:t>
                            </w:r>
                          </w:p>
                          <w:p w14:paraId="70CF6833" w14:textId="16B4A3A9"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w:t>
                            </w:r>
                            <w:r w:rsidR="0072199C" w:rsidRPr="0010736F">
                              <w:rPr>
                                <w:rFonts w:asciiTheme="majorHAnsi" w:hAnsiTheme="majorHAnsi" w:cs="Arial"/>
                                <w:color w:val="0D0D0D" w:themeColor="text1" w:themeTint="F2"/>
                                <w:szCs w:val="22"/>
                                <w:lang w:val="es-ES_tradnl"/>
                              </w:rPr>
                              <w:t xml:space="preserve"> </w:t>
                            </w:r>
                            <w:r w:rsidRPr="0010736F">
                              <w:rPr>
                                <w:rFonts w:asciiTheme="majorHAnsi" w:hAnsiTheme="majorHAnsi" w:cs="Arial"/>
                                <w:color w:val="0D0D0D" w:themeColor="text1" w:themeTint="F2"/>
                                <w:szCs w:val="22"/>
                                <w:lang w:val="es-ES_tradnl"/>
                              </w:rPr>
                              <w:t>INADMISIBILIDAD</w:t>
                            </w:r>
                            <w:r w:rsidR="008F1912"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01E3C4E2" w14:textId="69CE5292" w:rsidR="00EB197F" w:rsidRPr="0090405C" w:rsidRDefault="0090405C" w:rsidP="00997BC5">
                            <w:pPr>
                              <w:spacing w:line="276" w:lineRule="auto"/>
                              <w:rPr>
                                <w:rFonts w:asciiTheme="majorHAnsi" w:hAnsiTheme="majorHAnsi" w:cs="Arial"/>
                                <w:color w:val="0D0D0D" w:themeColor="text1" w:themeTint="F2"/>
                                <w:szCs w:val="22"/>
                                <w:lang w:val="es-ES_tradnl"/>
                              </w:rPr>
                            </w:pPr>
                            <w:r w:rsidRPr="0090405C">
                              <w:rPr>
                                <w:rFonts w:asciiTheme="majorHAnsi" w:hAnsiTheme="majorHAnsi" w:cs="Arial"/>
                                <w:color w:val="0D0D0D" w:themeColor="text1" w:themeTint="F2"/>
                                <w:szCs w:val="22"/>
                                <w:lang w:val="es-ES_tradnl"/>
                              </w:rPr>
                              <w:t>RAFAEL GARCÍA ELIZONDO</w:t>
                            </w:r>
                          </w:p>
                          <w:p w14:paraId="575DFD52" w14:textId="49BBC875" w:rsidR="005B52B0" w:rsidRPr="00EB197F" w:rsidRDefault="0090405C" w:rsidP="007A5817">
                            <w:pPr>
                              <w:rPr>
                                <w:color w:val="0D0D0D" w:themeColor="text1" w:themeTint="F2"/>
                                <w:lang w:val="es-PE"/>
                              </w:rPr>
                            </w:pPr>
                            <w:r>
                              <w:rPr>
                                <w:rFonts w:asciiTheme="majorHAnsi" w:hAnsiTheme="majorHAnsi" w:cs="Arial"/>
                                <w:color w:val="0D0D0D" w:themeColor="text1" w:themeTint="F2"/>
                                <w:szCs w:val="22"/>
                                <w:lang w:val="es-PE"/>
                              </w:rPr>
                              <w:t>COSTA 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0ED94"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4D9FE29C" w14:textId="22BA56CA"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B6011E">
                        <w:rPr>
                          <w:rFonts w:asciiTheme="majorHAnsi" w:hAnsiTheme="majorHAnsi" w:cs="Arial"/>
                          <w:b/>
                          <w:bCs/>
                          <w:color w:val="0D0D0D" w:themeColor="text1" w:themeTint="F2"/>
                          <w:sz w:val="36"/>
                          <w:szCs w:val="22"/>
                          <w:lang w:val="es-ES_tradnl"/>
                        </w:rPr>
                        <w:t>306</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68779114"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PETICIÓN</w:t>
                      </w:r>
                      <w:r w:rsidR="0090405C">
                        <w:rPr>
                          <w:rFonts w:asciiTheme="majorHAnsi" w:hAnsiTheme="majorHAnsi" w:cs="Arial"/>
                          <w:b/>
                          <w:color w:val="0D0D0D" w:themeColor="text1" w:themeTint="F2"/>
                          <w:sz w:val="36"/>
                          <w:szCs w:val="22"/>
                          <w:lang w:val="es-ES_tradnl"/>
                        </w:rPr>
                        <w:t xml:space="preserve"> 878-16</w:t>
                      </w:r>
                    </w:p>
                    <w:p w14:paraId="70CF6833" w14:textId="16B4A3A9"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w:t>
                      </w:r>
                      <w:r w:rsidR="0072199C" w:rsidRPr="0010736F">
                        <w:rPr>
                          <w:rFonts w:asciiTheme="majorHAnsi" w:hAnsiTheme="majorHAnsi" w:cs="Arial"/>
                          <w:color w:val="0D0D0D" w:themeColor="text1" w:themeTint="F2"/>
                          <w:szCs w:val="22"/>
                          <w:lang w:val="es-ES_tradnl"/>
                        </w:rPr>
                        <w:t xml:space="preserve"> </w:t>
                      </w:r>
                      <w:r w:rsidRPr="0010736F">
                        <w:rPr>
                          <w:rFonts w:asciiTheme="majorHAnsi" w:hAnsiTheme="majorHAnsi" w:cs="Arial"/>
                          <w:color w:val="0D0D0D" w:themeColor="text1" w:themeTint="F2"/>
                          <w:szCs w:val="22"/>
                          <w:lang w:val="es-ES_tradnl"/>
                        </w:rPr>
                        <w:t>INADMISIBILIDAD</w:t>
                      </w:r>
                      <w:r w:rsidR="008F1912"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01E3C4E2" w14:textId="69CE5292" w:rsidR="00EB197F" w:rsidRPr="0090405C" w:rsidRDefault="0090405C" w:rsidP="00997BC5">
                      <w:pPr>
                        <w:spacing w:line="276" w:lineRule="auto"/>
                        <w:rPr>
                          <w:rFonts w:asciiTheme="majorHAnsi" w:hAnsiTheme="majorHAnsi" w:cs="Arial"/>
                          <w:color w:val="0D0D0D" w:themeColor="text1" w:themeTint="F2"/>
                          <w:szCs w:val="22"/>
                          <w:lang w:val="es-ES_tradnl"/>
                        </w:rPr>
                      </w:pPr>
                      <w:r w:rsidRPr="0090405C">
                        <w:rPr>
                          <w:rFonts w:asciiTheme="majorHAnsi" w:hAnsiTheme="majorHAnsi" w:cs="Arial"/>
                          <w:color w:val="0D0D0D" w:themeColor="text1" w:themeTint="F2"/>
                          <w:szCs w:val="22"/>
                          <w:lang w:val="es-ES_tradnl"/>
                        </w:rPr>
                        <w:t>RAFAEL GARCÍA ELIZONDO</w:t>
                      </w:r>
                    </w:p>
                    <w:p w14:paraId="575DFD52" w14:textId="49BBC875" w:rsidR="005B52B0" w:rsidRPr="00EB197F" w:rsidRDefault="0090405C" w:rsidP="007A5817">
                      <w:pPr>
                        <w:rPr>
                          <w:color w:val="0D0D0D" w:themeColor="text1" w:themeTint="F2"/>
                          <w:lang w:val="es-PE"/>
                        </w:rPr>
                      </w:pPr>
                      <w:r>
                        <w:rPr>
                          <w:rFonts w:asciiTheme="majorHAnsi" w:hAnsiTheme="majorHAnsi" w:cs="Arial"/>
                          <w:color w:val="0D0D0D" w:themeColor="text1" w:themeTint="F2"/>
                          <w:szCs w:val="22"/>
                          <w:lang w:val="es-PE"/>
                        </w:rPr>
                        <w:t>COSTA RICA</w:t>
                      </w:r>
                    </w:p>
                  </w:txbxContent>
                </v:textbox>
              </v:shape>
            </w:pict>
          </mc:Fallback>
        </mc:AlternateContent>
      </w:r>
      <w:r w:rsidR="004E2649" w:rsidRPr="009545B0">
        <w:rPr>
          <w:rFonts w:asciiTheme="majorHAnsi" w:hAnsiTheme="majorHAnsi"/>
          <w:noProof/>
          <w:sz w:val="22"/>
          <w:szCs w:val="22"/>
          <w:lang w:val="es-ES" w:eastAsia="es-419"/>
        </w:rPr>
        <mc:AlternateContent>
          <mc:Choice Requires="wps">
            <w:drawing>
              <wp:anchor distT="0" distB="0" distL="114300" distR="114300" simplePos="0" relativeHeight="251658243" behindDoc="0" locked="0" layoutInCell="1" allowOverlap="1" wp14:anchorId="73BE5919" wp14:editId="686CF99C">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0BAF6" w14:textId="765876D4" w:rsidR="00627C9F" w:rsidRPr="009E2047" w:rsidRDefault="00834D49" w:rsidP="007A5817">
                            <w:pPr>
                              <w:spacing w:line="276" w:lineRule="auto"/>
                              <w:jc w:val="right"/>
                              <w:rPr>
                                <w:rFonts w:asciiTheme="minorHAnsi" w:hAnsiTheme="minorHAnsi"/>
                                <w:color w:val="FFFFFF" w:themeColor="background1"/>
                                <w:sz w:val="22"/>
                                <w:lang w:val="es-ES"/>
                              </w:rPr>
                            </w:pPr>
                            <w:r w:rsidRPr="009E2047">
                              <w:rPr>
                                <w:rFonts w:asciiTheme="minorHAnsi" w:hAnsiTheme="minorHAnsi"/>
                                <w:color w:val="FFFFFF" w:themeColor="background1"/>
                                <w:sz w:val="22"/>
                                <w:lang w:val="es-ES"/>
                              </w:rPr>
                              <w:t>OEA/Ser.L/V/II</w:t>
                            </w:r>
                          </w:p>
                          <w:p w14:paraId="6A41611B" w14:textId="246E2611" w:rsidR="00627C9F" w:rsidRPr="009E2047" w:rsidRDefault="00627C9F" w:rsidP="007A5817">
                            <w:pPr>
                              <w:spacing w:line="276" w:lineRule="auto"/>
                              <w:jc w:val="right"/>
                              <w:rPr>
                                <w:rFonts w:asciiTheme="minorHAnsi" w:hAnsiTheme="minorHAnsi"/>
                                <w:color w:val="FFFFFF" w:themeColor="background1"/>
                                <w:sz w:val="22"/>
                                <w:lang w:val="es-ES"/>
                              </w:rPr>
                            </w:pPr>
                            <w:r w:rsidRPr="009E2047">
                              <w:rPr>
                                <w:rFonts w:asciiTheme="minorHAnsi" w:hAnsiTheme="minorHAnsi"/>
                                <w:color w:val="FFFFFF" w:themeColor="background1"/>
                                <w:sz w:val="22"/>
                                <w:lang w:val="es-ES"/>
                              </w:rPr>
                              <w:t xml:space="preserve">Doc. </w:t>
                            </w:r>
                            <w:r w:rsidR="00B6011E" w:rsidRPr="009E2047">
                              <w:rPr>
                                <w:rFonts w:asciiTheme="minorHAnsi" w:hAnsiTheme="minorHAnsi"/>
                                <w:color w:val="FFFFFF" w:themeColor="background1"/>
                                <w:sz w:val="22"/>
                                <w:lang w:val="es-ES"/>
                              </w:rPr>
                              <w:t>321</w:t>
                            </w:r>
                          </w:p>
                          <w:p w14:paraId="69373ED2" w14:textId="3EBD6FFD" w:rsidR="00627C9F" w:rsidRPr="00C25ADB" w:rsidRDefault="00B6011E"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27 diciembre</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5919"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6CF0BAF6" w14:textId="765876D4" w:rsidR="00627C9F" w:rsidRPr="009E2047" w:rsidRDefault="00834D49" w:rsidP="007A5817">
                      <w:pPr>
                        <w:spacing w:line="276" w:lineRule="auto"/>
                        <w:jc w:val="right"/>
                        <w:rPr>
                          <w:rFonts w:asciiTheme="minorHAnsi" w:hAnsiTheme="minorHAnsi"/>
                          <w:color w:val="FFFFFF" w:themeColor="background1"/>
                          <w:sz w:val="22"/>
                          <w:lang w:val="es-ES"/>
                        </w:rPr>
                      </w:pPr>
                      <w:r w:rsidRPr="009E2047">
                        <w:rPr>
                          <w:rFonts w:asciiTheme="minorHAnsi" w:hAnsiTheme="minorHAnsi"/>
                          <w:color w:val="FFFFFF" w:themeColor="background1"/>
                          <w:sz w:val="22"/>
                          <w:lang w:val="es-ES"/>
                        </w:rPr>
                        <w:t>OEA/Ser.L/V/II</w:t>
                      </w:r>
                    </w:p>
                    <w:p w14:paraId="6A41611B" w14:textId="246E2611" w:rsidR="00627C9F" w:rsidRPr="009E2047" w:rsidRDefault="00627C9F" w:rsidP="007A5817">
                      <w:pPr>
                        <w:spacing w:line="276" w:lineRule="auto"/>
                        <w:jc w:val="right"/>
                        <w:rPr>
                          <w:rFonts w:asciiTheme="minorHAnsi" w:hAnsiTheme="minorHAnsi"/>
                          <w:color w:val="FFFFFF" w:themeColor="background1"/>
                          <w:sz w:val="22"/>
                          <w:lang w:val="es-ES"/>
                        </w:rPr>
                      </w:pPr>
                      <w:r w:rsidRPr="009E2047">
                        <w:rPr>
                          <w:rFonts w:asciiTheme="minorHAnsi" w:hAnsiTheme="minorHAnsi"/>
                          <w:color w:val="FFFFFF" w:themeColor="background1"/>
                          <w:sz w:val="22"/>
                          <w:lang w:val="es-ES"/>
                        </w:rPr>
                        <w:t xml:space="preserve">Doc. </w:t>
                      </w:r>
                      <w:r w:rsidR="00B6011E" w:rsidRPr="009E2047">
                        <w:rPr>
                          <w:rFonts w:asciiTheme="minorHAnsi" w:hAnsiTheme="minorHAnsi"/>
                          <w:color w:val="FFFFFF" w:themeColor="background1"/>
                          <w:sz w:val="22"/>
                          <w:lang w:val="es-ES"/>
                        </w:rPr>
                        <w:t>321</w:t>
                      </w:r>
                    </w:p>
                    <w:p w14:paraId="69373ED2" w14:textId="3EBD6FFD" w:rsidR="00627C9F" w:rsidRPr="00C25ADB" w:rsidRDefault="00B6011E"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27 diciembre</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155B0536" w14:textId="77777777" w:rsidR="00040C3A" w:rsidRPr="009545B0" w:rsidRDefault="00040C3A" w:rsidP="00040C3A">
      <w:pPr>
        <w:tabs>
          <w:tab w:val="center" w:pos="5400"/>
        </w:tabs>
        <w:suppressAutoHyphens/>
        <w:jc w:val="center"/>
        <w:rPr>
          <w:rFonts w:asciiTheme="majorHAnsi" w:hAnsiTheme="majorHAnsi"/>
          <w:sz w:val="22"/>
          <w:szCs w:val="22"/>
          <w:lang w:val="es-ES"/>
        </w:rPr>
      </w:pPr>
    </w:p>
    <w:p w14:paraId="5FE3AB87" w14:textId="77777777" w:rsidR="00040C3A" w:rsidRPr="009545B0" w:rsidRDefault="00040C3A" w:rsidP="00040C3A">
      <w:pPr>
        <w:tabs>
          <w:tab w:val="center" w:pos="5400"/>
        </w:tabs>
        <w:suppressAutoHyphens/>
        <w:jc w:val="center"/>
        <w:rPr>
          <w:rFonts w:asciiTheme="majorHAnsi" w:hAnsiTheme="majorHAnsi"/>
          <w:sz w:val="22"/>
          <w:szCs w:val="22"/>
          <w:lang w:val="es-ES"/>
        </w:rPr>
      </w:pPr>
    </w:p>
    <w:p w14:paraId="3C383BC0" w14:textId="77777777" w:rsidR="00040C3A" w:rsidRPr="009545B0" w:rsidRDefault="00040C3A" w:rsidP="00040C3A">
      <w:pPr>
        <w:tabs>
          <w:tab w:val="center" w:pos="5400"/>
        </w:tabs>
        <w:suppressAutoHyphens/>
        <w:jc w:val="center"/>
        <w:rPr>
          <w:rFonts w:asciiTheme="majorHAnsi" w:hAnsiTheme="majorHAnsi" w:cs="Arial"/>
          <w:sz w:val="22"/>
          <w:szCs w:val="22"/>
          <w:lang w:val="es-ES"/>
        </w:rPr>
      </w:pPr>
    </w:p>
    <w:p w14:paraId="54590931" w14:textId="77777777" w:rsidR="00040C3A" w:rsidRPr="009545B0" w:rsidRDefault="00040C3A" w:rsidP="00040C3A">
      <w:pPr>
        <w:tabs>
          <w:tab w:val="center" w:pos="5400"/>
        </w:tabs>
        <w:suppressAutoHyphens/>
        <w:jc w:val="center"/>
        <w:rPr>
          <w:rFonts w:asciiTheme="majorHAnsi" w:hAnsiTheme="majorHAnsi"/>
          <w:sz w:val="22"/>
          <w:szCs w:val="22"/>
          <w:lang w:val="es-ES"/>
        </w:rPr>
      </w:pPr>
    </w:p>
    <w:p w14:paraId="76C291D6" w14:textId="77777777" w:rsidR="00040C3A" w:rsidRPr="009545B0" w:rsidRDefault="00040C3A" w:rsidP="00040C3A">
      <w:pPr>
        <w:tabs>
          <w:tab w:val="center" w:pos="5400"/>
        </w:tabs>
        <w:suppressAutoHyphens/>
        <w:jc w:val="center"/>
        <w:rPr>
          <w:rFonts w:asciiTheme="majorHAnsi" w:hAnsiTheme="majorHAnsi"/>
          <w:sz w:val="22"/>
          <w:szCs w:val="22"/>
          <w:lang w:val="es-ES"/>
        </w:rPr>
      </w:pPr>
    </w:p>
    <w:p w14:paraId="2161B44F" w14:textId="77777777" w:rsidR="00040C3A" w:rsidRPr="009545B0" w:rsidRDefault="00040C3A" w:rsidP="00040C3A">
      <w:pPr>
        <w:tabs>
          <w:tab w:val="center" w:pos="5400"/>
        </w:tabs>
        <w:suppressAutoHyphens/>
        <w:jc w:val="center"/>
        <w:rPr>
          <w:rFonts w:asciiTheme="majorHAnsi" w:hAnsiTheme="majorHAnsi"/>
          <w:sz w:val="22"/>
          <w:szCs w:val="22"/>
          <w:lang w:val="es-ES"/>
        </w:rPr>
      </w:pPr>
    </w:p>
    <w:p w14:paraId="3C4EEE07" w14:textId="77777777" w:rsidR="00040C3A" w:rsidRPr="009545B0" w:rsidRDefault="00040C3A" w:rsidP="00040C3A">
      <w:pPr>
        <w:tabs>
          <w:tab w:val="center" w:pos="5400"/>
        </w:tabs>
        <w:suppressAutoHyphens/>
        <w:jc w:val="center"/>
        <w:rPr>
          <w:rFonts w:asciiTheme="majorHAnsi" w:hAnsiTheme="majorHAnsi"/>
          <w:sz w:val="22"/>
          <w:szCs w:val="22"/>
          <w:lang w:val="es-ES"/>
        </w:rPr>
      </w:pPr>
    </w:p>
    <w:p w14:paraId="3B0E4647" w14:textId="77777777" w:rsidR="005128E4" w:rsidRPr="009545B0" w:rsidRDefault="005128E4" w:rsidP="00040C3A">
      <w:pPr>
        <w:tabs>
          <w:tab w:val="center" w:pos="5400"/>
        </w:tabs>
        <w:suppressAutoHyphens/>
        <w:jc w:val="center"/>
        <w:rPr>
          <w:rFonts w:asciiTheme="majorHAnsi" w:hAnsiTheme="majorHAnsi"/>
          <w:sz w:val="22"/>
          <w:szCs w:val="22"/>
          <w:lang w:val="es-ES"/>
        </w:rPr>
      </w:pPr>
    </w:p>
    <w:p w14:paraId="2DAAF36D" w14:textId="77777777" w:rsidR="00040C3A" w:rsidRPr="009545B0" w:rsidRDefault="00040C3A" w:rsidP="00040C3A">
      <w:pPr>
        <w:tabs>
          <w:tab w:val="center" w:pos="5400"/>
        </w:tabs>
        <w:suppressAutoHyphens/>
        <w:jc w:val="center"/>
        <w:rPr>
          <w:rFonts w:asciiTheme="majorHAnsi" w:hAnsiTheme="majorHAnsi"/>
          <w:sz w:val="22"/>
          <w:szCs w:val="22"/>
          <w:lang w:val="es-ES"/>
        </w:rPr>
      </w:pPr>
    </w:p>
    <w:p w14:paraId="12496A14" w14:textId="77777777" w:rsidR="005128E4" w:rsidRPr="009545B0" w:rsidRDefault="005128E4" w:rsidP="00040C3A">
      <w:pPr>
        <w:tabs>
          <w:tab w:val="center" w:pos="5400"/>
        </w:tabs>
        <w:suppressAutoHyphens/>
        <w:jc w:val="center"/>
        <w:rPr>
          <w:rFonts w:asciiTheme="majorHAnsi" w:hAnsiTheme="majorHAnsi"/>
          <w:sz w:val="22"/>
          <w:szCs w:val="22"/>
          <w:lang w:val="es-ES"/>
        </w:rPr>
      </w:pPr>
    </w:p>
    <w:p w14:paraId="25772DB3" w14:textId="77777777" w:rsidR="005128E4" w:rsidRPr="009545B0" w:rsidRDefault="005128E4" w:rsidP="00040C3A">
      <w:pPr>
        <w:tabs>
          <w:tab w:val="center" w:pos="5400"/>
        </w:tabs>
        <w:suppressAutoHyphens/>
        <w:jc w:val="center"/>
        <w:rPr>
          <w:rFonts w:asciiTheme="majorHAnsi" w:hAnsiTheme="majorHAnsi"/>
          <w:sz w:val="22"/>
          <w:szCs w:val="22"/>
          <w:lang w:val="es-ES"/>
        </w:rPr>
      </w:pPr>
    </w:p>
    <w:p w14:paraId="6820FADA" w14:textId="77777777" w:rsidR="005128E4" w:rsidRPr="009545B0" w:rsidRDefault="005128E4" w:rsidP="00040C3A">
      <w:pPr>
        <w:tabs>
          <w:tab w:val="center" w:pos="5400"/>
        </w:tabs>
        <w:suppressAutoHyphens/>
        <w:jc w:val="center"/>
        <w:rPr>
          <w:rFonts w:asciiTheme="majorHAnsi" w:hAnsiTheme="majorHAnsi"/>
          <w:sz w:val="22"/>
          <w:szCs w:val="22"/>
          <w:lang w:val="es-ES"/>
        </w:rPr>
      </w:pPr>
    </w:p>
    <w:p w14:paraId="54445A55" w14:textId="77777777" w:rsidR="00040C3A" w:rsidRPr="009545B0" w:rsidRDefault="00040C3A" w:rsidP="00040C3A">
      <w:pPr>
        <w:tabs>
          <w:tab w:val="center" w:pos="5400"/>
        </w:tabs>
        <w:suppressAutoHyphens/>
        <w:jc w:val="center"/>
        <w:rPr>
          <w:rFonts w:asciiTheme="majorHAnsi" w:hAnsiTheme="majorHAnsi"/>
          <w:sz w:val="22"/>
          <w:szCs w:val="22"/>
          <w:lang w:val="es-ES"/>
        </w:rPr>
      </w:pPr>
    </w:p>
    <w:p w14:paraId="5D4A4040" w14:textId="77777777" w:rsidR="00040C3A" w:rsidRPr="009545B0" w:rsidRDefault="00040C3A" w:rsidP="00040C3A">
      <w:pPr>
        <w:tabs>
          <w:tab w:val="center" w:pos="5400"/>
        </w:tabs>
        <w:suppressAutoHyphens/>
        <w:jc w:val="center"/>
        <w:rPr>
          <w:rFonts w:asciiTheme="majorHAnsi" w:hAnsiTheme="majorHAnsi"/>
          <w:sz w:val="22"/>
          <w:szCs w:val="22"/>
          <w:lang w:val="es-ES"/>
        </w:rPr>
      </w:pPr>
    </w:p>
    <w:p w14:paraId="048FBB22" w14:textId="77777777" w:rsidR="00A50FCF" w:rsidRPr="009545B0" w:rsidRDefault="00A50FCF" w:rsidP="00040C3A">
      <w:pPr>
        <w:tabs>
          <w:tab w:val="center" w:pos="5400"/>
        </w:tabs>
        <w:suppressAutoHyphens/>
        <w:jc w:val="center"/>
        <w:rPr>
          <w:rFonts w:asciiTheme="majorHAnsi" w:hAnsiTheme="majorHAnsi"/>
          <w:sz w:val="18"/>
          <w:szCs w:val="22"/>
          <w:lang w:val="es-ES"/>
        </w:rPr>
      </w:pPr>
    </w:p>
    <w:p w14:paraId="190ABFB3" w14:textId="77777777" w:rsidR="00A50FCF" w:rsidRPr="009545B0" w:rsidRDefault="00A50FCF" w:rsidP="00040C3A">
      <w:pPr>
        <w:tabs>
          <w:tab w:val="center" w:pos="5400"/>
        </w:tabs>
        <w:suppressAutoHyphens/>
        <w:jc w:val="center"/>
        <w:rPr>
          <w:rFonts w:asciiTheme="majorHAnsi" w:hAnsiTheme="majorHAnsi"/>
          <w:sz w:val="18"/>
          <w:szCs w:val="22"/>
          <w:lang w:val="es-ES"/>
        </w:rPr>
      </w:pPr>
    </w:p>
    <w:p w14:paraId="4C690048" w14:textId="77777777" w:rsidR="00A50FCF" w:rsidRPr="009545B0" w:rsidRDefault="00A50FCF" w:rsidP="00040C3A">
      <w:pPr>
        <w:tabs>
          <w:tab w:val="center" w:pos="5400"/>
        </w:tabs>
        <w:suppressAutoHyphens/>
        <w:jc w:val="center"/>
        <w:rPr>
          <w:rFonts w:asciiTheme="majorHAnsi" w:hAnsiTheme="majorHAnsi"/>
          <w:sz w:val="18"/>
          <w:szCs w:val="22"/>
          <w:lang w:val="es-ES"/>
        </w:rPr>
      </w:pPr>
    </w:p>
    <w:p w14:paraId="733CA438" w14:textId="77777777" w:rsidR="00A50FCF" w:rsidRPr="009545B0" w:rsidRDefault="00A50FCF" w:rsidP="00040C3A">
      <w:pPr>
        <w:tabs>
          <w:tab w:val="center" w:pos="5400"/>
        </w:tabs>
        <w:suppressAutoHyphens/>
        <w:jc w:val="center"/>
        <w:rPr>
          <w:rFonts w:asciiTheme="majorHAnsi" w:hAnsiTheme="majorHAnsi"/>
          <w:sz w:val="18"/>
          <w:szCs w:val="22"/>
          <w:lang w:val="es-ES"/>
        </w:rPr>
      </w:pPr>
    </w:p>
    <w:p w14:paraId="7874DEEB" w14:textId="77777777" w:rsidR="00A50FCF" w:rsidRPr="009545B0" w:rsidRDefault="00A50FCF" w:rsidP="00040C3A">
      <w:pPr>
        <w:tabs>
          <w:tab w:val="center" w:pos="5400"/>
        </w:tabs>
        <w:suppressAutoHyphens/>
        <w:jc w:val="center"/>
        <w:rPr>
          <w:rFonts w:asciiTheme="majorHAnsi" w:hAnsiTheme="majorHAnsi"/>
          <w:sz w:val="18"/>
          <w:szCs w:val="22"/>
          <w:lang w:val="es-ES"/>
        </w:rPr>
      </w:pPr>
    </w:p>
    <w:p w14:paraId="3698D0D6" w14:textId="77777777" w:rsidR="00A50FCF" w:rsidRPr="009545B0" w:rsidRDefault="00A50FCF" w:rsidP="00040C3A">
      <w:pPr>
        <w:tabs>
          <w:tab w:val="center" w:pos="5400"/>
        </w:tabs>
        <w:suppressAutoHyphens/>
        <w:jc w:val="center"/>
        <w:rPr>
          <w:rFonts w:asciiTheme="majorHAnsi" w:hAnsiTheme="majorHAnsi"/>
          <w:sz w:val="18"/>
          <w:szCs w:val="22"/>
          <w:lang w:val="es-ES"/>
        </w:rPr>
      </w:pPr>
    </w:p>
    <w:p w14:paraId="1F907823" w14:textId="77777777" w:rsidR="00A50FCF" w:rsidRPr="009545B0" w:rsidRDefault="00A50FCF" w:rsidP="00040C3A">
      <w:pPr>
        <w:tabs>
          <w:tab w:val="center" w:pos="5400"/>
        </w:tabs>
        <w:suppressAutoHyphens/>
        <w:jc w:val="center"/>
        <w:rPr>
          <w:rFonts w:asciiTheme="majorHAnsi" w:hAnsiTheme="majorHAnsi"/>
          <w:sz w:val="18"/>
          <w:szCs w:val="22"/>
          <w:lang w:val="es-ES"/>
        </w:rPr>
      </w:pPr>
    </w:p>
    <w:p w14:paraId="045D9AC1" w14:textId="77777777" w:rsidR="00A50FCF" w:rsidRPr="009545B0" w:rsidRDefault="00A50FCF" w:rsidP="00040C3A">
      <w:pPr>
        <w:tabs>
          <w:tab w:val="center" w:pos="5400"/>
        </w:tabs>
        <w:suppressAutoHyphens/>
        <w:jc w:val="center"/>
        <w:rPr>
          <w:rFonts w:asciiTheme="majorHAnsi" w:hAnsiTheme="majorHAnsi"/>
          <w:sz w:val="18"/>
          <w:szCs w:val="22"/>
          <w:lang w:val="es-ES"/>
        </w:rPr>
      </w:pPr>
    </w:p>
    <w:p w14:paraId="16068EE5" w14:textId="77777777" w:rsidR="00A50FCF" w:rsidRPr="009545B0" w:rsidRDefault="00A50FCF" w:rsidP="00040C3A">
      <w:pPr>
        <w:tabs>
          <w:tab w:val="center" w:pos="5400"/>
        </w:tabs>
        <w:suppressAutoHyphens/>
        <w:jc w:val="center"/>
        <w:rPr>
          <w:rFonts w:asciiTheme="majorHAnsi" w:hAnsiTheme="majorHAnsi"/>
          <w:sz w:val="18"/>
          <w:szCs w:val="22"/>
          <w:lang w:val="es-ES"/>
        </w:rPr>
      </w:pPr>
    </w:p>
    <w:p w14:paraId="14A4A430" w14:textId="77777777" w:rsidR="00A50FCF" w:rsidRPr="009545B0" w:rsidRDefault="00A50FCF" w:rsidP="00040C3A">
      <w:pPr>
        <w:tabs>
          <w:tab w:val="center" w:pos="5400"/>
        </w:tabs>
        <w:suppressAutoHyphens/>
        <w:jc w:val="center"/>
        <w:rPr>
          <w:rFonts w:asciiTheme="majorHAnsi" w:hAnsiTheme="majorHAnsi"/>
          <w:sz w:val="18"/>
          <w:szCs w:val="22"/>
          <w:lang w:val="es-ES"/>
        </w:rPr>
      </w:pPr>
    </w:p>
    <w:p w14:paraId="0B3B735F" w14:textId="77777777" w:rsidR="00A50FCF" w:rsidRPr="009545B0" w:rsidRDefault="00A50FCF" w:rsidP="00040C3A">
      <w:pPr>
        <w:tabs>
          <w:tab w:val="center" w:pos="5400"/>
        </w:tabs>
        <w:suppressAutoHyphens/>
        <w:jc w:val="center"/>
        <w:rPr>
          <w:rFonts w:asciiTheme="majorHAnsi" w:hAnsiTheme="majorHAnsi"/>
          <w:sz w:val="18"/>
          <w:szCs w:val="22"/>
          <w:lang w:val="es-ES"/>
        </w:rPr>
      </w:pPr>
    </w:p>
    <w:p w14:paraId="02C5C441" w14:textId="77777777" w:rsidR="00A50FCF" w:rsidRPr="009545B0" w:rsidRDefault="00A50FCF" w:rsidP="00040C3A">
      <w:pPr>
        <w:tabs>
          <w:tab w:val="center" w:pos="5400"/>
        </w:tabs>
        <w:suppressAutoHyphens/>
        <w:jc w:val="center"/>
        <w:rPr>
          <w:rFonts w:asciiTheme="majorHAnsi" w:hAnsiTheme="majorHAnsi"/>
          <w:sz w:val="18"/>
          <w:szCs w:val="22"/>
          <w:lang w:val="es-ES"/>
        </w:rPr>
      </w:pPr>
    </w:p>
    <w:p w14:paraId="7806A2B0" w14:textId="77777777" w:rsidR="00A50FCF" w:rsidRPr="009545B0" w:rsidRDefault="00A50FCF" w:rsidP="00040C3A">
      <w:pPr>
        <w:tabs>
          <w:tab w:val="center" w:pos="5400"/>
        </w:tabs>
        <w:suppressAutoHyphens/>
        <w:jc w:val="center"/>
        <w:rPr>
          <w:rFonts w:asciiTheme="majorHAnsi" w:hAnsiTheme="majorHAnsi"/>
          <w:sz w:val="18"/>
          <w:szCs w:val="22"/>
          <w:lang w:val="es-ES"/>
        </w:rPr>
      </w:pPr>
    </w:p>
    <w:p w14:paraId="319C392B" w14:textId="77777777" w:rsidR="00A50FCF" w:rsidRPr="009545B0" w:rsidRDefault="00A50FCF" w:rsidP="00040C3A">
      <w:pPr>
        <w:tabs>
          <w:tab w:val="center" w:pos="5400"/>
        </w:tabs>
        <w:suppressAutoHyphens/>
        <w:jc w:val="center"/>
        <w:rPr>
          <w:rFonts w:asciiTheme="majorHAnsi" w:hAnsiTheme="majorHAnsi"/>
          <w:sz w:val="18"/>
          <w:szCs w:val="22"/>
          <w:lang w:val="es-ES"/>
        </w:rPr>
      </w:pPr>
    </w:p>
    <w:p w14:paraId="514A0182" w14:textId="77777777" w:rsidR="00A50FCF" w:rsidRPr="009545B0" w:rsidRDefault="0090270B" w:rsidP="00040C3A">
      <w:pPr>
        <w:tabs>
          <w:tab w:val="center" w:pos="5400"/>
        </w:tabs>
        <w:suppressAutoHyphens/>
        <w:jc w:val="center"/>
        <w:rPr>
          <w:rFonts w:asciiTheme="majorHAnsi" w:hAnsiTheme="majorHAnsi"/>
          <w:sz w:val="18"/>
          <w:szCs w:val="22"/>
          <w:lang w:val="es-ES"/>
        </w:rPr>
      </w:pPr>
      <w:r w:rsidRPr="009545B0">
        <w:rPr>
          <w:rFonts w:asciiTheme="majorHAnsi" w:hAnsiTheme="majorHAnsi"/>
          <w:noProof/>
          <w:sz w:val="22"/>
          <w:szCs w:val="22"/>
          <w:lang w:val="es-ES" w:eastAsia="es-419"/>
        </w:rPr>
        <mc:AlternateContent>
          <mc:Choice Requires="wps">
            <w:drawing>
              <wp:anchor distT="0" distB="0" distL="114300" distR="114300" simplePos="0" relativeHeight="251658242" behindDoc="0" locked="0" layoutInCell="1" allowOverlap="1" wp14:anchorId="37B0B44F" wp14:editId="1101FDFD">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F3581" w14:textId="73BE6173"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B6011E">
                              <w:rPr>
                                <w:rFonts w:asciiTheme="majorHAnsi" w:hAnsiTheme="majorHAnsi"/>
                                <w:color w:val="0D0D0D" w:themeColor="text1" w:themeTint="F2"/>
                                <w:sz w:val="18"/>
                                <w:szCs w:val="22"/>
                                <w:lang w:val="es-ES"/>
                              </w:rPr>
                              <w:t>27</w:t>
                            </w:r>
                            <w:r w:rsidRPr="00890650">
                              <w:rPr>
                                <w:rFonts w:asciiTheme="majorHAnsi" w:hAnsiTheme="majorHAnsi"/>
                                <w:color w:val="0D0D0D" w:themeColor="text1" w:themeTint="F2"/>
                                <w:sz w:val="18"/>
                                <w:szCs w:val="22"/>
                                <w:lang w:val="es-ES"/>
                              </w:rPr>
                              <w:t xml:space="preserve"> de </w:t>
                            </w:r>
                            <w:r w:rsidR="00B6011E">
                              <w:rPr>
                                <w:rFonts w:asciiTheme="majorHAnsi" w:hAnsiTheme="majorHAnsi"/>
                                <w:color w:val="0D0D0D" w:themeColor="text1" w:themeTint="F2"/>
                                <w:sz w:val="18"/>
                                <w:szCs w:val="22"/>
                                <w:lang w:val="es-ES"/>
                              </w:rPr>
                              <w:t>diciembre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3A7BF0">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0B44F"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4BDF3581" w14:textId="73BE6173"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B6011E">
                        <w:rPr>
                          <w:rFonts w:asciiTheme="majorHAnsi" w:hAnsiTheme="majorHAnsi"/>
                          <w:color w:val="0D0D0D" w:themeColor="text1" w:themeTint="F2"/>
                          <w:sz w:val="18"/>
                          <w:szCs w:val="22"/>
                          <w:lang w:val="es-ES"/>
                        </w:rPr>
                        <w:t>27</w:t>
                      </w:r>
                      <w:r w:rsidRPr="00890650">
                        <w:rPr>
                          <w:rFonts w:asciiTheme="majorHAnsi" w:hAnsiTheme="majorHAnsi"/>
                          <w:color w:val="0D0D0D" w:themeColor="text1" w:themeTint="F2"/>
                          <w:sz w:val="18"/>
                          <w:szCs w:val="22"/>
                          <w:lang w:val="es-ES"/>
                        </w:rPr>
                        <w:t xml:space="preserve"> de </w:t>
                      </w:r>
                      <w:r w:rsidR="00B6011E">
                        <w:rPr>
                          <w:rFonts w:asciiTheme="majorHAnsi" w:hAnsiTheme="majorHAnsi"/>
                          <w:color w:val="0D0D0D" w:themeColor="text1" w:themeTint="F2"/>
                          <w:sz w:val="18"/>
                          <w:szCs w:val="22"/>
                          <w:lang w:val="es-ES"/>
                        </w:rPr>
                        <w:t>diciembre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3A7BF0">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1F28BEBB" w14:textId="77777777" w:rsidR="00A50FCF" w:rsidRPr="009545B0" w:rsidRDefault="00A50FCF" w:rsidP="00040C3A">
      <w:pPr>
        <w:tabs>
          <w:tab w:val="center" w:pos="5400"/>
        </w:tabs>
        <w:suppressAutoHyphens/>
        <w:jc w:val="center"/>
        <w:rPr>
          <w:rFonts w:asciiTheme="majorHAnsi" w:hAnsiTheme="majorHAnsi"/>
          <w:sz w:val="18"/>
          <w:szCs w:val="22"/>
          <w:lang w:val="es-ES"/>
        </w:rPr>
      </w:pPr>
    </w:p>
    <w:p w14:paraId="7929D1FD" w14:textId="77777777" w:rsidR="00A50FCF" w:rsidRPr="009545B0" w:rsidRDefault="00A50FCF" w:rsidP="00040C3A">
      <w:pPr>
        <w:tabs>
          <w:tab w:val="center" w:pos="5400"/>
        </w:tabs>
        <w:suppressAutoHyphens/>
        <w:jc w:val="center"/>
        <w:rPr>
          <w:rFonts w:asciiTheme="majorHAnsi" w:hAnsiTheme="majorHAnsi"/>
          <w:sz w:val="18"/>
          <w:szCs w:val="22"/>
          <w:lang w:val="es-ES"/>
        </w:rPr>
      </w:pPr>
    </w:p>
    <w:p w14:paraId="5469D0BE" w14:textId="77777777" w:rsidR="00A50FCF" w:rsidRPr="009545B0" w:rsidRDefault="00A50FCF" w:rsidP="00040C3A">
      <w:pPr>
        <w:tabs>
          <w:tab w:val="center" w:pos="5400"/>
        </w:tabs>
        <w:suppressAutoHyphens/>
        <w:jc w:val="center"/>
        <w:rPr>
          <w:rFonts w:asciiTheme="majorHAnsi" w:hAnsiTheme="majorHAnsi"/>
          <w:sz w:val="18"/>
          <w:szCs w:val="22"/>
          <w:lang w:val="es-ES"/>
        </w:rPr>
      </w:pPr>
    </w:p>
    <w:p w14:paraId="7A79F059" w14:textId="77777777" w:rsidR="00A50FCF" w:rsidRPr="009545B0" w:rsidRDefault="00A50FCF" w:rsidP="00040C3A">
      <w:pPr>
        <w:tabs>
          <w:tab w:val="center" w:pos="5400"/>
        </w:tabs>
        <w:suppressAutoHyphens/>
        <w:jc w:val="center"/>
        <w:rPr>
          <w:rFonts w:asciiTheme="majorHAnsi" w:hAnsiTheme="majorHAnsi"/>
          <w:sz w:val="18"/>
          <w:szCs w:val="22"/>
          <w:lang w:val="es-ES"/>
        </w:rPr>
      </w:pPr>
    </w:p>
    <w:p w14:paraId="330672AE" w14:textId="77777777" w:rsidR="00A50FCF" w:rsidRPr="009545B0" w:rsidRDefault="0090270B" w:rsidP="00040C3A">
      <w:pPr>
        <w:tabs>
          <w:tab w:val="center" w:pos="5400"/>
        </w:tabs>
        <w:suppressAutoHyphens/>
        <w:jc w:val="center"/>
        <w:rPr>
          <w:rFonts w:asciiTheme="majorHAnsi" w:hAnsiTheme="majorHAnsi"/>
          <w:sz w:val="18"/>
          <w:szCs w:val="22"/>
          <w:lang w:val="es-ES"/>
        </w:rPr>
      </w:pPr>
      <w:r w:rsidRPr="009545B0">
        <w:rPr>
          <w:rFonts w:asciiTheme="majorHAnsi" w:hAnsiTheme="majorHAnsi"/>
          <w:noProof/>
          <w:sz w:val="18"/>
          <w:szCs w:val="22"/>
          <w:lang w:val="es-ES" w:eastAsia="es-419"/>
        </w:rPr>
        <mc:AlternateContent>
          <mc:Choice Requires="wps">
            <w:drawing>
              <wp:anchor distT="0" distB="0" distL="114300" distR="114300" simplePos="0" relativeHeight="251658245" behindDoc="0" locked="0" layoutInCell="1" allowOverlap="1" wp14:anchorId="14798ABC" wp14:editId="15CC0E24">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1B22CF" w14:textId="62063495" w:rsidR="00113F73" w:rsidRPr="007B05C4"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B6011E" w:rsidRPr="00B6011E">
                              <w:rPr>
                                <w:rFonts w:asciiTheme="majorHAnsi" w:hAnsiTheme="majorHAnsi"/>
                                <w:color w:val="595959" w:themeColor="text1" w:themeTint="A6"/>
                                <w:sz w:val="18"/>
                                <w:szCs w:val="18"/>
                                <w:lang w:val="pt-BR"/>
                              </w:rPr>
                              <w:t>306</w:t>
                            </w:r>
                            <w:r w:rsidR="007B05C4" w:rsidRPr="00B6011E">
                              <w:rPr>
                                <w:rFonts w:asciiTheme="majorHAnsi" w:hAnsiTheme="majorHAnsi"/>
                                <w:color w:val="595959" w:themeColor="text1" w:themeTint="A6"/>
                                <w:sz w:val="18"/>
                                <w:szCs w:val="18"/>
                                <w:lang w:val="pt-BR"/>
                              </w:rPr>
                              <w:t>/</w:t>
                            </w:r>
                            <w:r w:rsidR="00B6011E" w:rsidRPr="00B6011E">
                              <w:rPr>
                                <w:rFonts w:asciiTheme="majorHAnsi" w:hAnsiTheme="majorHAnsi"/>
                                <w:color w:val="595959" w:themeColor="text1" w:themeTint="A6"/>
                                <w:sz w:val="18"/>
                                <w:szCs w:val="18"/>
                                <w:lang w:val="pt-BR"/>
                              </w:rPr>
                              <w:t>25</w:t>
                            </w:r>
                            <w:r w:rsidRPr="00B6011E">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90405C">
                              <w:rPr>
                                <w:rFonts w:asciiTheme="majorHAnsi" w:hAnsiTheme="majorHAnsi"/>
                                <w:color w:val="595959" w:themeColor="text1" w:themeTint="A6"/>
                                <w:sz w:val="18"/>
                                <w:szCs w:val="18"/>
                                <w:lang w:val="es-ES"/>
                              </w:rPr>
                              <w:t>878-16</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Inadmisibilidad</w:t>
                            </w:r>
                            <w:r w:rsidRPr="00890650">
                              <w:rPr>
                                <w:rFonts w:asciiTheme="majorHAnsi" w:hAnsiTheme="majorHAnsi"/>
                                <w:color w:val="595959" w:themeColor="text1" w:themeTint="A6"/>
                                <w:sz w:val="18"/>
                                <w:szCs w:val="18"/>
                                <w:lang w:val="es-ES_tradnl"/>
                              </w:rPr>
                              <w:t xml:space="preserve">. </w:t>
                            </w:r>
                            <w:r w:rsidR="0090405C">
                              <w:rPr>
                                <w:rFonts w:asciiTheme="majorHAnsi" w:hAnsiTheme="majorHAnsi"/>
                                <w:color w:val="595959" w:themeColor="text1" w:themeTint="A6"/>
                                <w:sz w:val="18"/>
                                <w:szCs w:val="18"/>
                                <w:lang w:val="es-ES_tradnl"/>
                              </w:rPr>
                              <w:t>Rafael García Elizondo</w:t>
                            </w:r>
                            <w:r w:rsidRPr="00890650">
                              <w:rPr>
                                <w:rFonts w:asciiTheme="majorHAnsi" w:hAnsiTheme="majorHAnsi"/>
                                <w:color w:val="595959" w:themeColor="text1" w:themeTint="A6"/>
                                <w:sz w:val="18"/>
                                <w:szCs w:val="18"/>
                                <w:lang w:val="es-ES_tradnl"/>
                              </w:rPr>
                              <w:t xml:space="preserve">. </w:t>
                            </w:r>
                            <w:r w:rsidR="0090405C">
                              <w:rPr>
                                <w:rFonts w:asciiTheme="majorHAnsi" w:hAnsiTheme="majorHAnsi"/>
                                <w:color w:val="595959" w:themeColor="text1" w:themeTint="A6"/>
                                <w:sz w:val="18"/>
                                <w:szCs w:val="18"/>
                                <w:lang w:val="es-ES_tradnl"/>
                              </w:rPr>
                              <w:t>Costa Rica</w:t>
                            </w:r>
                            <w:r w:rsidRPr="00890650">
                              <w:rPr>
                                <w:rFonts w:asciiTheme="majorHAnsi" w:hAnsiTheme="majorHAnsi"/>
                                <w:color w:val="595959" w:themeColor="text1" w:themeTint="A6"/>
                                <w:sz w:val="18"/>
                                <w:szCs w:val="18"/>
                                <w:lang w:val="es-ES_tradnl"/>
                              </w:rPr>
                              <w:t xml:space="preserve">. </w:t>
                            </w:r>
                            <w:r w:rsidR="004E1CD3">
                              <w:rPr>
                                <w:rFonts w:asciiTheme="majorHAnsi" w:hAnsiTheme="majorHAnsi"/>
                                <w:color w:val="595959" w:themeColor="text1" w:themeTint="A6"/>
                                <w:sz w:val="18"/>
                                <w:szCs w:val="18"/>
                                <w:lang w:val="es-ES"/>
                              </w:rPr>
                              <w:t>27 de diciembre de 2025</w:t>
                            </w:r>
                            <w:r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98ABC"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0D1B22CF" w14:textId="62063495" w:rsidR="00113F73" w:rsidRPr="007B05C4"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B6011E" w:rsidRPr="00B6011E">
                        <w:rPr>
                          <w:rFonts w:asciiTheme="majorHAnsi" w:hAnsiTheme="majorHAnsi"/>
                          <w:color w:val="595959" w:themeColor="text1" w:themeTint="A6"/>
                          <w:sz w:val="18"/>
                          <w:szCs w:val="18"/>
                          <w:lang w:val="pt-BR"/>
                        </w:rPr>
                        <w:t>306</w:t>
                      </w:r>
                      <w:r w:rsidR="007B05C4" w:rsidRPr="00B6011E">
                        <w:rPr>
                          <w:rFonts w:asciiTheme="majorHAnsi" w:hAnsiTheme="majorHAnsi"/>
                          <w:color w:val="595959" w:themeColor="text1" w:themeTint="A6"/>
                          <w:sz w:val="18"/>
                          <w:szCs w:val="18"/>
                          <w:lang w:val="pt-BR"/>
                        </w:rPr>
                        <w:t>/</w:t>
                      </w:r>
                      <w:r w:rsidR="00B6011E" w:rsidRPr="00B6011E">
                        <w:rPr>
                          <w:rFonts w:asciiTheme="majorHAnsi" w:hAnsiTheme="majorHAnsi"/>
                          <w:color w:val="595959" w:themeColor="text1" w:themeTint="A6"/>
                          <w:sz w:val="18"/>
                          <w:szCs w:val="18"/>
                          <w:lang w:val="pt-BR"/>
                        </w:rPr>
                        <w:t>25</w:t>
                      </w:r>
                      <w:r w:rsidRPr="00B6011E">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90405C">
                        <w:rPr>
                          <w:rFonts w:asciiTheme="majorHAnsi" w:hAnsiTheme="majorHAnsi"/>
                          <w:color w:val="595959" w:themeColor="text1" w:themeTint="A6"/>
                          <w:sz w:val="18"/>
                          <w:szCs w:val="18"/>
                          <w:lang w:val="es-ES"/>
                        </w:rPr>
                        <w:t>878-16</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Inadmisibilidad</w:t>
                      </w:r>
                      <w:r w:rsidRPr="00890650">
                        <w:rPr>
                          <w:rFonts w:asciiTheme="majorHAnsi" w:hAnsiTheme="majorHAnsi"/>
                          <w:color w:val="595959" w:themeColor="text1" w:themeTint="A6"/>
                          <w:sz w:val="18"/>
                          <w:szCs w:val="18"/>
                          <w:lang w:val="es-ES_tradnl"/>
                        </w:rPr>
                        <w:t xml:space="preserve">. </w:t>
                      </w:r>
                      <w:r w:rsidR="0090405C">
                        <w:rPr>
                          <w:rFonts w:asciiTheme="majorHAnsi" w:hAnsiTheme="majorHAnsi"/>
                          <w:color w:val="595959" w:themeColor="text1" w:themeTint="A6"/>
                          <w:sz w:val="18"/>
                          <w:szCs w:val="18"/>
                          <w:lang w:val="es-ES_tradnl"/>
                        </w:rPr>
                        <w:t>Rafael García Elizondo</w:t>
                      </w:r>
                      <w:r w:rsidRPr="00890650">
                        <w:rPr>
                          <w:rFonts w:asciiTheme="majorHAnsi" w:hAnsiTheme="majorHAnsi"/>
                          <w:color w:val="595959" w:themeColor="text1" w:themeTint="A6"/>
                          <w:sz w:val="18"/>
                          <w:szCs w:val="18"/>
                          <w:lang w:val="es-ES_tradnl"/>
                        </w:rPr>
                        <w:t xml:space="preserve">. </w:t>
                      </w:r>
                      <w:r w:rsidR="0090405C">
                        <w:rPr>
                          <w:rFonts w:asciiTheme="majorHAnsi" w:hAnsiTheme="majorHAnsi"/>
                          <w:color w:val="595959" w:themeColor="text1" w:themeTint="A6"/>
                          <w:sz w:val="18"/>
                          <w:szCs w:val="18"/>
                          <w:lang w:val="es-ES_tradnl"/>
                        </w:rPr>
                        <w:t>Costa Rica</w:t>
                      </w:r>
                      <w:r w:rsidRPr="00890650">
                        <w:rPr>
                          <w:rFonts w:asciiTheme="majorHAnsi" w:hAnsiTheme="majorHAnsi"/>
                          <w:color w:val="595959" w:themeColor="text1" w:themeTint="A6"/>
                          <w:sz w:val="18"/>
                          <w:szCs w:val="18"/>
                          <w:lang w:val="es-ES_tradnl"/>
                        </w:rPr>
                        <w:t xml:space="preserve">. </w:t>
                      </w:r>
                      <w:r w:rsidR="004E1CD3">
                        <w:rPr>
                          <w:rFonts w:asciiTheme="majorHAnsi" w:hAnsiTheme="majorHAnsi"/>
                          <w:color w:val="595959" w:themeColor="text1" w:themeTint="A6"/>
                          <w:sz w:val="18"/>
                          <w:szCs w:val="18"/>
                          <w:lang w:val="es-ES"/>
                        </w:rPr>
                        <w:t>27 de diciembre de 2025</w:t>
                      </w:r>
                      <w:r w:rsidRPr="007B05C4">
                        <w:rPr>
                          <w:rFonts w:asciiTheme="majorHAnsi" w:hAnsiTheme="majorHAnsi"/>
                          <w:color w:val="595959" w:themeColor="text1" w:themeTint="A6"/>
                          <w:sz w:val="18"/>
                          <w:szCs w:val="18"/>
                          <w:lang w:val="es-ES"/>
                        </w:rPr>
                        <w:t>.</w:t>
                      </w:r>
                    </w:p>
                  </w:txbxContent>
                </v:textbox>
              </v:shape>
            </w:pict>
          </mc:Fallback>
        </mc:AlternateContent>
      </w:r>
    </w:p>
    <w:p w14:paraId="196A49DE" w14:textId="77777777" w:rsidR="00A50FCF" w:rsidRPr="009545B0" w:rsidRDefault="00A50FCF" w:rsidP="00040C3A">
      <w:pPr>
        <w:tabs>
          <w:tab w:val="center" w:pos="5400"/>
        </w:tabs>
        <w:suppressAutoHyphens/>
        <w:jc w:val="center"/>
        <w:rPr>
          <w:rFonts w:asciiTheme="majorHAnsi" w:hAnsiTheme="majorHAnsi"/>
          <w:sz w:val="18"/>
          <w:szCs w:val="22"/>
          <w:lang w:val="es-ES"/>
        </w:rPr>
      </w:pPr>
    </w:p>
    <w:p w14:paraId="1DA07629" w14:textId="23ECC6B6" w:rsidR="0090270B" w:rsidRPr="009545B0" w:rsidRDefault="00D306D1" w:rsidP="005516A1">
      <w:pPr>
        <w:tabs>
          <w:tab w:val="center" w:pos="5400"/>
        </w:tabs>
        <w:suppressAutoHyphens/>
        <w:jc w:val="center"/>
        <w:rPr>
          <w:rFonts w:asciiTheme="majorHAnsi" w:hAnsiTheme="majorHAnsi"/>
          <w:b/>
          <w:sz w:val="20"/>
          <w:lang w:val="es-ES"/>
        </w:rPr>
      </w:pPr>
      <w:r w:rsidRPr="009545B0">
        <w:rPr>
          <w:rFonts w:asciiTheme="majorHAnsi" w:hAnsiTheme="majorHAnsi"/>
          <w:noProof/>
          <w:sz w:val="22"/>
          <w:szCs w:val="22"/>
          <w:lang w:val="es-ES" w:eastAsia="es-419"/>
        </w:rPr>
        <mc:AlternateContent>
          <mc:Choice Requires="wps">
            <w:drawing>
              <wp:anchor distT="0" distB="0" distL="114300" distR="114300" simplePos="0" relativeHeight="251658247" behindDoc="0" locked="0" layoutInCell="1" allowOverlap="1" wp14:anchorId="02EDA5EE" wp14:editId="70A01C3C">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DA5EE" id="Text Box 4" o:spid="_x0000_s1031"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2FE1B253" w14:textId="4D900B2F" w:rsidR="0070697F" w:rsidRPr="009545B0" w:rsidRDefault="00B6011E" w:rsidP="005516A1">
      <w:pPr>
        <w:tabs>
          <w:tab w:val="center" w:pos="5400"/>
        </w:tabs>
        <w:suppressAutoHyphens/>
        <w:jc w:val="center"/>
        <w:rPr>
          <w:rFonts w:asciiTheme="majorHAnsi" w:hAnsiTheme="majorHAnsi"/>
          <w:b/>
          <w:sz w:val="20"/>
          <w:lang w:val="es-ES"/>
        </w:rPr>
        <w:sectPr w:rsidR="0070697F" w:rsidRPr="009545B0" w:rsidSect="00C054DF">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sidRPr="009545B0">
        <w:rPr>
          <w:rFonts w:asciiTheme="majorHAnsi" w:hAnsiTheme="majorHAnsi"/>
          <w:noProof/>
          <w:sz w:val="18"/>
          <w:szCs w:val="22"/>
          <w:lang w:val="es-ES" w:eastAsia="es-419"/>
        </w:rPr>
        <mc:AlternateContent>
          <mc:Choice Requires="wps">
            <w:drawing>
              <wp:anchor distT="0" distB="0" distL="114300" distR="114300" simplePos="0" relativeHeight="251658246" behindDoc="0" locked="0" layoutInCell="1" allowOverlap="1" wp14:anchorId="50472543" wp14:editId="21D25DE6">
                <wp:simplePos x="0" y="0"/>
                <wp:positionH relativeFrom="column">
                  <wp:posOffset>1331958</wp:posOffset>
                </wp:positionH>
                <wp:positionV relativeFrom="paragraph">
                  <wp:posOffset>490440</wp:posOffset>
                </wp:positionV>
                <wp:extent cx="4096385" cy="618354"/>
                <wp:effectExtent l="0" t="0" r="0" b="0"/>
                <wp:wrapNone/>
                <wp:docPr id="9" name="Text Box 9"/>
                <wp:cNvGraphicFramePr/>
                <a:graphic xmlns:a="http://schemas.openxmlformats.org/drawingml/2006/main">
                  <a:graphicData uri="http://schemas.microsoft.com/office/word/2010/wordprocessingShape">
                    <wps:wsp>
                      <wps:cNvSpPr txBox="1"/>
                      <wps:spPr>
                        <a:xfrm>
                          <a:off x="0" y="0"/>
                          <a:ext cx="4096385" cy="61835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ECD3C" w14:textId="1AF6F9AB" w:rsidR="00D72DC6" w:rsidRPr="00D72DC6" w:rsidRDefault="00B6011E" w:rsidP="00F02AD1">
                            <w:pPr>
                              <w:rPr>
                                <w:color w:val="FFFFFF" w:themeColor="background1"/>
                                <w14:textFill>
                                  <w14:noFill/>
                                </w14:textFill>
                              </w:rPr>
                            </w:pPr>
                            <w:r>
                              <w:rPr>
                                <w:noProof/>
                                <w:color w:val="FFFFFF" w:themeColor="background1"/>
                              </w:rPr>
                              <w:drawing>
                                <wp:inline distT="0" distB="0" distL="0" distR="0" wp14:anchorId="0FD4D843" wp14:editId="73792C39">
                                  <wp:extent cx="1216325" cy="469265"/>
                                  <wp:effectExtent l="0" t="0" r="317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6"/>
                                          <a:srcRect r="33328"/>
                                          <a:stretch>
                                            <a:fillRect/>
                                          </a:stretch>
                                        </pic:blipFill>
                                        <pic:spPr bwMode="auto">
                                          <a:xfrm>
                                            <a:off x="0" y="0"/>
                                            <a:ext cx="1216325" cy="46926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72543" id="Text Box 9" o:spid="_x0000_s1032" type="#_x0000_t202" style="position:absolute;left:0;text-align:left;margin-left:104.9pt;margin-top:38.6pt;width:322.55pt;height:48.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" fillcolor="white [3201]" stroked="f" strokeweight=".5pt">
                <v:textbox>
                  <w:txbxContent>
                    <w:p w14:paraId="2A1ECD3C" w14:textId="1AF6F9AB" w:rsidR="00D72DC6" w:rsidRPr="00D72DC6" w:rsidRDefault="00B6011E" w:rsidP="00F02AD1">
                      <w:pPr>
                        <w:rPr>
                          <w:color w:val="FFFFFF" w:themeColor="background1"/>
                          <w14:textFill>
                            <w14:noFill/>
                          </w14:textFill>
                        </w:rPr>
                      </w:pPr>
                      <w:r>
                        <w:rPr>
                          <w:noProof/>
                          <w:color w:val="FFFFFF" w:themeColor="background1"/>
                        </w:rPr>
                        <w:drawing>
                          <wp:inline distT="0" distB="0" distL="0" distR="0" wp14:anchorId="0FD4D843" wp14:editId="73792C39">
                            <wp:extent cx="1216325" cy="469265"/>
                            <wp:effectExtent l="0" t="0" r="317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6"/>
                                    <a:srcRect r="33328"/>
                                    <a:stretch>
                                      <a:fillRect/>
                                    </a:stretch>
                                  </pic:blipFill>
                                  <pic:spPr bwMode="auto">
                                    <a:xfrm>
                                      <a:off x="0" y="0"/>
                                      <a:ext cx="1216325" cy="46926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4A6A54" w:rsidRPr="009545B0">
        <w:rPr>
          <w:rFonts w:asciiTheme="majorHAnsi" w:hAnsiTheme="majorHAnsi"/>
          <w:b/>
          <w:sz w:val="20"/>
          <w:lang w:val="es-ES"/>
        </w:rPr>
        <w:tab/>
      </w:r>
    </w:p>
    <w:p w14:paraId="376DDC8B" w14:textId="77777777" w:rsidR="003239B8" w:rsidRPr="009545B0" w:rsidRDefault="003239B8" w:rsidP="004A6A54">
      <w:pPr>
        <w:spacing w:after="240"/>
        <w:ind w:firstLine="720"/>
        <w:jc w:val="both"/>
        <w:rPr>
          <w:rFonts w:asciiTheme="majorHAnsi" w:hAnsiTheme="majorHAnsi"/>
          <w:b/>
          <w:bCs/>
          <w:sz w:val="20"/>
          <w:szCs w:val="20"/>
          <w:lang w:val="es-ES"/>
        </w:rPr>
      </w:pPr>
      <w:r w:rsidRPr="009545B0">
        <w:rPr>
          <w:rFonts w:asciiTheme="majorHAnsi" w:hAnsiTheme="majorHAnsi"/>
          <w:b/>
          <w:bCs/>
          <w:sz w:val="20"/>
          <w:szCs w:val="20"/>
          <w:lang w:val="es-ES"/>
        </w:rPr>
        <w:lastRenderedPageBreak/>
        <w:t>I.</w:t>
      </w:r>
      <w:r w:rsidRPr="009545B0">
        <w:rPr>
          <w:rFonts w:asciiTheme="majorHAnsi" w:hAnsiTheme="majorHAnsi"/>
          <w:b/>
          <w:bCs/>
          <w:sz w:val="20"/>
          <w:szCs w:val="20"/>
          <w:lang w:val="es-ES"/>
        </w:rPr>
        <w:tab/>
        <w:t xml:space="preserve">DATOS DE LA PETICIÓN </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3239B8" w:rsidRPr="009545B0" w14:paraId="5A79D1F7" w14:textId="77777777" w:rsidTr="004A6A54">
        <w:tc>
          <w:tcPr>
            <w:tcW w:w="3600" w:type="dxa"/>
            <w:tcBorders>
              <w:top w:val="single" w:sz="4" w:space="0" w:color="auto"/>
              <w:bottom w:val="single" w:sz="6" w:space="0" w:color="auto"/>
            </w:tcBorders>
            <w:shd w:val="clear" w:color="auto" w:fill="386294"/>
            <w:vAlign w:val="center"/>
          </w:tcPr>
          <w:p w14:paraId="0CB2A43B" w14:textId="77777777" w:rsidR="003239B8" w:rsidRPr="009545B0" w:rsidRDefault="003239B8">
            <w:pPr>
              <w:jc w:val="center"/>
              <w:rPr>
                <w:rFonts w:ascii="Cambria" w:hAnsi="Cambria"/>
                <w:b/>
                <w:bCs/>
                <w:color w:val="FFFFFF" w:themeColor="background1"/>
                <w:sz w:val="20"/>
                <w:szCs w:val="20"/>
                <w:lang w:val="es-ES"/>
              </w:rPr>
            </w:pPr>
            <w:r w:rsidRPr="009545B0">
              <w:rPr>
                <w:rFonts w:ascii="Cambria" w:hAnsi="Cambria"/>
                <w:b/>
                <w:bCs/>
                <w:color w:val="FFFFFF" w:themeColor="background1"/>
                <w:sz w:val="20"/>
                <w:szCs w:val="20"/>
                <w:lang w:val="es-ES"/>
              </w:rPr>
              <w:t>Parte peticionaria:</w:t>
            </w:r>
          </w:p>
        </w:tc>
        <w:tc>
          <w:tcPr>
            <w:tcW w:w="5760" w:type="dxa"/>
            <w:vAlign w:val="center"/>
          </w:tcPr>
          <w:p w14:paraId="3C5315D8" w14:textId="0A0E0CE0" w:rsidR="003239B8" w:rsidRPr="009545B0" w:rsidRDefault="0015751A" w:rsidP="00D13530">
            <w:pPr>
              <w:jc w:val="both"/>
              <w:rPr>
                <w:rFonts w:ascii="Cambria" w:hAnsi="Cambria"/>
                <w:bCs/>
                <w:sz w:val="20"/>
                <w:szCs w:val="20"/>
                <w:lang w:val="es-ES"/>
              </w:rPr>
            </w:pPr>
            <w:r w:rsidRPr="009545B0">
              <w:rPr>
                <w:rFonts w:ascii="Cambria" w:hAnsi="Cambria"/>
                <w:bCs/>
                <w:sz w:val="20"/>
                <w:szCs w:val="20"/>
                <w:lang w:val="es-ES"/>
              </w:rPr>
              <w:t>Rafael García Elizondo</w:t>
            </w:r>
          </w:p>
        </w:tc>
      </w:tr>
      <w:tr w:rsidR="003239B8" w:rsidRPr="009545B0" w14:paraId="593A7E45" w14:textId="77777777" w:rsidTr="004A6A54">
        <w:tc>
          <w:tcPr>
            <w:tcW w:w="3600" w:type="dxa"/>
            <w:tcBorders>
              <w:top w:val="single" w:sz="6" w:space="0" w:color="auto"/>
              <w:bottom w:val="single" w:sz="6" w:space="0" w:color="auto"/>
            </w:tcBorders>
            <w:shd w:val="clear" w:color="auto" w:fill="386294"/>
            <w:vAlign w:val="center"/>
          </w:tcPr>
          <w:p w14:paraId="0E78CA0C" w14:textId="77777777" w:rsidR="003239B8" w:rsidRPr="009545B0" w:rsidRDefault="00AF3F69">
            <w:pPr>
              <w:jc w:val="center"/>
              <w:rPr>
                <w:rFonts w:ascii="Cambria" w:hAnsi="Cambria"/>
                <w:b/>
                <w:bCs/>
                <w:color w:val="FFFFFF" w:themeColor="background1"/>
                <w:sz w:val="20"/>
                <w:szCs w:val="20"/>
                <w:lang w:val="es-ES"/>
              </w:rPr>
            </w:pPr>
            <w:sdt>
              <w:sdtPr>
                <w:rPr>
                  <w:rFonts w:ascii="Cambria" w:hAnsi="Cambria"/>
                  <w:b/>
                  <w:bCs/>
                  <w:color w:val="FFFFFF" w:themeColor="background1"/>
                  <w:sz w:val="20"/>
                  <w:szCs w:val="20"/>
                  <w:lang w:val="es-ES"/>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9545B0">
                  <w:rPr>
                    <w:rFonts w:ascii="Cambria" w:hAnsi="Cambria"/>
                    <w:b/>
                    <w:bCs/>
                    <w:color w:val="FFFFFF" w:themeColor="background1"/>
                    <w:sz w:val="20"/>
                    <w:szCs w:val="20"/>
                    <w:lang w:val="es-ES"/>
                  </w:rPr>
                  <w:t>Presunta víctima</w:t>
                </w:r>
              </w:sdtContent>
            </w:sdt>
            <w:r w:rsidR="003239B8" w:rsidRPr="009545B0">
              <w:rPr>
                <w:rFonts w:ascii="Cambria" w:hAnsi="Cambria"/>
                <w:b/>
                <w:bCs/>
                <w:color w:val="FFFFFF" w:themeColor="background1"/>
                <w:sz w:val="20"/>
                <w:szCs w:val="20"/>
                <w:lang w:val="es-ES"/>
              </w:rPr>
              <w:t>:</w:t>
            </w:r>
          </w:p>
        </w:tc>
        <w:tc>
          <w:tcPr>
            <w:tcW w:w="5760" w:type="dxa"/>
            <w:vAlign w:val="center"/>
          </w:tcPr>
          <w:p w14:paraId="4AEBF59E" w14:textId="57E847FB" w:rsidR="003239B8" w:rsidRPr="009545B0" w:rsidRDefault="0090405C">
            <w:pPr>
              <w:jc w:val="both"/>
              <w:rPr>
                <w:rFonts w:ascii="Cambria" w:hAnsi="Cambria"/>
                <w:bCs/>
                <w:sz w:val="20"/>
                <w:szCs w:val="20"/>
                <w:lang w:val="es-ES"/>
              </w:rPr>
            </w:pPr>
            <w:r w:rsidRPr="009545B0">
              <w:rPr>
                <w:rFonts w:ascii="Cambria" w:hAnsi="Cambria"/>
                <w:bCs/>
                <w:sz w:val="20"/>
                <w:szCs w:val="20"/>
                <w:lang w:val="es-ES"/>
              </w:rPr>
              <w:t>Rafael García Elizondo</w:t>
            </w:r>
          </w:p>
        </w:tc>
      </w:tr>
      <w:tr w:rsidR="003239B8" w:rsidRPr="009545B0" w14:paraId="3E62E1D3" w14:textId="77777777" w:rsidTr="004A6A54">
        <w:tc>
          <w:tcPr>
            <w:tcW w:w="3600" w:type="dxa"/>
            <w:tcBorders>
              <w:top w:val="single" w:sz="6" w:space="0" w:color="auto"/>
              <w:bottom w:val="single" w:sz="6" w:space="0" w:color="auto"/>
            </w:tcBorders>
            <w:shd w:val="clear" w:color="auto" w:fill="386294"/>
            <w:vAlign w:val="center"/>
          </w:tcPr>
          <w:p w14:paraId="340B0F09" w14:textId="77777777" w:rsidR="003239B8" w:rsidRPr="009545B0" w:rsidRDefault="003239B8">
            <w:pPr>
              <w:jc w:val="center"/>
              <w:rPr>
                <w:rFonts w:ascii="Cambria" w:hAnsi="Cambria"/>
                <w:b/>
                <w:bCs/>
                <w:color w:val="FFFFFF" w:themeColor="background1"/>
                <w:sz w:val="20"/>
                <w:szCs w:val="20"/>
                <w:lang w:val="es-ES"/>
              </w:rPr>
            </w:pPr>
            <w:r w:rsidRPr="009545B0">
              <w:rPr>
                <w:rFonts w:ascii="Cambria" w:hAnsi="Cambria"/>
                <w:b/>
                <w:bCs/>
                <w:color w:val="FFFFFF" w:themeColor="background1"/>
                <w:sz w:val="20"/>
                <w:szCs w:val="20"/>
                <w:lang w:val="es-ES"/>
              </w:rPr>
              <w:t>Estado denunciado:</w:t>
            </w:r>
          </w:p>
        </w:tc>
        <w:tc>
          <w:tcPr>
            <w:tcW w:w="5760" w:type="dxa"/>
            <w:vAlign w:val="center"/>
          </w:tcPr>
          <w:p w14:paraId="274C8A50" w14:textId="3BD21D8B" w:rsidR="003239B8" w:rsidRPr="009545B0" w:rsidRDefault="0090405C">
            <w:pPr>
              <w:jc w:val="both"/>
              <w:rPr>
                <w:rFonts w:ascii="Cambria" w:hAnsi="Cambria"/>
                <w:bCs/>
                <w:sz w:val="20"/>
                <w:szCs w:val="20"/>
                <w:lang w:val="es-ES"/>
              </w:rPr>
            </w:pPr>
            <w:r w:rsidRPr="009545B0">
              <w:rPr>
                <w:rFonts w:ascii="Cambria" w:hAnsi="Cambria"/>
                <w:bCs/>
                <w:sz w:val="20"/>
                <w:szCs w:val="20"/>
                <w:lang w:val="es-ES"/>
              </w:rPr>
              <w:t>Costa Rica</w:t>
            </w:r>
          </w:p>
        </w:tc>
      </w:tr>
      <w:tr w:rsidR="00223A29" w:rsidRPr="009E2047" w14:paraId="632511BC" w14:textId="77777777" w:rsidTr="004A6A54">
        <w:tc>
          <w:tcPr>
            <w:tcW w:w="3600" w:type="dxa"/>
            <w:tcBorders>
              <w:top w:val="single" w:sz="6" w:space="0" w:color="auto"/>
              <w:bottom w:val="single" w:sz="6" w:space="0" w:color="auto"/>
            </w:tcBorders>
            <w:shd w:val="clear" w:color="auto" w:fill="386294"/>
            <w:vAlign w:val="center"/>
          </w:tcPr>
          <w:p w14:paraId="727E2F6B" w14:textId="60AEE329" w:rsidR="00223A29" w:rsidRPr="009545B0" w:rsidRDefault="001B3A00" w:rsidP="00E4118C">
            <w:pPr>
              <w:jc w:val="center"/>
              <w:rPr>
                <w:rFonts w:ascii="Cambria" w:hAnsi="Cambria"/>
                <w:b/>
                <w:bCs/>
                <w:color w:val="FFFFFF" w:themeColor="background1"/>
                <w:sz w:val="20"/>
                <w:szCs w:val="20"/>
                <w:lang w:val="es-ES"/>
              </w:rPr>
            </w:pPr>
            <w:r w:rsidRPr="009545B0">
              <w:rPr>
                <w:rFonts w:ascii="Cambria" w:hAnsi="Cambria"/>
                <w:b/>
                <w:bCs/>
                <w:color w:val="FFFFFF" w:themeColor="background1"/>
                <w:sz w:val="20"/>
                <w:szCs w:val="20"/>
                <w:lang w:val="es-ES"/>
              </w:rPr>
              <w:t xml:space="preserve">Derechos </w:t>
            </w:r>
            <w:r w:rsidR="00E4118C" w:rsidRPr="009545B0">
              <w:rPr>
                <w:rFonts w:ascii="Cambria" w:hAnsi="Cambria"/>
                <w:b/>
                <w:bCs/>
                <w:color w:val="FFFFFF" w:themeColor="background1"/>
                <w:sz w:val="20"/>
                <w:szCs w:val="20"/>
                <w:lang w:val="es-ES"/>
              </w:rPr>
              <w:t>invocados</w:t>
            </w:r>
            <w:r w:rsidRPr="009545B0">
              <w:rPr>
                <w:rFonts w:ascii="Cambria" w:hAnsi="Cambria"/>
                <w:b/>
                <w:bCs/>
                <w:color w:val="FFFFFF" w:themeColor="background1"/>
                <w:sz w:val="20"/>
                <w:szCs w:val="20"/>
                <w:lang w:val="es-ES"/>
              </w:rPr>
              <w:t>:</w:t>
            </w:r>
          </w:p>
        </w:tc>
        <w:tc>
          <w:tcPr>
            <w:tcW w:w="5760" w:type="dxa"/>
            <w:vAlign w:val="center"/>
          </w:tcPr>
          <w:p w14:paraId="6DEE1EEB" w14:textId="49E76FAD" w:rsidR="00223A29" w:rsidRPr="009545B0" w:rsidRDefault="0090405C">
            <w:pPr>
              <w:jc w:val="both"/>
              <w:rPr>
                <w:rFonts w:ascii="Cambria" w:hAnsi="Cambria"/>
                <w:bCs/>
                <w:sz w:val="20"/>
                <w:szCs w:val="20"/>
                <w:lang w:val="es-ES"/>
              </w:rPr>
            </w:pPr>
            <w:r w:rsidRPr="009545B0">
              <w:rPr>
                <w:rFonts w:ascii="Cambria" w:hAnsi="Cambria"/>
                <w:bCs/>
                <w:sz w:val="20"/>
                <w:szCs w:val="20"/>
                <w:lang w:val="es-ES"/>
              </w:rPr>
              <w:t xml:space="preserve">Artículo </w:t>
            </w:r>
            <w:r w:rsidR="0015751A" w:rsidRPr="009545B0">
              <w:rPr>
                <w:rFonts w:ascii="Cambria" w:hAnsi="Cambria"/>
                <w:bCs/>
                <w:sz w:val="20"/>
                <w:szCs w:val="20"/>
                <w:lang w:val="es-ES"/>
              </w:rPr>
              <w:t>4 (vida), 5 (integridad personal), 7 (libertad) 8 (</w:t>
            </w:r>
            <w:r w:rsidR="00877CD6" w:rsidRPr="009545B0">
              <w:rPr>
                <w:rFonts w:ascii="Cambria" w:hAnsi="Cambria"/>
                <w:bCs/>
                <w:sz w:val="20"/>
                <w:szCs w:val="20"/>
                <w:lang w:val="es-ES"/>
              </w:rPr>
              <w:t>garantías judiciales</w:t>
            </w:r>
            <w:r w:rsidR="0015751A" w:rsidRPr="009545B0">
              <w:rPr>
                <w:rFonts w:ascii="Cambria" w:hAnsi="Cambria"/>
                <w:bCs/>
                <w:sz w:val="20"/>
                <w:szCs w:val="20"/>
                <w:lang w:val="es-ES"/>
              </w:rPr>
              <w:t>), 10 (</w:t>
            </w:r>
            <w:r w:rsidR="00877CD6" w:rsidRPr="009545B0">
              <w:rPr>
                <w:rFonts w:ascii="Cambria" w:hAnsi="Cambria"/>
                <w:bCs/>
                <w:sz w:val="20"/>
                <w:szCs w:val="20"/>
                <w:lang w:val="es-ES"/>
              </w:rPr>
              <w:t>indemnización</w:t>
            </w:r>
            <w:r w:rsidR="0015751A" w:rsidRPr="009545B0">
              <w:rPr>
                <w:rFonts w:ascii="Cambria" w:hAnsi="Cambria"/>
                <w:bCs/>
                <w:sz w:val="20"/>
                <w:szCs w:val="20"/>
                <w:lang w:val="es-ES"/>
              </w:rPr>
              <w:t>), 24 (</w:t>
            </w:r>
            <w:r w:rsidR="00877CD6" w:rsidRPr="009545B0">
              <w:rPr>
                <w:rFonts w:ascii="Cambria" w:hAnsi="Cambria"/>
                <w:bCs/>
                <w:sz w:val="20"/>
                <w:szCs w:val="20"/>
                <w:lang w:val="es-ES"/>
              </w:rPr>
              <w:t>igualdad</w:t>
            </w:r>
            <w:r w:rsidR="0015751A" w:rsidRPr="009545B0">
              <w:rPr>
                <w:rFonts w:ascii="Cambria" w:hAnsi="Cambria"/>
                <w:bCs/>
                <w:sz w:val="20"/>
                <w:szCs w:val="20"/>
                <w:lang w:val="es-ES"/>
              </w:rPr>
              <w:t>), 25 (</w:t>
            </w:r>
            <w:r w:rsidR="00877CD6" w:rsidRPr="009545B0">
              <w:rPr>
                <w:rFonts w:ascii="Cambria" w:hAnsi="Cambria"/>
                <w:bCs/>
                <w:sz w:val="20"/>
                <w:szCs w:val="20"/>
                <w:lang w:val="es-ES"/>
              </w:rPr>
              <w:t>protección judicial</w:t>
            </w:r>
            <w:r w:rsidR="0015751A" w:rsidRPr="009545B0">
              <w:rPr>
                <w:rFonts w:ascii="Cambria" w:hAnsi="Cambria"/>
                <w:bCs/>
                <w:sz w:val="20"/>
                <w:szCs w:val="20"/>
                <w:lang w:val="es-ES"/>
              </w:rPr>
              <w:t>)</w:t>
            </w:r>
            <w:r w:rsidR="00877CD6" w:rsidRPr="009545B0">
              <w:rPr>
                <w:rFonts w:ascii="Cambria" w:hAnsi="Cambria"/>
                <w:bCs/>
                <w:sz w:val="20"/>
                <w:szCs w:val="20"/>
                <w:lang w:val="es-ES"/>
              </w:rPr>
              <w:t xml:space="preserve"> </w:t>
            </w:r>
            <w:r w:rsidRPr="009545B0">
              <w:rPr>
                <w:rFonts w:ascii="Cambria" w:hAnsi="Cambria"/>
                <w:bCs/>
                <w:sz w:val="20"/>
                <w:szCs w:val="20"/>
                <w:lang w:val="es-ES"/>
              </w:rPr>
              <w:t>de la Convención Americana sobre Derechos Humanos</w:t>
            </w:r>
            <w:r w:rsidR="00877CD6" w:rsidRPr="009545B0">
              <w:rPr>
                <w:rFonts w:ascii="Cambria" w:hAnsi="Cambria"/>
                <w:bCs/>
                <w:sz w:val="20"/>
                <w:szCs w:val="20"/>
                <w:lang w:val="es-ES"/>
              </w:rPr>
              <w:t xml:space="preserve">; artículos 1, 2, 3, 4, 5, 6, 7, 8, 9 de la Convención Interamericana para Prevenir y Sancionar la Tortura; y artículos 10, 11 y 12 del Protocolo Adicional a la Convención Americana sobre Derechos Humanos. </w:t>
            </w:r>
          </w:p>
        </w:tc>
      </w:tr>
    </w:tbl>
    <w:p w14:paraId="20263696" w14:textId="77777777" w:rsidR="003239B8" w:rsidRPr="009545B0" w:rsidRDefault="003239B8" w:rsidP="003239B8">
      <w:pPr>
        <w:spacing w:before="240" w:after="240"/>
        <w:ind w:firstLine="720"/>
        <w:jc w:val="both"/>
        <w:rPr>
          <w:rFonts w:asciiTheme="majorHAnsi" w:hAnsiTheme="majorHAnsi"/>
          <w:b/>
          <w:bCs/>
          <w:sz w:val="20"/>
          <w:szCs w:val="20"/>
          <w:lang w:val="es-ES"/>
        </w:rPr>
      </w:pPr>
      <w:r w:rsidRPr="009545B0">
        <w:rPr>
          <w:rFonts w:asciiTheme="majorHAnsi" w:hAnsiTheme="majorHAnsi"/>
          <w:b/>
          <w:bCs/>
          <w:sz w:val="20"/>
          <w:szCs w:val="20"/>
          <w:lang w:val="es-ES"/>
        </w:rPr>
        <w:t>II.</w:t>
      </w:r>
      <w:r w:rsidRPr="009545B0">
        <w:rPr>
          <w:rFonts w:asciiTheme="majorHAnsi" w:hAnsiTheme="majorHAnsi"/>
          <w:b/>
          <w:bCs/>
          <w:sz w:val="20"/>
          <w:szCs w:val="20"/>
          <w:lang w:val="es-ES"/>
        </w:rPr>
        <w:tab/>
        <w:t>TRÁMITE ANTE LA CIDH</w:t>
      </w:r>
      <w:r w:rsidR="008E3BFE" w:rsidRPr="009545B0">
        <w:rPr>
          <w:rStyle w:val="FootnoteReference"/>
          <w:rFonts w:ascii="Cambria" w:hAnsi="Cambria"/>
          <w:b/>
          <w:sz w:val="20"/>
          <w:szCs w:val="20"/>
          <w:lang w:val="es-ES"/>
        </w:rPr>
        <w:footnoteReference w:id="2"/>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4C2312" w:rsidRPr="009545B0" w14:paraId="306EFCB0" w14:textId="77777777" w:rsidTr="004A6A54">
        <w:tc>
          <w:tcPr>
            <w:tcW w:w="3600" w:type="dxa"/>
            <w:tcBorders>
              <w:top w:val="single" w:sz="6" w:space="0" w:color="auto"/>
              <w:bottom w:val="single" w:sz="6" w:space="0" w:color="auto"/>
            </w:tcBorders>
            <w:shd w:val="clear" w:color="auto" w:fill="386294"/>
            <w:vAlign w:val="center"/>
          </w:tcPr>
          <w:p w14:paraId="7508D16F" w14:textId="653461D7" w:rsidR="004C2312" w:rsidRPr="009545B0" w:rsidRDefault="004A6A54" w:rsidP="004A6A54">
            <w:pPr>
              <w:jc w:val="center"/>
              <w:rPr>
                <w:rFonts w:ascii="Cambria" w:hAnsi="Cambria"/>
                <w:b/>
                <w:bCs/>
                <w:color w:val="FFFFFF" w:themeColor="background1"/>
                <w:sz w:val="20"/>
                <w:szCs w:val="20"/>
                <w:lang w:val="es-ES"/>
              </w:rPr>
            </w:pPr>
            <w:r w:rsidRPr="009545B0">
              <w:rPr>
                <w:rFonts w:ascii="Cambria" w:hAnsi="Cambria"/>
                <w:b/>
                <w:bCs/>
                <w:color w:val="FFFFFF" w:themeColor="background1"/>
                <w:sz w:val="20"/>
                <w:szCs w:val="20"/>
                <w:lang w:val="es-ES"/>
              </w:rPr>
              <w:t>P</w:t>
            </w:r>
            <w:r w:rsidR="004C2312" w:rsidRPr="009545B0">
              <w:rPr>
                <w:rFonts w:ascii="Cambria" w:hAnsi="Cambria"/>
                <w:b/>
                <w:bCs/>
                <w:color w:val="FFFFFF" w:themeColor="background1"/>
                <w:sz w:val="20"/>
                <w:szCs w:val="20"/>
                <w:lang w:val="es-ES"/>
              </w:rPr>
              <w:t>resentación de la petición:</w:t>
            </w:r>
          </w:p>
        </w:tc>
        <w:tc>
          <w:tcPr>
            <w:tcW w:w="5760" w:type="dxa"/>
            <w:vAlign w:val="center"/>
          </w:tcPr>
          <w:p w14:paraId="6E579153" w14:textId="17086DFA" w:rsidR="004C2312" w:rsidRPr="009545B0" w:rsidRDefault="0090405C">
            <w:pPr>
              <w:jc w:val="both"/>
              <w:rPr>
                <w:rFonts w:ascii="Cambria" w:hAnsi="Cambria"/>
                <w:bCs/>
                <w:sz w:val="20"/>
                <w:szCs w:val="20"/>
                <w:lang w:val="es-ES"/>
              </w:rPr>
            </w:pPr>
            <w:r w:rsidRPr="009545B0">
              <w:rPr>
                <w:rFonts w:ascii="Cambria" w:hAnsi="Cambria"/>
                <w:bCs/>
                <w:sz w:val="20"/>
                <w:szCs w:val="20"/>
                <w:lang w:val="es-ES"/>
              </w:rPr>
              <w:t>10 de mayo de 2016</w:t>
            </w:r>
          </w:p>
        </w:tc>
      </w:tr>
      <w:tr w:rsidR="00131425" w:rsidRPr="009E2047" w14:paraId="337129E8" w14:textId="77777777" w:rsidTr="004A6A54">
        <w:tc>
          <w:tcPr>
            <w:tcW w:w="3600" w:type="dxa"/>
            <w:tcBorders>
              <w:top w:val="single" w:sz="6" w:space="0" w:color="auto"/>
              <w:bottom w:val="single" w:sz="6" w:space="0" w:color="auto"/>
            </w:tcBorders>
            <w:shd w:val="clear" w:color="auto" w:fill="386294"/>
            <w:vAlign w:val="center"/>
          </w:tcPr>
          <w:p w14:paraId="3D52E482" w14:textId="0FA8B3B3" w:rsidR="00131425" w:rsidRPr="009545B0" w:rsidRDefault="00131425" w:rsidP="004A6A54">
            <w:pPr>
              <w:jc w:val="center"/>
              <w:rPr>
                <w:rFonts w:ascii="Cambria" w:hAnsi="Cambria"/>
                <w:b/>
                <w:bCs/>
                <w:color w:val="FFFFFF" w:themeColor="background1"/>
                <w:sz w:val="20"/>
                <w:szCs w:val="20"/>
                <w:lang w:val="es-ES"/>
              </w:rPr>
            </w:pPr>
            <w:r w:rsidRPr="009545B0">
              <w:rPr>
                <w:rFonts w:ascii="Cambria" w:hAnsi="Cambria"/>
                <w:b/>
                <w:bCs/>
                <w:color w:val="FFFFFF" w:themeColor="background1"/>
                <w:sz w:val="20"/>
                <w:szCs w:val="20"/>
                <w:lang w:val="es-ES"/>
              </w:rPr>
              <w:t>Información adicional recibida durante la etapa de estudio:</w:t>
            </w:r>
          </w:p>
        </w:tc>
        <w:tc>
          <w:tcPr>
            <w:tcW w:w="5760" w:type="dxa"/>
            <w:vAlign w:val="center"/>
          </w:tcPr>
          <w:p w14:paraId="30151270" w14:textId="04D6E72A" w:rsidR="00131425" w:rsidRPr="009545B0" w:rsidRDefault="0090405C">
            <w:pPr>
              <w:jc w:val="both"/>
              <w:rPr>
                <w:rFonts w:ascii="Cambria" w:hAnsi="Cambria"/>
                <w:bCs/>
                <w:sz w:val="20"/>
                <w:szCs w:val="20"/>
                <w:lang w:val="es-ES"/>
              </w:rPr>
            </w:pPr>
            <w:r w:rsidRPr="009545B0">
              <w:rPr>
                <w:rFonts w:ascii="Cambria" w:hAnsi="Cambria"/>
                <w:bCs/>
                <w:sz w:val="20"/>
                <w:szCs w:val="20"/>
                <w:lang w:val="es-ES"/>
              </w:rPr>
              <w:t xml:space="preserve">19 de julio de 2016, 30 de marzo de 2017 y 16 de mayo de 2019 </w:t>
            </w:r>
          </w:p>
        </w:tc>
      </w:tr>
      <w:tr w:rsidR="004C2312" w:rsidRPr="009545B0" w14:paraId="1BDCD5C6" w14:textId="77777777" w:rsidTr="004A6A54">
        <w:tc>
          <w:tcPr>
            <w:tcW w:w="3600" w:type="dxa"/>
            <w:tcBorders>
              <w:top w:val="single" w:sz="6" w:space="0" w:color="auto"/>
              <w:bottom w:val="single" w:sz="6" w:space="0" w:color="auto"/>
            </w:tcBorders>
            <w:shd w:val="clear" w:color="auto" w:fill="386294"/>
            <w:vAlign w:val="center"/>
          </w:tcPr>
          <w:p w14:paraId="7A18664F" w14:textId="73FE510C" w:rsidR="004C2312" w:rsidRPr="009545B0" w:rsidRDefault="004A6A54" w:rsidP="004A6A54">
            <w:pPr>
              <w:jc w:val="center"/>
              <w:rPr>
                <w:rFonts w:ascii="Cambria" w:hAnsi="Cambria"/>
                <w:b/>
                <w:bCs/>
                <w:color w:val="FFFFFF" w:themeColor="background1"/>
                <w:sz w:val="20"/>
                <w:szCs w:val="20"/>
                <w:lang w:val="es-ES"/>
              </w:rPr>
            </w:pPr>
            <w:r w:rsidRPr="009545B0">
              <w:rPr>
                <w:rFonts w:ascii="Cambria" w:hAnsi="Cambria"/>
                <w:b/>
                <w:color w:val="FFFFFF" w:themeColor="background1"/>
                <w:sz w:val="20"/>
                <w:szCs w:val="20"/>
                <w:lang w:val="es-ES"/>
              </w:rPr>
              <w:t>N</w:t>
            </w:r>
            <w:r w:rsidR="004C2312" w:rsidRPr="009545B0">
              <w:rPr>
                <w:rFonts w:ascii="Cambria" w:hAnsi="Cambria"/>
                <w:b/>
                <w:color w:val="FFFFFF" w:themeColor="background1"/>
                <w:sz w:val="20"/>
                <w:szCs w:val="20"/>
                <w:lang w:val="es-ES"/>
              </w:rPr>
              <w:t>otificación de la petición al Estado:</w:t>
            </w:r>
          </w:p>
        </w:tc>
        <w:tc>
          <w:tcPr>
            <w:tcW w:w="5760" w:type="dxa"/>
            <w:vAlign w:val="center"/>
          </w:tcPr>
          <w:p w14:paraId="1519DA6A" w14:textId="5591482F" w:rsidR="004C2312" w:rsidRPr="009545B0" w:rsidRDefault="0090405C">
            <w:pPr>
              <w:jc w:val="both"/>
              <w:rPr>
                <w:rFonts w:ascii="Cambria" w:hAnsi="Cambria"/>
                <w:bCs/>
                <w:sz w:val="20"/>
                <w:szCs w:val="20"/>
                <w:lang w:val="es-ES"/>
              </w:rPr>
            </w:pPr>
            <w:r w:rsidRPr="009545B0">
              <w:rPr>
                <w:rFonts w:ascii="Cambria" w:hAnsi="Cambria"/>
                <w:bCs/>
                <w:sz w:val="20"/>
                <w:szCs w:val="20"/>
                <w:lang w:val="es-ES"/>
              </w:rPr>
              <w:t>16 de mayo de 2019</w:t>
            </w:r>
          </w:p>
        </w:tc>
      </w:tr>
      <w:tr w:rsidR="004C2312" w:rsidRPr="009545B0" w14:paraId="6147A8D5" w14:textId="77777777" w:rsidTr="004A6A54">
        <w:tc>
          <w:tcPr>
            <w:tcW w:w="3600" w:type="dxa"/>
            <w:tcBorders>
              <w:top w:val="single" w:sz="6" w:space="0" w:color="auto"/>
              <w:bottom w:val="single" w:sz="6" w:space="0" w:color="auto"/>
            </w:tcBorders>
            <w:shd w:val="clear" w:color="auto" w:fill="386294"/>
            <w:vAlign w:val="center"/>
          </w:tcPr>
          <w:p w14:paraId="0201C86D" w14:textId="4A5EC6F9" w:rsidR="004C2312" w:rsidRPr="009545B0" w:rsidRDefault="004A6A54" w:rsidP="004A6A54">
            <w:pPr>
              <w:jc w:val="center"/>
              <w:rPr>
                <w:rFonts w:ascii="Cambria" w:hAnsi="Cambria"/>
                <w:b/>
                <w:bCs/>
                <w:color w:val="FFFFFF" w:themeColor="background1"/>
                <w:sz w:val="20"/>
                <w:szCs w:val="20"/>
                <w:lang w:val="es-ES"/>
              </w:rPr>
            </w:pPr>
            <w:r w:rsidRPr="009545B0">
              <w:rPr>
                <w:rFonts w:ascii="Cambria" w:hAnsi="Cambria"/>
                <w:b/>
                <w:color w:val="FFFFFF" w:themeColor="background1"/>
                <w:sz w:val="20"/>
                <w:szCs w:val="20"/>
                <w:lang w:val="es-ES"/>
              </w:rPr>
              <w:t>P</w:t>
            </w:r>
            <w:r w:rsidR="004C2312" w:rsidRPr="009545B0">
              <w:rPr>
                <w:rFonts w:ascii="Cambria" w:hAnsi="Cambria"/>
                <w:b/>
                <w:color w:val="FFFFFF" w:themeColor="background1"/>
                <w:sz w:val="20"/>
                <w:szCs w:val="20"/>
                <w:lang w:val="es-ES"/>
              </w:rPr>
              <w:t>rimera respuesta del Estado:</w:t>
            </w:r>
          </w:p>
        </w:tc>
        <w:tc>
          <w:tcPr>
            <w:tcW w:w="5760" w:type="dxa"/>
            <w:vAlign w:val="center"/>
          </w:tcPr>
          <w:p w14:paraId="1972B99E" w14:textId="33453C7D" w:rsidR="004C2312" w:rsidRPr="009545B0" w:rsidRDefault="0090405C">
            <w:pPr>
              <w:jc w:val="both"/>
              <w:rPr>
                <w:rFonts w:ascii="Cambria" w:hAnsi="Cambria"/>
                <w:bCs/>
                <w:sz w:val="20"/>
                <w:szCs w:val="20"/>
                <w:lang w:val="es-ES"/>
              </w:rPr>
            </w:pPr>
            <w:r w:rsidRPr="009545B0">
              <w:rPr>
                <w:rFonts w:ascii="Cambria" w:hAnsi="Cambria"/>
                <w:bCs/>
                <w:sz w:val="20"/>
                <w:szCs w:val="20"/>
                <w:lang w:val="es-ES"/>
              </w:rPr>
              <w:t>27 de agosto de 2019</w:t>
            </w:r>
          </w:p>
        </w:tc>
      </w:tr>
      <w:tr w:rsidR="004C2312" w:rsidRPr="009545B0" w14:paraId="322668B6" w14:textId="77777777" w:rsidTr="004A6A54">
        <w:tc>
          <w:tcPr>
            <w:tcW w:w="3600" w:type="dxa"/>
            <w:tcBorders>
              <w:top w:val="single" w:sz="6" w:space="0" w:color="auto"/>
              <w:bottom w:val="single" w:sz="6" w:space="0" w:color="auto"/>
            </w:tcBorders>
            <w:shd w:val="clear" w:color="auto" w:fill="386294"/>
            <w:vAlign w:val="center"/>
          </w:tcPr>
          <w:p w14:paraId="1524DA55" w14:textId="77777777" w:rsidR="004C2312" w:rsidRPr="009545B0" w:rsidRDefault="008E3BFE" w:rsidP="008E3BFE">
            <w:pPr>
              <w:jc w:val="center"/>
              <w:rPr>
                <w:rFonts w:ascii="Cambria" w:hAnsi="Cambria"/>
                <w:b/>
                <w:bCs/>
                <w:color w:val="FFFFFF" w:themeColor="background1"/>
                <w:sz w:val="20"/>
                <w:szCs w:val="20"/>
                <w:lang w:val="es-ES"/>
              </w:rPr>
            </w:pPr>
            <w:r w:rsidRPr="009545B0">
              <w:rPr>
                <w:rFonts w:ascii="Cambria" w:hAnsi="Cambria"/>
                <w:b/>
                <w:bCs/>
                <w:color w:val="FFFFFF" w:themeColor="background1"/>
                <w:sz w:val="20"/>
                <w:szCs w:val="20"/>
                <w:lang w:val="es-ES"/>
              </w:rPr>
              <w:t>Observaciones adicionales de la parte peticionaria:</w:t>
            </w:r>
          </w:p>
        </w:tc>
        <w:tc>
          <w:tcPr>
            <w:tcW w:w="5760" w:type="dxa"/>
            <w:vAlign w:val="center"/>
          </w:tcPr>
          <w:p w14:paraId="41D8B862" w14:textId="120455C3" w:rsidR="004C2312" w:rsidRPr="009545B0" w:rsidRDefault="0090405C">
            <w:pPr>
              <w:jc w:val="both"/>
              <w:rPr>
                <w:rFonts w:ascii="Cambria" w:hAnsi="Cambria"/>
                <w:bCs/>
                <w:sz w:val="20"/>
                <w:szCs w:val="20"/>
                <w:lang w:val="es-ES"/>
              </w:rPr>
            </w:pPr>
            <w:r w:rsidRPr="009545B0">
              <w:rPr>
                <w:rFonts w:ascii="Cambria" w:hAnsi="Cambria"/>
                <w:bCs/>
                <w:sz w:val="20"/>
                <w:szCs w:val="20"/>
                <w:lang w:val="es-ES"/>
              </w:rPr>
              <w:t>9 de octubre de 2019</w:t>
            </w:r>
          </w:p>
        </w:tc>
      </w:tr>
      <w:tr w:rsidR="004C2312" w:rsidRPr="009E2047" w14:paraId="291ACE7A" w14:textId="77777777" w:rsidTr="004A6A54">
        <w:tc>
          <w:tcPr>
            <w:tcW w:w="3600" w:type="dxa"/>
            <w:tcBorders>
              <w:top w:val="single" w:sz="6" w:space="0" w:color="auto"/>
              <w:bottom w:val="single" w:sz="6" w:space="0" w:color="auto"/>
            </w:tcBorders>
            <w:shd w:val="clear" w:color="auto" w:fill="386294"/>
            <w:vAlign w:val="center"/>
          </w:tcPr>
          <w:p w14:paraId="068BD12F" w14:textId="77777777" w:rsidR="004C2312" w:rsidRPr="009545B0" w:rsidRDefault="004C2312" w:rsidP="008E3BFE">
            <w:pPr>
              <w:jc w:val="center"/>
              <w:rPr>
                <w:rFonts w:ascii="Cambria" w:hAnsi="Cambria"/>
                <w:b/>
                <w:bCs/>
                <w:color w:val="FFFFFF" w:themeColor="background1"/>
                <w:sz w:val="20"/>
                <w:szCs w:val="20"/>
                <w:lang w:val="es-ES"/>
              </w:rPr>
            </w:pPr>
            <w:r w:rsidRPr="009545B0">
              <w:rPr>
                <w:rFonts w:ascii="Cambria" w:hAnsi="Cambria"/>
                <w:b/>
                <w:bCs/>
                <w:color w:val="FFFFFF" w:themeColor="background1"/>
                <w:sz w:val="20"/>
                <w:szCs w:val="20"/>
                <w:lang w:val="es-ES"/>
              </w:rPr>
              <w:t>Observaciones adicionales del Estado:</w:t>
            </w:r>
          </w:p>
        </w:tc>
        <w:tc>
          <w:tcPr>
            <w:tcW w:w="5760" w:type="dxa"/>
            <w:vAlign w:val="center"/>
          </w:tcPr>
          <w:p w14:paraId="3CE49AFE" w14:textId="148D26D3" w:rsidR="004C2312" w:rsidRPr="009545B0" w:rsidRDefault="0090405C">
            <w:pPr>
              <w:jc w:val="both"/>
              <w:rPr>
                <w:rFonts w:ascii="Cambria" w:hAnsi="Cambria"/>
                <w:bCs/>
                <w:sz w:val="20"/>
                <w:szCs w:val="20"/>
                <w:lang w:val="es-ES"/>
              </w:rPr>
            </w:pPr>
            <w:r w:rsidRPr="009545B0">
              <w:rPr>
                <w:rFonts w:ascii="Cambria" w:hAnsi="Cambria"/>
                <w:bCs/>
                <w:sz w:val="20"/>
                <w:szCs w:val="20"/>
                <w:lang w:val="es-ES"/>
              </w:rPr>
              <w:t>24 de enero de 2020, 20 de septiembre de 2023 y 24 de julio de 2025</w:t>
            </w:r>
          </w:p>
        </w:tc>
      </w:tr>
      <w:tr w:rsidR="001E49E7" w:rsidRPr="009545B0" w14:paraId="0F502B44" w14:textId="77777777" w:rsidTr="004A6A54">
        <w:tc>
          <w:tcPr>
            <w:tcW w:w="3600" w:type="dxa"/>
            <w:tcBorders>
              <w:top w:val="single" w:sz="6" w:space="0" w:color="auto"/>
              <w:bottom w:val="single" w:sz="6" w:space="0" w:color="auto"/>
            </w:tcBorders>
            <w:shd w:val="clear" w:color="auto" w:fill="386294"/>
            <w:vAlign w:val="center"/>
          </w:tcPr>
          <w:p w14:paraId="046FEDC0" w14:textId="71E42F00" w:rsidR="001E49E7" w:rsidRPr="009545B0" w:rsidRDefault="004A6A54" w:rsidP="00DD4AD2">
            <w:pPr>
              <w:jc w:val="center"/>
              <w:rPr>
                <w:rFonts w:ascii="Cambria" w:hAnsi="Cambria"/>
                <w:b/>
                <w:bCs/>
                <w:color w:val="FFFFFF" w:themeColor="background1"/>
                <w:sz w:val="20"/>
                <w:szCs w:val="20"/>
                <w:lang w:val="es-ES"/>
              </w:rPr>
            </w:pPr>
            <w:r w:rsidRPr="009545B0">
              <w:rPr>
                <w:rFonts w:ascii="Cambria" w:hAnsi="Cambria"/>
                <w:b/>
                <w:bCs/>
                <w:color w:val="FFFFFF" w:themeColor="background1"/>
                <w:sz w:val="20"/>
                <w:szCs w:val="20"/>
                <w:lang w:val="es-ES"/>
              </w:rPr>
              <w:t>A</w:t>
            </w:r>
            <w:r w:rsidR="001E49E7" w:rsidRPr="009545B0">
              <w:rPr>
                <w:rFonts w:ascii="Cambria" w:hAnsi="Cambria"/>
                <w:b/>
                <w:bCs/>
                <w:color w:val="FFFFFF" w:themeColor="background1"/>
                <w:sz w:val="20"/>
                <w:szCs w:val="20"/>
                <w:lang w:val="es-ES"/>
              </w:rPr>
              <w:t>dvertencia sobre posible archivo:</w:t>
            </w:r>
          </w:p>
        </w:tc>
        <w:tc>
          <w:tcPr>
            <w:tcW w:w="5760" w:type="dxa"/>
            <w:vAlign w:val="center"/>
          </w:tcPr>
          <w:p w14:paraId="5500808B" w14:textId="58E2B570" w:rsidR="001E49E7" w:rsidRPr="009545B0" w:rsidRDefault="0090405C">
            <w:pPr>
              <w:jc w:val="both"/>
              <w:rPr>
                <w:rFonts w:ascii="Cambria" w:hAnsi="Cambria"/>
                <w:bCs/>
                <w:sz w:val="20"/>
                <w:szCs w:val="20"/>
                <w:lang w:val="es-ES"/>
              </w:rPr>
            </w:pPr>
            <w:r w:rsidRPr="009545B0">
              <w:rPr>
                <w:rFonts w:ascii="Cambria" w:hAnsi="Cambria"/>
                <w:bCs/>
                <w:sz w:val="20"/>
                <w:szCs w:val="20"/>
                <w:lang w:val="es-ES"/>
              </w:rPr>
              <w:t>11 de julio de 2023</w:t>
            </w:r>
          </w:p>
        </w:tc>
      </w:tr>
      <w:tr w:rsidR="001E49E7" w:rsidRPr="009545B0" w14:paraId="789A7AF7" w14:textId="77777777" w:rsidTr="004A6A54">
        <w:tc>
          <w:tcPr>
            <w:tcW w:w="3600" w:type="dxa"/>
            <w:tcBorders>
              <w:top w:val="single" w:sz="6" w:space="0" w:color="auto"/>
              <w:bottom w:val="single" w:sz="6" w:space="0" w:color="auto"/>
            </w:tcBorders>
            <w:shd w:val="clear" w:color="auto" w:fill="386294"/>
            <w:vAlign w:val="center"/>
          </w:tcPr>
          <w:p w14:paraId="11989038" w14:textId="59EC032B" w:rsidR="001E49E7" w:rsidRPr="009545B0" w:rsidRDefault="004A6A54" w:rsidP="004A6A54">
            <w:pPr>
              <w:jc w:val="center"/>
              <w:rPr>
                <w:rFonts w:ascii="Cambria" w:hAnsi="Cambria"/>
                <w:b/>
                <w:bCs/>
                <w:color w:val="FFFFFF" w:themeColor="background1"/>
                <w:sz w:val="20"/>
                <w:szCs w:val="20"/>
                <w:lang w:val="es-ES"/>
              </w:rPr>
            </w:pPr>
            <w:r w:rsidRPr="009545B0">
              <w:rPr>
                <w:rFonts w:ascii="Cambria" w:hAnsi="Cambria"/>
                <w:b/>
                <w:bCs/>
                <w:color w:val="FFFFFF" w:themeColor="background1"/>
                <w:sz w:val="20"/>
                <w:szCs w:val="20"/>
                <w:lang w:val="es-ES"/>
              </w:rPr>
              <w:t>R</w:t>
            </w:r>
            <w:r w:rsidR="001E49E7" w:rsidRPr="009545B0">
              <w:rPr>
                <w:rFonts w:ascii="Cambria" w:hAnsi="Cambria"/>
                <w:b/>
                <w:bCs/>
                <w:color w:val="FFFFFF" w:themeColor="background1"/>
                <w:sz w:val="20"/>
                <w:szCs w:val="20"/>
                <w:lang w:val="es-ES"/>
              </w:rPr>
              <w:t xml:space="preserve">espuesta de la parte peticionaria ante advertencia </w:t>
            </w:r>
            <w:r w:rsidR="00DD4AD2" w:rsidRPr="009545B0">
              <w:rPr>
                <w:rFonts w:ascii="Cambria" w:hAnsi="Cambria"/>
                <w:b/>
                <w:bCs/>
                <w:color w:val="FFFFFF" w:themeColor="background1"/>
                <w:sz w:val="20"/>
                <w:szCs w:val="20"/>
                <w:lang w:val="es-ES"/>
              </w:rPr>
              <w:t xml:space="preserve">de </w:t>
            </w:r>
            <w:r w:rsidR="001E49E7" w:rsidRPr="009545B0">
              <w:rPr>
                <w:rFonts w:ascii="Cambria" w:hAnsi="Cambria"/>
                <w:b/>
                <w:bCs/>
                <w:color w:val="FFFFFF" w:themeColor="background1"/>
                <w:sz w:val="20"/>
                <w:szCs w:val="20"/>
                <w:lang w:val="es-ES"/>
              </w:rPr>
              <w:t>posible archivo:</w:t>
            </w:r>
          </w:p>
        </w:tc>
        <w:tc>
          <w:tcPr>
            <w:tcW w:w="5760" w:type="dxa"/>
            <w:vAlign w:val="center"/>
          </w:tcPr>
          <w:p w14:paraId="24E176E2" w14:textId="55CFF9C5" w:rsidR="001E49E7" w:rsidRPr="009545B0" w:rsidRDefault="0090405C">
            <w:pPr>
              <w:jc w:val="both"/>
              <w:rPr>
                <w:rFonts w:ascii="Cambria" w:hAnsi="Cambria"/>
                <w:bCs/>
                <w:sz w:val="20"/>
                <w:szCs w:val="20"/>
                <w:lang w:val="es-ES"/>
              </w:rPr>
            </w:pPr>
            <w:r w:rsidRPr="009545B0">
              <w:rPr>
                <w:rFonts w:ascii="Cambria" w:hAnsi="Cambria"/>
                <w:bCs/>
                <w:sz w:val="20"/>
                <w:szCs w:val="20"/>
                <w:lang w:val="es-ES"/>
              </w:rPr>
              <w:t>17 de julio de 2023</w:t>
            </w:r>
          </w:p>
        </w:tc>
      </w:tr>
    </w:tbl>
    <w:p w14:paraId="21DAA666" w14:textId="77777777" w:rsidR="003239B8" w:rsidRPr="009545B0" w:rsidRDefault="003239B8" w:rsidP="003239B8">
      <w:pPr>
        <w:spacing w:before="240" w:after="240"/>
        <w:ind w:firstLine="720"/>
        <w:jc w:val="both"/>
        <w:rPr>
          <w:rFonts w:asciiTheme="majorHAnsi" w:hAnsiTheme="majorHAnsi"/>
          <w:b/>
          <w:bCs/>
          <w:sz w:val="20"/>
          <w:szCs w:val="20"/>
          <w:lang w:val="es-ES"/>
        </w:rPr>
      </w:pPr>
      <w:r w:rsidRPr="009545B0">
        <w:rPr>
          <w:rFonts w:asciiTheme="majorHAnsi" w:hAnsiTheme="majorHAnsi"/>
          <w:b/>
          <w:bCs/>
          <w:sz w:val="20"/>
          <w:szCs w:val="20"/>
          <w:lang w:val="es-ES"/>
        </w:rPr>
        <w:t xml:space="preserve">III. </w:t>
      </w:r>
      <w:r w:rsidRPr="009545B0">
        <w:rPr>
          <w:rFonts w:asciiTheme="majorHAnsi" w:hAnsiTheme="majorHAnsi"/>
          <w:b/>
          <w:bCs/>
          <w:sz w:val="20"/>
          <w:szCs w:val="20"/>
          <w:lang w:val="es-ES"/>
        </w:rPr>
        <w:tab/>
        <w:t>COMPETENCIA</w:t>
      </w:r>
      <w:r w:rsidR="00EE00E9" w:rsidRPr="009545B0">
        <w:rPr>
          <w:rFonts w:asciiTheme="majorHAnsi" w:hAnsiTheme="majorHAnsi"/>
          <w:b/>
          <w:bCs/>
          <w:sz w:val="20"/>
          <w:szCs w:val="20"/>
          <w:lang w:val="es-ES"/>
        </w:rPr>
        <w:t xml:space="preserve"> </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7"/>
        <w:gridCol w:w="5770"/>
      </w:tblGrid>
      <w:tr w:rsidR="003239B8" w:rsidRPr="009545B0" w14:paraId="072532AD" w14:textId="77777777" w:rsidTr="00274925">
        <w:trPr>
          <w:cantSplit/>
        </w:trPr>
        <w:tc>
          <w:tcPr>
            <w:tcW w:w="3567" w:type="dxa"/>
            <w:tcBorders>
              <w:top w:val="single" w:sz="4" w:space="0" w:color="auto"/>
              <w:bottom w:val="single" w:sz="6" w:space="0" w:color="auto"/>
            </w:tcBorders>
            <w:shd w:val="clear" w:color="auto" w:fill="386294"/>
            <w:vAlign w:val="center"/>
          </w:tcPr>
          <w:p w14:paraId="5C2E4B34" w14:textId="77777777" w:rsidR="003239B8" w:rsidRPr="009545B0" w:rsidRDefault="003239B8">
            <w:pPr>
              <w:jc w:val="center"/>
              <w:rPr>
                <w:rFonts w:ascii="Cambria" w:hAnsi="Cambria"/>
                <w:b/>
                <w:bCs/>
                <w:i/>
                <w:color w:val="FFFFFF" w:themeColor="background1"/>
                <w:sz w:val="20"/>
                <w:szCs w:val="20"/>
                <w:lang w:val="es-ES"/>
              </w:rPr>
            </w:pPr>
            <w:r w:rsidRPr="009545B0">
              <w:rPr>
                <w:rFonts w:ascii="Cambria" w:hAnsi="Cambria"/>
                <w:b/>
                <w:bCs/>
                <w:color w:val="FFFFFF" w:themeColor="background1"/>
                <w:sz w:val="20"/>
                <w:szCs w:val="20"/>
                <w:lang w:val="es-ES"/>
              </w:rPr>
              <w:t>Competencia</w:t>
            </w:r>
            <w:r w:rsidRPr="009545B0">
              <w:rPr>
                <w:rFonts w:ascii="Cambria" w:hAnsi="Cambria"/>
                <w:b/>
                <w:bCs/>
                <w:i/>
                <w:color w:val="FFFFFF" w:themeColor="background1"/>
                <w:sz w:val="20"/>
                <w:szCs w:val="20"/>
                <w:lang w:val="es-ES"/>
              </w:rPr>
              <w:t xml:space="preserve"> Ratione personae:</w:t>
            </w:r>
          </w:p>
        </w:tc>
        <w:tc>
          <w:tcPr>
            <w:tcW w:w="5770" w:type="dxa"/>
            <w:vAlign w:val="center"/>
          </w:tcPr>
          <w:p w14:paraId="7707F3E9" w14:textId="79B9DECA" w:rsidR="003239B8" w:rsidRPr="009545B0" w:rsidRDefault="0090405C">
            <w:pPr>
              <w:rPr>
                <w:rFonts w:ascii="Cambria" w:hAnsi="Cambria"/>
                <w:bCs/>
                <w:sz w:val="20"/>
                <w:szCs w:val="20"/>
                <w:lang w:val="es-ES"/>
              </w:rPr>
            </w:pPr>
            <w:r w:rsidRPr="009545B0">
              <w:rPr>
                <w:rFonts w:ascii="Cambria" w:hAnsi="Cambria"/>
                <w:bCs/>
                <w:sz w:val="20"/>
                <w:szCs w:val="20"/>
                <w:lang w:val="es-ES"/>
              </w:rPr>
              <w:t>Sí</w:t>
            </w:r>
          </w:p>
        </w:tc>
      </w:tr>
      <w:tr w:rsidR="003239B8" w:rsidRPr="009545B0" w14:paraId="4B8802DA" w14:textId="77777777" w:rsidTr="00274925">
        <w:trPr>
          <w:cantSplit/>
        </w:trPr>
        <w:tc>
          <w:tcPr>
            <w:tcW w:w="3567" w:type="dxa"/>
            <w:tcBorders>
              <w:top w:val="single" w:sz="6" w:space="0" w:color="auto"/>
              <w:bottom w:val="single" w:sz="6" w:space="0" w:color="auto"/>
            </w:tcBorders>
            <w:shd w:val="clear" w:color="auto" w:fill="386294"/>
            <w:vAlign w:val="center"/>
          </w:tcPr>
          <w:p w14:paraId="3915C23B" w14:textId="77777777" w:rsidR="003239B8" w:rsidRPr="009545B0" w:rsidRDefault="003239B8">
            <w:pPr>
              <w:jc w:val="center"/>
              <w:rPr>
                <w:rFonts w:ascii="Cambria" w:hAnsi="Cambria"/>
                <w:b/>
                <w:bCs/>
                <w:color w:val="FFFFFF" w:themeColor="background1"/>
                <w:sz w:val="20"/>
                <w:szCs w:val="20"/>
                <w:lang w:val="es-ES"/>
              </w:rPr>
            </w:pPr>
            <w:r w:rsidRPr="009545B0">
              <w:rPr>
                <w:rFonts w:ascii="Cambria" w:hAnsi="Cambria"/>
                <w:b/>
                <w:bCs/>
                <w:color w:val="FFFFFF" w:themeColor="background1"/>
                <w:sz w:val="20"/>
                <w:szCs w:val="20"/>
                <w:lang w:val="es-ES"/>
              </w:rPr>
              <w:t>Competencia</w:t>
            </w:r>
            <w:r w:rsidRPr="009545B0">
              <w:rPr>
                <w:rFonts w:ascii="Cambria" w:hAnsi="Cambria"/>
                <w:b/>
                <w:bCs/>
                <w:i/>
                <w:color w:val="FFFFFF" w:themeColor="background1"/>
                <w:sz w:val="20"/>
                <w:szCs w:val="20"/>
                <w:lang w:val="es-ES"/>
              </w:rPr>
              <w:t xml:space="preserve"> Ratione loci</w:t>
            </w:r>
            <w:r w:rsidRPr="009545B0">
              <w:rPr>
                <w:rFonts w:ascii="Cambria" w:hAnsi="Cambria"/>
                <w:b/>
                <w:bCs/>
                <w:color w:val="FFFFFF" w:themeColor="background1"/>
                <w:sz w:val="20"/>
                <w:szCs w:val="20"/>
                <w:lang w:val="es-ES"/>
              </w:rPr>
              <w:t>:</w:t>
            </w:r>
          </w:p>
        </w:tc>
        <w:tc>
          <w:tcPr>
            <w:tcW w:w="5770" w:type="dxa"/>
            <w:vAlign w:val="center"/>
          </w:tcPr>
          <w:p w14:paraId="12C931CB" w14:textId="448DC91E" w:rsidR="003239B8" w:rsidRPr="009545B0" w:rsidRDefault="0090405C">
            <w:pPr>
              <w:rPr>
                <w:rFonts w:ascii="Cambria" w:hAnsi="Cambria"/>
                <w:bCs/>
                <w:sz w:val="20"/>
                <w:szCs w:val="20"/>
                <w:lang w:val="es-ES"/>
              </w:rPr>
            </w:pPr>
            <w:r w:rsidRPr="009545B0">
              <w:rPr>
                <w:rFonts w:ascii="Cambria" w:hAnsi="Cambria"/>
                <w:bCs/>
                <w:sz w:val="20"/>
                <w:szCs w:val="20"/>
                <w:lang w:val="es-ES"/>
              </w:rPr>
              <w:t>Sí</w:t>
            </w:r>
          </w:p>
        </w:tc>
      </w:tr>
      <w:tr w:rsidR="003239B8" w:rsidRPr="009545B0" w14:paraId="4362FDF3" w14:textId="77777777" w:rsidTr="00274925">
        <w:trPr>
          <w:cantSplit/>
        </w:trPr>
        <w:tc>
          <w:tcPr>
            <w:tcW w:w="3567" w:type="dxa"/>
            <w:tcBorders>
              <w:top w:val="single" w:sz="6" w:space="0" w:color="auto"/>
              <w:bottom w:val="single" w:sz="6" w:space="0" w:color="auto"/>
            </w:tcBorders>
            <w:shd w:val="clear" w:color="auto" w:fill="386294"/>
            <w:vAlign w:val="center"/>
          </w:tcPr>
          <w:p w14:paraId="3BE23153" w14:textId="77777777" w:rsidR="003239B8" w:rsidRPr="009545B0" w:rsidRDefault="003239B8">
            <w:pPr>
              <w:jc w:val="center"/>
              <w:rPr>
                <w:rFonts w:ascii="Cambria" w:hAnsi="Cambria"/>
                <w:b/>
                <w:bCs/>
                <w:color w:val="FFFFFF" w:themeColor="background1"/>
                <w:sz w:val="20"/>
                <w:szCs w:val="20"/>
                <w:lang w:val="es-ES"/>
              </w:rPr>
            </w:pPr>
            <w:r w:rsidRPr="009545B0">
              <w:rPr>
                <w:rFonts w:ascii="Cambria" w:hAnsi="Cambria"/>
                <w:b/>
                <w:bCs/>
                <w:color w:val="FFFFFF" w:themeColor="background1"/>
                <w:sz w:val="20"/>
                <w:szCs w:val="20"/>
                <w:lang w:val="es-ES"/>
              </w:rPr>
              <w:t>Competencia</w:t>
            </w:r>
            <w:r w:rsidRPr="009545B0">
              <w:rPr>
                <w:rFonts w:ascii="Cambria" w:hAnsi="Cambria"/>
                <w:b/>
                <w:bCs/>
                <w:i/>
                <w:color w:val="FFFFFF" w:themeColor="background1"/>
                <w:sz w:val="20"/>
                <w:szCs w:val="20"/>
                <w:lang w:val="es-ES"/>
              </w:rPr>
              <w:t xml:space="preserve"> Ratione temporis</w:t>
            </w:r>
            <w:r w:rsidRPr="009545B0">
              <w:rPr>
                <w:rFonts w:ascii="Cambria" w:hAnsi="Cambria"/>
                <w:b/>
                <w:bCs/>
                <w:color w:val="FFFFFF" w:themeColor="background1"/>
                <w:sz w:val="20"/>
                <w:szCs w:val="20"/>
                <w:lang w:val="es-ES"/>
              </w:rPr>
              <w:t>:</w:t>
            </w:r>
          </w:p>
        </w:tc>
        <w:tc>
          <w:tcPr>
            <w:tcW w:w="5770" w:type="dxa"/>
            <w:vAlign w:val="center"/>
          </w:tcPr>
          <w:p w14:paraId="6F8B059B" w14:textId="5129AE8A" w:rsidR="003239B8" w:rsidRPr="009545B0" w:rsidRDefault="0090405C">
            <w:pPr>
              <w:rPr>
                <w:rFonts w:ascii="Cambria" w:hAnsi="Cambria"/>
                <w:bCs/>
                <w:sz w:val="20"/>
                <w:szCs w:val="20"/>
                <w:lang w:val="es-ES"/>
              </w:rPr>
            </w:pPr>
            <w:r w:rsidRPr="009545B0">
              <w:rPr>
                <w:rFonts w:ascii="Cambria" w:hAnsi="Cambria"/>
                <w:bCs/>
                <w:sz w:val="20"/>
                <w:szCs w:val="20"/>
                <w:lang w:val="es-ES"/>
              </w:rPr>
              <w:t>Sí</w:t>
            </w:r>
          </w:p>
        </w:tc>
      </w:tr>
      <w:tr w:rsidR="0090405C" w:rsidRPr="009E2047" w14:paraId="30ABEC3E" w14:textId="77777777" w:rsidTr="00274925">
        <w:trPr>
          <w:cantSplit/>
        </w:trPr>
        <w:tc>
          <w:tcPr>
            <w:tcW w:w="3567" w:type="dxa"/>
            <w:tcBorders>
              <w:top w:val="single" w:sz="6" w:space="0" w:color="auto"/>
              <w:bottom w:val="single" w:sz="6" w:space="0" w:color="auto"/>
            </w:tcBorders>
            <w:shd w:val="clear" w:color="auto" w:fill="386294"/>
            <w:vAlign w:val="center"/>
          </w:tcPr>
          <w:p w14:paraId="47B529D2" w14:textId="77777777" w:rsidR="0090405C" w:rsidRPr="009545B0" w:rsidRDefault="0090405C" w:rsidP="0090405C">
            <w:pPr>
              <w:jc w:val="center"/>
              <w:rPr>
                <w:rFonts w:ascii="Cambria" w:hAnsi="Cambria"/>
                <w:b/>
                <w:bCs/>
                <w:color w:val="FFFFFF" w:themeColor="background1"/>
                <w:sz w:val="20"/>
                <w:szCs w:val="20"/>
                <w:lang w:val="es-ES"/>
              </w:rPr>
            </w:pPr>
            <w:r w:rsidRPr="009545B0">
              <w:rPr>
                <w:rFonts w:ascii="Cambria" w:hAnsi="Cambria"/>
                <w:b/>
                <w:bCs/>
                <w:color w:val="FFFFFF" w:themeColor="background1"/>
                <w:sz w:val="20"/>
                <w:szCs w:val="20"/>
                <w:lang w:val="es-ES"/>
              </w:rPr>
              <w:t>Competencia</w:t>
            </w:r>
            <w:r w:rsidRPr="009545B0">
              <w:rPr>
                <w:rFonts w:ascii="Cambria" w:hAnsi="Cambria"/>
                <w:b/>
                <w:bCs/>
                <w:i/>
                <w:color w:val="FFFFFF" w:themeColor="background1"/>
                <w:sz w:val="20"/>
                <w:szCs w:val="20"/>
                <w:lang w:val="es-ES"/>
              </w:rPr>
              <w:t xml:space="preserve"> Ratione materiae</w:t>
            </w:r>
            <w:r w:rsidRPr="009545B0">
              <w:rPr>
                <w:rFonts w:ascii="Cambria" w:hAnsi="Cambria"/>
                <w:b/>
                <w:bCs/>
                <w:color w:val="FFFFFF" w:themeColor="background1"/>
                <w:sz w:val="20"/>
                <w:szCs w:val="20"/>
                <w:lang w:val="es-ES"/>
              </w:rPr>
              <w:t>:</w:t>
            </w:r>
          </w:p>
        </w:tc>
        <w:tc>
          <w:tcPr>
            <w:tcW w:w="5770" w:type="dxa"/>
            <w:vAlign w:val="center"/>
          </w:tcPr>
          <w:p w14:paraId="0C122F44" w14:textId="2E71416B" w:rsidR="0090405C" w:rsidRPr="009545B0" w:rsidRDefault="0090405C" w:rsidP="0090405C">
            <w:pPr>
              <w:jc w:val="both"/>
              <w:rPr>
                <w:rFonts w:ascii="Cambria" w:hAnsi="Cambria"/>
                <w:bCs/>
                <w:sz w:val="20"/>
                <w:szCs w:val="20"/>
                <w:lang w:val="es-ES"/>
              </w:rPr>
            </w:pPr>
            <w:r w:rsidRPr="009545B0">
              <w:rPr>
                <w:rFonts w:ascii="Cambria" w:hAnsi="Cambria"/>
                <w:bCs/>
                <w:sz w:val="20"/>
                <w:szCs w:val="20"/>
                <w:lang w:val="es-ES"/>
              </w:rPr>
              <w:t>Sí, Convención Americana (depósito del instrumento de ratificación realizado el 8 de abril de 1970)</w:t>
            </w:r>
            <w:r w:rsidR="00CF6E6E">
              <w:rPr>
                <w:rFonts w:ascii="Cambria" w:hAnsi="Cambria"/>
                <w:bCs/>
                <w:sz w:val="20"/>
                <w:szCs w:val="20"/>
                <w:lang w:val="es-ES"/>
              </w:rPr>
              <w:t xml:space="preserve"> y Convención Interamericana para Prevenir y Sancionar la Tortura (depósito de instrumento de ratificación realizado el</w:t>
            </w:r>
            <w:r w:rsidR="00282B56">
              <w:rPr>
                <w:rFonts w:ascii="Cambria" w:hAnsi="Cambria"/>
                <w:bCs/>
                <w:sz w:val="20"/>
                <w:szCs w:val="20"/>
                <w:lang w:val="es-ES"/>
              </w:rPr>
              <w:t xml:space="preserve"> 8 de febrero de 2000)</w:t>
            </w:r>
          </w:p>
        </w:tc>
      </w:tr>
    </w:tbl>
    <w:p w14:paraId="4E92C444" w14:textId="140CB1E7" w:rsidR="003239B8" w:rsidRPr="009545B0" w:rsidRDefault="003239B8" w:rsidP="003239B8">
      <w:pPr>
        <w:spacing w:before="240" w:after="240"/>
        <w:ind w:firstLine="720"/>
        <w:jc w:val="both"/>
        <w:rPr>
          <w:rFonts w:asciiTheme="majorHAnsi" w:hAnsiTheme="majorHAnsi"/>
          <w:b/>
          <w:bCs/>
          <w:sz w:val="20"/>
          <w:szCs w:val="20"/>
          <w:lang w:val="es-ES"/>
        </w:rPr>
      </w:pPr>
      <w:r w:rsidRPr="009545B0">
        <w:rPr>
          <w:rFonts w:asciiTheme="majorHAnsi" w:hAnsiTheme="majorHAnsi"/>
          <w:b/>
          <w:bCs/>
          <w:sz w:val="20"/>
          <w:szCs w:val="20"/>
          <w:lang w:val="es-ES"/>
        </w:rPr>
        <w:t xml:space="preserve">IV. </w:t>
      </w:r>
      <w:r w:rsidRPr="009545B0">
        <w:rPr>
          <w:rFonts w:asciiTheme="majorHAnsi" w:hAnsiTheme="majorHAnsi"/>
          <w:b/>
          <w:bCs/>
          <w:sz w:val="20"/>
          <w:szCs w:val="20"/>
          <w:lang w:val="es-ES"/>
        </w:rPr>
        <w:tab/>
      </w:r>
      <w:r w:rsidR="00EE00E9" w:rsidRPr="009545B0">
        <w:rPr>
          <w:rFonts w:asciiTheme="majorHAnsi" w:hAnsiTheme="majorHAnsi"/>
          <w:b/>
          <w:bCs/>
          <w:sz w:val="20"/>
          <w:szCs w:val="20"/>
          <w:lang w:val="es-ES"/>
        </w:rPr>
        <w:t>DUPLICACIÓN</w:t>
      </w:r>
      <w:r w:rsidR="00EE00E9" w:rsidRPr="009545B0">
        <w:rPr>
          <w:rFonts w:asciiTheme="majorHAnsi" w:hAnsiTheme="majorHAnsi"/>
          <w:b/>
          <w:bCs/>
          <w:color w:val="FFFFFF" w:themeColor="background1"/>
          <w:sz w:val="20"/>
          <w:szCs w:val="20"/>
          <w:lang w:val="es-ES"/>
        </w:rPr>
        <w:t xml:space="preserve"> </w:t>
      </w:r>
      <w:r w:rsidR="00EE00E9" w:rsidRPr="009545B0">
        <w:rPr>
          <w:rFonts w:asciiTheme="majorHAnsi" w:hAnsiTheme="majorHAnsi"/>
          <w:b/>
          <w:bCs/>
          <w:sz w:val="20"/>
          <w:szCs w:val="20"/>
          <w:lang w:val="es-ES"/>
        </w:rPr>
        <w:t>DE PROCEDIMIENTOS Y COSA JUZGADA</w:t>
      </w:r>
      <w:r w:rsidR="00EE00E9" w:rsidRPr="009545B0">
        <w:rPr>
          <w:rFonts w:asciiTheme="majorHAnsi" w:hAnsiTheme="majorHAnsi"/>
          <w:b/>
          <w:bCs/>
          <w:i/>
          <w:sz w:val="20"/>
          <w:szCs w:val="20"/>
          <w:lang w:val="es-ES"/>
        </w:rPr>
        <w:t xml:space="preserve"> </w:t>
      </w:r>
      <w:r w:rsidR="00EE00E9" w:rsidRPr="009545B0">
        <w:rPr>
          <w:rFonts w:asciiTheme="majorHAnsi" w:hAnsiTheme="majorHAnsi"/>
          <w:b/>
          <w:bCs/>
          <w:sz w:val="20"/>
          <w:szCs w:val="20"/>
          <w:lang w:val="es-ES"/>
        </w:rPr>
        <w:t>INTERNACIONAL</w:t>
      </w:r>
      <w:r w:rsidR="005D38F9" w:rsidRPr="009545B0">
        <w:rPr>
          <w:rFonts w:asciiTheme="majorHAnsi" w:hAnsiTheme="majorHAnsi"/>
          <w:b/>
          <w:bCs/>
          <w:sz w:val="20"/>
          <w:szCs w:val="20"/>
          <w:lang w:val="es-ES"/>
        </w:rPr>
        <w:t>,</w:t>
      </w:r>
      <w:r w:rsidRPr="009545B0">
        <w:rPr>
          <w:rFonts w:asciiTheme="majorHAnsi" w:hAnsiTheme="majorHAnsi"/>
          <w:b/>
          <w:bCs/>
          <w:sz w:val="20"/>
          <w:szCs w:val="20"/>
          <w:lang w:val="es-ES"/>
        </w:rPr>
        <w:t xml:space="preserve"> CARACTERIZACIÓN, </w:t>
      </w:r>
      <w:r w:rsidRPr="009545B0">
        <w:rPr>
          <w:rFonts w:asciiTheme="majorHAnsi" w:hAnsiTheme="majorHAnsi"/>
          <w:b/>
          <w:sz w:val="20"/>
          <w:szCs w:val="20"/>
          <w:lang w:val="es-ES"/>
        </w:rPr>
        <w:t>AGOTAMIENTO DE LOS RECURSOS INTERNOS Y PLAZO DE PRESENTACIÓN</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6"/>
        <w:gridCol w:w="5771"/>
      </w:tblGrid>
      <w:tr w:rsidR="00EE00E9" w:rsidRPr="009545B0" w14:paraId="1231C988" w14:textId="77777777" w:rsidTr="00274925">
        <w:trPr>
          <w:cantSplit/>
        </w:trPr>
        <w:tc>
          <w:tcPr>
            <w:tcW w:w="3566" w:type="dxa"/>
            <w:tcBorders>
              <w:top w:val="single" w:sz="4" w:space="0" w:color="auto"/>
              <w:bottom w:val="single" w:sz="6" w:space="0" w:color="auto"/>
            </w:tcBorders>
            <w:shd w:val="clear" w:color="auto" w:fill="386294"/>
            <w:vAlign w:val="center"/>
          </w:tcPr>
          <w:p w14:paraId="6F8031F4" w14:textId="77777777" w:rsidR="00EE00E9" w:rsidRPr="009545B0" w:rsidRDefault="00EE00E9">
            <w:pPr>
              <w:jc w:val="center"/>
              <w:rPr>
                <w:rFonts w:ascii="Cambria" w:hAnsi="Cambria"/>
                <w:b/>
                <w:bCs/>
                <w:color w:val="FFFFFF" w:themeColor="background1"/>
                <w:sz w:val="20"/>
                <w:szCs w:val="20"/>
                <w:lang w:val="es-ES"/>
              </w:rPr>
            </w:pPr>
            <w:r w:rsidRPr="009545B0">
              <w:rPr>
                <w:rFonts w:ascii="Cambria" w:hAnsi="Cambria"/>
                <w:b/>
                <w:bCs/>
                <w:color w:val="FFFFFF" w:themeColor="background1"/>
                <w:sz w:val="20"/>
                <w:szCs w:val="20"/>
                <w:lang w:val="es-ES"/>
              </w:rPr>
              <w:t>Duplicación de procedimientos y cosa juzgada internacional:</w:t>
            </w:r>
          </w:p>
        </w:tc>
        <w:tc>
          <w:tcPr>
            <w:tcW w:w="5771" w:type="dxa"/>
            <w:vAlign w:val="center"/>
          </w:tcPr>
          <w:p w14:paraId="240941E6" w14:textId="347FB511" w:rsidR="00EE00E9" w:rsidRPr="009545B0" w:rsidRDefault="00877CD6">
            <w:pPr>
              <w:jc w:val="both"/>
              <w:rPr>
                <w:rFonts w:ascii="Cambria" w:hAnsi="Cambria"/>
                <w:bCs/>
                <w:sz w:val="20"/>
                <w:szCs w:val="20"/>
                <w:lang w:val="es-ES"/>
              </w:rPr>
            </w:pPr>
            <w:r w:rsidRPr="009545B0">
              <w:rPr>
                <w:rFonts w:ascii="Cambria" w:hAnsi="Cambria"/>
                <w:bCs/>
                <w:sz w:val="20"/>
                <w:szCs w:val="20"/>
                <w:lang w:val="es-ES"/>
              </w:rPr>
              <w:t>No</w:t>
            </w:r>
          </w:p>
        </w:tc>
      </w:tr>
      <w:tr w:rsidR="003239B8" w:rsidRPr="009545B0" w14:paraId="15FAA7D1" w14:textId="77777777" w:rsidTr="00274925">
        <w:trPr>
          <w:cantSplit/>
        </w:trPr>
        <w:tc>
          <w:tcPr>
            <w:tcW w:w="3566" w:type="dxa"/>
            <w:tcBorders>
              <w:top w:val="single" w:sz="4" w:space="0" w:color="auto"/>
              <w:bottom w:val="single" w:sz="6" w:space="0" w:color="auto"/>
            </w:tcBorders>
            <w:shd w:val="clear" w:color="auto" w:fill="386294"/>
            <w:vAlign w:val="center"/>
          </w:tcPr>
          <w:p w14:paraId="1B0D29FF" w14:textId="77777777" w:rsidR="003239B8" w:rsidRPr="009545B0" w:rsidRDefault="003239B8">
            <w:pPr>
              <w:jc w:val="center"/>
              <w:rPr>
                <w:rFonts w:ascii="Cambria" w:hAnsi="Cambria"/>
                <w:b/>
                <w:bCs/>
                <w:i/>
                <w:color w:val="FFFFFF" w:themeColor="background1"/>
                <w:sz w:val="20"/>
                <w:szCs w:val="20"/>
                <w:lang w:val="es-ES"/>
              </w:rPr>
            </w:pPr>
            <w:r w:rsidRPr="009545B0">
              <w:rPr>
                <w:rFonts w:ascii="Cambria" w:hAnsi="Cambria"/>
                <w:b/>
                <w:bCs/>
                <w:color w:val="FFFFFF" w:themeColor="background1"/>
                <w:sz w:val="20"/>
                <w:szCs w:val="20"/>
                <w:lang w:val="es-ES"/>
              </w:rPr>
              <w:t>Derechos declarados admisibles</w:t>
            </w:r>
            <w:r w:rsidRPr="009545B0">
              <w:rPr>
                <w:rFonts w:ascii="Cambria" w:hAnsi="Cambria"/>
                <w:b/>
                <w:bCs/>
                <w:i/>
                <w:color w:val="FFFFFF" w:themeColor="background1"/>
                <w:sz w:val="20"/>
                <w:szCs w:val="20"/>
                <w:lang w:val="es-ES"/>
              </w:rPr>
              <w:t>:</w:t>
            </w:r>
          </w:p>
        </w:tc>
        <w:tc>
          <w:tcPr>
            <w:tcW w:w="5771" w:type="dxa"/>
            <w:vAlign w:val="center"/>
          </w:tcPr>
          <w:p w14:paraId="6310C8F7" w14:textId="0F5A74FC" w:rsidR="003239B8" w:rsidRPr="009545B0" w:rsidRDefault="00877CD6">
            <w:pPr>
              <w:jc w:val="both"/>
              <w:rPr>
                <w:rFonts w:ascii="Cambria" w:hAnsi="Cambria"/>
                <w:bCs/>
                <w:sz w:val="20"/>
                <w:szCs w:val="20"/>
                <w:lang w:val="es-ES"/>
              </w:rPr>
            </w:pPr>
            <w:r w:rsidRPr="009545B0">
              <w:rPr>
                <w:rFonts w:ascii="Cambria" w:hAnsi="Cambria"/>
                <w:bCs/>
                <w:sz w:val="20"/>
                <w:szCs w:val="20"/>
                <w:lang w:val="es-ES"/>
              </w:rPr>
              <w:t>No aplica</w:t>
            </w:r>
          </w:p>
        </w:tc>
      </w:tr>
      <w:tr w:rsidR="003239B8" w:rsidRPr="00D61802" w14:paraId="4EFD141E" w14:textId="77777777" w:rsidTr="00274925">
        <w:trPr>
          <w:cantSplit/>
        </w:trPr>
        <w:tc>
          <w:tcPr>
            <w:tcW w:w="3566" w:type="dxa"/>
            <w:tcBorders>
              <w:top w:val="single" w:sz="6" w:space="0" w:color="auto"/>
              <w:bottom w:val="single" w:sz="6" w:space="0" w:color="auto"/>
            </w:tcBorders>
            <w:shd w:val="clear" w:color="auto" w:fill="386294"/>
            <w:vAlign w:val="center"/>
          </w:tcPr>
          <w:p w14:paraId="4C04A89C" w14:textId="77777777" w:rsidR="003239B8" w:rsidRPr="009545B0" w:rsidRDefault="003239B8">
            <w:pPr>
              <w:jc w:val="center"/>
              <w:rPr>
                <w:rFonts w:ascii="Cambria" w:hAnsi="Cambria"/>
                <w:b/>
                <w:bCs/>
                <w:color w:val="FFFFFF" w:themeColor="background1"/>
                <w:sz w:val="20"/>
                <w:szCs w:val="20"/>
                <w:lang w:val="es-ES"/>
              </w:rPr>
            </w:pPr>
            <w:r w:rsidRPr="009545B0">
              <w:rPr>
                <w:rFonts w:ascii="Cambria" w:hAnsi="Cambria"/>
                <w:b/>
                <w:bCs/>
                <w:color w:val="FFFFFF" w:themeColor="background1"/>
                <w:sz w:val="20"/>
                <w:szCs w:val="20"/>
                <w:lang w:val="es-ES"/>
              </w:rPr>
              <w:t>Agotamiento de recursos internos</w:t>
            </w:r>
            <w:r w:rsidR="00EE00E9" w:rsidRPr="009545B0">
              <w:rPr>
                <w:rFonts w:ascii="Cambria" w:hAnsi="Cambria"/>
                <w:b/>
                <w:bCs/>
                <w:color w:val="FFFFFF" w:themeColor="background1"/>
                <w:sz w:val="20"/>
                <w:szCs w:val="20"/>
                <w:lang w:val="es-ES"/>
              </w:rPr>
              <w:t xml:space="preserve"> o procedencia de una excepción</w:t>
            </w:r>
            <w:r w:rsidRPr="009545B0">
              <w:rPr>
                <w:rFonts w:ascii="Cambria" w:hAnsi="Cambria"/>
                <w:b/>
                <w:bCs/>
                <w:color w:val="FFFFFF" w:themeColor="background1"/>
                <w:sz w:val="20"/>
                <w:szCs w:val="20"/>
                <w:lang w:val="es-ES"/>
              </w:rPr>
              <w:t>:</w:t>
            </w:r>
          </w:p>
        </w:tc>
        <w:tc>
          <w:tcPr>
            <w:tcW w:w="5771" w:type="dxa"/>
            <w:vAlign w:val="center"/>
          </w:tcPr>
          <w:p w14:paraId="69C53E8A" w14:textId="3A980053" w:rsidR="003239B8" w:rsidRPr="009545B0" w:rsidRDefault="00BD3C63">
            <w:pPr>
              <w:rPr>
                <w:rFonts w:ascii="Cambria" w:hAnsi="Cambria"/>
                <w:bCs/>
                <w:sz w:val="20"/>
                <w:szCs w:val="20"/>
                <w:lang w:val="es-ES"/>
              </w:rPr>
            </w:pPr>
            <w:r>
              <w:rPr>
                <w:rFonts w:ascii="Cambria" w:hAnsi="Cambria"/>
                <w:bCs/>
                <w:sz w:val="20"/>
                <w:szCs w:val="20"/>
                <w:lang w:val="es-ES"/>
              </w:rPr>
              <w:t>Parcialmente</w:t>
            </w:r>
          </w:p>
        </w:tc>
      </w:tr>
      <w:tr w:rsidR="003239B8" w:rsidRPr="00D61802" w14:paraId="52B5BA17" w14:textId="77777777" w:rsidTr="00274925">
        <w:trPr>
          <w:cantSplit/>
        </w:trPr>
        <w:tc>
          <w:tcPr>
            <w:tcW w:w="3566" w:type="dxa"/>
            <w:tcBorders>
              <w:top w:val="single" w:sz="6" w:space="0" w:color="auto"/>
              <w:bottom w:val="single" w:sz="6" w:space="0" w:color="auto"/>
            </w:tcBorders>
            <w:shd w:val="clear" w:color="auto" w:fill="386294"/>
            <w:vAlign w:val="center"/>
          </w:tcPr>
          <w:p w14:paraId="5DF99086" w14:textId="77777777" w:rsidR="003239B8" w:rsidRPr="009545B0" w:rsidRDefault="003239B8">
            <w:pPr>
              <w:jc w:val="center"/>
              <w:rPr>
                <w:rFonts w:ascii="Cambria" w:hAnsi="Cambria"/>
                <w:b/>
                <w:bCs/>
                <w:color w:val="FFFFFF" w:themeColor="background1"/>
                <w:sz w:val="20"/>
                <w:szCs w:val="20"/>
                <w:lang w:val="es-ES"/>
              </w:rPr>
            </w:pPr>
            <w:r w:rsidRPr="009545B0">
              <w:rPr>
                <w:rFonts w:ascii="Cambria" w:hAnsi="Cambria"/>
                <w:b/>
                <w:bCs/>
                <w:color w:val="FFFFFF" w:themeColor="background1"/>
                <w:sz w:val="20"/>
                <w:szCs w:val="20"/>
                <w:lang w:val="es-ES"/>
              </w:rPr>
              <w:t>Presentación dentro de plazo:</w:t>
            </w:r>
          </w:p>
        </w:tc>
        <w:tc>
          <w:tcPr>
            <w:tcW w:w="5771" w:type="dxa"/>
            <w:vAlign w:val="center"/>
          </w:tcPr>
          <w:p w14:paraId="4A2A4569" w14:textId="569F4DE2" w:rsidR="003239B8" w:rsidRPr="009545B0" w:rsidRDefault="00877CD6">
            <w:pPr>
              <w:rPr>
                <w:rFonts w:ascii="Cambria" w:hAnsi="Cambria"/>
                <w:bCs/>
                <w:sz w:val="20"/>
                <w:szCs w:val="20"/>
                <w:lang w:val="es-ES"/>
              </w:rPr>
            </w:pPr>
            <w:r w:rsidRPr="009545B0">
              <w:rPr>
                <w:rFonts w:ascii="Cambria" w:hAnsi="Cambria"/>
                <w:bCs/>
                <w:sz w:val="20"/>
                <w:szCs w:val="20"/>
                <w:lang w:val="es-ES"/>
              </w:rPr>
              <w:t>No</w:t>
            </w:r>
          </w:p>
        </w:tc>
      </w:tr>
    </w:tbl>
    <w:p w14:paraId="17B019A7" w14:textId="77777777" w:rsidR="00C20EB5" w:rsidRDefault="00C20EB5" w:rsidP="00EF76F5">
      <w:pPr>
        <w:spacing w:before="240" w:after="240"/>
        <w:ind w:firstLine="720"/>
        <w:jc w:val="both"/>
        <w:rPr>
          <w:rFonts w:asciiTheme="majorHAnsi" w:hAnsiTheme="majorHAnsi"/>
          <w:b/>
          <w:sz w:val="20"/>
          <w:szCs w:val="20"/>
          <w:lang w:val="es-ES"/>
        </w:rPr>
      </w:pPr>
    </w:p>
    <w:p w14:paraId="18E6423B" w14:textId="59D4DE21" w:rsidR="003239B8" w:rsidRPr="009545B0" w:rsidRDefault="00223A29" w:rsidP="00F328EA">
      <w:pPr>
        <w:spacing w:before="240" w:after="240"/>
        <w:ind w:firstLine="720"/>
        <w:jc w:val="both"/>
        <w:rPr>
          <w:rFonts w:asciiTheme="majorHAnsi" w:hAnsiTheme="majorHAnsi"/>
          <w:b/>
          <w:sz w:val="20"/>
          <w:szCs w:val="20"/>
          <w:lang w:val="es-ES"/>
        </w:rPr>
      </w:pPr>
      <w:r w:rsidRPr="009545B0">
        <w:rPr>
          <w:rFonts w:asciiTheme="majorHAnsi" w:hAnsiTheme="majorHAnsi"/>
          <w:b/>
          <w:sz w:val="20"/>
          <w:szCs w:val="20"/>
          <w:lang w:val="es-ES"/>
        </w:rPr>
        <w:lastRenderedPageBreak/>
        <w:t xml:space="preserve">V. </w:t>
      </w:r>
      <w:r w:rsidRPr="009545B0">
        <w:rPr>
          <w:rFonts w:asciiTheme="majorHAnsi" w:hAnsiTheme="majorHAnsi"/>
          <w:b/>
          <w:sz w:val="20"/>
          <w:szCs w:val="20"/>
          <w:lang w:val="es-ES"/>
        </w:rPr>
        <w:tab/>
      </w:r>
      <w:r w:rsidR="00867314" w:rsidRPr="009545B0">
        <w:rPr>
          <w:rFonts w:asciiTheme="majorHAnsi" w:hAnsiTheme="majorHAnsi"/>
          <w:b/>
          <w:sz w:val="20"/>
          <w:szCs w:val="20"/>
          <w:lang w:val="es-ES"/>
        </w:rPr>
        <w:t>POSICIÓN DE LAS PARTES</w:t>
      </w:r>
    </w:p>
    <w:p w14:paraId="2A660EEC" w14:textId="09C904A4" w:rsidR="00DF7BCF" w:rsidRPr="00DF7BCF" w:rsidRDefault="00DF7BCF" w:rsidP="00F328EA">
      <w:pPr>
        <w:spacing w:before="240" w:after="240"/>
        <w:ind w:firstLine="720"/>
        <w:jc w:val="both"/>
        <w:rPr>
          <w:rFonts w:ascii="Cambria" w:hAnsi="Cambria"/>
          <w:b/>
          <w:bCs/>
          <w:sz w:val="20"/>
          <w:szCs w:val="20"/>
          <w:lang w:val="es-ES"/>
        </w:rPr>
      </w:pPr>
      <w:r w:rsidRPr="00DF7BCF">
        <w:rPr>
          <w:rFonts w:ascii="Cambria" w:hAnsi="Cambria"/>
          <w:b/>
          <w:bCs/>
          <w:sz w:val="20"/>
          <w:szCs w:val="20"/>
          <w:lang w:val="es-ES"/>
        </w:rPr>
        <w:t>La parte peticionaria</w:t>
      </w:r>
    </w:p>
    <w:p w14:paraId="5287EF93" w14:textId="734C95EA" w:rsidR="00DF7BCF" w:rsidRPr="00DF7BCF" w:rsidRDefault="00DF7BCF" w:rsidP="00F328EA">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DF7BCF">
        <w:rPr>
          <w:rFonts w:ascii="Cambria" w:hAnsi="Cambria"/>
          <w:sz w:val="20"/>
          <w:szCs w:val="20"/>
          <w:lang w:val="es-ES"/>
        </w:rPr>
        <w:t xml:space="preserve"> El señor García Elizondo, en su condición de peticionario y presunta víctima, cuestiona su detención, acusación y condena por el delito de posesión de drogas, alegando que no cometió tal crimen y que no contó con un recurso efectivo para cuestionar su condena. Asimismo, refiere que sufrió actos de tortura durante su detención.</w:t>
      </w:r>
    </w:p>
    <w:p w14:paraId="43FEC254" w14:textId="77777777" w:rsidR="00DF7BCF" w:rsidRPr="00DF7BCF" w:rsidRDefault="00DF7BCF" w:rsidP="00F328E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720"/>
        <w:jc w:val="both"/>
        <w:rPr>
          <w:rFonts w:ascii="Cambria" w:hAnsi="Cambria"/>
          <w:i/>
          <w:iCs/>
          <w:sz w:val="20"/>
          <w:szCs w:val="20"/>
          <w:lang w:val="es-ES"/>
        </w:rPr>
      </w:pPr>
      <w:r w:rsidRPr="00DF7BCF">
        <w:rPr>
          <w:rFonts w:ascii="Cambria" w:hAnsi="Cambria"/>
          <w:i/>
          <w:iCs/>
          <w:sz w:val="20"/>
          <w:szCs w:val="20"/>
          <w:lang w:val="es-ES"/>
        </w:rPr>
        <w:t>Primer proceso penal</w:t>
      </w:r>
    </w:p>
    <w:p w14:paraId="6FD99AFF" w14:textId="623B00C7" w:rsidR="00DF7BCF" w:rsidRPr="00DF7BCF" w:rsidRDefault="00DF7BCF" w:rsidP="00F328EA">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DF7BCF">
        <w:rPr>
          <w:rFonts w:ascii="Cambria" w:hAnsi="Cambria"/>
          <w:sz w:val="20"/>
          <w:szCs w:val="20"/>
          <w:lang w:val="es-ES"/>
        </w:rPr>
        <w:t>Indica que fue procesado por el delito de infracción a la Ley de Psicotrópicos, específicamente por la modalidad de posesión de drogas para el comercio ilícito a nivel internacional. En ese marco, señala que el 1 de octubre de 2010 el Tribunal Penal de Juicio de Puntarenas lo condenó inicialmente a 12 años de prisión, mediante la sentencia No. 306-P-2010. Sin embargo, recurrió esta decisión mediante un recurso de casación</w:t>
      </w:r>
      <w:r w:rsidR="00FB4EDA">
        <w:rPr>
          <w:rFonts w:ascii="Cambria" w:hAnsi="Cambria"/>
          <w:sz w:val="20"/>
          <w:szCs w:val="20"/>
          <w:lang w:val="es-ES"/>
        </w:rPr>
        <w:t>,</w:t>
      </w:r>
      <w:r w:rsidRPr="00DF7BCF">
        <w:rPr>
          <w:rFonts w:ascii="Cambria" w:hAnsi="Cambria"/>
          <w:sz w:val="20"/>
          <w:szCs w:val="20"/>
          <w:lang w:val="es-ES"/>
        </w:rPr>
        <w:t xml:space="preserve"> y en respuesta el 11 de mayo de 2011 el Tribunal de Casación Penal de San Ramón anuló el fallo mediante resolución No. 2011-000164 y ordenó que se emitiera una nueva decisión.</w:t>
      </w:r>
    </w:p>
    <w:p w14:paraId="72A890AF" w14:textId="77777777" w:rsidR="00DF7BCF" w:rsidRPr="00DF7BCF" w:rsidRDefault="00DF7BCF" w:rsidP="00F328E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720"/>
        <w:jc w:val="both"/>
        <w:rPr>
          <w:rFonts w:ascii="Cambria" w:hAnsi="Cambria"/>
          <w:i/>
          <w:iCs/>
          <w:sz w:val="20"/>
          <w:szCs w:val="20"/>
          <w:lang w:val="es-ES"/>
        </w:rPr>
      </w:pPr>
      <w:r w:rsidRPr="00DF7BCF">
        <w:rPr>
          <w:rFonts w:ascii="Cambria" w:hAnsi="Cambria"/>
          <w:i/>
          <w:iCs/>
          <w:sz w:val="20"/>
          <w:szCs w:val="20"/>
          <w:lang w:val="es-ES"/>
        </w:rPr>
        <w:t>Reinicio del proceso penal</w:t>
      </w:r>
    </w:p>
    <w:p w14:paraId="31981F7D" w14:textId="73D906A7" w:rsidR="00DF7BCF" w:rsidRPr="00DF7BCF" w:rsidRDefault="00DF7BCF" w:rsidP="00F328EA">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DF7BCF">
        <w:rPr>
          <w:rFonts w:ascii="Cambria" w:hAnsi="Cambria"/>
          <w:sz w:val="20"/>
          <w:szCs w:val="20"/>
          <w:lang w:val="es-ES"/>
        </w:rPr>
        <w:t>Como resultado, precisa que el 2 de marzo de 2012 el Tribunal Penal de Puntarenas dictó una nueva sentencia (No. 37-P-2012) y volvió a condenarlo a 12 años de prisión. Afirma que su defensora apeló esta determinación, planteando que: (i) el fallo se basó en unas intervenciones telefónicas ilegales, las que a su vez sustentaron otras pruebas utilizadas de manera ilegal en el proceso, por lo que debían ser declaradas ineficaces, incluida la sentencia; (ii) hubo una violación al principio in dubio pro reo, puesto que no es sino hasta el día en que el Sr. García fue detenido que lo involucran en el caso, además de que no se logró determinar su participación con la banda; y (iii) se presentó una falta de fundamentación de la pena, al ser contraria a los principios de razonabilidad y proporcionalidad.</w:t>
      </w:r>
    </w:p>
    <w:p w14:paraId="05A20532" w14:textId="1C801E73" w:rsidR="00DF7BCF" w:rsidRPr="00DF7BCF" w:rsidRDefault="00DF7BCF" w:rsidP="00F328EA">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DF7BCF">
        <w:rPr>
          <w:rFonts w:ascii="Cambria" w:hAnsi="Cambria"/>
          <w:sz w:val="20"/>
          <w:szCs w:val="20"/>
          <w:lang w:val="es-ES"/>
        </w:rPr>
        <w:t>Sin embargo, el 26 de julio de 2012 la Sección Tercera del Tribunal de Apelación de Sentencia del Tercer Circuito Judicial de Alajuela, a través de la resolución No. 2012-00576, decidió declarar sin lugar el citado recurso, señalando que: (i) se pudo constatar en el expediente que la prueba derivaba de un mandato judicial que tuvo como sustento una investigación realizada por la policía; (ii) la sentencia señaló cuál fue su grado de intervención y participación en el delito; y (iii) el tribunal realizó un análisis del delito cometido y de por qué se le impuso una pena menor que a los otros imputados.</w:t>
      </w:r>
    </w:p>
    <w:p w14:paraId="32F91E29" w14:textId="01EA994A" w:rsidR="00DF7BCF" w:rsidRPr="00DF7BCF" w:rsidRDefault="00DF7BCF" w:rsidP="00F328EA">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DF7BCF">
        <w:rPr>
          <w:rFonts w:ascii="Cambria" w:hAnsi="Cambria"/>
          <w:sz w:val="20"/>
          <w:szCs w:val="20"/>
          <w:lang w:val="es-ES"/>
        </w:rPr>
        <w:t xml:space="preserve">Ante esto, señala que su defensora particular presentó un recurso de casación, alegando: (i) violación al derecho de defensa al validarse pruebas espurias sin una debida fundamentación; (ii) violación al principio de inocencia y no aplicación del principio in dubio </w:t>
      </w:r>
      <w:r w:rsidRPr="003E13F1">
        <w:rPr>
          <w:rFonts w:ascii="Cambria" w:hAnsi="Cambria"/>
          <w:i/>
          <w:iCs/>
          <w:sz w:val="20"/>
          <w:szCs w:val="20"/>
          <w:lang w:val="es-ES"/>
        </w:rPr>
        <w:t>pro reo</w:t>
      </w:r>
      <w:r w:rsidRPr="00DF7BCF">
        <w:rPr>
          <w:rFonts w:ascii="Cambria" w:hAnsi="Cambria"/>
          <w:sz w:val="20"/>
          <w:szCs w:val="20"/>
          <w:lang w:val="es-ES"/>
        </w:rPr>
        <w:t>, pues existía duda razonable de que él hubiese participado en los hechos por los que fue condenado; y (iii) falta de fundamentación de la pena. No obstante, el 5 de diciembre de 2012 la Sala Tercera de la Corte Suprema de Justicia, mediante resolución No. 2012-01782, lo inadmitió, pues el escrito no se ajustaba a los supuestos establecidos en el numeral 468 del Código Procesal Penal, ya que se sustentó en la violación al debido proceso, además de que se replicaban los mismos reclamos ya planteados en la apelación.</w:t>
      </w:r>
    </w:p>
    <w:p w14:paraId="00A8EF21" w14:textId="77777777" w:rsidR="00DF7BCF" w:rsidRDefault="00DF7BCF" w:rsidP="00F328EA">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DF7BCF">
        <w:rPr>
          <w:rFonts w:ascii="Cambria" w:hAnsi="Cambria"/>
          <w:sz w:val="20"/>
          <w:szCs w:val="20"/>
          <w:lang w:val="es-ES"/>
        </w:rPr>
        <w:t>Finalmente, indica que el 13 de junio de 2016 inició un procedimiento de revisión contra la sentencia No. 37-P-2012 del 2 de marzo de 2012, solicitando el examen integral del fallo, así como su absolución y la condena al Estado por el daño causado. No obstante, el 9 de septiembre de 2016 la Sala Tercera de la Corte Suprema de Justicia inadmitió el procedimiento al no cumplir con los requisitos formales para su interposición, además de que se alegaban asuntos de debido proceso, supuesto que no estaba contemplado en las causales de admisibilidad de acuerdo con el artículo 411 del Código Procesal Penal.</w:t>
      </w:r>
    </w:p>
    <w:p w14:paraId="182035AE" w14:textId="77777777" w:rsidR="00BF11CD" w:rsidRDefault="00BF11CD" w:rsidP="00F328EA">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i/>
          <w:iCs/>
          <w:sz w:val="20"/>
          <w:szCs w:val="20"/>
          <w:lang w:val="es-ES"/>
        </w:rPr>
      </w:pPr>
    </w:p>
    <w:p w14:paraId="7F22648D" w14:textId="77777777" w:rsidR="00BF11CD" w:rsidRDefault="00BF11CD" w:rsidP="00F328EA">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i/>
          <w:iCs/>
          <w:sz w:val="20"/>
          <w:szCs w:val="20"/>
          <w:lang w:val="es-ES"/>
        </w:rPr>
      </w:pPr>
    </w:p>
    <w:p w14:paraId="1A30E088" w14:textId="26B815A0" w:rsidR="00DF7BCF" w:rsidRPr="00CA173E" w:rsidRDefault="00DF7BCF" w:rsidP="00F328EA">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i/>
          <w:iCs/>
          <w:sz w:val="20"/>
          <w:szCs w:val="20"/>
          <w:lang w:val="es-ES"/>
        </w:rPr>
      </w:pPr>
      <w:r w:rsidRPr="00DF7BCF">
        <w:rPr>
          <w:i/>
          <w:iCs/>
          <w:sz w:val="20"/>
          <w:szCs w:val="20"/>
          <w:lang w:val="es-ES"/>
        </w:rPr>
        <w:lastRenderedPageBreak/>
        <w:t>Sobre sus condiciones carcelarias</w:t>
      </w:r>
    </w:p>
    <w:p w14:paraId="4C64903D" w14:textId="39663051" w:rsidR="00DF7BCF" w:rsidRPr="00DF7BCF" w:rsidRDefault="00E04408" w:rsidP="00F328EA">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Pr>
          <w:rFonts w:ascii="Cambria" w:hAnsi="Cambria"/>
          <w:sz w:val="20"/>
          <w:szCs w:val="20"/>
          <w:lang w:val="es-ES"/>
        </w:rPr>
        <w:t>El peticionario señala</w:t>
      </w:r>
      <w:r w:rsidR="00DF7BCF" w:rsidRPr="00DF7BCF">
        <w:rPr>
          <w:rFonts w:ascii="Cambria" w:hAnsi="Cambria"/>
          <w:sz w:val="20"/>
          <w:szCs w:val="20"/>
          <w:lang w:val="es-ES"/>
        </w:rPr>
        <w:t xml:space="preserve"> que durante su estadía carcelaria fue sometido a tortura como consecuencia de informes confidenciales de posible fuga realizados por la policía, razón por la cual no habría tenido ningún beneficio penitenciario. Indica que estuvo recluido en un centro penitenciario en un ámbito de alta contención y peligro en calidad de indiciado durante cuatro años. Adicionalmente, narra que fue víctima de abuso de poder por parte de cuatro oficiales, quienes le bajaron los pantalones y le introdujeron los dedos en el ano. Ante esto, señala que presentó una denuncia ante el Ministerio Público.</w:t>
      </w:r>
    </w:p>
    <w:p w14:paraId="0AFC1C83" w14:textId="77777777" w:rsidR="00DF7BCF" w:rsidRDefault="00DF7BCF" w:rsidP="00F328EA">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DF7BCF">
        <w:rPr>
          <w:rFonts w:ascii="Cambria" w:hAnsi="Cambria"/>
          <w:sz w:val="20"/>
          <w:szCs w:val="20"/>
          <w:lang w:val="es-ES"/>
        </w:rPr>
        <w:t>Asimismo, sostiene que para recibir atención médica era necesario presentar recursos de amparo, y que las condiciones de los centros carcelarios no son óptimas, pues no hay servicios sanitarios, no hay acceso a agua potable, las instalaciones están en deficientes condiciones, hay sobrepoblación, entre otros.</w:t>
      </w:r>
    </w:p>
    <w:p w14:paraId="6535AFED" w14:textId="60EB355F" w:rsidR="00DF7BCF" w:rsidRPr="00DF7BCF" w:rsidRDefault="00DF7BCF" w:rsidP="00F328EA">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i/>
          <w:iCs/>
          <w:sz w:val="20"/>
          <w:szCs w:val="20"/>
          <w:lang w:val="es-ES"/>
        </w:rPr>
      </w:pPr>
      <w:r w:rsidRPr="00DF7BCF">
        <w:rPr>
          <w:i/>
          <w:iCs/>
          <w:sz w:val="20"/>
          <w:szCs w:val="20"/>
          <w:lang w:val="es-ES"/>
        </w:rPr>
        <w:t>Alegatos finales</w:t>
      </w:r>
    </w:p>
    <w:p w14:paraId="0827C296" w14:textId="202C9795" w:rsidR="00DF7BCF" w:rsidRPr="00DF7BCF" w:rsidRDefault="00DF7BCF" w:rsidP="00F328EA">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DF7BCF">
        <w:rPr>
          <w:rFonts w:ascii="Cambria" w:hAnsi="Cambria"/>
          <w:sz w:val="20"/>
          <w:szCs w:val="20"/>
          <w:lang w:val="es-ES"/>
        </w:rPr>
        <w:t xml:space="preserve">Con base en las consideraciones de hecho previamente expuestas, el peticionario denuncia que es víctima de lo que denomina un “montaje judicial” por parte de la Policía Judicial, fiscalía, jueces de juicio, jueces de apelación y magistrados, pues afirma que sin ningún tipo de </w:t>
      </w:r>
      <w:r w:rsidR="002B0C28" w:rsidRPr="00DF7BCF">
        <w:rPr>
          <w:rFonts w:ascii="Cambria" w:hAnsi="Cambria"/>
          <w:sz w:val="20"/>
          <w:szCs w:val="20"/>
          <w:lang w:val="es-ES"/>
        </w:rPr>
        <w:t>prueba</w:t>
      </w:r>
      <w:r w:rsidRPr="00DF7BCF">
        <w:rPr>
          <w:rFonts w:ascii="Cambria" w:hAnsi="Cambria"/>
          <w:sz w:val="20"/>
          <w:szCs w:val="20"/>
          <w:lang w:val="es-ES"/>
        </w:rPr>
        <w:t xml:space="preserve"> fue detenido y condenado por un delito que no cometió, bajo la única justificación de ser el hermano de uno de los miembros de una banda de traficantes y por ser extranjero. Asimismo, señala que los abogados que ejercieron su representación judicial lo estafaron, pues de mutuo acuerdo con la fiscalía habrían hecho que se profiriera una sentencia condenatoria, aunque él sea inocente.</w:t>
      </w:r>
    </w:p>
    <w:p w14:paraId="2D2D1CE2" w14:textId="53DD4F3F" w:rsidR="00DF7BCF" w:rsidRPr="00DF7BCF" w:rsidRDefault="00C01704" w:rsidP="00F328EA">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Pr>
          <w:rFonts w:ascii="Cambria" w:hAnsi="Cambria"/>
          <w:sz w:val="20"/>
          <w:szCs w:val="20"/>
          <w:lang w:val="es-ES"/>
        </w:rPr>
        <w:t>En cuanto al</w:t>
      </w:r>
      <w:r w:rsidR="00DF7BCF" w:rsidRPr="00DF7BCF">
        <w:rPr>
          <w:rFonts w:ascii="Cambria" w:hAnsi="Cambria"/>
          <w:sz w:val="20"/>
          <w:szCs w:val="20"/>
          <w:lang w:val="es-ES"/>
        </w:rPr>
        <w:t xml:space="preserve"> agotamiento de los recursos internos, el Sr. García afirma que no contó con un recurso que satisfaga los requisitos del artículo 8.2.h), pues estos fueron limitados, restringidos y formalistas. Asimismo, cuestiona que no gozó del recurso de revisión, pues la ley procesal no permite su presentación para su caso. Respecto del recurso de casación, indica que es inoperante e innecesario.</w:t>
      </w:r>
    </w:p>
    <w:p w14:paraId="10BB90A5" w14:textId="58182177" w:rsidR="00DF7BCF" w:rsidRPr="00DF7BCF" w:rsidRDefault="00DF7BCF" w:rsidP="00F328EA">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DF7BCF">
        <w:rPr>
          <w:rFonts w:ascii="Cambria" w:hAnsi="Cambria"/>
          <w:sz w:val="20"/>
          <w:szCs w:val="20"/>
          <w:lang w:val="es-ES"/>
        </w:rPr>
        <w:t xml:space="preserve">Finalmente, informa que acepta un acuerdo de solución amistosa siempre y cuando el Estado pague por el daño ocasionado, avaluado en una indemnización de doce millones de dólares. Agrega que, en materia de reparaciones y costas, considera los daños causados por la suma de </w:t>
      </w:r>
      <w:r w:rsidR="002D6293">
        <w:rPr>
          <w:rFonts w:ascii="Cambria" w:hAnsi="Cambria"/>
          <w:sz w:val="20"/>
          <w:szCs w:val="20"/>
          <w:lang w:val="es-ES"/>
        </w:rPr>
        <w:t>setenta millones de dólares</w:t>
      </w:r>
      <w:r w:rsidRPr="00DF7BCF">
        <w:rPr>
          <w:rFonts w:ascii="Cambria" w:hAnsi="Cambria"/>
          <w:sz w:val="20"/>
          <w:szCs w:val="20"/>
          <w:lang w:val="es-ES"/>
        </w:rPr>
        <w:t>.</w:t>
      </w:r>
    </w:p>
    <w:p w14:paraId="13BF34CE" w14:textId="27F16B03" w:rsidR="00DF7BCF" w:rsidRPr="002717C2" w:rsidRDefault="002717C2" w:rsidP="00F328E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720"/>
        <w:jc w:val="both"/>
        <w:rPr>
          <w:rFonts w:ascii="Cambria" w:hAnsi="Cambria"/>
          <w:b/>
          <w:bCs/>
          <w:sz w:val="20"/>
          <w:szCs w:val="20"/>
          <w:lang w:val="es-ES"/>
        </w:rPr>
      </w:pPr>
      <w:r w:rsidRPr="002717C2">
        <w:rPr>
          <w:rFonts w:ascii="Cambria" w:hAnsi="Cambria"/>
          <w:b/>
          <w:bCs/>
          <w:sz w:val="20"/>
          <w:szCs w:val="20"/>
          <w:lang w:val="es-ES"/>
        </w:rPr>
        <w:t>E</w:t>
      </w:r>
      <w:r w:rsidR="00DF7BCF" w:rsidRPr="002717C2">
        <w:rPr>
          <w:rFonts w:ascii="Cambria" w:hAnsi="Cambria"/>
          <w:b/>
          <w:bCs/>
          <w:sz w:val="20"/>
          <w:szCs w:val="20"/>
          <w:lang w:val="es-ES"/>
        </w:rPr>
        <w:t>l Estado costarricense</w:t>
      </w:r>
    </w:p>
    <w:p w14:paraId="66A13DCE" w14:textId="7B518A20" w:rsidR="00DF7BCF" w:rsidRPr="00DF7BCF" w:rsidRDefault="00DF7BCF" w:rsidP="00F328EA">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DF7BCF">
        <w:rPr>
          <w:rFonts w:ascii="Cambria" w:hAnsi="Cambria"/>
          <w:sz w:val="20"/>
          <w:szCs w:val="20"/>
          <w:lang w:val="es-ES"/>
        </w:rPr>
        <w:t>Por su parte, Costa Rica replica que el peticionario no agotó la vía interna al momento de interponer la petición ante la CIDH, pues no utilizó de forma adecuada los diversos recursos y procedimientos que ofrece el sistema penal nacional. Asimismo, respecto de los alegatos de tortura, arguye que el Sr. García no utilizó los recursos constitucionales, como el amparo o hábeas corpus, ni los mecanismos procesales adecuados para plantear sus reclamos en el respectivo proceso penal.</w:t>
      </w:r>
    </w:p>
    <w:p w14:paraId="19F1B066" w14:textId="6C33B1DD" w:rsidR="00DF7BCF" w:rsidRPr="00DF7BCF" w:rsidRDefault="00DF7BCF" w:rsidP="00F328EA">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DF7BCF">
        <w:rPr>
          <w:rFonts w:ascii="Cambria" w:hAnsi="Cambria"/>
          <w:sz w:val="20"/>
          <w:szCs w:val="20"/>
          <w:lang w:val="es-ES"/>
        </w:rPr>
        <w:t xml:space="preserve">Adicionalmente, aduce que la petición se presentó de manera extemporánea. </w:t>
      </w:r>
      <w:r w:rsidR="000A7A46">
        <w:rPr>
          <w:rFonts w:ascii="Cambria" w:hAnsi="Cambria"/>
          <w:sz w:val="20"/>
          <w:szCs w:val="20"/>
          <w:lang w:val="es-ES"/>
        </w:rPr>
        <w:t xml:space="preserve">Plantea que </w:t>
      </w:r>
      <w:r w:rsidRPr="00DF7BCF">
        <w:rPr>
          <w:rFonts w:ascii="Cambria" w:hAnsi="Cambria"/>
          <w:sz w:val="20"/>
          <w:szCs w:val="20"/>
          <w:lang w:val="es-ES"/>
        </w:rPr>
        <w:t>si se considera que el recurso de apelación de sentencia agotó la vía interna, este fue declarado sin lugar por el Tribunal de Apelación de Sentencia el 26 de julio de 2012, a través de la resolución No. 2012-00576, notificada el 30 de julio de 2012. Asimismo, si se considera que el recurso de casación fue el que agotó la vía interna, este fue presentado el 22 de agosto de 2012</w:t>
      </w:r>
      <w:r w:rsidR="00C80326">
        <w:rPr>
          <w:rFonts w:ascii="Cambria" w:hAnsi="Cambria"/>
          <w:sz w:val="20"/>
          <w:szCs w:val="20"/>
          <w:lang w:val="es-ES"/>
        </w:rPr>
        <w:t>,</w:t>
      </w:r>
      <w:r w:rsidRPr="00DF7BCF">
        <w:rPr>
          <w:rFonts w:ascii="Cambria" w:hAnsi="Cambria"/>
          <w:sz w:val="20"/>
          <w:szCs w:val="20"/>
          <w:lang w:val="es-ES"/>
        </w:rPr>
        <w:t xml:space="preserve"> y declarado inadmisible por la Sala Tercera de la Corte Suprema de Justicia en la resolución No. 2012-01782 del 5 de diciembre de 2012.</w:t>
      </w:r>
      <w:r w:rsidR="00A56E33">
        <w:rPr>
          <w:rFonts w:ascii="Cambria" w:hAnsi="Cambria"/>
          <w:sz w:val="20"/>
          <w:szCs w:val="20"/>
          <w:lang w:val="es-ES"/>
        </w:rPr>
        <w:t xml:space="preserve"> Así, c</w:t>
      </w:r>
      <w:r w:rsidRPr="00DF7BCF">
        <w:rPr>
          <w:rFonts w:ascii="Cambria" w:hAnsi="Cambria"/>
          <w:sz w:val="20"/>
          <w:szCs w:val="20"/>
          <w:lang w:val="es-ES"/>
        </w:rPr>
        <w:t xml:space="preserve">onsiderando que la petición se presentó el 10 de mayo de 2016, </w:t>
      </w:r>
      <w:r w:rsidR="00C80326">
        <w:rPr>
          <w:rFonts w:ascii="Cambria" w:hAnsi="Cambria"/>
          <w:sz w:val="20"/>
          <w:szCs w:val="20"/>
          <w:lang w:val="es-ES"/>
        </w:rPr>
        <w:t>esta excedería</w:t>
      </w:r>
      <w:r w:rsidRPr="00DF7BCF">
        <w:rPr>
          <w:rFonts w:ascii="Cambria" w:hAnsi="Cambria"/>
          <w:sz w:val="20"/>
          <w:szCs w:val="20"/>
          <w:lang w:val="es-ES"/>
        </w:rPr>
        <w:t xml:space="preserve"> el plazo de seis meses establecido en el artículo 46.1.b) de la Convención por más de tres años en ambos supuestos.</w:t>
      </w:r>
    </w:p>
    <w:p w14:paraId="3DB6BD6B" w14:textId="728A77E7" w:rsidR="00DF7BCF" w:rsidRPr="00DF7BCF" w:rsidRDefault="00DF7BCF" w:rsidP="00F328EA">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DF7BCF">
        <w:rPr>
          <w:rFonts w:ascii="Cambria" w:hAnsi="Cambria"/>
          <w:sz w:val="20"/>
          <w:szCs w:val="20"/>
          <w:lang w:val="es-ES"/>
        </w:rPr>
        <w:t xml:space="preserve">Sin perjuicio de lo señalado previamente, en caso de que la CIDH </w:t>
      </w:r>
      <w:r w:rsidR="00A54A9B">
        <w:rPr>
          <w:rFonts w:ascii="Cambria" w:hAnsi="Cambria"/>
          <w:sz w:val="20"/>
          <w:szCs w:val="20"/>
          <w:lang w:val="es-ES"/>
        </w:rPr>
        <w:t>estim</w:t>
      </w:r>
      <w:r w:rsidR="00447A3E">
        <w:rPr>
          <w:rFonts w:ascii="Cambria" w:hAnsi="Cambria"/>
          <w:sz w:val="20"/>
          <w:szCs w:val="20"/>
          <w:lang w:val="es-ES"/>
        </w:rPr>
        <w:t>e</w:t>
      </w:r>
      <w:r w:rsidRPr="00DF7BCF">
        <w:rPr>
          <w:rFonts w:ascii="Cambria" w:hAnsi="Cambria"/>
          <w:sz w:val="20"/>
          <w:szCs w:val="20"/>
          <w:lang w:val="es-ES"/>
        </w:rPr>
        <w:t xml:space="preserve"> que la petición cumple con el requisito de agotamiento de los recursos internos, el Estado </w:t>
      </w:r>
      <w:r w:rsidR="00A54A9B">
        <w:rPr>
          <w:rFonts w:ascii="Cambria" w:hAnsi="Cambria"/>
          <w:sz w:val="20"/>
          <w:szCs w:val="20"/>
          <w:lang w:val="es-ES"/>
        </w:rPr>
        <w:t>dice</w:t>
      </w:r>
      <w:r w:rsidRPr="00DF7BCF">
        <w:rPr>
          <w:rFonts w:ascii="Cambria" w:hAnsi="Cambria"/>
          <w:sz w:val="20"/>
          <w:szCs w:val="20"/>
          <w:lang w:val="es-ES"/>
        </w:rPr>
        <w:t xml:space="preserve"> que esta seguiría siendo inadmisible, dado que los hechos denunciados no configuran vulneraciones de derechos humanos</w:t>
      </w:r>
      <w:r w:rsidR="009E05F1">
        <w:rPr>
          <w:rFonts w:ascii="Cambria" w:hAnsi="Cambria"/>
          <w:sz w:val="20"/>
          <w:szCs w:val="20"/>
          <w:lang w:val="es-ES"/>
        </w:rPr>
        <w:t>.</w:t>
      </w:r>
      <w:r w:rsidRPr="00DF7BCF">
        <w:rPr>
          <w:rFonts w:ascii="Cambria" w:hAnsi="Cambria"/>
          <w:sz w:val="20"/>
          <w:szCs w:val="20"/>
          <w:lang w:val="es-ES"/>
        </w:rPr>
        <w:t xml:space="preserve"> Por el contrario, argumenta que la parte peticionaria busca que la Comisión actúe como una cuarta instancia judicial, pretendiendo que revise valoraciones de hecho y de derecho efectuadas por los jueces y tribunales nacionales dentro del ejercicio legítimo de su competencia.</w:t>
      </w:r>
    </w:p>
    <w:p w14:paraId="21272AFD" w14:textId="2EE8A7AC" w:rsidR="00DF7BCF" w:rsidRPr="009F0EB2" w:rsidRDefault="009E05F1" w:rsidP="00F328EA">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Pr>
          <w:rFonts w:ascii="Cambria" w:hAnsi="Cambria"/>
          <w:sz w:val="20"/>
          <w:szCs w:val="20"/>
          <w:lang w:val="es-ES"/>
        </w:rPr>
        <w:lastRenderedPageBreak/>
        <w:t>Costa Rica e</w:t>
      </w:r>
      <w:r w:rsidR="00DF7BCF" w:rsidRPr="00DF7BCF">
        <w:rPr>
          <w:rFonts w:ascii="Cambria" w:hAnsi="Cambria"/>
          <w:sz w:val="20"/>
          <w:szCs w:val="20"/>
          <w:lang w:val="es-ES"/>
        </w:rPr>
        <w:t>xplica, a modo de antecedente, que el Sr. García utilizó el recurso de apelación de sentencia de la Ley No. 8837, vigente a partir del 9 de diciembre de 2011, mediante la cual se reformó el sistema procesal penal costarricense, con el objeto de dar cumplimiento a lo ordenado por la Corte Interamericana de Derechos Humanos en la sentencia del 2 de julio de 2004, dictada en el caso Herrera Ulloa vs. Costa Rica. En ese sentido, señala que los alegatos del peticionario relativos a la violación del artículo 8.2.h) de la Convención versan sobre una generalidad y no sobre agravios concretos. Así, estima Costa Rica que el recurso de apelación es ordinario, amplio, flexible e informal, con el que se procura la revisión integral de los aspectos valorados en el fallo, lo cual se ajusta a los parámetros interamericanos.</w:t>
      </w:r>
      <w:r w:rsidR="009F0EB2">
        <w:rPr>
          <w:rFonts w:ascii="Cambria" w:hAnsi="Cambria"/>
          <w:sz w:val="20"/>
          <w:szCs w:val="20"/>
          <w:lang w:val="es-ES"/>
        </w:rPr>
        <w:t xml:space="preserve"> </w:t>
      </w:r>
      <w:r w:rsidR="00DF7BCF" w:rsidRPr="009F0EB2">
        <w:rPr>
          <w:rFonts w:ascii="Cambria" w:hAnsi="Cambria"/>
          <w:sz w:val="20"/>
          <w:szCs w:val="20"/>
          <w:lang w:val="es-ES"/>
        </w:rPr>
        <w:t xml:space="preserve">Así, </w:t>
      </w:r>
      <w:r w:rsidR="00294182" w:rsidRPr="009F0EB2">
        <w:rPr>
          <w:rFonts w:ascii="Cambria" w:hAnsi="Cambria"/>
          <w:sz w:val="20"/>
          <w:szCs w:val="20"/>
          <w:lang w:val="es-ES"/>
        </w:rPr>
        <w:t>considera</w:t>
      </w:r>
      <w:r w:rsidR="00DF7BCF" w:rsidRPr="009F0EB2">
        <w:rPr>
          <w:rFonts w:ascii="Cambria" w:hAnsi="Cambria"/>
          <w:sz w:val="20"/>
          <w:szCs w:val="20"/>
          <w:lang w:val="es-ES"/>
        </w:rPr>
        <w:t xml:space="preserve"> que el peticionario pretende reabrir una discusión zanjada por la Corte IDH en la resolución del caso Amrhein y otros vs. Costa Rica, de 25 de abril de 2018, cuestionando de forma genérica y temeraria la reforma procesal contenida en las leyes 8503 y 8837.</w:t>
      </w:r>
    </w:p>
    <w:p w14:paraId="472CEF09" w14:textId="367CD2D8" w:rsidR="00DF7BCF" w:rsidRPr="00DF7BCF" w:rsidRDefault="00DF7BCF" w:rsidP="00F328EA">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DF7BCF">
        <w:rPr>
          <w:rFonts w:ascii="Cambria" w:hAnsi="Cambria"/>
          <w:sz w:val="20"/>
          <w:szCs w:val="20"/>
          <w:lang w:val="es-ES"/>
        </w:rPr>
        <w:t>Acerca de la alegada lesión a los derechos a las garantías judiciales y a la tutela judicial efectiva derivados del proceso penal, el Estado sostiene que estos reclamos se conocieron respetando el debido proceso y fueron debidamente atendidos en la resolución No. 2012-00576, de 26 de julio de 2012, proferida por el Tribunal de Apelación de Sentencia del Tercer Circuito Judicial de Alajuela. Además, señala que la parte peticionaria no utilizó el recurso de casación en debida forma, pues lo hizo procurando una nueva revisión.</w:t>
      </w:r>
    </w:p>
    <w:p w14:paraId="7E6F95B1" w14:textId="4B9DB529" w:rsidR="00DF7BCF" w:rsidRPr="00DF7BCF" w:rsidRDefault="00DF7BCF" w:rsidP="00F328EA">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DF7BCF">
        <w:rPr>
          <w:rFonts w:ascii="Cambria" w:hAnsi="Cambria"/>
          <w:sz w:val="20"/>
          <w:szCs w:val="20"/>
          <w:lang w:val="es-ES"/>
        </w:rPr>
        <w:t>En cuanto a la alegada lesión al derecho a la salud, Costa Rica sostiene que el 6 de noviembre de 2015 y el 18 de febrero de 2016 el Sr. García presentó recursos de amparo, a través de los cuales, por decisión de la Sala Constitucional de la Corte Suprema de Justicia, fueron declarados con lugar y se subsanaron las lesiones a su salud. Por su parte, respecto del recurso de amparo presentado el 12 de abril de 2016 por los hechos ocurridos el 6 de abril de 2016, en los cuales guardias penitenciarios utilizaron gas pimienta y gas mostaza para detener hechos de violencia generados entre estos y personas privadas de la libertad, los cuales derivaron en afectaciones a su salud que no fueron atendidas oportunamente, al momento de presentar la petición ante la CIDH el peticionario no había sido notificado de la resolución No. 2016006397 del 13 de mayo de 2016, mediante la cual la Sala Constitucional declaró sin lugar el recurso, al considerar que no estaba debidamente sustentado.</w:t>
      </w:r>
    </w:p>
    <w:p w14:paraId="087BA6B8" w14:textId="77777777" w:rsidR="00CF6E6E" w:rsidRPr="007653D8" w:rsidRDefault="00CF6E6E" w:rsidP="00F328EA">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b/>
          <w:sz w:val="20"/>
          <w:szCs w:val="20"/>
          <w:lang w:val="es-ES_tradnl"/>
        </w:rPr>
      </w:pPr>
      <w:bookmarkStart w:id="2" w:name="_Hlk214966445"/>
      <w:r w:rsidRPr="007653D8">
        <w:rPr>
          <w:rFonts w:asciiTheme="majorHAnsi" w:hAnsiTheme="majorHAnsi"/>
          <w:b/>
          <w:sz w:val="20"/>
          <w:szCs w:val="20"/>
          <w:lang w:val="es-ES_tradnl"/>
        </w:rPr>
        <w:t xml:space="preserve">VI. </w:t>
      </w:r>
      <w:r w:rsidRPr="007653D8">
        <w:rPr>
          <w:rFonts w:asciiTheme="majorHAnsi" w:hAnsiTheme="majorHAnsi"/>
          <w:b/>
          <w:sz w:val="20"/>
          <w:szCs w:val="20"/>
          <w:lang w:val="es-ES_tradnl"/>
        </w:rPr>
        <w:tab/>
        <w:t>CONSIDERACIONES PREVIAS</w:t>
      </w:r>
    </w:p>
    <w:p w14:paraId="0AB786C3" w14:textId="70DF82E1" w:rsidR="00CF6E6E" w:rsidRPr="007653D8" w:rsidRDefault="00CF6E6E" w:rsidP="00F328EA">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bCs/>
          <w:sz w:val="20"/>
          <w:szCs w:val="20"/>
          <w:lang w:val="es-ES_tradnl"/>
        </w:rPr>
      </w:pPr>
      <w:r w:rsidRPr="007653D8">
        <w:rPr>
          <w:rFonts w:ascii="Cambria" w:hAnsi="Cambria"/>
          <w:sz w:val="20"/>
          <w:szCs w:val="20"/>
          <w:lang w:val="es-ES_tradnl"/>
        </w:rPr>
        <w:t xml:space="preserve"> </w:t>
      </w:r>
      <w:r w:rsidRPr="007653D8">
        <w:rPr>
          <w:rFonts w:asciiTheme="majorHAnsi" w:hAnsiTheme="majorHAnsi"/>
          <w:bCs/>
          <w:sz w:val="20"/>
          <w:szCs w:val="20"/>
          <w:lang w:val="es-ES_tradnl"/>
        </w:rPr>
        <w:t xml:space="preserve">La Comisión observa que </w:t>
      </w:r>
      <w:r w:rsidR="00515B7E">
        <w:rPr>
          <w:rFonts w:asciiTheme="majorHAnsi" w:hAnsiTheme="majorHAnsi"/>
          <w:bCs/>
          <w:sz w:val="20"/>
          <w:szCs w:val="20"/>
          <w:lang w:val="es-ES_tradnl"/>
        </w:rPr>
        <w:t>parte del objeto central de la presente petición está referido a la posible</w:t>
      </w:r>
      <w:r w:rsidRPr="007653D8">
        <w:rPr>
          <w:rFonts w:asciiTheme="majorHAnsi" w:hAnsiTheme="majorHAnsi"/>
          <w:bCs/>
          <w:sz w:val="20"/>
          <w:szCs w:val="20"/>
          <w:lang w:val="es-ES_tradnl"/>
        </w:rPr>
        <w:t xml:space="preserve"> la afectación al derecho a recurrir el fallo, contemplado en el artículo 8.2.h) de la Convención Americana. En razón a ello, dado que se han emitido distintas decisiones dentro del sistema interamericano sobre esta temática, en función de las modificaciones implementadas en la legislación procesal penal costarricense, la CIDH estima necesario realizar un recuento de estos pronunciamientos a efectos de identificar estándares que permitan resolver adecuadamente la presente petición. </w:t>
      </w:r>
    </w:p>
    <w:p w14:paraId="3DB996DF" w14:textId="3DC4909D" w:rsidR="00CF6E6E" w:rsidRPr="007653D8" w:rsidRDefault="00CF6E6E" w:rsidP="00F328EA">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_tradnl"/>
        </w:rPr>
      </w:pPr>
      <w:r w:rsidRPr="007653D8">
        <w:rPr>
          <w:rFonts w:asciiTheme="majorHAnsi" w:hAnsiTheme="majorHAnsi"/>
          <w:bCs/>
          <w:sz w:val="20"/>
          <w:szCs w:val="20"/>
          <w:lang w:val="es-ES_tradnl"/>
        </w:rPr>
        <w:t xml:space="preserve">Así, en </w:t>
      </w:r>
      <w:r w:rsidR="005A2D76">
        <w:rPr>
          <w:rFonts w:asciiTheme="majorHAnsi" w:hAnsiTheme="majorHAnsi"/>
          <w:bCs/>
          <w:sz w:val="20"/>
          <w:szCs w:val="20"/>
          <w:lang w:val="es-ES_tradnl"/>
        </w:rPr>
        <w:t>su</w:t>
      </w:r>
      <w:r w:rsidRPr="007653D8">
        <w:rPr>
          <w:rFonts w:asciiTheme="majorHAnsi" w:hAnsiTheme="majorHAnsi"/>
          <w:bCs/>
          <w:sz w:val="20"/>
          <w:szCs w:val="20"/>
          <w:lang w:val="es-ES_tradnl"/>
        </w:rPr>
        <w:t xml:space="preserve"> sentencia del caso </w:t>
      </w:r>
      <w:r w:rsidRPr="007653D8">
        <w:rPr>
          <w:rFonts w:asciiTheme="majorHAnsi" w:hAnsiTheme="majorHAnsi"/>
          <w:bCs/>
          <w:i/>
          <w:iCs/>
          <w:sz w:val="20"/>
          <w:szCs w:val="20"/>
          <w:lang w:val="es-ES_tradnl"/>
        </w:rPr>
        <w:t xml:space="preserve">Herrera Ulloa vs. Costa Rica </w:t>
      </w:r>
      <w:r w:rsidRPr="007653D8">
        <w:rPr>
          <w:rFonts w:asciiTheme="majorHAnsi" w:hAnsiTheme="majorHAnsi"/>
          <w:bCs/>
          <w:sz w:val="20"/>
          <w:szCs w:val="20"/>
          <w:lang w:val="es-ES_tradnl"/>
        </w:rPr>
        <w:t>del 2 de julio de 2004, la Corte Interamericana de Derechos Humanos</w:t>
      </w:r>
      <w:r w:rsidRPr="007653D8">
        <w:rPr>
          <w:rStyle w:val="FootnoteReference"/>
          <w:rFonts w:asciiTheme="majorHAnsi" w:hAnsiTheme="majorHAnsi"/>
          <w:bCs/>
          <w:sz w:val="20"/>
          <w:szCs w:val="20"/>
          <w:lang w:val="es-ES_tradnl"/>
        </w:rPr>
        <w:footnoteReference w:id="3"/>
      </w:r>
      <w:r w:rsidRPr="007653D8">
        <w:rPr>
          <w:rFonts w:asciiTheme="majorHAnsi" w:hAnsiTheme="majorHAnsi"/>
          <w:bCs/>
          <w:sz w:val="20"/>
          <w:szCs w:val="20"/>
          <w:lang w:val="es-ES_tradnl"/>
        </w:rPr>
        <w:t xml:space="preserve"> examinó  la regulación establecida en el Código Procesal Penal vigente desde 1998; y concluyó que no contaba con “</w:t>
      </w:r>
      <w:r w:rsidRPr="007653D8">
        <w:rPr>
          <w:rFonts w:asciiTheme="majorHAnsi" w:hAnsiTheme="majorHAnsi"/>
          <w:bCs/>
          <w:i/>
          <w:iCs/>
          <w:sz w:val="20"/>
          <w:szCs w:val="20"/>
          <w:lang w:val="es-ES_tradnl"/>
        </w:rPr>
        <w:t xml:space="preserve">un recurso que </w:t>
      </w:r>
      <w:r w:rsidRPr="007653D8">
        <w:rPr>
          <w:rFonts w:asciiTheme="majorHAnsi" w:hAnsiTheme="majorHAnsi"/>
          <w:i/>
          <w:iCs/>
          <w:sz w:val="20"/>
          <w:szCs w:val="20"/>
          <w:lang w:val="es-ES_tradnl"/>
        </w:rPr>
        <w:t>permitiera que el tribunal superior realizara un análisis o examen comprensivo e integral de todas las cuestiones debatidas y analizadas por el tribunal inferior</w:t>
      </w:r>
      <w:r w:rsidRPr="007653D8">
        <w:rPr>
          <w:rFonts w:asciiTheme="majorHAnsi" w:hAnsiTheme="majorHAnsi"/>
          <w:sz w:val="20"/>
          <w:szCs w:val="20"/>
          <w:lang w:val="es-ES_tradnl"/>
        </w:rPr>
        <w:t>”, dada las limitaciones que tenía la regulación del recurso de casación en el ámbito penal</w:t>
      </w:r>
      <w:r w:rsidRPr="007653D8">
        <w:rPr>
          <w:rStyle w:val="FootnoteReference"/>
          <w:rFonts w:asciiTheme="majorHAnsi" w:hAnsiTheme="majorHAnsi"/>
          <w:sz w:val="20"/>
          <w:szCs w:val="20"/>
          <w:lang w:val="es-ES_tradnl"/>
        </w:rPr>
        <w:footnoteReference w:id="4"/>
      </w:r>
      <w:r w:rsidRPr="007653D8">
        <w:rPr>
          <w:rFonts w:asciiTheme="majorHAnsi" w:hAnsiTheme="majorHAnsi"/>
          <w:sz w:val="20"/>
          <w:szCs w:val="20"/>
          <w:lang w:val="es-ES_tradnl"/>
        </w:rPr>
        <w:t>. En consecuencia, la Corte IDH declaró que el Estado costarricense violó el artículo 8.2.h) de la Convención en relación con sus artículos 1.1 y 2 en perjuicio del señor Mauricio Herrera Ulloa, al no haber garantizado su derecho a recurrir el fallo; y ordenó a Costa Rica “</w:t>
      </w:r>
      <w:r w:rsidRPr="007653D8">
        <w:rPr>
          <w:rFonts w:asciiTheme="majorHAnsi" w:hAnsiTheme="majorHAnsi"/>
          <w:i/>
          <w:iCs/>
          <w:sz w:val="20"/>
          <w:szCs w:val="20"/>
          <w:lang w:val="es-ES_tradnl"/>
        </w:rPr>
        <w:t>adecuar su ordenamiento jurídico interno a lo establecido en el artículo 8.2.h de la Convención Americana, en relación con el artículo 2 de la misma</w:t>
      </w:r>
      <w:r w:rsidRPr="007653D8">
        <w:rPr>
          <w:rFonts w:asciiTheme="majorHAnsi" w:hAnsiTheme="majorHAnsi"/>
          <w:sz w:val="20"/>
          <w:szCs w:val="20"/>
          <w:lang w:val="es-ES_tradnl"/>
        </w:rPr>
        <w:t>”</w:t>
      </w:r>
      <w:r w:rsidRPr="007653D8">
        <w:rPr>
          <w:rStyle w:val="FootnoteReference"/>
          <w:rFonts w:asciiTheme="majorHAnsi" w:hAnsiTheme="majorHAnsi"/>
          <w:sz w:val="20"/>
          <w:szCs w:val="20"/>
          <w:lang w:val="es-ES_tradnl"/>
        </w:rPr>
        <w:footnoteReference w:id="5"/>
      </w:r>
      <w:r w:rsidRPr="007653D8">
        <w:rPr>
          <w:rFonts w:asciiTheme="majorHAnsi" w:hAnsiTheme="majorHAnsi"/>
          <w:sz w:val="20"/>
          <w:szCs w:val="20"/>
          <w:lang w:val="es-ES_tradnl"/>
        </w:rPr>
        <w:t>.</w:t>
      </w:r>
    </w:p>
    <w:p w14:paraId="13DDAD0D" w14:textId="09936979" w:rsidR="00CF6E6E" w:rsidRPr="007653D8" w:rsidRDefault="00CF6E6E" w:rsidP="00F328EA">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_tradnl"/>
        </w:rPr>
      </w:pPr>
      <w:r w:rsidRPr="007653D8">
        <w:rPr>
          <w:rFonts w:asciiTheme="majorHAnsi" w:hAnsiTheme="majorHAnsi"/>
          <w:bCs/>
          <w:sz w:val="20"/>
          <w:szCs w:val="20"/>
          <w:lang w:val="es-ES_tradnl"/>
        </w:rPr>
        <w:t>Como consecuencia de esta sentencia Costa Rica reformó la regulación de su sistema procesal penal a efectos de contar con una regulación acorde con las obligaciones contempladas en el artículo 8.2.h) de la Convención Americana. Así, el 6 de</w:t>
      </w:r>
      <w:r w:rsidRPr="007653D8">
        <w:rPr>
          <w:rFonts w:ascii="Cambria" w:hAnsi="Cambria"/>
          <w:sz w:val="20"/>
          <w:szCs w:val="20"/>
          <w:lang w:val="es-ES_tradnl"/>
        </w:rPr>
        <w:t xml:space="preserve"> junio de 2006 entró en vigor la Ley No. 8503, denominada “Ley de </w:t>
      </w:r>
      <w:r w:rsidRPr="007653D8">
        <w:rPr>
          <w:rFonts w:ascii="Cambria" w:hAnsi="Cambria"/>
          <w:sz w:val="20"/>
          <w:szCs w:val="20"/>
          <w:lang w:val="es-ES_tradnl"/>
        </w:rPr>
        <w:lastRenderedPageBreak/>
        <w:t>Apertura de la Casación Penal”, la cual modificó y adicionó distintos artículos del Código Procesal Penal relacionados con los recursos de casación y revisión. Asimismo, y en lo relevante para el presente caso, tal legislación estableció en su Transitorio I, un procedimiento de revisión especial para “</w:t>
      </w:r>
      <w:r w:rsidRPr="007653D8">
        <w:rPr>
          <w:rFonts w:ascii="Cambria" w:hAnsi="Cambria"/>
          <w:i/>
          <w:iCs/>
          <w:sz w:val="20"/>
          <w:szCs w:val="20"/>
          <w:lang w:val="es-ES_tradnl"/>
        </w:rPr>
        <w:t>las personas condenadas por un hecho delictivo con fecha anterior a esta Ley, a quienes se les haya obstaculizado formular recurso de casación contra la sentencia, en razón de las reglas que regulaban su admisibilidad en aquella fecha […] invocando, en cada caso, el agravio y los aspectos de hecho y de derecho que no fueron posibles de conocer en casación</w:t>
      </w:r>
      <w:r w:rsidRPr="007653D8">
        <w:rPr>
          <w:rFonts w:ascii="Cambria" w:hAnsi="Cambria"/>
          <w:sz w:val="20"/>
          <w:szCs w:val="20"/>
          <w:lang w:val="es-ES_tradnl"/>
        </w:rPr>
        <w:t>”. En virtud de ello, la Corte Interamericana consideró que “</w:t>
      </w:r>
      <w:r w:rsidRPr="007653D8">
        <w:rPr>
          <w:rFonts w:ascii="Cambria" w:hAnsi="Cambria"/>
          <w:i/>
          <w:iCs/>
          <w:sz w:val="20"/>
          <w:szCs w:val="20"/>
          <w:lang w:val="es-ES_tradnl"/>
        </w:rPr>
        <w:t>a través de la causal de revisión creada por el Transitorio I, una persona condenada penalmente podría, en principio, obtener una revisión integral de su sentencia que incluya tanto cuestiones de hecho como de derecho</w:t>
      </w:r>
      <w:r w:rsidRPr="007653D8">
        <w:rPr>
          <w:rFonts w:ascii="Cambria" w:hAnsi="Cambria"/>
          <w:sz w:val="20"/>
          <w:szCs w:val="20"/>
          <w:lang w:val="es-ES_tradnl"/>
        </w:rPr>
        <w:t>”</w:t>
      </w:r>
      <w:r w:rsidRPr="007653D8">
        <w:rPr>
          <w:rStyle w:val="FootnoteReference"/>
          <w:rFonts w:ascii="Cambria" w:hAnsi="Cambria"/>
          <w:sz w:val="20"/>
          <w:szCs w:val="20"/>
          <w:lang w:val="es-ES_tradnl"/>
        </w:rPr>
        <w:footnoteReference w:id="6"/>
      </w:r>
      <w:r w:rsidRPr="007653D8">
        <w:rPr>
          <w:rFonts w:ascii="Cambria" w:hAnsi="Cambria"/>
          <w:sz w:val="20"/>
          <w:szCs w:val="20"/>
          <w:lang w:val="es-ES_tradnl"/>
        </w:rPr>
        <w:t>.</w:t>
      </w:r>
    </w:p>
    <w:p w14:paraId="3A447C80" w14:textId="77777777" w:rsidR="00CF6E6E" w:rsidRPr="007653D8" w:rsidRDefault="00CF6E6E" w:rsidP="2FB05FE2">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2FB05FE2">
        <w:rPr>
          <w:rFonts w:asciiTheme="majorHAnsi" w:hAnsiTheme="majorHAnsi"/>
          <w:sz w:val="20"/>
          <w:szCs w:val="20"/>
          <w:lang w:val="es-ES"/>
        </w:rPr>
        <w:t>Adicionalmente, tanto la Comisión como la Corte IDH también constataron que e</w:t>
      </w:r>
      <w:r w:rsidRPr="2FB05FE2">
        <w:rPr>
          <w:rFonts w:ascii="Cambria" w:hAnsi="Cambria"/>
          <w:sz w:val="20"/>
          <w:szCs w:val="20"/>
          <w:lang w:val="es-ES"/>
        </w:rPr>
        <w:t>l 9 de junio de 2010 se publicó la Ley No. 8837, denominada “Creación del recurso de apelación de la sentencia, otras reformas al régimen de impugnación e implementación de nuevas reglas de oralidad en el proceso penal”, vigente a partir del 9 de diciembre de 2011; la cual creó y reguló el recurso de apelación. Además, el Transitorio III de dicha norma reguló dos supuestos adicionales: i) para las personas cuyas sentencias estaban firmes para el momento de entrada en vigencia de la ley, se estableció que pueden interponer, por única vez, un procedimiento de revisión en los primeros seis meses; y ii) para las personas cuyos recursos de casación se encontraban pendientes de resolución al momento de la entrada en vigencia de la ley, se estableció que podían solicitar la conversión del recurso de casación ya presentado a uno de apelación conforme a la nueva norma.</w:t>
      </w:r>
    </w:p>
    <w:p w14:paraId="70691DDA" w14:textId="77777777" w:rsidR="00CF6E6E" w:rsidRPr="007653D8" w:rsidRDefault="00CF6E6E" w:rsidP="2FB05FE2">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2FB05FE2">
        <w:rPr>
          <w:rFonts w:ascii="Cambria" w:hAnsi="Cambria"/>
          <w:sz w:val="20"/>
          <w:szCs w:val="20"/>
          <w:lang w:val="es-ES"/>
        </w:rPr>
        <w:t xml:space="preserve">Como consecuencia de las citadas modificaciones, en la sentencia del caso </w:t>
      </w:r>
      <w:r w:rsidRPr="2FB05FE2">
        <w:rPr>
          <w:rFonts w:ascii="Cambria" w:hAnsi="Cambria"/>
          <w:i/>
          <w:iCs/>
          <w:sz w:val="20"/>
          <w:szCs w:val="20"/>
          <w:lang w:val="es-ES"/>
        </w:rPr>
        <w:t>Amrhein y otros vs. Costa Rica</w:t>
      </w:r>
      <w:r w:rsidRPr="2FB05FE2">
        <w:rPr>
          <w:rFonts w:ascii="Cambria" w:hAnsi="Cambria"/>
          <w:sz w:val="20"/>
          <w:szCs w:val="20"/>
          <w:lang w:val="es-ES"/>
        </w:rPr>
        <w:t xml:space="preserve"> del 25 de abril de 2018, la Corte Interamericana evaluó nuevamente la regulación procesal penal costarricense; y amplió sus criterios jurídicos tanto respecto al agotamiento de la jurisdicción interna, como al análisis de fondo de casos sobre la misma temática. </w:t>
      </w:r>
    </w:p>
    <w:p w14:paraId="0BAB2EDB" w14:textId="77777777" w:rsidR="00CF6E6E" w:rsidRPr="007653D8" w:rsidRDefault="00CF6E6E" w:rsidP="00F328EA">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_tradnl"/>
        </w:rPr>
      </w:pPr>
      <w:r w:rsidRPr="007653D8">
        <w:rPr>
          <w:rFonts w:ascii="Cambria" w:hAnsi="Cambria"/>
          <w:sz w:val="20"/>
          <w:szCs w:val="20"/>
          <w:lang w:val="es-ES_tradnl"/>
        </w:rPr>
        <w:t>En relación con el primer punto, la Comisión destaca que, en el citado caso, la Corte IDH consideró que las presuntas víctimas debieron haber interpuesto el recurso de revisión especial con base en el Transitorio I de la Ley 8503 de 2006 durante el trámite de admisibilidad de la petición, pues estaba destinado específicamente a personas con condenas ya en firme; y por ello, “</w:t>
      </w:r>
      <w:r w:rsidRPr="007653D8">
        <w:rPr>
          <w:rFonts w:ascii="Cambria" w:hAnsi="Cambria"/>
          <w:i/>
          <w:iCs/>
          <w:sz w:val="20"/>
          <w:szCs w:val="20"/>
          <w:lang w:val="es-ES_tradnl"/>
        </w:rPr>
        <w:t xml:space="preserve">el hecho de que se trataría de un recurso extraordinario no puede ser determinante, </w:t>
      </w:r>
      <w:r w:rsidRPr="007653D8">
        <w:rPr>
          <w:rFonts w:ascii="Cambria" w:hAnsi="Cambria"/>
          <w:sz w:val="20"/>
          <w:szCs w:val="20"/>
          <w:lang w:val="es-ES_tradnl"/>
        </w:rPr>
        <w:t>per se</w:t>
      </w:r>
      <w:r w:rsidRPr="007653D8">
        <w:rPr>
          <w:rFonts w:ascii="Cambria" w:hAnsi="Cambria"/>
          <w:i/>
          <w:iCs/>
          <w:sz w:val="20"/>
          <w:szCs w:val="20"/>
          <w:lang w:val="es-ES_tradnl"/>
        </w:rPr>
        <w:t>, para concluir su inefectividad”</w:t>
      </w:r>
      <w:r w:rsidRPr="007653D8">
        <w:rPr>
          <w:rStyle w:val="FootnoteReference"/>
          <w:rFonts w:ascii="Cambria" w:hAnsi="Cambria"/>
          <w:i/>
          <w:iCs/>
          <w:sz w:val="20"/>
          <w:szCs w:val="20"/>
          <w:lang w:val="es-ES_tradnl"/>
        </w:rPr>
        <w:footnoteReference w:id="7"/>
      </w:r>
      <w:r w:rsidRPr="007653D8">
        <w:rPr>
          <w:rFonts w:ascii="Cambria" w:hAnsi="Cambria"/>
          <w:i/>
          <w:iCs/>
          <w:sz w:val="20"/>
          <w:szCs w:val="20"/>
          <w:lang w:val="es-ES_tradnl"/>
        </w:rPr>
        <w:t xml:space="preserve">. </w:t>
      </w:r>
      <w:r w:rsidRPr="007653D8">
        <w:rPr>
          <w:rFonts w:ascii="Cambria" w:hAnsi="Cambria"/>
          <w:sz w:val="20"/>
          <w:szCs w:val="20"/>
          <w:lang w:val="es-ES_tradnl"/>
        </w:rPr>
        <w:t xml:space="preserve">En consecuencia, siguiendo la citada jurisprudencia, la Comisión considera que, a efectos de determinar la admisibilidad de un asunto sobre esta temática, debe determinar si la citada vía recursiva estuvo a disposición de las presuntas víctimas tras la emisión de su condena, y de ser este el supuesto, verificar si agotaron o no tal recurso. </w:t>
      </w:r>
    </w:p>
    <w:p w14:paraId="4131485F" w14:textId="77777777" w:rsidR="00CF6E6E" w:rsidRPr="007653D8" w:rsidRDefault="00CF6E6E" w:rsidP="00F328EA">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_tradnl"/>
        </w:rPr>
      </w:pPr>
      <w:r w:rsidRPr="007653D8">
        <w:rPr>
          <w:rFonts w:ascii="Cambria" w:hAnsi="Cambria"/>
          <w:sz w:val="20"/>
          <w:szCs w:val="20"/>
          <w:lang w:val="es-ES_tradnl"/>
        </w:rPr>
        <w:t>Finalmente, a efectos del análisis de caracterización de las peticiones, la Comisión nota que la Corte Interamericana concluyó en la citada sentencia que no correspondía “</w:t>
      </w:r>
      <w:r w:rsidRPr="007653D8">
        <w:rPr>
          <w:rFonts w:ascii="Cambria" w:hAnsi="Cambria"/>
          <w:i/>
          <w:iCs/>
          <w:sz w:val="20"/>
          <w:szCs w:val="20"/>
          <w:lang w:val="es-ES_tradnl"/>
        </w:rPr>
        <w:t>declarar una violación al artículo 2 de la Convención Americana por la forma en que está regulado el sistema recursivo costarricense, ni por la forma en que dicho Estado atendió la situación de personas cuyas sentencias ya estaban en firme con anterioridad a la vigencia de las Leyes 8503 y 8837, ya que, a través de dichas reformas, subsanó las deficiencias en la aplicación de las normas recursivas</w:t>
      </w:r>
      <w:r w:rsidRPr="007653D8">
        <w:rPr>
          <w:rFonts w:ascii="Cambria" w:hAnsi="Cambria"/>
          <w:sz w:val="20"/>
          <w:szCs w:val="20"/>
          <w:lang w:val="es-ES_tradnl"/>
        </w:rPr>
        <w:t xml:space="preserve"> […]”</w:t>
      </w:r>
      <w:r w:rsidRPr="007653D8">
        <w:rPr>
          <w:rStyle w:val="FootnoteReference"/>
          <w:rFonts w:ascii="Cambria" w:hAnsi="Cambria"/>
          <w:sz w:val="20"/>
          <w:szCs w:val="20"/>
          <w:lang w:val="es-ES_tradnl"/>
        </w:rPr>
        <w:footnoteReference w:id="8"/>
      </w:r>
      <w:r w:rsidRPr="007653D8">
        <w:rPr>
          <w:rFonts w:ascii="Cambria" w:hAnsi="Cambria"/>
          <w:sz w:val="20"/>
          <w:szCs w:val="20"/>
          <w:lang w:val="es-ES_tradnl"/>
        </w:rPr>
        <w:t xml:space="preserve">. Asimismo, recuerda que en la resolución de supervisión de cumplimiento del 22 de noviembre de 2010 del caso </w:t>
      </w:r>
      <w:r w:rsidRPr="007653D8">
        <w:rPr>
          <w:rFonts w:ascii="Cambria" w:hAnsi="Cambria"/>
          <w:i/>
          <w:iCs/>
          <w:sz w:val="20"/>
          <w:szCs w:val="20"/>
          <w:lang w:val="es-ES_tradnl"/>
        </w:rPr>
        <w:t xml:space="preserve">Herrera Ulloa vs. Costa Rica, </w:t>
      </w:r>
      <w:r w:rsidRPr="007653D8">
        <w:rPr>
          <w:rFonts w:ascii="Cambria" w:hAnsi="Cambria"/>
          <w:sz w:val="20"/>
          <w:szCs w:val="20"/>
          <w:lang w:val="es-ES_tradnl"/>
        </w:rPr>
        <w:t>el Tribunal valoró positivamente las reformas introducidas en la legislación procesal penal y, en virtud de tales modificaciones, concluyó que “</w:t>
      </w:r>
      <w:r w:rsidRPr="007653D8">
        <w:rPr>
          <w:rFonts w:ascii="Cambria" w:hAnsi="Cambria"/>
          <w:i/>
          <w:iCs/>
          <w:sz w:val="20"/>
          <w:szCs w:val="20"/>
          <w:lang w:val="es-ES_tradnl"/>
        </w:rPr>
        <w:t>al garantizar la posibilidad de un amplio control de la sentencia emitida por un tribunal de juicio en materia penal a nivel interno</w:t>
      </w:r>
      <w:r w:rsidRPr="007653D8">
        <w:rPr>
          <w:rFonts w:ascii="Cambria" w:hAnsi="Cambria"/>
          <w:sz w:val="20"/>
          <w:szCs w:val="20"/>
          <w:lang w:val="es-ES_tradnl"/>
        </w:rPr>
        <w:t>”</w:t>
      </w:r>
      <w:r w:rsidRPr="007653D8">
        <w:rPr>
          <w:rStyle w:val="FootnoteReference"/>
          <w:rFonts w:ascii="Cambria" w:hAnsi="Cambria"/>
          <w:sz w:val="20"/>
          <w:szCs w:val="20"/>
          <w:lang w:val="es-ES_tradnl"/>
        </w:rPr>
        <w:footnoteReference w:id="9"/>
      </w:r>
      <w:r w:rsidRPr="007653D8">
        <w:rPr>
          <w:rFonts w:ascii="Cambria" w:hAnsi="Cambria"/>
          <w:sz w:val="20"/>
          <w:szCs w:val="20"/>
          <w:lang w:val="es-ES_tradnl"/>
        </w:rPr>
        <w:t xml:space="preserve">, Costa Rica había cumplido con adecuar su legislación interna. </w:t>
      </w:r>
    </w:p>
    <w:p w14:paraId="1AB242ED" w14:textId="77777777" w:rsidR="00CF6E6E" w:rsidRPr="009E2047" w:rsidRDefault="00CF6E6E" w:rsidP="2FB05FE2">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9E2047">
        <w:rPr>
          <w:rFonts w:ascii="Cambria" w:hAnsi="Cambria"/>
          <w:sz w:val="20"/>
          <w:szCs w:val="20"/>
          <w:lang w:val="es-ES"/>
        </w:rPr>
        <w:t>Sin perjuicio de ello, la Comisión destaca que las citadas normas</w:t>
      </w:r>
      <w:r w:rsidRPr="009E2047">
        <w:rPr>
          <w:rFonts w:ascii="Cambria" w:hAnsi="Cambria" w:cs="Calibri"/>
          <w:sz w:val="20"/>
          <w:szCs w:val="20"/>
          <w:lang w:val="es-ES"/>
        </w:rPr>
        <w:t xml:space="preserve"> reconocieron a aquellos cuyas sentencias condenatorias ya habían adquirido calidad de cosa juzgada la posibilidad de interponer un </w:t>
      </w:r>
      <w:r w:rsidRPr="009E2047">
        <w:rPr>
          <w:rFonts w:ascii="Cambria" w:hAnsi="Cambria" w:cs="Calibri"/>
          <w:sz w:val="20"/>
          <w:szCs w:val="20"/>
          <w:lang w:val="es-ES"/>
        </w:rPr>
        <w:lastRenderedPageBreak/>
        <w:t>procedimiento de revisión, aunque supeditado al cumplimiento de ciertos requisitos. En el caso de la ley 8503, la Comisión destaca que se exigía que el recurrente invoque en su presentación “</w:t>
      </w:r>
      <w:r w:rsidRPr="009E2047">
        <w:rPr>
          <w:rFonts w:ascii="Cambria" w:hAnsi="Cambria" w:cs="Calibri"/>
          <w:i/>
          <w:iCs/>
          <w:sz w:val="20"/>
          <w:szCs w:val="20"/>
          <w:lang w:val="es-ES"/>
        </w:rPr>
        <w:t>el agravio y los aspectos de hecho y derecho que no fueron posibles de conocer en casación</w:t>
      </w:r>
      <w:r w:rsidRPr="009E2047">
        <w:rPr>
          <w:rFonts w:ascii="Cambria" w:hAnsi="Cambria" w:cs="Calibri"/>
          <w:sz w:val="20"/>
          <w:szCs w:val="20"/>
          <w:lang w:val="es-ES"/>
        </w:rPr>
        <w:t>”. Por su parte, el Transitorio III de la ley 8837 demandaba para la procedencia del procedimiento de revisión que el condenado “</w:t>
      </w:r>
      <w:r w:rsidRPr="009E2047">
        <w:rPr>
          <w:rFonts w:ascii="Cambria" w:hAnsi="Cambria" w:cs="Calibri"/>
          <w:i/>
          <w:iCs/>
          <w:sz w:val="20"/>
          <w:szCs w:val="20"/>
          <w:lang w:val="es-ES"/>
        </w:rPr>
        <w:t>haya alegado con anterioridad la vulneración del artículo 8.2.h de la Convención</w:t>
      </w:r>
      <w:r w:rsidRPr="009E2047">
        <w:rPr>
          <w:rFonts w:ascii="Cambria" w:hAnsi="Cambria" w:cs="Calibri"/>
          <w:sz w:val="20"/>
          <w:szCs w:val="20"/>
          <w:lang w:val="es-ES"/>
        </w:rPr>
        <w:t xml:space="preserve">”.   </w:t>
      </w:r>
    </w:p>
    <w:p w14:paraId="43BE2C7A" w14:textId="77777777" w:rsidR="00CF6E6E" w:rsidRPr="007653D8" w:rsidRDefault="00CF6E6E" w:rsidP="00F328EA">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after="240"/>
        <w:contextualSpacing/>
        <w:jc w:val="both"/>
        <w:rPr>
          <w:sz w:val="20"/>
          <w:szCs w:val="20"/>
          <w:lang w:val="es-ES_tradnl"/>
        </w:rPr>
      </w:pPr>
      <w:r w:rsidRPr="007653D8">
        <w:rPr>
          <w:rFonts w:cs="Calibri"/>
          <w:sz w:val="20"/>
          <w:szCs w:val="20"/>
          <w:lang w:val="es-ES_tradnl"/>
        </w:rPr>
        <w:t>En tal sentido, la Comisión reafirma que la manera en que se encontraba regulado el procedimiento de revisión establecido por el Transitorio I de la ley 8503 podía generar limitaciones en términos de la accesibilidad del recurso, y, en consecuencia, no garantiza en sí mismo el derecho a la revisión integral del fallo condenatorio a todos aquellos que fueron condenados durante la vigencia del texto originario del Código Procesal Penal</w:t>
      </w:r>
      <w:r w:rsidRPr="007653D8">
        <w:rPr>
          <w:rStyle w:val="FootnoteReference"/>
          <w:rFonts w:cs="Calibri"/>
          <w:sz w:val="20"/>
          <w:szCs w:val="20"/>
          <w:lang w:val="es-ES_tradnl"/>
        </w:rPr>
        <w:footnoteReference w:id="10"/>
      </w:r>
      <w:r w:rsidRPr="007653D8">
        <w:rPr>
          <w:rFonts w:cs="Calibri"/>
          <w:sz w:val="20"/>
          <w:szCs w:val="20"/>
          <w:lang w:val="es-ES_tradnl"/>
        </w:rPr>
        <w:t xml:space="preserve">. Idéntica conclusión cabe realizar respecto del recurso de revisión consagrado en el Transitorio III de la ley 8837, toda vez que la norma incluía la exigencia de haber alegado previamente la vulneración del derecho al recurso como un requisito de procedibilidad del recurso de revisión. </w:t>
      </w:r>
    </w:p>
    <w:p w14:paraId="71BD2EDE" w14:textId="77777777" w:rsidR="00CF6E6E" w:rsidRPr="007653D8" w:rsidRDefault="00CF6E6E" w:rsidP="00F328E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after="240"/>
        <w:contextualSpacing/>
        <w:jc w:val="both"/>
        <w:rPr>
          <w:sz w:val="20"/>
          <w:szCs w:val="20"/>
          <w:lang w:val="es-ES_tradnl"/>
        </w:rPr>
      </w:pPr>
    </w:p>
    <w:p w14:paraId="01BBDFBB" w14:textId="77777777" w:rsidR="00CF6E6E" w:rsidRPr="007653D8" w:rsidRDefault="00CF6E6E" w:rsidP="00F328EA">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after="240"/>
        <w:contextualSpacing/>
        <w:jc w:val="both"/>
        <w:rPr>
          <w:sz w:val="20"/>
          <w:szCs w:val="20"/>
          <w:lang w:val="es-ES_tradnl"/>
        </w:rPr>
      </w:pPr>
      <w:r w:rsidRPr="007653D8">
        <w:rPr>
          <w:sz w:val="20"/>
          <w:szCs w:val="20"/>
          <w:lang w:val="es-ES_tradnl"/>
        </w:rPr>
        <w:t>No obstante, la Comisión reconoce, en primer término, que la Sala Constitucional de la Corte Suprema de Justicia de Costa Rica se refirió en reiterados pronunciamientos a la necesidad de “</w:t>
      </w:r>
      <w:r w:rsidRPr="007653D8">
        <w:rPr>
          <w:i/>
          <w:iCs/>
          <w:sz w:val="20"/>
          <w:szCs w:val="20"/>
          <w:lang w:val="es-ES_tradnl"/>
        </w:rPr>
        <w:t>asegurar el derecho al recurso, excluyendo formalismos que impidieran la revisión de las sentencias de condena, a fin de satisfacer lo dispuesto por el artículo 8.2.h de la Convención</w:t>
      </w:r>
      <w:r w:rsidRPr="007653D8">
        <w:rPr>
          <w:sz w:val="20"/>
          <w:szCs w:val="20"/>
          <w:lang w:val="es-ES_tradnl"/>
        </w:rPr>
        <w:t>”</w:t>
      </w:r>
      <w:r w:rsidRPr="007653D8">
        <w:rPr>
          <w:rStyle w:val="FootnoteReference"/>
          <w:sz w:val="20"/>
          <w:szCs w:val="20"/>
          <w:lang w:val="es-ES_tradnl"/>
        </w:rPr>
        <w:footnoteReference w:id="11"/>
      </w:r>
      <w:r w:rsidRPr="007653D8">
        <w:rPr>
          <w:sz w:val="20"/>
          <w:szCs w:val="20"/>
          <w:lang w:val="es-ES_tradnl"/>
        </w:rPr>
        <w:t>.</w:t>
      </w:r>
    </w:p>
    <w:p w14:paraId="1F82BDC3" w14:textId="77777777" w:rsidR="00CF6E6E" w:rsidRPr="007653D8" w:rsidRDefault="00CF6E6E" w:rsidP="00F328E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after="240"/>
        <w:contextualSpacing/>
        <w:jc w:val="both"/>
        <w:rPr>
          <w:sz w:val="20"/>
          <w:szCs w:val="20"/>
          <w:lang w:val="es-ES_tradnl"/>
        </w:rPr>
      </w:pPr>
    </w:p>
    <w:p w14:paraId="75B6977D" w14:textId="77777777" w:rsidR="00CF6E6E" w:rsidRPr="007653D8" w:rsidRDefault="00CF6E6E" w:rsidP="00F328EA">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after="240"/>
        <w:contextualSpacing/>
        <w:jc w:val="both"/>
        <w:rPr>
          <w:sz w:val="20"/>
          <w:szCs w:val="20"/>
          <w:lang w:val="es-ES_tradnl"/>
        </w:rPr>
      </w:pPr>
      <w:r w:rsidRPr="007653D8">
        <w:rPr>
          <w:sz w:val="20"/>
          <w:szCs w:val="20"/>
          <w:lang w:val="es-ES_tradnl"/>
        </w:rPr>
        <w:t xml:space="preserve">Asimismo, la CIDH considera que, a pesar de los obstáculos a la procedencia del recurso incorporados en la redacción del Transitorio I de la ley 8503, el recurso de revisión allí reconocido significó una oportunidad adicional al recurso de casación para que una persona condenada pudiera obtener una revisión integral de su sentencia. Dicha revisión integral dependía, en esencia, de la forma en que los jueces de los tribunales de alzada interpretaban las normas procesales vigentes a la luz de la jurisprudencia de la Sala Constitucional de la Corte Suprema de Justicia de Costa Rica, del artículo 8.2.h de la Convención Americana y de lo decidido por la Corte IDH en el caso </w:t>
      </w:r>
      <w:r w:rsidRPr="007653D8">
        <w:rPr>
          <w:i/>
          <w:iCs/>
          <w:sz w:val="20"/>
          <w:szCs w:val="20"/>
          <w:lang w:val="es-ES_tradnl"/>
        </w:rPr>
        <w:t>Herrera Ulloa</w:t>
      </w:r>
      <w:r w:rsidRPr="007653D8">
        <w:rPr>
          <w:sz w:val="20"/>
          <w:szCs w:val="20"/>
          <w:lang w:val="es-ES_tradnl"/>
        </w:rPr>
        <w:t xml:space="preserve">. </w:t>
      </w:r>
    </w:p>
    <w:p w14:paraId="78DE8959" w14:textId="77777777" w:rsidR="00CF6E6E" w:rsidRPr="007653D8" w:rsidRDefault="00CF6E6E" w:rsidP="00F328E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after="240"/>
        <w:contextualSpacing/>
        <w:jc w:val="both"/>
        <w:rPr>
          <w:sz w:val="20"/>
          <w:szCs w:val="20"/>
          <w:lang w:val="es-ES_tradnl"/>
        </w:rPr>
      </w:pPr>
    </w:p>
    <w:p w14:paraId="0C480DC0" w14:textId="77777777" w:rsidR="00CF6E6E" w:rsidRPr="007653D8" w:rsidRDefault="00CF6E6E" w:rsidP="00F328EA">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after="240"/>
        <w:contextualSpacing/>
        <w:jc w:val="both"/>
        <w:rPr>
          <w:sz w:val="20"/>
          <w:szCs w:val="20"/>
          <w:lang w:val="es-ES_tradnl"/>
        </w:rPr>
      </w:pPr>
      <w:r w:rsidRPr="007653D8">
        <w:rPr>
          <w:sz w:val="20"/>
          <w:szCs w:val="20"/>
          <w:lang w:val="es-ES_tradnl"/>
        </w:rPr>
        <w:t>En particular, y en línea con lo decidido por la Corte, la Comisión observa que, teniendo en cuenta que tales modificaciones legislativas al sistema recursivo costarricense fueron adoptadas como resultado de los pronunciamientos de los órganos del sistema interamericano de derechos humanos, resulta razonable como causal de admisibilidad del recurso que los interesados deban invocar los posibles errores que hubiera podido cometer el juez o tribunal de la instancia inferior.</w:t>
      </w:r>
    </w:p>
    <w:p w14:paraId="43444050" w14:textId="77777777" w:rsidR="00CF6E6E" w:rsidRPr="007653D8" w:rsidRDefault="00CF6E6E" w:rsidP="00F328E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after="240"/>
        <w:contextualSpacing/>
        <w:jc w:val="both"/>
        <w:rPr>
          <w:sz w:val="20"/>
          <w:szCs w:val="20"/>
          <w:lang w:val="es-ES_tradnl"/>
        </w:rPr>
      </w:pPr>
    </w:p>
    <w:p w14:paraId="24EF53F4" w14:textId="187421A5" w:rsidR="00CF6E6E" w:rsidRPr="00CF6E6E" w:rsidRDefault="00CF6E6E" w:rsidP="2FB05FE2">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after="240"/>
        <w:contextualSpacing/>
        <w:jc w:val="both"/>
        <w:rPr>
          <w:sz w:val="20"/>
          <w:szCs w:val="20"/>
          <w:lang w:val="es-ES"/>
        </w:rPr>
      </w:pPr>
      <w:r w:rsidRPr="2FB05FE2">
        <w:rPr>
          <w:sz w:val="20"/>
          <w:szCs w:val="20"/>
          <w:lang w:val="es-ES"/>
        </w:rPr>
        <w:t>En consecuencia, teniendo en cuenta las especificidades existentes respecto de este tema en el sistema costarricense, como resultado de las sentencias dictadas por el sistema interamericano, y concretamente con lo señalado por la Corte IDH en el caso “Amrhein”, la Comisión considera que no resulta apropiado realizar una evaluación en abstracto de cada uno de los recursos disponibles en la legislación procesal penal, sino que se debe efectuar “</w:t>
      </w:r>
      <w:r w:rsidRPr="2FB05FE2">
        <w:rPr>
          <w:i/>
          <w:iCs/>
          <w:sz w:val="20"/>
          <w:szCs w:val="20"/>
          <w:lang w:val="es-ES"/>
        </w:rPr>
        <w:t>un análisis, caso por caso, de los recursos efectivamente interpuestos por las presuntas víctimas a fin de determinar si la forma en que éstos fueron resueltos en el sistema recursivo costarricense, tomando en cuenta sus reformas, respetaron el derecho de aquellas a una revisión integral de sus sentencias condenatorias</w:t>
      </w:r>
      <w:r w:rsidRPr="2FB05FE2">
        <w:rPr>
          <w:sz w:val="20"/>
          <w:szCs w:val="20"/>
          <w:lang w:val="es-ES"/>
        </w:rPr>
        <w:t>”</w:t>
      </w:r>
      <w:r w:rsidRPr="2FB05FE2">
        <w:rPr>
          <w:rStyle w:val="FootnoteReference"/>
          <w:sz w:val="20"/>
          <w:szCs w:val="20"/>
          <w:lang w:val="es-ES"/>
        </w:rPr>
        <w:footnoteReference w:id="12"/>
      </w:r>
      <w:r w:rsidRPr="2FB05FE2">
        <w:rPr>
          <w:sz w:val="20"/>
          <w:szCs w:val="20"/>
          <w:lang w:val="es-ES"/>
        </w:rPr>
        <w:t xml:space="preserve">. Lo que en principio requiere de un análisis de fondo por parte de la CIDH, salvo que de la información de las partes se observe que los hechos planteados por el peticionario no caractericen </w:t>
      </w:r>
      <w:r w:rsidRPr="2FB05FE2">
        <w:rPr>
          <w:i/>
          <w:iCs/>
          <w:sz w:val="20"/>
          <w:szCs w:val="20"/>
          <w:lang w:val="es-ES"/>
        </w:rPr>
        <w:t>prima facie</w:t>
      </w:r>
      <w:r w:rsidRPr="2FB05FE2">
        <w:rPr>
          <w:sz w:val="20"/>
          <w:szCs w:val="20"/>
          <w:lang w:val="es-ES"/>
        </w:rPr>
        <w:t xml:space="preserve"> violaciones a la Convención Americana, en los términos de su artículo 47.</w:t>
      </w:r>
    </w:p>
    <w:bookmarkEnd w:id="2"/>
    <w:p w14:paraId="6F4D4171" w14:textId="61F41104" w:rsidR="003239B8" w:rsidRPr="009545B0" w:rsidRDefault="003239B8" w:rsidP="00F328EA">
      <w:pPr>
        <w:spacing w:before="240" w:after="240"/>
        <w:ind w:firstLine="720"/>
        <w:jc w:val="both"/>
        <w:rPr>
          <w:rFonts w:ascii="Cambria" w:hAnsi="Cambria"/>
          <w:sz w:val="20"/>
          <w:szCs w:val="20"/>
          <w:lang w:val="es-ES"/>
        </w:rPr>
      </w:pPr>
      <w:r w:rsidRPr="009545B0">
        <w:rPr>
          <w:rFonts w:asciiTheme="majorHAnsi" w:eastAsia="Cambria" w:hAnsiTheme="majorHAnsi" w:cs="Cambria"/>
          <w:b/>
          <w:bCs/>
          <w:sz w:val="20"/>
          <w:szCs w:val="20"/>
          <w:u w:color="000000"/>
          <w:lang w:val="es-ES" w:eastAsia="es-ES"/>
        </w:rPr>
        <w:t>VI.</w:t>
      </w:r>
      <w:r w:rsidRPr="009545B0">
        <w:rPr>
          <w:rFonts w:asciiTheme="majorHAnsi" w:eastAsia="Cambria" w:hAnsiTheme="majorHAnsi" w:cs="Cambria"/>
          <w:b/>
          <w:bCs/>
          <w:sz w:val="20"/>
          <w:szCs w:val="20"/>
          <w:u w:color="000000"/>
          <w:lang w:val="es-ES" w:eastAsia="es-ES"/>
        </w:rPr>
        <w:tab/>
      </w:r>
      <w:r w:rsidR="004A6A54" w:rsidRPr="009545B0">
        <w:rPr>
          <w:rFonts w:asciiTheme="majorHAnsi" w:hAnsiTheme="majorHAnsi"/>
          <w:b/>
          <w:bCs/>
          <w:sz w:val="20"/>
          <w:szCs w:val="20"/>
          <w:lang w:val="es-ES"/>
        </w:rPr>
        <w:t xml:space="preserve">ANÁLISIS DE </w:t>
      </w:r>
      <w:r w:rsidR="00C21FEF" w:rsidRPr="009545B0">
        <w:rPr>
          <w:rFonts w:asciiTheme="majorHAnsi" w:hAnsiTheme="majorHAnsi"/>
          <w:b/>
          <w:sz w:val="20"/>
          <w:szCs w:val="20"/>
          <w:lang w:val="es-ES"/>
        </w:rPr>
        <w:t>AGOTAMIENTO DE LOS RECURSOS INTERNOS Y PLAZO DE PRESENTACIÓN</w:t>
      </w:r>
      <w:r w:rsidR="00C21FEF" w:rsidRPr="009545B0">
        <w:rPr>
          <w:rFonts w:asciiTheme="majorHAnsi" w:eastAsia="Cambria" w:hAnsiTheme="majorHAnsi" w:cs="Cambria"/>
          <w:b/>
          <w:bCs/>
          <w:sz w:val="20"/>
          <w:szCs w:val="20"/>
          <w:u w:color="000000"/>
          <w:lang w:val="es-ES" w:eastAsia="es-ES"/>
        </w:rPr>
        <w:t xml:space="preserve"> </w:t>
      </w:r>
    </w:p>
    <w:p w14:paraId="27FEA315" w14:textId="5862579D" w:rsidR="009D5CDE" w:rsidRPr="009545B0" w:rsidRDefault="009D5CDE" w:rsidP="00F328EA">
      <w:pPr>
        <w:pStyle w:val="ListParagraph"/>
        <w:numPr>
          <w:ilvl w:val="0"/>
          <w:numId w:val="55"/>
        </w:numPr>
        <w:spacing w:before="240" w:after="240"/>
        <w:jc w:val="both"/>
        <w:rPr>
          <w:rFonts w:asciiTheme="majorHAnsi" w:hAnsiTheme="majorHAnsi"/>
          <w:color w:val="auto"/>
          <w:sz w:val="20"/>
          <w:szCs w:val="20"/>
          <w:lang w:val="es-ES"/>
        </w:rPr>
      </w:pPr>
      <w:r w:rsidRPr="009545B0">
        <w:rPr>
          <w:rFonts w:asciiTheme="majorHAnsi" w:hAnsiTheme="majorHAnsi"/>
          <w:color w:val="auto"/>
          <w:sz w:val="20"/>
          <w:szCs w:val="20"/>
          <w:lang w:val="es-ES"/>
        </w:rPr>
        <w:t xml:space="preserve">Para efectos de evaluar la idoneidad de los recursos disponibles en el ordenamiento nacional, la Comisión usualmente establece cuál es el reclamo específico que se ha formulado, para luego identificar los recursos judiciales provistos por el sistema jurídico doméstico que estaban disponibles y eran adecuados para ventilar ese reclamo en particular. En esta línea, se identifican </w:t>
      </w:r>
      <w:r w:rsidR="005C443E" w:rsidRPr="009545B0">
        <w:rPr>
          <w:rFonts w:asciiTheme="majorHAnsi" w:hAnsiTheme="majorHAnsi"/>
          <w:color w:val="auto"/>
          <w:sz w:val="20"/>
          <w:szCs w:val="20"/>
          <w:lang w:val="es-ES"/>
        </w:rPr>
        <w:t xml:space="preserve">dos </w:t>
      </w:r>
      <w:r w:rsidRPr="009545B0">
        <w:rPr>
          <w:rFonts w:asciiTheme="majorHAnsi" w:hAnsiTheme="majorHAnsi"/>
          <w:color w:val="auto"/>
          <w:sz w:val="20"/>
          <w:szCs w:val="20"/>
          <w:lang w:val="es-ES"/>
        </w:rPr>
        <w:t xml:space="preserve">reclamos principales: (a) </w:t>
      </w:r>
      <w:r w:rsidR="00836573">
        <w:rPr>
          <w:rFonts w:asciiTheme="majorHAnsi" w:hAnsiTheme="majorHAnsi"/>
          <w:color w:val="auto"/>
          <w:sz w:val="20"/>
          <w:szCs w:val="20"/>
          <w:lang w:val="es-ES"/>
        </w:rPr>
        <w:t>la c</w:t>
      </w:r>
      <w:r w:rsidRPr="009545B0">
        <w:rPr>
          <w:rFonts w:asciiTheme="majorHAnsi" w:hAnsiTheme="majorHAnsi"/>
          <w:color w:val="auto"/>
          <w:sz w:val="20"/>
          <w:szCs w:val="20"/>
          <w:lang w:val="es-ES"/>
        </w:rPr>
        <w:t xml:space="preserve">ondena del Sr. </w:t>
      </w:r>
      <w:r w:rsidRPr="009545B0">
        <w:rPr>
          <w:rFonts w:asciiTheme="majorHAnsi" w:hAnsiTheme="majorHAnsi"/>
          <w:color w:val="auto"/>
          <w:sz w:val="20"/>
          <w:szCs w:val="20"/>
          <w:lang w:val="es-ES"/>
        </w:rPr>
        <w:lastRenderedPageBreak/>
        <w:t xml:space="preserve">García por el delito de </w:t>
      </w:r>
      <w:r w:rsidRPr="009545B0">
        <w:rPr>
          <w:color w:val="auto"/>
          <w:sz w:val="20"/>
          <w:szCs w:val="20"/>
          <w:lang w:val="es-ES"/>
        </w:rPr>
        <w:t xml:space="preserve">infracción a la ley de psicotrópicos en su modalidad de tráfico internacional de drogas, sin que se hubiese probado de manera fehaciente su participación en los </w:t>
      </w:r>
      <w:r w:rsidR="00D57C1C" w:rsidRPr="009545B0">
        <w:rPr>
          <w:color w:val="auto"/>
          <w:sz w:val="20"/>
          <w:szCs w:val="20"/>
          <w:lang w:val="es-ES"/>
        </w:rPr>
        <w:t>hechos</w:t>
      </w:r>
      <w:r w:rsidR="00D57C1C" w:rsidRPr="009545B0">
        <w:rPr>
          <w:rFonts w:asciiTheme="majorHAnsi" w:hAnsiTheme="majorHAnsi"/>
          <w:color w:val="auto"/>
          <w:sz w:val="20"/>
          <w:szCs w:val="20"/>
          <w:lang w:val="es-ES"/>
        </w:rPr>
        <w:t>;</w:t>
      </w:r>
      <w:r w:rsidRPr="009545B0">
        <w:rPr>
          <w:rFonts w:asciiTheme="majorHAnsi" w:hAnsiTheme="majorHAnsi"/>
          <w:color w:val="auto"/>
          <w:sz w:val="20"/>
          <w:szCs w:val="20"/>
          <w:lang w:val="es-ES"/>
        </w:rPr>
        <w:t xml:space="preserve"> </w:t>
      </w:r>
      <w:r w:rsidR="00A90309" w:rsidRPr="009545B0">
        <w:rPr>
          <w:rFonts w:asciiTheme="majorHAnsi" w:hAnsiTheme="majorHAnsi"/>
          <w:color w:val="auto"/>
          <w:sz w:val="20"/>
          <w:szCs w:val="20"/>
          <w:lang w:val="es-ES"/>
        </w:rPr>
        <w:t xml:space="preserve">y </w:t>
      </w:r>
      <w:r w:rsidR="00AB5DC9" w:rsidRPr="009545B0">
        <w:rPr>
          <w:rFonts w:asciiTheme="majorHAnsi" w:hAnsiTheme="majorHAnsi"/>
          <w:color w:val="auto"/>
          <w:sz w:val="20"/>
          <w:szCs w:val="20"/>
          <w:lang w:val="es-ES"/>
        </w:rPr>
        <w:t>(</w:t>
      </w:r>
      <w:r w:rsidRPr="009545B0">
        <w:rPr>
          <w:rFonts w:asciiTheme="majorHAnsi" w:hAnsiTheme="majorHAnsi"/>
          <w:color w:val="auto"/>
          <w:sz w:val="20"/>
          <w:szCs w:val="20"/>
          <w:lang w:val="es-ES"/>
        </w:rPr>
        <w:t xml:space="preserve">b) </w:t>
      </w:r>
      <w:r w:rsidR="00D57C1C" w:rsidRPr="009545B0">
        <w:rPr>
          <w:rFonts w:asciiTheme="majorHAnsi" w:hAnsiTheme="majorHAnsi"/>
          <w:color w:val="auto"/>
          <w:sz w:val="20"/>
          <w:szCs w:val="20"/>
          <w:lang w:val="es-ES"/>
        </w:rPr>
        <w:t xml:space="preserve">la falta de una adecuada investigación y sanción de los responsables de los </w:t>
      </w:r>
      <w:r w:rsidR="00DF7BCF">
        <w:rPr>
          <w:rFonts w:asciiTheme="majorHAnsi" w:hAnsiTheme="majorHAnsi"/>
          <w:color w:val="auto"/>
          <w:sz w:val="20"/>
          <w:szCs w:val="20"/>
          <w:lang w:val="es-ES"/>
        </w:rPr>
        <w:t xml:space="preserve">alegados </w:t>
      </w:r>
      <w:r w:rsidR="00D57C1C" w:rsidRPr="009545B0">
        <w:rPr>
          <w:rFonts w:asciiTheme="majorHAnsi" w:hAnsiTheme="majorHAnsi"/>
          <w:color w:val="auto"/>
          <w:sz w:val="20"/>
          <w:szCs w:val="20"/>
          <w:lang w:val="es-ES"/>
        </w:rPr>
        <w:t xml:space="preserve">actos de tortura sufridos por </w:t>
      </w:r>
      <w:r w:rsidR="00717339">
        <w:rPr>
          <w:rFonts w:asciiTheme="majorHAnsi" w:hAnsiTheme="majorHAnsi"/>
          <w:color w:val="auto"/>
          <w:sz w:val="20"/>
          <w:szCs w:val="20"/>
          <w:lang w:val="es-ES"/>
        </w:rPr>
        <w:t>este</w:t>
      </w:r>
      <w:r w:rsidR="00D57C1C" w:rsidRPr="009545B0">
        <w:rPr>
          <w:rFonts w:asciiTheme="majorHAnsi" w:hAnsiTheme="majorHAnsi"/>
          <w:color w:val="auto"/>
          <w:sz w:val="20"/>
          <w:szCs w:val="20"/>
          <w:lang w:val="es-ES"/>
        </w:rPr>
        <w:t xml:space="preserve"> en la cárcel. </w:t>
      </w:r>
    </w:p>
    <w:p w14:paraId="41AC268C" w14:textId="54939F66" w:rsidR="00D57C1C" w:rsidRPr="009545B0" w:rsidRDefault="008C2D7F" w:rsidP="00F328EA">
      <w:pPr>
        <w:pStyle w:val="ListParagraph"/>
        <w:numPr>
          <w:ilvl w:val="0"/>
          <w:numId w:val="55"/>
        </w:numPr>
        <w:spacing w:before="240" w:after="240"/>
        <w:jc w:val="both"/>
        <w:rPr>
          <w:rFonts w:asciiTheme="majorHAnsi" w:hAnsiTheme="majorHAnsi"/>
          <w:color w:val="auto"/>
          <w:sz w:val="20"/>
          <w:szCs w:val="20"/>
          <w:lang w:val="es-ES"/>
        </w:rPr>
      </w:pPr>
      <w:r>
        <w:rPr>
          <w:rFonts w:asciiTheme="majorHAnsi" w:hAnsiTheme="majorHAnsi"/>
          <w:color w:val="auto"/>
          <w:sz w:val="20"/>
          <w:szCs w:val="20"/>
          <w:lang w:val="es-ES"/>
        </w:rPr>
        <w:t>E</w:t>
      </w:r>
      <w:r w:rsidR="005E70F7" w:rsidRPr="009545B0">
        <w:rPr>
          <w:rFonts w:asciiTheme="majorHAnsi" w:hAnsiTheme="majorHAnsi"/>
          <w:color w:val="auto"/>
          <w:sz w:val="20"/>
          <w:szCs w:val="20"/>
          <w:lang w:val="es-ES"/>
        </w:rPr>
        <w:t xml:space="preserve">l Estado sostiene </w:t>
      </w:r>
      <w:r w:rsidR="004E69B0">
        <w:rPr>
          <w:rFonts w:asciiTheme="majorHAnsi" w:hAnsiTheme="majorHAnsi"/>
          <w:color w:val="auto"/>
          <w:sz w:val="20"/>
          <w:szCs w:val="20"/>
          <w:lang w:val="es-ES"/>
        </w:rPr>
        <w:t xml:space="preserve">que </w:t>
      </w:r>
      <w:r w:rsidR="004C3157">
        <w:rPr>
          <w:rFonts w:asciiTheme="majorHAnsi" w:hAnsiTheme="majorHAnsi"/>
          <w:color w:val="auto"/>
          <w:sz w:val="20"/>
          <w:szCs w:val="20"/>
          <w:lang w:val="es-ES"/>
        </w:rPr>
        <w:t>los reclamos del peticionario relativos a violaciones al debido proceso penal</w:t>
      </w:r>
      <w:r w:rsidR="001215B1">
        <w:rPr>
          <w:rFonts w:asciiTheme="majorHAnsi" w:hAnsiTheme="majorHAnsi"/>
          <w:color w:val="auto"/>
          <w:sz w:val="20"/>
          <w:szCs w:val="20"/>
          <w:lang w:val="es-ES"/>
        </w:rPr>
        <w:t xml:space="preserve"> resultan extemporáneos</w:t>
      </w:r>
      <w:r w:rsidR="007E6D14">
        <w:rPr>
          <w:rFonts w:asciiTheme="majorHAnsi" w:hAnsiTheme="majorHAnsi"/>
          <w:color w:val="auto"/>
          <w:sz w:val="20"/>
          <w:szCs w:val="20"/>
          <w:lang w:val="es-ES"/>
        </w:rPr>
        <w:t>,</w:t>
      </w:r>
      <w:r w:rsidR="001215B1">
        <w:rPr>
          <w:rFonts w:asciiTheme="majorHAnsi" w:hAnsiTheme="majorHAnsi"/>
          <w:color w:val="auto"/>
          <w:sz w:val="20"/>
          <w:szCs w:val="20"/>
          <w:lang w:val="es-ES"/>
        </w:rPr>
        <w:t xml:space="preserve"> puesto que este concluyó años antes de que se presentara la petición a la CIDH. Por otro lado, con respecto </w:t>
      </w:r>
      <w:r w:rsidR="00D71A81">
        <w:rPr>
          <w:rFonts w:asciiTheme="majorHAnsi" w:hAnsiTheme="majorHAnsi"/>
          <w:color w:val="auto"/>
          <w:sz w:val="20"/>
          <w:szCs w:val="20"/>
          <w:lang w:val="es-ES"/>
        </w:rPr>
        <w:t xml:space="preserve">a los reclamos relativos a </w:t>
      </w:r>
      <w:r w:rsidR="00DF7BCF">
        <w:rPr>
          <w:rFonts w:asciiTheme="majorHAnsi" w:hAnsiTheme="majorHAnsi"/>
          <w:color w:val="auto"/>
          <w:sz w:val="20"/>
          <w:szCs w:val="20"/>
          <w:lang w:val="es-ES"/>
        </w:rPr>
        <w:t>supuestos actos de tortura</w:t>
      </w:r>
      <w:r w:rsidR="00D71A81">
        <w:rPr>
          <w:rFonts w:asciiTheme="majorHAnsi" w:hAnsiTheme="majorHAnsi"/>
          <w:color w:val="auto"/>
          <w:sz w:val="20"/>
          <w:szCs w:val="20"/>
          <w:lang w:val="es-ES"/>
        </w:rPr>
        <w:t xml:space="preserve">, Costa Rica alega </w:t>
      </w:r>
      <w:r w:rsidR="005E70F7" w:rsidRPr="009545B0">
        <w:rPr>
          <w:rFonts w:asciiTheme="majorHAnsi" w:hAnsiTheme="majorHAnsi"/>
          <w:color w:val="auto"/>
          <w:sz w:val="20"/>
          <w:szCs w:val="20"/>
          <w:lang w:val="es-ES"/>
        </w:rPr>
        <w:t xml:space="preserve">que el Sr. García no agotó los recursos a nivel interno al momento de presentar la petición ante la CIDH. </w:t>
      </w:r>
    </w:p>
    <w:p w14:paraId="67F20AE9" w14:textId="73C77BEC" w:rsidR="00CA173E" w:rsidRPr="00CA173E" w:rsidRDefault="00DF7BCF" w:rsidP="00F328EA">
      <w:pPr>
        <w:pStyle w:val="ListParagraph"/>
        <w:numPr>
          <w:ilvl w:val="0"/>
          <w:numId w:val="55"/>
        </w:numPr>
        <w:spacing w:before="240" w:after="240"/>
        <w:jc w:val="both"/>
        <w:rPr>
          <w:rFonts w:eastAsia="Arial Unicode MS" w:cs="Times New Roman"/>
          <w:color w:val="auto"/>
          <w:sz w:val="20"/>
          <w:szCs w:val="20"/>
          <w:lang w:val="es-ES" w:eastAsia="en-US"/>
        </w:rPr>
      </w:pPr>
      <w:r>
        <w:rPr>
          <w:color w:val="auto"/>
          <w:sz w:val="20"/>
          <w:szCs w:val="20"/>
          <w:lang w:val="es-ES"/>
        </w:rPr>
        <w:t>En relación con</w:t>
      </w:r>
      <w:r w:rsidR="00883367">
        <w:rPr>
          <w:rFonts w:asciiTheme="majorHAnsi" w:hAnsiTheme="majorHAnsi"/>
          <w:color w:val="auto"/>
          <w:sz w:val="20"/>
          <w:szCs w:val="20"/>
          <w:lang w:val="es-ES"/>
        </w:rPr>
        <w:t xml:space="preserve"> </w:t>
      </w:r>
      <w:r>
        <w:rPr>
          <w:rFonts w:asciiTheme="majorHAnsi" w:hAnsiTheme="majorHAnsi"/>
          <w:color w:val="auto"/>
          <w:sz w:val="20"/>
          <w:szCs w:val="20"/>
          <w:lang w:val="es-ES"/>
        </w:rPr>
        <w:t xml:space="preserve">(a) </w:t>
      </w:r>
      <w:r w:rsidR="00883367">
        <w:rPr>
          <w:rFonts w:asciiTheme="majorHAnsi" w:hAnsiTheme="majorHAnsi"/>
          <w:color w:val="auto"/>
          <w:sz w:val="20"/>
          <w:szCs w:val="20"/>
          <w:lang w:val="es-ES"/>
        </w:rPr>
        <w:t>la causa del</w:t>
      </w:r>
      <w:r w:rsidR="00AB5DC9" w:rsidRPr="009545B0">
        <w:rPr>
          <w:rFonts w:asciiTheme="majorHAnsi" w:hAnsiTheme="majorHAnsi"/>
          <w:color w:val="auto"/>
          <w:sz w:val="20"/>
          <w:szCs w:val="20"/>
          <w:lang w:val="es-ES"/>
        </w:rPr>
        <w:t xml:space="preserve"> Sr. García por el delito de </w:t>
      </w:r>
      <w:r w:rsidR="00AB5DC9" w:rsidRPr="009545B0">
        <w:rPr>
          <w:color w:val="auto"/>
          <w:sz w:val="20"/>
          <w:szCs w:val="20"/>
          <w:lang w:val="es-ES"/>
        </w:rPr>
        <w:t xml:space="preserve">tráfico internacional de drogas, </w:t>
      </w:r>
      <w:r w:rsidR="00CA173E">
        <w:rPr>
          <w:sz w:val="20"/>
          <w:szCs w:val="20"/>
          <w:lang w:val="es-ES"/>
        </w:rPr>
        <w:t>a</w:t>
      </w:r>
      <w:r w:rsidR="00CA173E" w:rsidRPr="00CA173E">
        <w:rPr>
          <w:sz w:val="20"/>
          <w:szCs w:val="20"/>
          <w:lang w:val="es-ES"/>
        </w:rPr>
        <w:t xml:space="preserve"> la luz de las consideraciones precedentes sobre la evolución del sistema recursivo costarricense, la Comisión observa que la condena del señor García fue dictada el 2 de marzo de 2012, cuando ya se encontraba vigente la Ley No. 8837 que creó el recurso de apelación de sentencia como mecanismo ordinario, amplio y flexible para la revisión integral del fallo condenatorio. En efecto, el peticionario </w:t>
      </w:r>
      <w:r w:rsidR="007E6D14">
        <w:rPr>
          <w:sz w:val="20"/>
          <w:szCs w:val="20"/>
          <w:lang w:val="es-ES"/>
        </w:rPr>
        <w:t>utilizó</w:t>
      </w:r>
      <w:r w:rsidR="00CA173E" w:rsidRPr="00CA173E">
        <w:rPr>
          <w:sz w:val="20"/>
          <w:szCs w:val="20"/>
          <w:lang w:val="es-ES"/>
        </w:rPr>
        <w:t xml:space="preserve"> dicho recurso, el cual fue resuelto por el Tribunal de Apelación de Sentencia del Tercer Circuito Judicial de Alajuela mediante la resolución No. 2012-00576 de 26 de julio de 2012, en la que </w:t>
      </w:r>
      <w:r w:rsidR="00092B18">
        <w:rPr>
          <w:sz w:val="20"/>
          <w:szCs w:val="20"/>
          <w:lang w:val="es-ES"/>
        </w:rPr>
        <w:t>este</w:t>
      </w:r>
      <w:r w:rsidR="00CA173E" w:rsidRPr="00CA173E">
        <w:rPr>
          <w:sz w:val="20"/>
          <w:szCs w:val="20"/>
          <w:lang w:val="es-ES"/>
        </w:rPr>
        <w:t xml:space="preserve"> se pronunció sobre la licitud de la prueba</w:t>
      </w:r>
      <w:r w:rsidR="00E9654C">
        <w:rPr>
          <w:sz w:val="20"/>
          <w:szCs w:val="20"/>
          <w:lang w:val="es-ES"/>
        </w:rPr>
        <w:t>;</w:t>
      </w:r>
      <w:r w:rsidR="00CA173E" w:rsidRPr="00CA173E">
        <w:rPr>
          <w:sz w:val="20"/>
          <w:szCs w:val="20"/>
          <w:lang w:val="es-ES"/>
        </w:rPr>
        <w:t xml:space="preserve"> el grado de participación del condenado</w:t>
      </w:r>
      <w:r w:rsidR="00E9654C">
        <w:rPr>
          <w:sz w:val="20"/>
          <w:szCs w:val="20"/>
          <w:lang w:val="es-ES"/>
        </w:rPr>
        <w:t>;</w:t>
      </w:r>
      <w:r w:rsidR="00CA173E" w:rsidRPr="00CA173E">
        <w:rPr>
          <w:sz w:val="20"/>
          <w:szCs w:val="20"/>
          <w:lang w:val="es-ES"/>
        </w:rPr>
        <w:t xml:space="preserve"> y la fundamentación de la pena, de conformidad con el modelo de revisión integral que la Corte Interamericana ha considerado compatible con el artículo 8.2.h) de la Convención tras las reformas introducidas por las Leyes 8503 y 8837. </w:t>
      </w:r>
    </w:p>
    <w:p w14:paraId="5AB4E9E9" w14:textId="77777777" w:rsidR="00CA173E" w:rsidRPr="00CA173E" w:rsidRDefault="00CA173E" w:rsidP="00F328EA">
      <w:pPr>
        <w:pStyle w:val="ListParagraph"/>
        <w:numPr>
          <w:ilvl w:val="0"/>
          <w:numId w:val="55"/>
        </w:numPr>
        <w:spacing w:before="240" w:after="240"/>
        <w:jc w:val="both"/>
        <w:rPr>
          <w:rFonts w:eastAsia="Arial Unicode MS" w:cs="Times New Roman"/>
          <w:color w:val="auto"/>
          <w:sz w:val="20"/>
          <w:szCs w:val="20"/>
          <w:lang w:val="es-ES" w:eastAsia="en-US"/>
        </w:rPr>
      </w:pPr>
      <w:r w:rsidRPr="00CA173E">
        <w:rPr>
          <w:sz w:val="20"/>
          <w:szCs w:val="20"/>
          <w:lang w:val="es-ES"/>
        </w:rPr>
        <w:t xml:space="preserve">Posteriormente, el señor García interpuso un recurso de casación que fue declarado inadmisible el 5 de diciembre de 2012 por no ajustarse a los requisitos formales establecidos en el artículo 468 del Código Procesal Penal, decisión que, en las circunstancias del caso, marcó la conclusión definitiva del trámite judicial a los efectos del artículo 46.1.a) de la Convención. </w:t>
      </w:r>
    </w:p>
    <w:p w14:paraId="341CCF24" w14:textId="77777777" w:rsidR="00CA173E" w:rsidRPr="00CA173E" w:rsidRDefault="00CA173E" w:rsidP="00F328EA">
      <w:pPr>
        <w:pStyle w:val="ListParagraph"/>
        <w:numPr>
          <w:ilvl w:val="0"/>
          <w:numId w:val="55"/>
        </w:numPr>
        <w:spacing w:before="240" w:after="240"/>
        <w:jc w:val="both"/>
        <w:rPr>
          <w:rFonts w:eastAsia="Arial Unicode MS" w:cs="Times New Roman"/>
          <w:color w:val="auto"/>
          <w:sz w:val="20"/>
          <w:szCs w:val="20"/>
          <w:lang w:val="es-ES" w:eastAsia="en-US"/>
        </w:rPr>
      </w:pPr>
      <w:r w:rsidRPr="00CA173E">
        <w:rPr>
          <w:sz w:val="20"/>
          <w:szCs w:val="20"/>
          <w:lang w:val="es-ES"/>
        </w:rPr>
        <w:t xml:space="preserve">En este contexto, y a diferencia de los supuestos analizados en los casos Herrera Ulloa y Amrhein respecto de personas condenadas con anterioridad a las reformas legales, el peticionario no se encontraba en la situación de quienes debían acudir a los procedimientos especiales de revisión previstos en los transitorios de las Leyes 8503 y 8837 para suplir la inexistencia de un recurso efectivo, sino que contó desde un inicio con un recurso ordinario idóneo que fue efectivamente tramitado. </w:t>
      </w:r>
    </w:p>
    <w:p w14:paraId="5098F7DA" w14:textId="19282694" w:rsidR="00CA173E" w:rsidRPr="00CA173E" w:rsidRDefault="00CA173E" w:rsidP="00F328EA">
      <w:pPr>
        <w:pStyle w:val="ListParagraph"/>
        <w:numPr>
          <w:ilvl w:val="0"/>
          <w:numId w:val="55"/>
        </w:numPr>
        <w:spacing w:before="240" w:after="240"/>
        <w:jc w:val="both"/>
        <w:rPr>
          <w:rFonts w:eastAsia="Arial Unicode MS" w:cs="Times New Roman"/>
          <w:color w:val="auto"/>
          <w:sz w:val="20"/>
          <w:szCs w:val="20"/>
          <w:lang w:val="es-ES" w:eastAsia="en-US"/>
        </w:rPr>
      </w:pPr>
      <w:r>
        <w:rPr>
          <w:sz w:val="20"/>
          <w:szCs w:val="20"/>
          <w:lang w:val="es-ES"/>
        </w:rPr>
        <w:t>Debido a ello, e</w:t>
      </w:r>
      <w:r w:rsidRPr="00CA173E">
        <w:rPr>
          <w:sz w:val="20"/>
          <w:szCs w:val="20"/>
          <w:lang w:val="es-ES"/>
        </w:rPr>
        <w:t>l posterior intento de activar en 2016 un procedimiento de revisión con base en el artículo 411 del Código Procesal Penal no solo estuvo dirigido a replantear cuestiones ya examinadas en sede ordinaria, sino que además fue rechazado por no encuadrar en las causales taxativas previstas por la normativa interna, por lo que carece de incidencia para efectos del cómputo del plazo convencional. En consecuencia, al haber sido presentada la petición ante la Comisión el 10 de mayo de 2016, más de tres años después de la decisión definitiva de diciembre de 2012, la misma resulta manifiestamente extemporánea conforme al artículo 46.1.b) de la Convención Americana, sin que se configure en el presente caso ninguna de las excepciones previstas en su artículo 46.2</w:t>
      </w:r>
      <w:r>
        <w:rPr>
          <w:sz w:val="20"/>
          <w:szCs w:val="20"/>
          <w:lang w:val="es-ES"/>
        </w:rPr>
        <w:t>.</w:t>
      </w:r>
    </w:p>
    <w:p w14:paraId="0ABD8F23" w14:textId="5B09D4F7" w:rsidR="00CA173E" w:rsidRPr="00CA173E" w:rsidRDefault="00CA173E" w:rsidP="00F328EA">
      <w:pPr>
        <w:pStyle w:val="ListParagraph"/>
        <w:numPr>
          <w:ilvl w:val="0"/>
          <w:numId w:val="55"/>
        </w:numPr>
        <w:spacing w:before="240" w:after="240"/>
        <w:jc w:val="both"/>
        <w:rPr>
          <w:rFonts w:asciiTheme="majorHAnsi" w:hAnsiTheme="majorHAnsi"/>
          <w:b/>
          <w:bCs/>
          <w:color w:val="auto"/>
          <w:sz w:val="20"/>
          <w:szCs w:val="20"/>
          <w:lang w:val="es-ES"/>
        </w:rPr>
      </w:pPr>
      <w:r w:rsidRPr="00CA173E">
        <w:rPr>
          <w:rFonts w:asciiTheme="majorHAnsi" w:hAnsiTheme="majorHAnsi"/>
          <w:sz w:val="20"/>
          <w:szCs w:val="20"/>
          <w:lang w:val="es-ES"/>
        </w:rPr>
        <w:t xml:space="preserve">En relación con el reclamo (b), relativo a la supuesta falta de una adecuada investigación y sanción de los responsables de los actos de tortura que el peticionario afirma haber sufrido durante su privación de libertad, la Comisión observa que si bien el señor García sostiene de manera genérica que presentó una denuncia ante el Ministerio Público por los hechos de naturaleza sexual que atribuye a funcionarios penitenciarios, no ha aportado constancia alguna que permita verificar su efectiva interposición, su contenido, ni el estado procesal de dicha actuación. </w:t>
      </w:r>
    </w:p>
    <w:p w14:paraId="3E50D1F3" w14:textId="6F1C6303" w:rsidR="00CA173E" w:rsidRPr="00CA173E" w:rsidRDefault="00CA173E" w:rsidP="00F328EA">
      <w:pPr>
        <w:pStyle w:val="ListParagraph"/>
        <w:numPr>
          <w:ilvl w:val="0"/>
          <w:numId w:val="55"/>
        </w:numPr>
        <w:spacing w:before="240" w:after="240"/>
        <w:jc w:val="both"/>
        <w:rPr>
          <w:rFonts w:asciiTheme="majorHAnsi" w:hAnsiTheme="majorHAnsi"/>
          <w:b/>
          <w:bCs/>
          <w:color w:val="auto"/>
          <w:sz w:val="20"/>
          <w:szCs w:val="20"/>
          <w:lang w:val="es-ES"/>
        </w:rPr>
      </w:pPr>
      <w:r w:rsidRPr="00CA173E">
        <w:rPr>
          <w:rFonts w:asciiTheme="majorHAnsi" w:hAnsiTheme="majorHAnsi"/>
          <w:sz w:val="20"/>
          <w:szCs w:val="20"/>
          <w:lang w:val="es-ES"/>
        </w:rPr>
        <w:t xml:space="preserve">Por el contrario, respecto de los alegatos relativos a condiciones de detención y atención médica, consta que el propio peticionario sí </w:t>
      </w:r>
      <w:r w:rsidR="007446AC">
        <w:rPr>
          <w:rFonts w:asciiTheme="majorHAnsi" w:hAnsiTheme="majorHAnsi"/>
          <w:sz w:val="20"/>
          <w:szCs w:val="20"/>
          <w:lang w:val="es-ES"/>
        </w:rPr>
        <w:t>empleo los</w:t>
      </w:r>
      <w:r w:rsidRPr="00CA173E">
        <w:rPr>
          <w:rFonts w:asciiTheme="majorHAnsi" w:hAnsiTheme="majorHAnsi"/>
          <w:sz w:val="20"/>
          <w:szCs w:val="20"/>
          <w:lang w:val="es-ES"/>
        </w:rPr>
        <w:t xml:space="preserve"> recursos de amparo que fueron conocidos por la Sala Constitucional, algunos de ellos con declaratorias con lugar que dieron lugar a la adopción de medidas correctivas, mientras que otros fueron rechazados por falta de sustento. En este contexto, la Comisión advierte que el peticionario no ha acreditado haber activado de manera efectiva los recursos internos disponibles para investigar y sancionar los presuntos actos de tortura antes de acudir al sistema interamericano, ni ha demostrado la configuración de un retardo injustificado, denegación de justicia o imposibilidad material de acceso a los recursos, en los términos del artículo 46.2 de la Convención Americana. En consecuencia, este </w:t>
      </w:r>
      <w:r w:rsidRPr="00CA173E">
        <w:rPr>
          <w:rFonts w:asciiTheme="majorHAnsi" w:hAnsiTheme="majorHAnsi"/>
          <w:sz w:val="20"/>
          <w:szCs w:val="20"/>
          <w:lang w:val="es-ES"/>
        </w:rPr>
        <w:lastRenderedPageBreak/>
        <w:t>extremo de la petición resulta inadmisible por incumplimiento del requisito de agotamiento de los recursos internos previsto en el artículo 46.1.a) de la Convención.</w:t>
      </w:r>
    </w:p>
    <w:p w14:paraId="29BB41F5" w14:textId="723DD3D2" w:rsidR="003239B8" w:rsidRPr="00CA173E" w:rsidRDefault="003239B8" w:rsidP="00F328EA">
      <w:pPr>
        <w:pStyle w:val="ListParagraph"/>
        <w:spacing w:before="240" w:after="240"/>
        <w:jc w:val="both"/>
        <w:rPr>
          <w:rFonts w:asciiTheme="majorHAnsi" w:hAnsiTheme="majorHAnsi"/>
          <w:b/>
          <w:bCs/>
          <w:color w:val="auto"/>
          <w:sz w:val="20"/>
          <w:szCs w:val="20"/>
          <w:lang w:val="es-ES"/>
        </w:rPr>
      </w:pPr>
      <w:r w:rsidRPr="00CA173E">
        <w:rPr>
          <w:rFonts w:asciiTheme="majorHAnsi" w:hAnsiTheme="majorHAnsi"/>
          <w:b/>
          <w:bCs/>
          <w:color w:val="auto"/>
          <w:sz w:val="20"/>
          <w:szCs w:val="20"/>
          <w:lang w:val="es-ES"/>
        </w:rPr>
        <w:t xml:space="preserve">VIII. </w:t>
      </w:r>
      <w:r w:rsidRPr="00CA173E">
        <w:rPr>
          <w:rFonts w:asciiTheme="majorHAnsi" w:hAnsiTheme="majorHAnsi"/>
          <w:b/>
          <w:bCs/>
          <w:color w:val="auto"/>
          <w:sz w:val="20"/>
          <w:szCs w:val="20"/>
          <w:lang w:val="es-ES"/>
        </w:rPr>
        <w:tab/>
        <w:t>DECISIÓN</w:t>
      </w:r>
    </w:p>
    <w:p w14:paraId="41AA5BF6" w14:textId="26095A09" w:rsidR="000419AD" w:rsidRPr="00FF3D1D" w:rsidRDefault="000419AD" w:rsidP="00FF3D1D">
      <w:pPr>
        <w:pStyle w:val="ListParagraph"/>
        <w:numPr>
          <w:ilvl w:val="0"/>
          <w:numId w:val="56"/>
        </w:numPr>
        <w:spacing w:before="240" w:after="240"/>
        <w:jc w:val="both"/>
        <w:rPr>
          <w:rFonts w:eastAsia="Arial Unicode MS" w:cs="Times New Roman"/>
          <w:color w:val="auto"/>
          <w:sz w:val="20"/>
          <w:szCs w:val="20"/>
          <w:lang w:val="es-ES" w:eastAsia="en-US"/>
        </w:rPr>
      </w:pPr>
      <w:r w:rsidRPr="009545B0">
        <w:rPr>
          <w:rFonts w:eastAsia="Arial Unicode MS" w:cs="Times New Roman"/>
          <w:color w:val="auto"/>
          <w:sz w:val="20"/>
          <w:szCs w:val="20"/>
          <w:lang w:val="es-ES" w:eastAsia="en-US"/>
        </w:rPr>
        <w:t>Declarar inadmisible la presente petición</w:t>
      </w:r>
      <w:r w:rsidR="00A758AA" w:rsidRPr="009545B0">
        <w:rPr>
          <w:rFonts w:eastAsia="Arial Unicode MS" w:cs="Times New Roman"/>
          <w:color w:val="auto"/>
          <w:sz w:val="20"/>
          <w:szCs w:val="20"/>
          <w:lang w:val="es-ES" w:eastAsia="en-US"/>
        </w:rPr>
        <w:t>;</w:t>
      </w:r>
      <w:r w:rsidR="004A6A54" w:rsidRPr="009545B0">
        <w:rPr>
          <w:rFonts w:eastAsia="Arial Unicode MS" w:cs="Times New Roman"/>
          <w:color w:val="auto"/>
          <w:sz w:val="20"/>
          <w:szCs w:val="20"/>
          <w:lang w:val="es-ES" w:eastAsia="en-US"/>
        </w:rPr>
        <w:t xml:space="preserve"> y</w:t>
      </w:r>
    </w:p>
    <w:p w14:paraId="12A7002C" w14:textId="7C301788" w:rsidR="004A6A54" w:rsidRPr="009545B0" w:rsidRDefault="004A6A54" w:rsidP="00F328EA">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9545B0">
        <w:rPr>
          <w:rFonts w:asciiTheme="majorHAnsi" w:hAnsiTheme="majorHAnsi"/>
          <w:sz w:val="20"/>
          <w:szCs w:val="20"/>
          <w:lang w:val="es-ES"/>
        </w:rPr>
        <w:t>Notificar a las partes la presente decisión; y publicar esta decisión e incluirla en su Informe Anual a la Asamblea General de la Organización de los Estados Americanos.</w:t>
      </w:r>
    </w:p>
    <w:p w14:paraId="2642C68E" w14:textId="751D605B" w:rsidR="008D768D" w:rsidRPr="00A164FB" w:rsidRDefault="009D7F29" w:rsidP="00A164FB">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Aprobado por la Comisión Interamericana de Derechos Humano</w:t>
      </w:r>
      <w:r w:rsidRPr="00B310CA">
        <w:rPr>
          <w:rStyle w:val="normaltextrun"/>
          <w:rFonts w:ascii="Cambria" w:hAnsi="Cambria" w:cs="Segoe UI"/>
          <w:sz w:val="20"/>
          <w:szCs w:val="20"/>
          <w:lang w:val="es-CL"/>
        </w:rPr>
        <w:t>s a los 27 días del mes de diciembre de 2025.  (Firmado): José Luis Caballero Ochoa, Presidente; Andrea Pochak, Primera Vicepresidenta; Edgar Stuardo Ralón Orellana</w:t>
      </w:r>
      <w:r w:rsidR="00B310CA" w:rsidRPr="00B310CA">
        <w:rPr>
          <w:rStyle w:val="normaltextrun"/>
          <w:rFonts w:ascii="Cambria" w:hAnsi="Cambria" w:cs="Segoe UI"/>
          <w:sz w:val="20"/>
          <w:szCs w:val="20"/>
          <w:lang w:val="es-CL"/>
        </w:rPr>
        <w:t xml:space="preserve"> y </w:t>
      </w:r>
      <w:r w:rsidRPr="00B310CA">
        <w:rPr>
          <w:rStyle w:val="normaltextrun"/>
          <w:rFonts w:ascii="Cambria" w:hAnsi="Cambria" w:cs="Segoe UI"/>
          <w:sz w:val="20"/>
          <w:szCs w:val="20"/>
          <w:lang w:val="es-CL"/>
        </w:rPr>
        <w:t xml:space="preserve">Carlos Bernal Pulido, </w:t>
      </w:r>
      <w:r w:rsidR="00A164FB">
        <w:rPr>
          <w:rStyle w:val="normaltextrun"/>
          <w:rFonts w:ascii="Cambria" w:hAnsi="Cambria" w:cs="Segoe UI"/>
          <w:sz w:val="20"/>
          <w:szCs w:val="20"/>
          <w:lang w:val="es-CL"/>
        </w:rPr>
        <w:t>m</w:t>
      </w:r>
      <w:r w:rsidRPr="00B310CA">
        <w:rPr>
          <w:rStyle w:val="normaltextrun"/>
          <w:rFonts w:ascii="Cambria" w:hAnsi="Cambria" w:cs="Segoe UI"/>
          <w:sz w:val="20"/>
          <w:szCs w:val="20"/>
          <w:lang w:val="es-CL"/>
        </w:rPr>
        <w:t>iembros de la Comisión.</w:t>
      </w:r>
    </w:p>
    <w:p w14:paraId="6AC80CA6" w14:textId="77777777" w:rsidR="00722C9F" w:rsidRPr="009545B0" w:rsidRDefault="00722C9F" w:rsidP="00F328EA">
      <w:pPr>
        <w:spacing w:before="240" w:after="240"/>
        <w:rPr>
          <w:rFonts w:ascii="Cambria" w:hAnsi="Cambria" w:cs="Calibri"/>
          <w:sz w:val="20"/>
          <w:szCs w:val="20"/>
          <w:lang w:val="es-ES"/>
        </w:rPr>
      </w:pPr>
    </w:p>
    <w:sectPr w:rsidR="00722C9F" w:rsidRPr="009545B0"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303DE" w14:textId="77777777" w:rsidR="00E6400F" w:rsidRDefault="00E6400F">
      <w:r>
        <w:separator/>
      </w:r>
    </w:p>
  </w:endnote>
  <w:endnote w:type="continuationSeparator" w:id="0">
    <w:p w14:paraId="7E8E57E8" w14:textId="77777777" w:rsidR="00E6400F" w:rsidRDefault="00E64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29E243E2" w14:textId="25B7F19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5D38F9">
          <w:rPr>
            <w:noProof/>
            <w:sz w:val="16"/>
            <w:szCs w:val="22"/>
          </w:rPr>
          <w:t>2</w:t>
        </w:r>
        <w:r w:rsidRPr="00934A2C">
          <w:rPr>
            <w:noProof/>
            <w:sz w:val="16"/>
            <w:szCs w:val="22"/>
          </w:rPr>
          <w:fldChar w:fldCharType="end"/>
        </w:r>
      </w:p>
    </w:sdtContent>
  </w:sdt>
  <w:p w14:paraId="68530E6A"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FDC" w14:textId="77777777" w:rsidR="0070697F" w:rsidRPr="00934A2C" w:rsidRDefault="0070697F">
    <w:pPr>
      <w:pStyle w:val="Footer"/>
      <w:jc w:val="center"/>
      <w:rPr>
        <w:sz w:val="16"/>
        <w:szCs w:val="22"/>
      </w:rPr>
    </w:pPr>
  </w:p>
  <w:p w14:paraId="49059CE3"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A0211" w14:textId="77777777" w:rsidR="00E6400F" w:rsidRPr="000F35ED" w:rsidRDefault="00E6400F">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1406E7E5" w14:textId="77777777" w:rsidR="00E6400F" w:rsidRPr="000F35ED" w:rsidRDefault="00E6400F" w:rsidP="000F35ED">
      <w:pPr>
        <w:rPr>
          <w:rFonts w:asciiTheme="majorHAnsi" w:hAnsiTheme="majorHAnsi"/>
          <w:sz w:val="16"/>
          <w:szCs w:val="16"/>
        </w:rPr>
      </w:pPr>
      <w:r w:rsidRPr="000F35ED">
        <w:rPr>
          <w:rFonts w:asciiTheme="majorHAnsi" w:hAnsiTheme="majorHAnsi"/>
          <w:sz w:val="16"/>
          <w:szCs w:val="16"/>
        </w:rPr>
        <w:separator/>
      </w:r>
    </w:p>
    <w:p w14:paraId="67FAFB5B" w14:textId="77777777" w:rsidR="00E6400F" w:rsidRPr="000F35ED" w:rsidRDefault="00E6400F"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17498015" w14:textId="77777777" w:rsidR="00E6400F" w:rsidRPr="000F35ED" w:rsidRDefault="00E6400F"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79F07139" w14:textId="77777777" w:rsidR="008E3BFE" w:rsidRPr="00537490" w:rsidRDefault="008E3BFE" w:rsidP="00C20EB5">
      <w:pPr>
        <w:pStyle w:val="FootnoteText"/>
        <w:ind w:firstLine="720"/>
        <w:jc w:val="both"/>
        <w:rPr>
          <w:rFonts w:ascii="Cambria" w:hAnsi="Cambria"/>
          <w:sz w:val="16"/>
          <w:szCs w:val="16"/>
          <w:lang w:val="es-ES"/>
        </w:rPr>
      </w:pPr>
      <w:r w:rsidRPr="00877CD6">
        <w:rPr>
          <w:rStyle w:val="FootnoteReference"/>
          <w:rFonts w:asciiTheme="majorHAnsi" w:hAnsiTheme="majorHAnsi"/>
          <w:sz w:val="16"/>
          <w:szCs w:val="16"/>
        </w:rPr>
        <w:footnoteRef/>
      </w:r>
      <w:r w:rsidRPr="00877CD6">
        <w:rPr>
          <w:rFonts w:asciiTheme="majorHAnsi" w:hAnsiTheme="majorHAnsi"/>
          <w:sz w:val="16"/>
          <w:szCs w:val="16"/>
          <w:lang w:val="es-ES"/>
        </w:rPr>
        <w:t xml:space="preserve"> Las observaciones de cada parte fueron debidamente trasladadas a la parte contraria.</w:t>
      </w:r>
    </w:p>
  </w:footnote>
  <w:footnote w:id="3">
    <w:p w14:paraId="167091DC" w14:textId="77777777" w:rsidR="00CF6E6E" w:rsidRPr="007653D8" w:rsidRDefault="00CF6E6E" w:rsidP="00CF6E6E">
      <w:pPr>
        <w:pStyle w:val="FootnoteText"/>
        <w:ind w:firstLine="720"/>
        <w:jc w:val="both"/>
        <w:rPr>
          <w:rFonts w:asciiTheme="majorHAnsi" w:hAnsiTheme="majorHAnsi"/>
          <w:sz w:val="16"/>
          <w:szCs w:val="16"/>
          <w:lang w:val="es-US"/>
        </w:rPr>
      </w:pPr>
      <w:r w:rsidRPr="007653D8">
        <w:rPr>
          <w:rStyle w:val="FootnoteReference"/>
          <w:rFonts w:asciiTheme="majorHAnsi" w:hAnsiTheme="majorHAnsi"/>
          <w:sz w:val="16"/>
          <w:szCs w:val="16"/>
        </w:rPr>
        <w:footnoteRef/>
      </w:r>
      <w:r w:rsidRPr="007653D8">
        <w:rPr>
          <w:rFonts w:asciiTheme="majorHAnsi" w:hAnsiTheme="majorHAnsi"/>
          <w:sz w:val="16"/>
          <w:szCs w:val="16"/>
          <w:lang w:val="es-US"/>
        </w:rPr>
        <w:t xml:space="preserve"> En adelante, la “Corte Interamericana” o la “Corte IDH”.</w:t>
      </w:r>
    </w:p>
  </w:footnote>
  <w:footnote w:id="4">
    <w:p w14:paraId="77986CDA" w14:textId="626D2A0A" w:rsidR="00CF6E6E" w:rsidRPr="003A7BF0" w:rsidRDefault="00CF6E6E" w:rsidP="00CF6E6E">
      <w:pPr>
        <w:pStyle w:val="FootnoteText"/>
        <w:ind w:firstLine="720"/>
        <w:jc w:val="both"/>
        <w:rPr>
          <w:rFonts w:asciiTheme="majorHAnsi" w:hAnsiTheme="majorHAnsi"/>
          <w:sz w:val="16"/>
          <w:szCs w:val="16"/>
          <w:lang w:val="es-ES"/>
        </w:rPr>
      </w:pPr>
      <w:r w:rsidRPr="007653D8">
        <w:rPr>
          <w:rStyle w:val="FootnoteReference"/>
          <w:rFonts w:asciiTheme="majorHAnsi" w:hAnsiTheme="majorHAnsi"/>
          <w:sz w:val="16"/>
          <w:szCs w:val="16"/>
        </w:rPr>
        <w:footnoteRef/>
      </w:r>
      <w:r w:rsidRPr="00323DE5">
        <w:rPr>
          <w:rFonts w:asciiTheme="majorHAnsi" w:hAnsiTheme="majorHAnsi"/>
          <w:sz w:val="16"/>
          <w:szCs w:val="16"/>
          <w:lang w:val="pt-BR"/>
        </w:rPr>
        <w:t xml:space="preserve"> Corte IDH</w:t>
      </w:r>
      <w:r w:rsidR="00BD3C63">
        <w:rPr>
          <w:rFonts w:asciiTheme="majorHAnsi" w:hAnsiTheme="majorHAnsi"/>
          <w:sz w:val="16"/>
          <w:szCs w:val="16"/>
          <w:lang w:val="pt-BR"/>
        </w:rPr>
        <w:t>,</w:t>
      </w:r>
      <w:r w:rsidRPr="00323DE5">
        <w:rPr>
          <w:rFonts w:asciiTheme="majorHAnsi" w:hAnsiTheme="majorHAnsi"/>
          <w:sz w:val="16"/>
          <w:szCs w:val="16"/>
          <w:lang w:val="pt-BR"/>
        </w:rPr>
        <w:t xml:space="preserve"> Caso Herrera Ulloa Vs. </w:t>
      </w:r>
      <w:r w:rsidRPr="00BD3C63">
        <w:rPr>
          <w:rFonts w:asciiTheme="majorHAnsi" w:hAnsiTheme="majorHAnsi"/>
          <w:sz w:val="16"/>
          <w:szCs w:val="16"/>
          <w:lang w:val="es-ES"/>
        </w:rPr>
        <w:t>Costa Rica</w:t>
      </w:r>
      <w:r w:rsidR="00BD3C63" w:rsidRPr="00BD3C63">
        <w:rPr>
          <w:rFonts w:asciiTheme="majorHAnsi" w:hAnsiTheme="majorHAnsi"/>
          <w:sz w:val="16"/>
          <w:szCs w:val="16"/>
          <w:lang w:val="es-ES"/>
        </w:rPr>
        <w:t>,</w:t>
      </w:r>
      <w:r w:rsidRPr="00BD3C63">
        <w:rPr>
          <w:rFonts w:asciiTheme="majorHAnsi" w:hAnsiTheme="majorHAnsi"/>
          <w:sz w:val="16"/>
          <w:szCs w:val="16"/>
          <w:lang w:val="es-ES"/>
        </w:rPr>
        <w:t xml:space="preserve"> Excepciones Preliminares, Fondo, Reparaciones y Costas</w:t>
      </w:r>
      <w:r w:rsidR="00BD3C63" w:rsidRPr="00BD3C63">
        <w:rPr>
          <w:rFonts w:asciiTheme="majorHAnsi" w:hAnsiTheme="majorHAnsi"/>
          <w:sz w:val="16"/>
          <w:szCs w:val="16"/>
          <w:lang w:val="es-ES"/>
        </w:rPr>
        <w:t>,</w:t>
      </w:r>
      <w:r w:rsidRPr="00BD3C63">
        <w:rPr>
          <w:rFonts w:asciiTheme="majorHAnsi" w:hAnsiTheme="majorHAnsi"/>
          <w:sz w:val="16"/>
          <w:szCs w:val="16"/>
          <w:lang w:val="es-ES"/>
        </w:rPr>
        <w:t xml:space="preserve"> Sentencia de 2 de julio de 2004</w:t>
      </w:r>
      <w:r w:rsidR="00BD3C63">
        <w:rPr>
          <w:rFonts w:asciiTheme="majorHAnsi" w:hAnsiTheme="majorHAnsi"/>
          <w:sz w:val="16"/>
          <w:szCs w:val="16"/>
          <w:lang w:val="es-ES"/>
        </w:rPr>
        <w:t>,</w:t>
      </w:r>
      <w:r w:rsidRPr="00BD3C63">
        <w:rPr>
          <w:rFonts w:asciiTheme="majorHAnsi" w:hAnsiTheme="majorHAnsi"/>
          <w:sz w:val="16"/>
          <w:szCs w:val="16"/>
          <w:lang w:val="es-ES"/>
        </w:rPr>
        <w:t xml:space="preserve"> Serie C No. 107, párr. </w:t>
      </w:r>
      <w:r w:rsidRPr="003A7BF0">
        <w:rPr>
          <w:rFonts w:asciiTheme="majorHAnsi" w:hAnsiTheme="majorHAnsi"/>
          <w:sz w:val="16"/>
          <w:szCs w:val="16"/>
          <w:lang w:val="es-ES"/>
        </w:rPr>
        <w:t xml:space="preserve">167. </w:t>
      </w:r>
    </w:p>
  </w:footnote>
  <w:footnote w:id="5">
    <w:p w14:paraId="2D94CF6C" w14:textId="0056DB7F" w:rsidR="00CF6E6E" w:rsidRPr="007653D8" w:rsidRDefault="00CF6E6E" w:rsidP="00CF6E6E">
      <w:pPr>
        <w:pStyle w:val="FootnoteText"/>
        <w:ind w:firstLine="720"/>
        <w:jc w:val="both"/>
        <w:rPr>
          <w:lang w:val="es-US"/>
        </w:rPr>
      </w:pPr>
      <w:r w:rsidRPr="007653D8">
        <w:rPr>
          <w:rStyle w:val="FootnoteReference"/>
          <w:rFonts w:asciiTheme="majorHAnsi" w:hAnsiTheme="majorHAnsi"/>
          <w:sz w:val="16"/>
          <w:szCs w:val="16"/>
        </w:rPr>
        <w:footnoteRef/>
      </w:r>
      <w:r w:rsidRPr="003A7BF0">
        <w:rPr>
          <w:rFonts w:asciiTheme="majorHAnsi" w:hAnsiTheme="majorHAnsi"/>
          <w:sz w:val="16"/>
          <w:szCs w:val="16"/>
          <w:lang w:val="es-ES"/>
        </w:rPr>
        <w:t xml:space="preserve"> Corte IDH</w:t>
      </w:r>
      <w:r w:rsidR="00BD3C63" w:rsidRPr="003A7BF0">
        <w:rPr>
          <w:rFonts w:asciiTheme="majorHAnsi" w:hAnsiTheme="majorHAnsi"/>
          <w:sz w:val="16"/>
          <w:szCs w:val="16"/>
          <w:lang w:val="es-ES"/>
        </w:rPr>
        <w:t>,</w:t>
      </w:r>
      <w:r w:rsidRPr="003A7BF0">
        <w:rPr>
          <w:rFonts w:asciiTheme="majorHAnsi" w:hAnsiTheme="majorHAnsi"/>
          <w:sz w:val="16"/>
          <w:szCs w:val="16"/>
          <w:lang w:val="es-ES"/>
        </w:rPr>
        <w:t xml:space="preserve"> Caso Herrera Ulloa Vs. </w:t>
      </w:r>
      <w:r w:rsidRPr="00BD3C63">
        <w:rPr>
          <w:rFonts w:asciiTheme="majorHAnsi" w:hAnsiTheme="majorHAnsi"/>
          <w:sz w:val="16"/>
          <w:szCs w:val="16"/>
          <w:lang w:val="es-ES"/>
        </w:rPr>
        <w:t>Costa Rica</w:t>
      </w:r>
      <w:r w:rsidR="00BD3C63" w:rsidRPr="00BD3C63">
        <w:rPr>
          <w:rFonts w:asciiTheme="majorHAnsi" w:hAnsiTheme="majorHAnsi"/>
          <w:sz w:val="16"/>
          <w:szCs w:val="16"/>
          <w:lang w:val="es-ES"/>
        </w:rPr>
        <w:t>,</w:t>
      </w:r>
      <w:r w:rsidRPr="00BD3C63">
        <w:rPr>
          <w:rFonts w:asciiTheme="majorHAnsi" w:hAnsiTheme="majorHAnsi"/>
          <w:sz w:val="16"/>
          <w:szCs w:val="16"/>
          <w:lang w:val="es-ES"/>
        </w:rPr>
        <w:t xml:space="preserve"> </w:t>
      </w:r>
      <w:r w:rsidRPr="007653D8">
        <w:rPr>
          <w:rFonts w:asciiTheme="majorHAnsi" w:hAnsiTheme="majorHAnsi"/>
          <w:sz w:val="16"/>
          <w:szCs w:val="16"/>
          <w:lang w:val="es-US"/>
        </w:rPr>
        <w:t>Excepciones Preliminares, Fondo, Reparaciones y Costas</w:t>
      </w:r>
      <w:r w:rsidR="00BD3C63">
        <w:rPr>
          <w:rFonts w:asciiTheme="majorHAnsi" w:hAnsiTheme="majorHAnsi"/>
          <w:sz w:val="16"/>
          <w:szCs w:val="16"/>
          <w:lang w:val="es-US"/>
        </w:rPr>
        <w:t>,</w:t>
      </w:r>
      <w:r w:rsidRPr="007653D8">
        <w:rPr>
          <w:rFonts w:asciiTheme="majorHAnsi" w:hAnsiTheme="majorHAnsi"/>
          <w:sz w:val="16"/>
          <w:szCs w:val="16"/>
          <w:lang w:val="es-US"/>
        </w:rPr>
        <w:t xml:space="preserve"> </w:t>
      </w:r>
      <w:r w:rsidRPr="007653D8">
        <w:rPr>
          <w:rFonts w:asciiTheme="majorHAnsi" w:hAnsiTheme="majorHAnsi"/>
          <w:sz w:val="16"/>
          <w:szCs w:val="16"/>
          <w:lang w:val="es-ES"/>
        </w:rPr>
        <w:t>Sentencia de 2 de julio de 2004</w:t>
      </w:r>
      <w:r w:rsidR="00BD3C63">
        <w:rPr>
          <w:rFonts w:asciiTheme="majorHAnsi" w:hAnsiTheme="majorHAnsi"/>
          <w:sz w:val="16"/>
          <w:szCs w:val="16"/>
          <w:lang w:val="es-ES"/>
        </w:rPr>
        <w:t>,</w:t>
      </w:r>
      <w:r w:rsidRPr="007653D8">
        <w:rPr>
          <w:rFonts w:asciiTheme="majorHAnsi" w:hAnsiTheme="majorHAnsi"/>
          <w:sz w:val="16"/>
          <w:szCs w:val="16"/>
          <w:lang w:val="es-ES"/>
        </w:rPr>
        <w:t xml:space="preserve"> Serie C No. 107, párr. 198.</w:t>
      </w:r>
    </w:p>
  </w:footnote>
  <w:footnote w:id="6">
    <w:p w14:paraId="40E62F30" w14:textId="2D9FE396" w:rsidR="00CF6E6E" w:rsidRPr="007653D8" w:rsidRDefault="00CF6E6E" w:rsidP="00CF6E6E">
      <w:pPr>
        <w:pStyle w:val="FootnoteText"/>
        <w:ind w:firstLine="720"/>
        <w:jc w:val="both"/>
        <w:rPr>
          <w:rFonts w:asciiTheme="majorHAnsi" w:hAnsiTheme="majorHAnsi"/>
          <w:sz w:val="16"/>
          <w:szCs w:val="16"/>
          <w:lang w:val="es-US"/>
        </w:rPr>
      </w:pPr>
      <w:r w:rsidRPr="007653D8">
        <w:rPr>
          <w:rStyle w:val="FootnoteReference"/>
          <w:rFonts w:asciiTheme="majorHAnsi" w:hAnsiTheme="majorHAnsi"/>
          <w:sz w:val="16"/>
          <w:szCs w:val="16"/>
        </w:rPr>
        <w:footnoteRef/>
      </w:r>
      <w:r w:rsidRPr="007653D8">
        <w:rPr>
          <w:rFonts w:asciiTheme="majorHAnsi" w:hAnsiTheme="majorHAnsi"/>
          <w:sz w:val="16"/>
          <w:szCs w:val="16"/>
          <w:lang w:val="es-US"/>
        </w:rPr>
        <w:t xml:space="preserve"> Corte IDH</w:t>
      </w:r>
      <w:r w:rsidR="00CB1965">
        <w:rPr>
          <w:rFonts w:asciiTheme="majorHAnsi" w:hAnsiTheme="majorHAnsi"/>
          <w:sz w:val="16"/>
          <w:szCs w:val="16"/>
          <w:lang w:val="es-US"/>
        </w:rPr>
        <w:t>,</w:t>
      </w:r>
      <w:r w:rsidRPr="007653D8">
        <w:rPr>
          <w:rFonts w:asciiTheme="majorHAnsi" w:hAnsiTheme="majorHAnsi"/>
          <w:sz w:val="16"/>
          <w:szCs w:val="16"/>
          <w:lang w:val="es-US"/>
        </w:rPr>
        <w:t xml:space="preserve"> Caso Amrhein y otros Vs. Costa Rica</w:t>
      </w:r>
      <w:r w:rsidR="00CB1965">
        <w:rPr>
          <w:rFonts w:asciiTheme="majorHAnsi" w:hAnsiTheme="majorHAnsi"/>
          <w:sz w:val="16"/>
          <w:szCs w:val="16"/>
          <w:lang w:val="es-US"/>
        </w:rPr>
        <w:t>,</w:t>
      </w:r>
      <w:r w:rsidRPr="007653D8">
        <w:rPr>
          <w:rFonts w:asciiTheme="majorHAnsi" w:hAnsiTheme="majorHAnsi"/>
          <w:sz w:val="16"/>
          <w:szCs w:val="16"/>
          <w:lang w:val="es-US"/>
        </w:rPr>
        <w:t xml:space="preserve"> Excepciones Preliminares, Fondo, Reparaciones y Costas</w:t>
      </w:r>
      <w:r w:rsidR="00CB1965">
        <w:rPr>
          <w:rFonts w:asciiTheme="majorHAnsi" w:hAnsiTheme="majorHAnsi"/>
          <w:sz w:val="16"/>
          <w:szCs w:val="16"/>
          <w:lang w:val="es-US"/>
        </w:rPr>
        <w:t>,</w:t>
      </w:r>
      <w:r w:rsidRPr="007653D8">
        <w:rPr>
          <w:rFonts w:asciiTheme="majorHAnsi" w:hAnsiTheme="majorHAnsi"/>
          <w:sz w:val="16"/>
          <w:szCs w:val="16"/>
          <w:lang w:val="es-US"/>
        </w:rPr>
        <w:t xml:space="preserve"> Sentencia de 25 de abril de 2018</w:t>
      </w:r>
      <w:r w:rsidR="00CB1965">
        <w:rPr>
          <w:rFonts w:asciiTheme="majorHAnsi" w:hAnsiTheme="majorHAnsi"/>
          <w:sz w:val="16"/>
          <w:szCs w:val="16"/>
          <w:lang w:val="es-US"/>
        </w:rPr>
        <w:t>,</w:t>
      </w:r>
      <w:r w:rsidRPr="007653D8">
        <w:rPr>
          <w:rFonts w:asciiTheme="majorHAnsi" w:hAnsiTheme="majorHAnsi"/>
          <w:sz w:val="16"/>
          <w:szCs w:val="16"/>
          <w:lang w:val="es-US"/>
        </w:rPr>
        <w:t xml:space="preserve"> Serie C No. 354, párr. 262.</w:t>
      </w:r>
    </w:p>
  </w:footnote>
  <w:footnote w:id="7">
    <w:p w14:paraId="59AD0CD1" w14:textId="2658A7C1" w:rsidR="00CF6E6E" w:rsidRPr="007653D8" w:rsidRDefault="00CF6E6E" w:rsidP="00CF6E6E">
      <w:pPr>
        <w:pStyle w:val="FootnoteText"/>
        <w:ind w:firstLine="720"/>
        <w:jc w:val="both"/>
        <w:rPr>
          <w:rFonts w:asciiTheme="majorHAnsi" w:hAnsiTheme="majorHAnsi"/>
          <w:sz w:val="16"/>
          <w:szCs w:val="16"/>
          <w:lang w:val="es-US"/>
        </w:rPr>
      </w:pPr>
      <w:r w:rsidRPr="007653D8">
        <w:rPr>
          <w:rStyle w:val="FootnoteReference"/>
          <w:rFonts w:asciiTheme="majorHAnsi" w:hAnsiTheme="majorHAnsi"/>
          <w:sz w:val="16"/>
          <w:szCs w:val="16"/>
        </w:rPr>
        <w:footnoteRef/>
      </w:r>
      <w:r w:rsidRPr="007653D8">
        <w:rPr>
          <w:rFonts w:asciiTheme="majorHAnsi" w:hAnsiTheme="majorHAnsi"/>
          <w:sz w:val="16"/>
          <w:szCs w:val="16"/>
          <w:lang w:val="es-US"/>
        </w:rPr>
        <w:t xml:space="preserve"> Corte IDH</w:t>
      </w:r>
      <w:r w:rsidR="00CB1965">
        <w:rPr>
          <w:rFonts w:asciiTheme="majorHAnsi" w:hAnsiTheme="majorHAnsi"/>
          <w:sz w:val="16"/>
          <w:szCs w:val="16"/>
          <w:lang w:val="es-US"/>
        </w:rPr>
        <w:t>,</w:t>
      </w:r>
      <w:r w:rsidRPr="007653D8">
        <w:rPr>
          <w:rFonts w:asciiTheme="majorHAnsi" w:hAnsiTheme="majorHAnsi"/>
          <w:sz w:val="16"/>
          <w:szCs w:val="16"/>
          <w:lang w:val="es-US"/>
        </w:rPr>
        <w:t xml:space="preserve"> Caso Amrhein y otros Vs. Costa Rica</w:t>
      </w:r>
      <w:r w:rsidR="00CB1965">
        <w:rPr>
          <w:rFonts w:asciiTheme="majorHAnsi" w:hAnsiTheme="majorHAnsi"/>
          <w:sz w:val="16"/>
          <w:szCs w:val="16"/>
          <w:lang w:val="es-US"/>
        </w:rPr>
        <w:t>,</w:t>
      </w:r>
      <w:r w:rsidRPr="007653D8">
        <w:rPr>
          <w:rFonts w:asciiTheme="majorHAnsi" w:hAnsiTheme="majorHAnsi"/>
          <w:sz w:val="16"/>
          <w:szCs w:val="16"/>
          <w:lang w:val="es-US"/>
        </w:rPr>
        <w:t xml:space="preserve"> Excepciones Preliminares, Fondo, Reparaciones y Costas. Sentencia de 25 de abril de 2018</w:t>
      </w:r>
      <w:r w:rsidR="00593D58">
        <w:rPr>
          <w:rFonts w:asciiTheme="majorHAnsi" w:hAnsiTheme="majorHAnsi"/>
          <w:sz w:val="16"/>
          <w:szCs w:val="16"/>
          <w:lang w:val="es-US"/>
        </w:rPr>
        <w:t>,</w:t>
      </w:r>
      <w:r w:rsidRPr="007653D8">
        <w:rPr>
          <w:rFonts w:asciiTheme="majorHAnsi" w:hAnsiTheme="majorHAnsi"/>
          <w:sz w:val="16"/>
          <w:szCs w:val="16"/>
          <w:lang w:val="es-US"/>
        </w:rPr>
        <w:t xml:space="preserve"> Serie C No. 354, párr. 48. </w:t>
      </w:r>
    </w:p>
  </w:footnote>
  <w:footnote w:id="8">
    <w:p w14:paraId="5ED19999" w14:textId="2EFD5286" w:rsidR="00CF6E6E" w:rsidRPr="007653D8" w:rsidRDefault="00CF6E6E" w:rsidP="00CF6E6E">
      <w:pPr>
        <w:pStyle w:val="FootnoteText"/>
        <w:ind w:firstLine="720"/>
        <w:jc w:val="both"/>
        <w:rPr>
          <w:lang w:val="es-US"/>
        </w:rPr>
      </w:pPr>
      <w:r w:rsidRPr="007653D8">
        <w:rPr>
          <w:rStyle w:val="FootnoteReference"/>
          <w:rFonts w:asciiTheme="majorHAnsi" w:hAnsiTheme="majorHAnsi"/>
          <w:sz w:val="16"/>
          <w:szCs w:val="16"/>
        </w:rPr>
        <w:footnoteRef/>
      </w:r>
      <w:r w:rsidRPr="007653D8">
        <w:rPr>
          <w:rFonts w:asciiTheme="majorHAnsi" w:hAnsiTheme="majorHAnsi"/>
          <w:sz w:val="16"/>
          <w:szCs w:val="16"/>
          <w:lang w:val="es-US"/>
        </w:rPr>
        <w:t xml:space="preserve"> Corte IDH</w:t>
      </w:r>
      <w:r w:rsidR="00593D58">
        <w:rPr>
          <w:rFonts w:asciiTheme="majorHAnsi" w:hAnsiTheme="majorHAnsi"/>
          <w:sz w:val="16"/>
          <w:szCs w:val="16"/>
          <w:lang w:val="es-US"/>
        </w:rPr>
        <w:t>,</w:t>
      </w:r>
      <w:r w:rsidRPr="007653D8">
        <w:rPr>
          <w:rFonts w:asciiTheme="majorHAnsi" w:hAnsiTheme="majorHAnsi"/>
          <w:sz w:val="16"/>
          <w:szCs w:val="16"/>
          <w:lang w:val="es-US"/>
        </w:rPr>
        <w:t xml:space="preserve"> Caso Amrhein y otros Vs</w:t>
      </w:r>
      <w:r w:rsidR="00593D58">
        <w:rPr>
          <w:rFonts w:asciiTheme="majorHAnsi" w:hAnsiTheme="majorHAnsi"/>
          <w:sz w:val="16"/>
          <w:szCs w:val="16"/>
          <w:lang w:val="es-US"/>
        </w:rPr>
        <w:t>,</w:t>
      </w:r>
      <w:r w:rsidRPr="007653D8">
        <w:rPr>
          <w:rFonts w:asciiTheme="majorHAnsi" w:hAnsiTheme="majorHAnsi"/>
          <w:sz w:val="16"/>
          <w:szCs w:val="16"/>
          <w:lang w:val="es-US"/>
        </w:rPr>
        <w:t xml:space="preserve"> Costa Rica</w:t>
      </w:r>
      <w:r w:rsidR="00593D58">
        <w:rPr>
          <w:rFonts w:asciiTheme="majorHAnsi" w:hAnsiTheme="majorHAnsi"/>
          <w:sz w:val="16"/>
          <w:szCs w:val="16"/>
          <w:lang w:val="es-US"/>
        </w:rPr>
        <w:t>,</w:t>
      </w:r>
      <w:r w:rsidRPr="007653D8">
        <w:rPr>
          <w:rFonts w:asciiTheme="majorHAnsi" w:hAnsiTheme="majorHAnsi"/>
          <w:sz w:val="16"/>
          <w:szCs w:val="16"/>
          <w:lang w:val="es-US"/>
        </w:rPr>
        <w:t xml:space="preserve"> Excepciones Preliminares, Fondo, Reparaciones y Costas</w:t>
      </w:r>
      <w:r w:rsidR="00593D58">
        <w:rPr>
          <w:rFonts w:asciiTheme="majorHAnsi" w:hAnsiTheme="majorHAnsi"/>
          <w:sz w:val="16"/>
          <w:szCs w:val="16"/>
          <w:lang w:val="es-US"/>
        </w:rPr>
        <w:t>,</w:t>
      </w:r>
      <w:r w:rsidRPr="007653D8">
        <w:rPr>
          <w:rFonts w:asciiTheme="majorHAnsi" w:hAnsiTheme="majorHAnsi"/>
          <w:sz w:val="16"/>
          <w:szCs w:val="16"/>
          <w:lang w:val="es-US"/>
        </w:rPr>
        <w:t xml:space="preserve"> Sentencia de 25 de abril de 2018</w:t>
      </w:r>
      <w:r w:rsidR="00FF3D1D">
        <w:rPr>
          <w:rFonts w:asciiTheme="majorHAnsi" w:hAnsiTheme="majorHAnsi"/>
          <w:sz w:val="16"/>
          <w:szCs w:val="16"/>
          <w:lang w:val="es-US"/>
        </w:rPr>
        <w:t>,</w:t>
      </w:r>
      <w:r w:rsidRPr="007653D8">
        <w:rPr>
          <w:rFonts w:asciiTheme="majorHAnsi" w:hAnsiTheme="majorHAnsi"/>
          <w:sz w:val="16"/>
          <w:szCs w:val="16"/>
          <w:lang w:val="es-US"/>
        </w:rPr>
        <w:t xml:space="preserve"> Serie C No. 354, párr. 265. </w:t>
      </w:r>
    </w:p>
  </w:footnote>
  <w:footnote w:id="9">
    <w:p w14:paraId="29FE5D19" w14:textId="7ABB2345" w:rsidR="00CF6E6E" w:rsidRPr="007653D8" w:rsidRDefault="00CF6E6E" w:rsidP="00CF6E6E">
      <w:pPr>
        <w:pStyle w:val="FootnoteText"/>
        <w:ind w:firstLine="720"/>
        <w:jc w:val="both"/>
        <w:rPr>
          <w:rFonts w:asciiTheme="majorHAnsi" w:hAnsiTheme="majorHAnsi"/>
          <w:sz w:val="16"/>
          <w:szCs w:val="16"/>
          <w:lang w:val="es-US"/>
        </w:rPr>
      </w:pPr>
      <w:r w:rsidRPr="007653D8">
        <w:rPr>
          <w:rStyle w:val="FootnoteReference"/>
          <w:rFonts w:asciiTheme="majorHAnsi" w:hAnsiTheme="majorHAnsi"/>
          <w:sz w:val="16"/>
          <w:szCs w:val="16"/>
        </w:rPr>
        <w:footnoteRef/>
      </w:r>
      <w:r w:rsidRPr="003A7BF0">
        <w:rPr>
          <w:rFonts w:asciiTheme="majorHAnsi" w:hAnsiTheme="majorHAnsi"/>
          <w:sz w:val="16"/>
          <w:szCs w:val="16"/>
          <w:lang w:val="es-ES"/>
        </w:rPr>
        <w:t xml:space="preserve"> Corte IDH</w:t>
      </w:r>
      <w:r w:rsidR="00FF3D1D" w:rsidRPr="003A7BF0">
        <w:rPr>
          <w:rFonts w:asciiTheme="majorHAnsi" w:hAnsiTheme="majorHAnsi"/>
          <w:sz w:val="16"/>
          <w:szCs w:val="16"/>
          <w:lang w:val="es-ES"/>
        </w:rPr>
        <w:t>,</w:t>
      </w:r>
      <w:r w:rsidRPr="003A7BF0">
        <w:rPr>
          <w:rFonts w:asciiTheme="majorHAnsi" w:hAnsiTheme="majorHAnsi"/>
          <w:sz w:val="16"/>
          <w:szCs w:val="16"/>
          <w:lang w:val="es-ES"/>
        </w:rPr>
        <w:t xml:space="preserve"> Caso Herrera Ulloa Vs. </w:t>
      </w:r>
      <w:r w:rsidRPr="007653D8">
        <w:rPr>
          <w:rFonts w:asciiTheme="majorHAnsi" w:hAnsiTheme="majorHAnsi"/>
          <w:sz w:val="16"/>
          <w:szCs w:val="16"/>
          <w:lang w:val="es-US"/>
        </w:rPr>
        <w:t>Costa Rica</w:t>
      </w:r>
      <w:r w:rsidR="00FF3D1D">
        <w:rPr>
          <w:rFonts w:asciiTheme="majorHAnsi" w:hAnsiTheme="majorHAnsi"/>
          <w:sz w:val="16"/>
          <w:szCs w:val="16"/>
          <w:lang w:val="es-US"/>
        </w:rPr>
        <w:t>,</w:t>
      </w:r>
      <w:r w:rsidRPr="007653D8">
        <w:rPr>
          <w:rFonts w:asciiTheme="majorHAnsi" w:hAnsiTheme="majorHAnsi"/>
          <w:sz w:val="16"/>
          <w:szCs w:val="16"/>
          <w:lang w:val="es-US"/>
        </w:rPr>
        <w:t xml:space="preserve"> Supervisión de Cumplimiento de Sentencia</w:t>
      </w:r>
      <w:r w:rsidR="00FF3D1D">
        <w:rPr>
          <w:rFonts w:asciiTheme="majorHAnsi" w:hAnsiTheme="majorHAnsi"/>
          <w:sz w:val="16"/>
          <w:szCs w:val="16"/>
          <w:lang w:val="es-US"/>
        </w:rPr>
        <w:t>,</w:t>
      </w:r>
      <w:r w:rsidRPr="007653D8">
        <w:rPr>
          <w:rFonts w:asciiTheme="majorHAnsi" w:hAnsiTheme="majorHAnsi"/>
          <w:sz w:val="16"/>
          <w:szCs w:val="16"/>
          <w:lang w:val="es-US"/>
        </w:rPr>
        <w:t xml:space="preserve"> Resolución de la Corte Interamericana de Derechos Humanos de 22 de noviembre de 2010, párr. 16. </w:t>
      </w:r>
    </w:p>
  </w:footnote>
  <w:footnote w:id="10">
    <w:p w14:paraId="1E464BBF" w14:textId="0A9C4549" w:rsidR="00CF6E6E" w:rsidRPr="007653D8" w:rsidRDefault="00CF6E6E" w:rsidP="00CF6E6E">
      <w:pPr>
        <w:pStyle w:val="FootnoteText"/>
        <w:ind w:firstLine="720"/>
        <w:jc w:val="both"/>
        <w:rPr>
          <w:rFonts w:ascii="Cambria" w:hAnsi="Cambria"/>
          <w:sz w:val="16"/>
          <w:szCs w:val="16"/>
          <w:lang w:val="es-AR"/>
        </w:rPr>
      </w:pPr>
      <w:r w:rsidRPr="007653D8">
        <w:rPr>
          <w:rStyle w:val="FootnoteReference"/>
          <w:rFonts w:ascii="Cambria" w:hAnsi="Cambria"/>
          <w:sz w:val="16"/>
          <w:szCs w:val="16"/>
        </w:rPr>
        <w:footnoteRef/>
      </w:r>
      <w:r w:rsidRPr="007653D8">
        <w:rPr>
          <w:rFonts w:ascii="Cambria" w:hAnsi="Cambria"/>
          <w:sz w:val="16"/>
          <w:szCs w:val="16"/>
          <w:lang w:val="es-US"/>
        </w:rPr>
        <w:t xml:space="preserve"> </w:t>
      </w:r>
      <w:r w:rsidRPr="007653D8">
        <w:rPr>
          <w:rFonts w:ascii="Cambria" w:hAnsi="Cambria"/>
          <w:sz w:val="16"/>
          <w:szCs w:val="16"/>
          <w:lang w:val="es-ES"/>
        </w:rPr>
        <w:t>CIDH</w:t>
      </w:r>
      <w:r w:rsidR="00FF3D1D">
        <w:rPr>
          <w:rFonts w:ascii="Cambria" w:hAnsi="Cambria"/>
          <w:sz w:val="16"/>
          <w:szCs w:val="16"/>
          <w:lang w:val="es-ES"/>
        </w:rPr>
        <w:t>,</w:t>
      </w:r>
      <w:r w:rsidRPr="007653D8">
        <w:rPr>
          <w:rFonts w:ascii="Cambria" w:hAnsi="Cambria"/>
          <w:sz w:val="16"/>
          <w:szCs w:val="16"/>
          <w:lang w:val="es-ES"/>
        </w:rPr>
        <w:t xml:space="preserve"> Informe No. 33/14</w:t>
      </w:r>
      <w:r w:rsidR="00FF3D1D">
        <w:rPr>
          <w:rFonts w:ascii="Cambria" w:hAnsi="Cambria"/>
          <w:sz w:val="16"/>
          <w:szCs w:val="16"/>
          <w:lang w:val="es-ES"/>
        </w:rPr>
        <w:t>,</w:t>
      </w:r>
      <w:r w:rsidRPr="007653D8">
        <w:rPr>
          <w:rFonts w:ascii="Cambria" w:hAnsi="Cambria"/>
          <w:sz w:val="16"/>
          <w:szCs w:val="16"/>
          <w:lang w:val="es-ES"/>
        </w:rPr>
        <w:t xml:space="preserve"> Caso 12.820</w:t>
      </w:r>
      <w:r w:rsidR="00FF3D1D">
        <w:rPr>
          <w:rFonts w:ascii="Cambria" w:hAnsi="Cambria"/>
          <w:sz w:val="16"/>
          <w:szCs w:val="16"/>
          <w:lang w:val="es-ES"/>
        </w:rPr>
        <w:t>,</w:t>
      </w:r>
      <w:r w:rsidRPr="007653D8">
        <w:rPr>
          <w:rFonts w:ascii="Cambria" w:hAnsi="Cambria"/>
          <w:sz w:val="16"/>
          <w:szCs w:val="16"/>
          <w:lang w:val="es-ES"/>
        </w:rPr>
        <w:t xml:space="preserve"> Fondo</w:t>
      </w:r>
      <w:r w:rsidR="00FF3D1D">
        <w:rPr>
          <w:rFonts w:ascii="Cambria" w:hAnsi="Cambria"/>
          <w:sz w:val="16"/>
          <w:szCs w:val="16"/>
          <w:lang w:val="es-ES"/>
        </w:rPr>
        <w:t>,</w:t>
      </w:r>
      <w:r w:rsidRPr="007653D8">
        <w:rPr>
          <w:rFonts w:ascii="Cambria" w:hAnsi="Cambria"/>
          <w:sz w:val="16"/>
          <w:szCs w:val="16"/>
          <w:lang w:val="es-ES"/>
        </w:rPr>
        <w:t xml:space="preserve"> Manfred Amrhein y otros</w:t>
      </w:r>
      <w:r w:rsidR="00FF3D1D">
        <w:rPr>
          <w:rFonts w:ascii="Cambria" w:hAnsi="Cambria"/>
          <w:sz w:val="16"/>
          <w:szCs w:val="16"/>
          <w:lang w:val="es-ES"/>
        </w:rPr>
        <w:t>,</w:t>
      </w:r>
      <w:r w:rsidRPr="007653D8">
        <w:rPr>
          <w:rFonts w:ascii="Cambria" w:hAnsi="Cambria"/>
          <w:sz w:val="16"/>
          <w:szCs w:val="16"/>
          <w:lang w:val="es-ES"/>
        </w:rPr>
        <w:t xml:space="preserve"> Costa Rica</w:t>
      </w:r>
      <w:r w:rsidR="00FF3D1D">
        <w:rPr>
          <w:rFonts w:ascii="Cambria" w:hAnsi="Cambria"/>
          <w:sz w:val="16"/>
          <w:szCs w:val="16"/>
          <w:lang w:val="es-ES"/>
        </w:rPr>
        <w:t>,</w:t>
      </w:r>
      <w:r w:rsidRPr="007653D8">
        <w:rPr>
          <w:rFonts w:ascii="Cambria" w:hAnsi="Cambria"/>
          <w:sz w:val="16"/>
          <w:szCs w:val="16"/>
          <w:lang w:val="es-ES"/>
        </w:rPr>
        <w:t xml:space="preserve"> 4 de abril de 2014</w:t>
      </w:r>
      <w:r w:rsidR="00FF3D1D">
        <w:rPr>
          <w:rFonts w:ascii="Cambria" w:hAnsi="Cambria"/>
          <w:sz w:val="16"/>
          <w:szCs w:val="16"/>
          <w:lang w:val="es-ES"/>
        </w:rPr>
        <w:t>,</w:t>
      </w:r>
      <w:r w:rsidRPr="007653D8">
        <w:rPr>
          <w:rFonts w:ascii="Cambria" w:hAnsi="Cambria"/>
          <w:sz w:val="16"/>
          <w:szCs w:val="16"/>
          <w:lang w:val="es-ES"/>
        </w:rPr>
        <w:t xml:space="preserve"> </w:t>
      </w:r>
      <w:r w:rsidR="00FF3D1D">
        <w:rPr>
          <w:rFonts w:ascii="Cambria" w:hAnsi="Cambria"/>
          <w:sz w:val="16"/>
          <w:szCs w:val="16"/>
          <w:lang w:val="es-ES"/>
        </w:rPr>
        <w:t>p</w:t>
      </w:r>
      <w:r w:rsidRPr="007653D8">
        <w:rPr>
          <w:rFonts w:ascii="Cambria" w:hAnsi="Cambria"/>
          <w:sz w:val="16"/>
          <w:szCs w:val="16"/>
          <w:lang w:val="es-ES"/>
        </w:rPr>
        <w:t xml:space="preserve">árr. 217 a 220. </w:t>
      </w:r>
    </w:p>
  </w:footnote>
  <w:footnote w:id="11">
    <w:p w14:paraId="09D492B1" w14:textId="27D54352" w:rsidR="00CF6E6E" w:rsidRPr="007653D8" w:rsidRDefault="00CF6E6E" w:rsidP="00CF6E6E">
      <w:pPr>
        <w:pStyle w:val="FootnoteText"/>
        <w:ind w:firstLine="720"/>
        <w:jc w:val="both"/>
        <w:rPr>
          <w:sz w:val="16"/>
          <w:szCs w:val="16"/>
          <w:lang w:val="es-US"/>
        </w:rPr>
      </w:pPr>
      <w:r w:rsidRPr="007653D8">
        <w:rPr>
          <w:rStyle w:val="FootnoteReference"/>
          <w:rFonts w:ascii="Cambria" w:hAnsi="Cambria"/>
          <w:sz w:val="16"/>
          <w:szCs w:val="16"/>
        </w:rPr>
        <w:footnoteRef/>
      </w:r>
      <w:r w:rsidRPr="007653D8">
        <w:rPr>
          <w:rFonts w:ascii="Cambria" w:hAnsi="Cambria"/>
          <w:sz w:val="16"/>
          <w:szCs w:val="16"/>
          <w:lang w:val="es-AR"/>
        </w:rPr>
        <w:t xml:space="preserve"> </w:t>
      </w:r>
      <w:r w:rsidRPr="007653D8">
        <w:rPr>
          <w:rFonts w:ascii="Cambria" w:hAnsi="Cambria"/>
          <w:bCs/>
          <w:sz w:val="16"/>
          <w:szCs w:val="16"/>
          <w:shd w:val="clear" w:color="auto" w:fill="FFFFFF"/>
          <w:lang w:val="es-ES"/>
        </w:rPr>
        <w:t>Corte IDH</w:t>
      </w:r>
      <w:r w:rsidR="00FF3D1D">
        <w:rPr>
          <w:rFonts w:ascii="Cambria" w:hAnsi="Cambria"/>
          <w:bCs/>
          <w:sz w:val="16"/>
          <w:szCs w:val="16"/>
          <w:shd w:val="clear" w:color="auto" w:fill="FFFFFF"/>
          <w:lang w:val="es-ES"/>
        </w:rPr>
        <w:t>,</w:t>
      </w:r>
      <w:r w:rsidRPr="007653D8">
        <w:rPr>
          <w:rFonts w:ascii="Cambria" w:hAnsi="Cambria"/>
          <w:bCs/>
          <w:sz w:val="16"/>
          <w:szCs w:val="16"/>
          <w:shd w:val="clear" w:color="auto" w:fill="FFFFFF"/>
          <w:lang w:val="es-ES"/>
        </w:rPr>
        <w:t xml:space="preserve"> </w:t>
      </w:r>
      <w:r w:rsidRPr="007653D8">
        <w:rPr>
          <w:rFonts w:ascii="Cambria" w:hAnsi="Cambria"/>
          <w:bCs/>
          <w:i/>
          <w:sz w:val="16"/>
          <w:szCs w:val="16"/>
          <w:shd w:val="clear" w:color="auto" w:fill="FFFFFF"/>
          <w:lang w:val="es-ES"/>
        </w:rPr>
        <w:t>Caso Amrhein y otros Vs. Costa Rica</w:t>
      </w:r>
      <w:r w:rsidR="00FF3D1D">
        <w:rPr>
          <w:rFonts w:ascii="Cambria" w:hAnsi="Cambria"/>
          <w:bCs/>
          <w:sz w:val="16"/>
          <w:szCs w:val="16"/>
          <w:shd w:val="clear" w:color="auto" w:fill="FFFFFF"/>
          <w:lang w:val="es-ES"/>
        </w:rPr>
        <w:t>,</w:t>
      </w:r>
      <w:r w:rsidRPr="007653D8">
        <w:rPr>
          <w:rFonts w:ascii="Cambria" w:hAnsi="Cambria"/>
          <w:bCs/>
          <w:sz w:val="16"/>
          <w:szCs w:val="16"/>
          <w:shd w:val="clear" w:color="auto" w:fill="FFFFFF"/>
          <w:lang w:val="es-ES"/>
        </w:rPr>
        <w:t xml:space="preserve"> Excepciones Preliminares, Fondo, Reparaciones y Costas. </w:t>
      </w:r>
      <w:r w:rsidRPr="007653D8">
        <w:rPr>
          <w:rFonts w:ascii="Cambria" w:hAnsi="Cambria"/>
          <w:bCs/>
          <w:sz w:val="16"/>
          <w:szCs w:val="16"/>
          <w:shd w:val="clear" w:color="auto" w:fill="FFFFFF"/>
          <w:lang w:val="es-US"/>
        </w:rPr>
        <w:t>Sentencia de 25 de abril de 2018</w:t>
      </w:r>
      <w:r w:rsidR="00FF3D1D">
        <w:rPr>
          <w:rFonts w:ascii="Cambria" w:hAnsi="Cambria"/>
          <w:bCs/>
          <w:sz w:val="16"/>
          <w:szCs w:val="16"/>
          <w:shd w:val="clear" w:color="auto" w:fill="FFFFFF"/>
          <w:lang w:val="es-US"/>
        </w:rPr>
        <w:t>,</w:t>
      </w:r>
      <w:r w:rsidRPr="007653D8">
        <w:rPr>
          <w:rFonts w:ascii="Cambria" w:hAnsi="Cambria"/>
          <w:bCs/>
          <w:sz w:val="16"/>
          <w:szCs w:val="16"/>
          <w:shd w:val="clear" w:color="auto" w:fill="FFFFFF"/>
          <w:lang w:val="es-US"/>
        </w:rPr>
        <w:t xml:space="preserve"> Serie C No. 354</w:t>
      </w:r>
      <w:r w:rsidR="00FF3D1D">
        <w:rPr>
          <w:rFonts w:ascii="Cambria" w:hAnsi="Cambria"/>
          <w:bCs/>
          <w:sz w:val="16"/>
          <w:szCs w:val="16"/>
          <w:shd w:val="clear" w:color="auto" w:fill="FFFFFF"/>
          <w:lang w:val="es-US"/>
        </w:rPr>
        <w:t>,</w:t>
      </w:r>
      <w:r w:rsidRPr="007653D8">
        <w:rPr>
          <w:rFonts w:ascii="Cambria" w:hAnsi="Cambria"/>
          <w:bCs/>
          <w:sz w:val="16"/>
          <w:szCs w:val="16"/>
          <w:shd w:val="clear" w:color="auto" w:fill="FFFFFF"/>
          <w:lang w:val="es-US"/>
        </w:rPr>
        <w:t xml:space="preserve"> </w:t>
      </w:r>
      <w:r w:rsidR="00FF3D1D">
        <w:rPr>
          <w:rFonts w:ascii="Cambria" w:hAnsi="Cambria"/>
          <w:bCs/>
          <w:sz w:val="16"/>
          <w:szCs w:val="16"/>
          <w:shd w:val="clear" w:color="auto" w:fill="FFFFFF"/>
          <w:lang w:val="es-US"/>
        </w:rPr>
        <w:t>p</w:t>
      </w:r>
      <w:r w:rsidRPr="007653D8">
        <w:rPr>
          <w:rFonts w:ascii="Cambria" w:hAnsi="Cambria"/>
          <w:bCs/>
          <w:sz w:val="16"/>
          <w:szCs w:val="16"/>
          <w:shd w:val="clear" w:color="auto" w:fill="FFFFFF"/>
          <w:lang w:val="es-US"/>
        </w:rPr>
        <w:t>árr. 260.</w:t>
      </w:r>
    </w:p>
  </w:footnote>
  <w:footnote w:id="12">
    <w:p w14:paraId="3B0C3B89" w14:textId="67DA57F7" w:rsidR="00CF6E6E" w:rsidRPr="007653D8" w:rsidRDefault="00CF6E6E" w:rsidP="00CF6E6E">
      <w:pPr>
        <w:pStyle w:val="FootnoteText"/>
        <w:ind w:firstLine="720"/>
        <w:jc w:val="both"/>
        <w:rPr>
          <w:rFonts w:ascii="Cambria" w:hAnsi="Cambria"/>
          <w:sz w:val="16"/>
          <w:szCs w:val="16"/>
          <w:lang w:val="es-US"/>
        </w:rPr>
      </w:pPr>
      <w:r w:rsidRPr="007653D8">
        <w:rPr>
          <w:rStyle w:val="FootnoteReference"/>
          <w:rFonts w:ascii="Cambria" w:hAnsi="Cambria"/>
          <w:sz w:val="16"/>
          <w:szCs w:val="16"/>
          <w:lang w:val="es-ES"/>
        </w:rPr>
        <w:footnoteRef/>
      </w:r>
      <w:r w:rsidRPr="007653D8">
        <w:rPr>
          <w:rFonts w:ascii="Cambria" w:hAnsi="Cambria"/>
          <w:sz w:val="16"/>
          <w:szCs w:val="16"/>
          <w:lang w:val="es-ES"/>
        </w:rPr>
        <w:t xml:space="preserve"> </w:t>
      </w:r>
      <w:r w:rsidRPr="007653D8">
        <w:rPr>
          <w:rFonts w:ascii="Cambria" w:hAnsi="Cambria"/>
          <w:bCs/>
          <w:sz w:val="16"/>
          <w:szCs w:val="16"/>
          <w:shd w:val="clear" w:color="auto" w:fill="FFFFFF"/>
          <w:lang w:val="es-ES"/>
        </w:rPr>
        <w:t>Corte IDH</w:t>
      </w:r>
      <w:r w:rsidR="00FF3D1D">
        <w:rPr>
          <w:rFonts w:ascii="Cambria" w:hAnsi="Cambria"/>
          <w:bCs/>
          <w:sz w:val="16"/>
          <w:szCs w:val="16"/>
          <w:shd w:val="clear" w:color="auto" w:fill="FFFFFF"/>
          <w:lang w:val="es-ES"/>
        </w:rPr>
        <w:t>,</w:t>
      </w:r>
      <w:r w:rsidRPr="007653D8">
        <w:rPr>
          <w:rFonts w:ascii="Cambria" w:hAnsi="Cambria"/>
          <w:bCs/>
          <w:sz w:val="16"/>
          <w:szCs w:val="16"/>
          <w:shd w:val="clear" w:color="auto" w:fill="FFFFFF"/>
          <w:lang w:val="es-ES"/>
        </w:rPr>
        <w:t xml:space="preserve"> </w:t>
      </w:r>
      <w:r w:rsidRPr="007653D8">
        <w:rPr>
          <w:rFonts w:ascii="Cambria" w:hAnsi="Cambria"/>
          <w:bCs/>
          <w:i/>
          <w:sz w:val="16"/>
          <w:szCs w:val="16"/>
          <w:shd w:val="clear" w:color="auto" w:fill="FFFFFF"/>
          <w:lang w:val="es-ES"/>
        </w:rPr>
        <w:t>Caso Amrhein y otros Vs. Costa Rica</w:t>
      </w:r>
      <w:r w:rsidR="00FF3D1D">
        <w:rPr>
          <w:rFonts w:ascii="Cambria" w:hAnsi="Cambria"/>
          <w:bCs/>
          <w:sz w:val="16"/>
          <w:szCs w:val="16"/>
          <w:shd w:val="clear" w:color="auto" w:fill="FFFFFF"/>
          <w:lang w:val="es-ES"/>
        </w:rPr>
        <w:t>,</w:t>
      </w:r>
      <w:r w:rsidRPr="007653D8">
        <w:rPr>
          <w:rFonts w:ascii="Cambria" w:hAnsi="Cambria"/>
          <w:bCs/>
          <w:sz w:val="16"/>
          <w:szCs w:val="16"/>
          <w:shd w:val="clear" w:color="auto" w:fill="FFFFFF"/>
          <w:lang w:val="es-ES"/>
        </w:rPr>
        <w:t xml:space="preserve"> Excepciones Preliminares, Fondo, Reparaciones y Costas. Sentencia de 25 de abril de 2018</w:t>
      </w:r>
      <w:r w:rsidR="00FF3D1D">
        <w:rPr>
          <w:rFonts w:ascii="Cambria" w:hAnsi="Cambria"/>
          <w:bCs/>
          <w:sz w:val="16"/>
          <w:szCs w:val="16"/>
          <w:shd w:val="clear" w:color="auto" w:fill="FFFFFF"/>
          <w:lang w:val="es-ES"/>
        </w:rPr>
        <w:t>,</w:t>
      </w:r>
      <w:r w:rsidRPr="007653D8">
        <w:rPr>
          <w:rFonts w:ascii="Cambria" w:hAnsi="Cambria"/>
          <w:bCs/>
          <w:sz w:val="16"/>
          <w:szCs w:val="16"/>
          <w:shd w:val="clear" w:color="auto" w:fill="FFFFFF"/>
          <w:lang w:val="es-ES"/>
        </w:rPr>
        <w:t xml:space="preserve"> Serie C No. 354</w:t>
      </w:r>
      <w:r w:rsidR="00FF3D1D">
        <w:rPr>
          <w:rFonts w:ascii="Cambria" w:hAnsi="Cambria"/>
          <w:bCs/>
          <w:sz w:val="16"/>
          <w:szCs w:val="16"/>
          <w:shd w:val="clear" w:color="auto" w:fill="FFFFFF"/>
          <w:lang w:val="es-ES"/>
        </w:rPr>
        <w:t>,</w:t>
      </w:r>
      <w:r w:rsidRPr="007653D8">
        <w:rPr>
          <w:rFonts w:ascii="Cambria" w:hAnsi="Cambria"/>
          <w:bCs/>
          <w:sz w:val="16"/>
          <w:szCs w:val="16"/>
          <w:shd w:val="clear" w:color="auto" w:fill="FFFFFF"/>
          <w:lang w:val="es-ES"/>
        </w:rPr>
        <w:t xml:space="preserve"> </w:t>
      </w:r>
      <w:r w:rsidR="00FF3D1D">
        <w:rPr>
          <w:rFonts w:ascii="Cambria" w:hAnsi="Cambria"/>
          <w:bCs/>
          <w:sz w:val="16"/>
          <w:szCs w:val="16"/>
          <w:shd w:val="clear" w:color="auto" w:fill="FFFFFF"/>
          <w:lang w:val="es-ES"/>
        </w:rPr>
        <w:t>p</w:t>
      </w:r>
      <w:r w:rsidRPr="007653D8">
        <w:rPr>
          <w:rFonts w:ascii="Cambria" w:hAnsi="Cambria"/>
          <w:bCs/>
          <w:sz w:val="16"/>
          <w:szCs w:val="16"/>
          <w:shd w:val="clear" w:color="auto" w:fill="FFFFFF"/>
          <w:lang w:val="es-ES"/>
        </w:rPr>
        <w:t xml:space="preserve">árr. 266.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00DB" w14:textId="77777777" w:rsidR="00040C3A" w:rsidRDefault="00040C3A">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98FAFAB"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01BB" w14:textId="77777777" w:rsidR="00A50FCF" w:rsidRDefault="00A50FCF" w:rsidP="00A50FCF">
    <w:pPr>
      <w:pStyle w:val="Header"/>
      <w:tabs>
        <w:tab w:val="clear" w:pos="4320"/>
        <w:tab w:val="clear" w:pos="8640"/>
      </w:tabs>
      <w:jc w:val="center"/>
      <w:rPr>
        <w:sz w:val="22"/>
        <w:szCs w:val="22"/>
      </w:rPr>
    </w:pPr>
    <w:r>
      <w:rPr>
        <w:noProof/>
        <w:sz w:val="22"/>
        <w:szCs w:val="22"/>
        <w:lang w:val="es-419" w:eastAsia="es-419"/>
      </w:rPr>
      <w:drawing>
        <wp:inline distT="0" distB="0" distL="0" distR="0" wp14:anchorId="49B70CC6" wp14:editId="0E71EB96">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1CF3204D" w14:textId="77777777" w:rsidR="00040C3A" w:rsidRPr="00EC7D62" w:rsidRDefault="00AF3F69" w:rsidP="00A50FCF">
    <w:pPr>
      <w:pStyle w:val="Header"/>
      <w:tabs>
        <w:tab w:val="clear" w:pos="4320"/>
        <w:tab w:val="clear" w:pos="8640"/>
      </w:tabs>
      <w:jc w:val="center"/>
      <w:rPr>
        <w:sz w:val="22"/>
        <w:szCs w:val="22"/>
      </w:rPr>
    </w:pPr>
    <w:r>
      <w:rPr>
        <w:sz w:val="22"/>
        <w:szCs w:val="22"/>
      </w:rPr>
      <w:pict w14:anchorId="4367A34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7158D900"/>
    <w:lvl w:ilvl="0" w:tplc="750CB6C0">
      <w:start w:val="1"/>
      <w:numFmt w:val="decimal"/>
      <w:lvlText w:val="%1."/>
      <w:lvlJc w:val="left"/>
      <w:pPr>
        <w:tabs>
          <w:tab w:val="num" w:pos="720"/>
        </w:tabs>
        <w:ind w:left="0" w:firstLine="720"/>
      </w:pPr>
      <w:rPr>
        <w:rFonts w:hint="default"/>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7"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8"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1"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21F979AF"/>
    <w:multiLevelType w:val="hybridMultilevel"/>
    <w:tmpl w:val="02B2E224"/>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7"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8"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0"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36"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37"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0"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1"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3"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5"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47"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8"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2"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1671643113">
    <w:abstractNumId w:val="3"/>
  </w:num>
  <w:num w:numId="2" w16cid:durableId="735589321">
    <w:abstractNumId w:val="5"/>
  </w:num>
  <w:num w:numId="3" w16cid:durableId="870456103">
    <w:abstractNumId w:val="51"/>
  </w:num>
  <w:num w:numId="4" w16cid:durableId="908229628">
    <w:abstractNumId w:val="21"/>
  </w:num>
  <w:num w:numId="5" w16cid:durableId="891311183">
    <w:abstractNumId w:val="45"/>
  </w:num>
  <w:num w:numId="6" w16cid:durableId="649291112">
    <w:abstractNumId w:val="26"/>
  </w:num>
  <w:num w:numId="7" w16cid:durableId="1991589525">
    <w:abstractNumId w:val="6"/>
  </w:num>
  <w:num w:numId="8" w16cid:durableId="564991322">
    <w:abstractNumId w:val="17"/>
  </w:num>
  <w:num w:numId="9" w16cid:durableId="671027794">
    <w:abstractNumId w:val="36"/>
  </w:num>
  <w:num w:numId="10" w16cid:durableId="2080902621">
    <w:abstractNumId w:val="40"/>
  </w:num>
  <w:num w:numId="11" w16cid:durableId="1039284996">
    <w:abstractNumId w:val="0"/>
  </w:num>
  <w:num w:numId="12" w16cid:durableId="768233826">
    <w:abstractNumId w:val="35"/>
  </w:num>
  <w:num w:numId="13" w16cid:durableId="892351573">
    <w:abstractNumId w:val="42"/>
  </w:num>
  <w:num w:numId="14" w16cid:durableId="2073000911">
    <w:abstractNumId w:val="1"/>
  </w:num>
  <w:num w:numId="15" w16cid:durableId="2048749528">
    <w:abstractNumId w:val="2"/>
  </w:num>
  <w:num w:numId="16" w16cid:durableId="1926498231">
    <w:abstractNumId w:val="7"/>
  </w:num>
  <w:num w:numId="17" w16cid:durableId="1672641496">
    <w:abstractNumId w:val="8"/>
  </w:num>
  <w:num w:numId="18" w16cid:durableId="3216027">
    <w:abstractNumId w:val="9"/>
  </w:num>
  <w:num w:numId="19" w16cid:durableId="1279408156">
    <w:abstractNumId w:val="10"/>
  </w:num>
  <w:num w:numId="20" w16cid:durableId="1131944407">
    <w:abstractNumId w:val="11"/>
  </w:num>
  <w:num w:numId="21" w16cid:durableId="1434351831">
    <w:abstractNumId w:val="13"/>
  </w:num>
  <w:num w:numId="22" w16cid:durableId="201946705">
    <w:abstractNumId w:val="14"/>
  </w:num>
  <w:num w:numId="23" w16cid:durableId="77868187">
    <w:abstractNumId w:val="15"/>
  </w:num>
  <w:num w:numId="24" w16cid:durableId="1859848079">
    <w:abstractNumId w:val="16"/>
  </w:num>
  <w:num w:numId="25" w16cid:durableId="260603799">
    <w:abstractNumId w:val="18"/>
  </w:num>
  <w:num w:numId="26" w16cid:durableId="100686365">
    <w:abstractNumId w:val="19"/>
  </w:num>
  <w:num w:numId="27" w16cid:durableId="882791117">
    <w:abstractNumId w:val="22"/>
  </w:num>
  <w:num w:numId="28" w16cid:durableId="1297687425">
    <w:abstractNumId w:val="23"/>
  </w:num>
  <w:num w:numId="29" w16cid:durableId="1918593191">
    <w:abstractNumId w:val="24"/>
  </w:num>
  <w:num w:numId="30" w16cid:durableId="1435979411">
    <w:abstractNumId w:val="25"/>
  </w:num>
  <w:num w:numId="31" w16cid:durableId="197745412">
    <w:abstractNumId w:val="27"/>
  </w:num>
  <w:num w:numId="32" w16cid:durableId="1868521485">
    <w:abstractNumId w:val="28"/>
  </w:num>
  <w:num w:numId="33" w16cid:durableId="340394451">
    <w:abstractNumId w:val="29"/>
  </w:num>
  <w:num w:numId="34" w16cid:durableId="587153992">
    <w:abstractNumId w:val="30"/>
  </w:num>
  <w:num w:numId="35" w16cid:durableId="2066181255">
    <w:abstractNumId w:val="31"/>
  </w:num>
  <w:num w:numId="36" w16cid:durableId="1054818405">
    <w:abstractNumId w:val="32"/>
  </w:num>
  <w:num w:numId="37" w16cid:durableId="186018654">
    <w:abstractNumId w:val="33"/>
  </w:num>
  <w:num w:numId="38" w16cid:durableId="254828971">
    <w:abstractNumId w:val="34"/>
  </w:num>
  <w:num w:numId="39" w16cid:durableId="186799354">
    <w:abstractNumId w:val="37"/>
  </w:num>
  <w:num w:numId="40" w16cid:durableId="1192761762">
    <w:abstractNumId w:val="38"/>
  </w:num>
  <w:num w:numId="41" w16cid:durableId="2132936618">
    <w:abstractNumId w:val="44"/>
  </w:num>
  <w:num w:numId="42" w16cid:durableId="491334056">
    <w:abstractNumId w:val="46"/>
  </w:num>
  <w:num w:numId="43" w16cid:durableId="1257664972">
    <w:abstractNumId w:val="47"/>
  </w:num>
  <w:num w:numId="44" w16cid:durableId="1468816099">
    <w:abstractNumId w:val="49"/>
  </w:num>
  <w:num w:numId="45" w16cid:durableId="583683247">
    <w:abstractNumId w:val="50"/>
  </w:num>
  <w:num w:numId="46" w16cid:durableId="1644892139">
    <w:abstractNumId w:val="52"/>
  </w:num>
  <w:num w:numId="47" w16cid:durableId="691807602">
    <w:abstractNumId w:val="53"/>
  </w:num>
  <w:num w:numId="48" w16cid:durableId="1183394771">
    <w:abstractNumId w:val="54"/>
  </w:num>
  <w:num w:numId="49" w16cid:durableId="2122913585">
    <w:abstractNumId w:val="55"/>
  </w:num>
  <w:num w:numId="50" w16cid:durableId="201865396">
    <w:abstractNumId w:val="56"/>
  </w:num>
  <w:num w:numId="51" w16cid:durableId="1257249855">
    <w:abstractNumId w:val="20"/>
  </w:num>
  <w:num w:numId="52" w16cid:durableId="896740646">
    <w:abstractNumId w:val="39"/>
  </w:num>
  <w:num w:numId="53" w16cid:durableId="1506942986">
    <w:abstractNumId w:val="48"/>
  </w:num>
  <w:num w:numId="54" w16cid:durableId="277762145">
    <w:abstractNumId w:val="43"/>
  </w:num>
  <w:num w:numId="55" w16cid:durableId="139731964">
    <w:abstractNumId w:val="4"/>
  </w:num>
  <w:num w:numId="56" w16cid:durableId="702170732">
    <w:abstractNumId w:val="41"/>
  </w:num>
  <w:num w:numId="57" w16cid:durableId="2091348879">
    <w:abstractNumId w:val="1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23F6"/>
    <w:rsid w:val="00006E1F"/>
    <w:rsid w:val="000070D7"/>
    <w:rsid w:val="00012EB3"/>
    <w:rsid w:val="0001788C"/>
    <w:rsid w:val="000245E9"/>
    <w:rsid w:val="000337EF"/>
    <w:rsid w:val="00040C3A"/>
    <w:rsid w:val="000419AD"/>
    <w:rsid w:val="000433C9"/>
    <w:rsid w:val="000473FC"/>
    <w:rsid w:val="00055277"/>
    <w:rsid w:val="00061682"/>
    <w:rsid w:val="000716C5"/>
    <w:rsid w:val="00075E23"/>
    <w:rsid w:val="00077FF6"/>
    <w:rsid w:val="00081132"/>
    <w:rsid w:val="00092A9F"/>
    <w:rsid w:val="00092B18"/>
    <w:rsid w:val="0009344A"/>
    <w:rsid w:val="000935CA"/>
    <w:rsid w:val="000A1974"/>
    <w:rsid w:val="000A2EA0"/>
    <w:rsid w:val="000A392E"/>
    <w:rsid w:val="000A575F"/>
    <w:rsid w:val="000A7A46"/>
    <w:rsid w:val="000B062C"/>
    <w:rsid w:val="000B1390"/>
    <w:rsid w:val="000C7A02"/>
    <w:rsid w:val="000D05CB"/>
    <w:rsid w:val="000D0A8F"/>
    <w:rsid w:val="000D10DB"/>
    <w:rsid w:val="000E1750"/>
    <w:rsid w:val="000E5EB5"/>
    <w:rsid w:val="000F35ED"/>
    <w:rsid w:val="00107131"/>
    <w:rsid w:val="0010736F"/>
    <w:rsid w:val="00113F73"/>
    <w:rsid w:val="001215B1"/>
    <w:rsid w:val="00121AAC"/>
    <w:rsid w:val="00121CC2"/>
    <w:rsid w:val="00131425"/>
    <w:rsid w:val="00133EE5"/>
    <w:rsid w:val="001363D0"/>
    <w:rsid w:val="00143429"/>
    <w:rsid w:val="00146943"/>
    <w:rsid w:val="00147CDA"/>
    <w:rsid w:val="0015751A"/>
    <w:rsid w:val="00163D4A"/>
    <w:rsid w:val="00167A34"/>
    <w:rsid w:val="0017347B"/>
    <w:rsid w:val="00185D96"/>
    <w:rsid w:val="00190BF9"/>
    <w:rsid w:val="0019566B"/>
    <w:rsid w:val="001A0580"/>
    <w:rsid w:val="001A3119"/>
    <w:rsid w:val="001A7870"/>
    <w:rsid w:val="001B3A00"/>
    <w:rsid w:val="001B5309"/>
    <w:rsid w:val="001B5663"/>
    <w:rsid w:val="001C1B41"/>
    <w:rsid w:val="001D65EF"/>
    <w:rsid w:val="001D7945"/>
    <w:rsid w:val="001E49E7"/>
    <w:rsid w:val="001E62BC"/>
    <w:rsid w:val="001E78CF"/>
    <w:rsid w:val="001E7CB2"/>
    <w:rsid w:val="001E7DBD"/>
    <w:rsid w:val="001F7201"/>
    <w:rsid w:val="00203AFB"/>
    <w:rsid w:val="00223A29"/>
    <w:rsid w:val="002250A3"/>
    <w:rsid w:val="00235217"/>
    <w:rsid w:val="002469D2"/>
    <w:rsid w:val="00246D1F"/>
    <w:rsid w:val="00247403"/>
    <w:rsid w:val="00247542"/>
    <w:rsid w:val="00250850"/>
    <w:rsid w:val="002544EE"/>
    <w:rsid w:val="0026020D"/>
    <w:rsid w:val="00266B61"/>
    <w:rsid w:val="0026712A"/>
    <w:rsid w:val="002704DB"/>
    <w:rsid w:val="002717C2"/>
    <w:rsid w:val="00274925"/>
    <w:rsid w:val="00282B56"/>
    <w:rsid w:val="00294182"/>
    <w:rsid w:val="002948FE"/>
    <w:rsid w:val="002A0AAE"/>
    <w:rsid w:val="002A5820"/>
    <w:rsid w:val="002A6961"/>
    <w:rsid w:val="002B0C28"/>
    <w:rsid w:val="002B4B34"/>
    <w:rsid w:val="002D2B26"/>
    <w:rsid w:val="002D6293"/>
    <w:rsid w:val="002D7EA2"/>
    <w:rsid w:val="002E187C"/>
    <w:rsid w:val="00302733"/>
    <w:rsid w:val="00306CB8"/>
    <w:rsid w:val="00314078"/>
    <w:rsid w:val="0031535D"/>
    <w:rsid w:val="0031741D"/>
    <w:rsid w:val="003239B8"/>
    <w:rsid w:val="00323DE5"/>
    <w:rsid w:val="0033169F"/>
    <w:rsid w:val="00344977"/>
    <w:rsid w:val="00346C95"/>
    <w:rsid w:val="00350A76"/>
    <w:rsid w:val="00352569"/>
    <w:rsid w:val="00356185"/>
    <w:rsid w:val="00360380"/>
    <w:rsid w:val="00362C51"/>
    <w:rsid w:val="00365476"/>
    <w:rsid w:val="0036705F"/>
    <w:rsid w:val="0037223C"/>
    <w:rsid w:val="0037519E"/>
    <w:rsid w:val="0037596E"/>
    <w:rsid w:val="00381775"/>
    <w:rsid w:val="00383ECA"/>
    <w:rsid w:val="00386CF0"/>
    <w:rsid w:val="00394049"/>
    <w:rsid w:val="003A25C3"/>
    <w:rsid w:val="003A7BF0"/>
    <w:rsid w:val="003B1B44"/>
    <w:rsid w:val="003B44D6"/>
    <w:rsid w:val="003B5A7F"/>
    <w:rsid w:val="003B70FB"/>
    <w:rsid w:val="003C2239"/>
    <w:rsid w:val="003C2456"/>
    <w:rsid w:val="003C676B"/>
    <w:rsid w:val="003D3BC2"/>
    <w:rsid w:val="003E13F1"/>
    <w:rsid w:val="003E6732"/>
    <w:rsid w:val="003E6CA1"/>
    <w:rsid w:val="00405F9C"/>
    <w:rsid w:val="004065A8"/>
    <w:rsid w:val="004068E4"/>
    <w:rsid w:val="0041534B"/>
    <w:rsid w:val="004165C2"/>
    <w:rsid w:val="00436B39"/>
    <w:rsid w:val="00441524"/>
    <w:rsid w:val="00441E0D"/>
    <w:rsid w:val="00441ECB"/>
    <w:rsid w:val="00445193"/>
    <w:rsid w:val="00447020"/>
    <w:rsid w:val="00447A3E"/>
    <w:rsid w:val="00447ED1"/>
    <w:rsid w:val="00460C5E"/>
    <w:rsid w:val="00462C1B"/>
    <w:rsid w:val="00464601"/>
    <w:rsid w:val="00464B27"/>
    <w:rsid w:val="00467B7E"/>
    <w:rsid w:val="00471B21"/>
    <w:rsid w:val="00473BB4"/>
    <w:rsid w:val="00477592"/>
    <w:rsid w:val="0048643E"/>
    <w:rsid w:val="00486F1C"/>
    <w:rsid w:val="0049419D"/>
    <w:rsid w:val="004A07D7"/>
    <w:rsid w:val="004A3D98"/>
    <w:rsid w:val="004A6621"/>
    <w:rsid w:val="004A6A54"/>
    <w:rsid w:val="004B2593"/>
    <w:rsid w:val="004B7EEA"/>
    <w:rsid w:val="004C20D2"/>
    <w:rsid w:val="004C2312"/>
    <w:rsid w:val="004C3157"/>
    <w:rsid w:val="004C4B62"/>
    <w:rsid w:val="004C54C9"/>
    <w:rsid w:val="004D24CF"/>
    <w:rsid w:val="004D4ABA"/>
    <w:rsid w:val="004D6025"/>
    <w:rsid w:val="004E1CD3"/>
    <w:rsid w:val="004E2649"/>
    <w:rsid w:val="004E69B0"/>
    <w:rsid w:val="004F0DB9"/>
    <w:rsid w:val="004F626F"/>
    <w:rsid w:val="004F65BD"/>
    <w:rsid w:val="00501399"/>
    <w:rsid w:val="0050633D"/>
    <w:rsid w:val="00507BC4"/>
    <w:rsid w:val="005128E4"/>
    <w:rsid w:val="005133DB"/>
    <w:rsid w:val="00514504"/>
    <w:rsid w:val="005158EE"/>
    <w:rsid w:val="00515B7E"/>
    <w:rsid w:val="0052527A"/>
    <w:rsid w:val="00525560"/>
    <w:rsid w:val="0053049D"/>
    <w:rsid w:val="00534A8A"/>
    <w:rsid w:val="00537FA1"/>
    <w:rsid w:val="00544C49"/>
    <w:rsid w:val="005516A1"/>
    <w:rsid w:val="0055501D"/>
    <w:rsid w:val="005559EF"/>
    <w:rsid w:val="00556148"/>
    <w:rsid w:val="005564B7"/>
    <w:rsid w:val="00563557"/>
    <w:rsid w:val="00571473"/>
    <w:rsid w:val="0057402A"/>
    <w:rsid w:val="005771D0"/>
    <w:rsid w:val="00580BFA"/>
    <w:rsid w:val="0059191A"/>
    <w:rsid w:val="005921FF"/>
    <w:rsid w:val="00593D58"/>
    <w:rsid w:val="005A24ED"/>
    <w:rsid w:val="005A254F"/>
    <w:rsid w:val="005A2D76"/>
    <w:rsid w:val="005A6D0E"/>
    <w:rsid w:val="005B52B0"/>
    <w:rsid w:val="005B5B98"/>
    <w:rsid w:val="005B6806"/>
    <w:rsid w:val="005C02F1"/>
    <w:rsid w:val="005C4225"/>
    <w:rsid w:val="005C443E"/>
    <w:rsid w:val="005D38F9"/>
    <w:rsid w:val="005E04A8"/>
    <w:rsid w:val="005E052B"/>
    <w:rsid w:val="005E5022"/>
    <w:rsid w:val="005E70F7"/>
    <w:rsid w:val="005F0DAD"/>
    <w:rsid w:val="005F0F33"/>
    <w:rsid w:val="005F2446"/>
    <w:rsid w:val="005F67CD"/>
    <w:rsid w:val="00600DEB"/>
    <w:rsid w:val="00607E20"/>
    <w:rsid w:val="00611BAC"/>
    <w:rsid w:val="006137FF"/>
    <w:rsid w:val="006242E7"/>
    <w:rsid w:val="00627C9F"/>
    <w:rsid w:val="006311E9"/>
    <w:rsid w:val="00632354"/>
    <w:rsid w:val="0063368D"/>
    <w:rsid w:val="00633833"/>
    <w:rsid w:val="00635421"/>
    <w:rsid w:val="00642810"/>
    <w:rsid w:val="00643A45"/>
    <w:rsid w:val="00652333"/>
    <w:rsid w:val="00654E54"/>
    <w:rsid w:val="00660384"/>
    <w:rsid w:val="00676D5F"/>
    <w:rsid w:val="0068009E"/>
    <w:rsid w:val="00692219"/>
    <w:rsid w:val="006A05B8"/>
    <w:rsid w:val="006A17D2"/>
    <w:rsid w:val="006A73E6"/>
    <w:rsid w:val="006B2D5C"/>
    <w:rsid w:val="006B3AF9"/>
    <w:rsid w:val="006B3D00"/>
    <w:rsid w:val="006B6274"/>
    <w:rsid w:val="006B7B4C"/>
    <w:rsid w:val="006C0614"/>
    <w:rsid w:val="006C4EB1"/>
    <w:rsid w:val="006C7BE7"/>
    <w:rsid w:val="006D490D"/>
    <w:rsid w:val="006D5B19"/>
    <w:rsid w:val="006E0166"/>
    <w:rsid w:val="006E1372"/>
    <w:rsid w:val="006E2FFB"/>
    <w:rsid w:val="006E7B34"/>
    <w:rsid w:val="0070697F"/>
    <w:rsid w:val="00717339"/>
    <w:rsid w:val="0072199C"/>
    <w:rsid w:val="00722C9F"/>
    <w:rsid w:val="007253B8"/>
    <w:rsid w:val="007272FF"/>
    <w:rsid w:val="0072737A"/>
    <w:rsid w:val="00727D8D"/>
    <w:rsid w:val="007308FA"/>
    <w:rsid w:val="0073741F"/>
    <w:rsid w:val="007446AC"/>
    <w:rsid w:val="0074695B"/>
    <w:rsid w:val="007501BF"/>
    <w:rsid w:val="0076643F"/>
    <w:rsid w:val="00773E71"/>
    <w:rsid w:val="00777F63"/>
    <w:rsid w:val="00780734"/>
    <w:rsid w:val="00792702"/>
    <w:rsid w:val="007A3C89"/>
    <w:rsid w:val="007A4ECD"/>
    <w:rsid w:val="007A5817"/>
    <w:rsid w:val="007B05C4"/>
    <w:rsid w:val="007B1F85"/>
    <w:rsid w:val="007B60E9"/>
    <w:rsid w:val="007B6CC3"/>
    <w:rsid w:val="007B76D3"/>
    <w:rsid w:val="007C3334"/>
    <w:rsid w:val="007C7E8C"/>
    <w:rsid w:val="007D1813"/>
    <w:rsid w:val="007D2B98"/>
    <w:rsid w:val="007D6A51"/>
    <w:rsid w:val="007E21BC"/>
    <w:rsid w:val="007E6D14"/>
    <w:rsid w:val="007E7C82"/>
    <w:rsid w:val="007F2AA1"/>
    <w:rsid w:val="007F588D"/>
    <w:rsid w:val="00803F1C"/>
    <w:rsid w:val="0080600E"/>
    <w:rsid w:val="00812C00"/>
    <w:rsid w:val="00814688"/>
    <w:rsid w:val="00817612"/>
    <w:rsid w:val="0083100C"/>
    <w:rsid w:val="008320E5"/>
    <w:rsid w:val="008338A4"/>
    <w:rsid w:val="00834D49"/>
    <w:rsid w:val="00836573"/>
    <w:rsid w:val="00837C45"/>
    <w:rsid w:val="00844730"/>
    <w:rsid w:val="00844D1F"/>
    <w:rsid w:val="008457C2"/>
    <w:rsid w:val="00851E11"/>
    <w:rsid w:val="00857A82"/>
    <w:rsid w:val="00867314"/>
    <w:rsid w:val="00873836"/>
    <w:rsid w:val="00877CD6"/>
    <w:rsid w:val="00883367"/>
    <w:rsid w:val="00885737"/>
    <w:rsid w:val="00890650"/>
    <w:rsid w:val="008907F7"/>
    <w:rsid w:val="00897E12"/>
    <w:rsid w:val="008A0709"/>
    <w:rsid w:val="008A7E0F"/>
    <w:rsid w:val="008B12F5"/>
    <w:rsid w:val="008C2D7F"/>
    <w:rsid w:val="008C5E2D"/>
    <w:rsid w:val="008D768D"/>
    <w:rsid w:val="008E3759"/>
    <w:rsid w:val="008E3BFE"/>
    <w:rsid w:val="008F1912"/>
    <w:rsid w:val="0090213A"/>
    <w:rsid w:val="0090270B"/>
    <w:rsid w:val="0090405C"/>
    <w:rsid w:val="009041DC"/>
    <w:rsid w:val="009133D3"/>
    <w:rsid w:val="00917B5A"/>
    <w:rsid w:val="00920A58"/>
    <w:rsid w:val="00920A8C"/>
    <w:rsid w:val="009339CE"/>
    <w:rsid w:val="00934A2C"/>
    <w:rsid w:val="009420B5"/>
    <w:rsid w:val="0094407E"/>
    <w:rsid w:val="0095365C"/>
    <w:rsid w:val="009545B0"/>
    <w:rsid w:val="0095506F"/>
    <w:rsid w:val="00955CCE"/>
    <w:rsid w:val="0096706E"/>
    <w:rsid w:val="009676FE"/>
    <w:rsid w:val="00974491"/>
    <w:rsid w:val="00975C4E"/>
    <w:rsid w:val="00976B9E"/>
    <w:rsid w:val="00981FBA"/>
    <w:rsid w:val="009835B2"/>
    <w:rsid w:val="00990B0D"/>
    <w:rsid w:val="00997BC5"/>
    <w:rsid w:val="009A20CB"/>
    <w:rsid w:val="009A463C"/>
    <w:rsid w:val="009A4F41"/>
    <w:rsid w:val="009B381B"/>
    <w:rsid w:val="009B49EC"/>
    <w:rsid w:val="009B6268"/>
    <w:rsid w:val="009B66FF"/>
    <w:rsid w:val="009C2B81"/>
    <w:rsid w:val="009D1753"/>
    <w:rsid w:val="009D23D9"/>
    <w:rsid w:val="009D3B30"/>
    <w:rsid w:val="009D5CDE"/>
    <w:rsid w:val="009D7611"/>
    <w:rsid w:val="009D7ADA"/>
    <w:rsid w:val="009D7F29"/>
    <w:rsid w:val="009E05F1"/>
    <w:rsid w:val="009E0B61"/>
    <w:rsid w:val="009E2047"/>
    <w:rsid w:val="009E53DE"/>
    <w:rsid w:val="009F0EB2"/>
    <w:rsid w:val="00A11212"/>
    <w:rsid w:val="00A11E44"/>
    <w:rsid w:val="00A13EB6"/>
    <w:rsid w:val="00A164FB"/>
    <w:rsid w:val="00A23907"/>
    <w:rsid w:val="00A23FE4"/>
    <w:rsid w:val="00A27BAC"/>
    <w:rsid w:val="00A30100"/>
    <w:rsid w:val="00A328B3"/>
    <w:rsid w:val="00A50FCF"/>
    <w:rsid w:val="00A528D1"/>
    <w:rsid w:val="00A54A9B"/>
    <w:rsid w:val="00A56E33"/>
    <w:rsid w:val="00A5746B"/>
    <w:rsid w:val="00A610CD"/>
    <w:rsid w:val="00A66CC8"/>
    <w:rsid w:val="00A724AB"/>
    <w:rsid w:val="00A758AA"/>
    <w:rsid w:val="00A90309"/>
    <w:rsid w:val="00A9050E"/>
    <w:rsid w:val="00AA09A2"/>
    <w:rsid w:val="00AA52AC"/>
    <w:rsid w:val="00AA7996"/>
    <w:rsid w:val="00AB0606"/>
    <w:rsid w:val="00AB3302"/>
    <w:rsid w:val="00AB5DC9"/>
    <w:rsid w:val="00AC19CB"/>
    <w:rsid w:val="00AC33D7"/>
    <w:rsid w:val="00AD5405"/>
    <w:rsid w:val="00AE2440"/>
    <w:rsid w:val="00AE3319"/>
    <w:rsid w:val="00AE40F7"/>
    <w:rsid w:val="00AE5488"/>
    <w:rsid w:val="00AE6F91"/>
    <w:rsid w:val="00AF39E9"/>
    <w:rsid w:val="00AF3F69"/>
    <w:rsid w:val="00AF5571"/>
    <w:rsid w:val="00B07341"/>
    <w:rsid w:val="00B11747"/>
    <w:rsid w:val="00B24EC5"/>
    <w:rsid w:val="00B27B88"/>
    <w:rsid w:val="00B30539"/>
    <w:rsid w:val="00B310CA"/>
    <w:rsid w:val="00B314DB"/>
    <w:rsid w:val="00B33387"/>
    <w:rsid w:val="00B361F2"/>
    <w:rsid w:val="00B3718B"/>
    <w:rsid w:val="00B3745F"/>
    <w:rsid w:val="00B37C2B"/>
    <w:rsid w:val="00B448A0"/>
    <w:rsid w:val="00B4632A"/>
    <w:rsid w:val="00B530F1"/>
    <w:rsid w:val="00B6011E"/>
    <w:rsid w:val="00B70250"/>
    <w:rsid w:val="00B87A9C"/>
    <w:rsid w:val="00B95335"/>
    <w:rsid w:val="00B9610D"/>
    <w:rsid w:val="00BA276C"/>
    <w:rsid w:val="00BA7C63"/>
    <w:rsid w:val="00BB06DB"/>
    <w:rsid w:val="00BB306F"/>
    <w:rsid w:val="00BD3C63"/>
    <w:rsid w:val="00BD4B89"/>
    <w:rsid w:val="00BD5922"/>
    <w:rsid w:val="00BE226A"/>
    <w:rsid w:val="00BE4162"/>
    <w:rsid w:val="00BF02CB"/>
    <w:rsid w:val="00BF11CD"/>
    <w:rsid w:val="00BF26A6"/>
    <w:rsid w:val="00BF6FD8"/>
    <w:rsid w:val="00C01704"/>
    <w:rsid w:val="00C03680"/>
    <w:rsid w:val="00C0390D"/>
    <w:rsid w:val="00C054DF"/>
    <w:rsid w:val="00C06752"/>
    <w:rsid w:val="00C07913"/>
    <w:rsid w:val="00C10926"/>
    <w:rsid w:val="00C10F50"/>
    <w:rsid w:val="00C20EB5"/>
    <w:rsid w:val="00C21762"/>
    <w:rsid w:val="00C21FEF"/>
    <w:rsid w:val="00C23BA4"/>
    <w:rsid w:val="00C24543"/>
    <w:rsid w:val="00C256A2"/>
    <w:rsid w:val="00C25ADB"/>
    <w:rsid w:val="00C42E00"/>
    <w:rsid w:val="00C444F0"/>
    <w:rsid w:val="00C51515"/>
    <w:rsid w:val="00C5660B"/>
    <w:rsid w:val="00C66B72"/>
    <w:rsid w:val="00C741C1"/>
    <w:rsid w:val="00C74339"/>
    <w:rsid w:val="00C80326"/>
    <w:rsid w:val="00C87AC4"/>
    <w:rsid w:val="00C900D9"/>
    <w:rsid w:val="00C92BAD"/>
    <w:rsid w:val="00C9567A"/>
    <w:rsid w:val="00CA173E"/>
    <w:rsid w:val="00CB1965"/>
    <w:rsid w:val="00CB212D"/>
    <w:rsid w:val="00CB2660"/>
    <w:rsid w:val="00CB44E0"/>
    <w:rsid w:val="00CC442D"/>
    <w:rsid w:val="00CC48FD"/>
    <w:rsid w:val="00CC5E90"/>
    <w:rsid w:val="00CD046C"/>
    <w:rsid w:val="00CE076C"/>
    <w:rsid w:val="00CE13B3"/>
    <w:rsid w:val="00CE5199"/>
    <w:rsid w:val="00CE66D5"/>
    <w:rsid w:val="00CF0E50"/>
    <w:rsid w:val="00CF637A"/>
    <w:rsid w:val="00CF6E6E"/>
    <w:rsid w:val="00D059DE"/>
    <w:rsid w:val="00D05ABD"/>
    <w:rsid w:val="00D066DF"/>
    <w:rsid w:val="00D107C4"/>
    <w:rsid w:val="00D13530"/>
    <w:rsid w:val="00D13FCE"/>
    <w:rsid w:val="00D16C4A"/>
    <w:rsid w:val="00D16D3C"/>
    <w:rsid w:val="00D306D1"/>
    <w:rsid w:val="00D30800"/>
    <w:rsid w:val="00D34786"/>
    <w:rsid w:val="00D37BFC"/>
    <w:rsid w:val="00D41518"/>
    <w:rsid w:val="00D47A8E"/>
    <w:rsid w:val="00D523CB"/>
    <w:rsid w:val="00D52D14"/>
    <w:rsid w:val="00D57C1C"/>
    <w:rsid w:val="00D61223"/>
    <w:rsid w:val="00D61802"/>
    <w:rsid w:val="00D712D3"/>
    <w:rsid w:val="00D71422"/>
    <w:rsid w:val="00D71A81"/>
    <w:rsid w:val="00D72DC6"/>
    <w:rsid w:val="00D74C0A"/>
    <w:rsid w:val="00D7558D"/>
    <w:rsid w:val="00D81D92"/>
    <w:rsid w:val="00D82EC6"/>
    <w:rsid w:val="00D839AA"/>
    <w:rsid w:val="00D876F9"/>
    <w:rsid w:val="00D94C5A"/>
    <w:rsid w:val="00DA0B22"/>
    <w:rsid w:val="00DA2AB7"/>
    <w:rsid w:val="00DA31EC"/>
    <w:rsid w:val="00DA789C"/>
    <w:rsid w:val="00DA7B5F"/>
    <w:rsid w:val="00DC11E7"/>
    <w:rsid w:val="00DC24E3"/>
    <w:rsid w:val="00DC494D"/>
    <w:rsid w:val="00DC7023"/>
    <w:rsid w:val="00DC769A"/>
    <w:rsid w:val="00DD3D86"/>
    <w:rsid w:val="00DD4AD2"/>
    <w:rsid w:val="00DE0DBF"/>
    <w:rsid w:val="00DF18A1"/>
    <w:rsid w:val="00DF1EC4"/>
    <w:rsid w:val="00DF421E"/>
    <w:rsid w:val="00DF7BCF"/>
    <w:rsid w:val="00E0340B"/>
    <w:rsid w:val="00E04408"/>
    <w:rsid w:val="00E046DE"/>
    <w:rsid w:val="00E04A90"/>
    <w:rsid w:val="00E0551F"/>
    <w:rsid w:val="00E0725D"/>
    <w:rsid w:val="00E13D06"/>
    <w:rsid w:val="00E1566D"/>
    <w:rsid w:val="00E219C7"/>
    <w:rsid w:val="00E4118C"/>
    <w:rsid w:val="00E43157"/>
    <w:rsid w:val="00E45ADB"/>
    <w:rsid w:val="00E461CE"/>
    <w:rsid w:val="00E54D28"/>
    <w:rsid w:val="00E573E4"/>
    <w:rsid w:val="00E6400F"/>
    <w:rsid w:val="00E64C3D"/>
    <w:rsid w:val="00E67C67"/>
    <w:rsid w:val="00E70B2F"/>
    <w:rsid w:val="00E720CA"/>
    <w:rsid w:val="00E82580"/>
    <w:rsid w:val="00E82DDC"/>
    <w:rsid w:val="00E84EB5"/>
    <w:rsid w:val="00E85662"/>
    <w:rsid w:val="00E8789F"/>
    <w:rsid w:val="00E95CDD"/>
    <w:rsid w:val="00E9654C"/>
    <w:rsid w:val="00E97B71"/>
    <w:rsid w:val="00EA3D34"/>
    <w:rsid w:val="00EB09D5"/>
    <w:rsid w:val="00EB197F"/>
    <w:rsid w:val="00EB38FD"/>
    <w:rsid w:val="00EB454D"/>
    <w:rsid w:val="00ED549D"/>
    <w:rsid w:val="00ED76BE"/>
    <w:rsid w:val="00EE00E9"/>
    <w:rsid w:val="00EF1AAA"/>
    <w:rsid w:val="00EF619B"/>
    <w:rsid w:val="00EF76F5"/>
    <w:rsid w:val="00F00B55"/>
    <w:rsid w:val="00F02AD1"/>
    <w:rsid w:val="00F06BDE"/>
    <w:rsid w:val="00F159B4"/>
    <w:rsid w:val="00F176FB"/>
    <w:rsid w:val="00F253CC"/>
    <w:rsid w:val="00F30CDD"/>
    <w:rsid w:val="00F328EA"/>
    <w:rsid w:val="00F37106"/>
    <w:rsid w:val="00F37A64"/>
    <w:rsid w:val="00F44E25"/>
    <w:rsid w:val="00F519CF"/>
    <w:rsid w:val="00F56BA5"/>
    <w:rsid w:val="00F57450"/>
    <w:rsid w:val="00F60E22"/>
    <w:rsid w:val="00F7618D"/>
    <w:rsid w:val="00F81395"/>
    <w:rsid w:val="00F81BB8"/>
    <w:rsid w:val="00F85770"/>
    <w:rsid w:val="00F90C64"/>
    <w:rsid w:val="00F917D1"/>
    <w:rsid w:val="00F9478F"/>
    <w:rsid w:val="00F9653B"/>
    <w:rsid w:val="00F96891"/>
    <w:rsid w:val="00FA5181"/>
    <w:rsid w:val="00FB4EDA"/>
    <w:rsid w:val="00FB62CF"/>
    <w:rsid w:val="00FC5ADA"/>
    <w:rsid w:val="00FD30B8"/>
    <w:rsid w:val="00FD3C3B"/>
    <w:rsid w:val="00FE07DD"/>
    <w:rsid w:val="00FE1666"/>
    <w:rsid w:val="00FE6B45"/>
    <w:rsid w:val="00FF3D1D"/>
    <w:rsid w:val="00FF55F3"/>
    <w:rsid w:val="00FF5851"/>
    <w:rsid w:val="00FF7B79"/>
    <w:rsid w:val="2FB05FE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CE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1"/>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2"/>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9"/>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10"/>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FootnotesrefssChar1Char"/>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61682"/>
  </w:style>
  <w:style w:type="character" w:styleId="CommentReference">
    <w:name w:val="annotation reference"/>
    <w:basedOn w:val="DefaultParagraphFont"/>
    <w:uiPriority w:val="99"/>
    <w:semiHidden/>
    <w:unhideWhenUsed/>
    <w:rsid w:val="00A5746B"/>
    <w:rPr>
      <w:sz w:val="16"/>
      <w:szCs w:val="16"/>
    </w:rPr>
  </w:style>
  <w:style w:type="paragraph" w:styleId="CommentText">
    <w:name w:val="annotation text"/>
    <w:basedOn w:val="Normal"/>
    <w:link w:val="CommentTextChar"/>
    <w:uiPriority w:val="99"/>
    <w:unhideWhenUsed/>
    <w:rsid w:val="00A5746B"/>
    <w:rPr>
      <w:sz w:val="20"/>
      <w:szCs w:val="20"/>
    </w:rPr>
  </w:style>
  <w:style w:type="character" w:customStyle="1" w:styleId="CommentTextChar">
    <w:name w:val="Comment Text Char"/>
    <w:basedOn w:val="DefaultParagraphFont"/>
    <w:link w:val="CommentText"/>
    <w:uiPriority w:val="99"/>
    <w:rsid w:val="00A5746B"/>
    <w:rPr>
      <w:lang w:val="en-US" w:eastAsia="en-US"/>
    </w:rPr>
  </w:style>
  <w:style w:type="paragraph" w:styleId="CommentSubject">
    <w:name w:val="annotation subject"/>
    <w:basedOn w:val="CommentText"/>
    <w:next w:val="CommentText"/>
    <w:link w:val="CommentSubjectChar"/>
    <w:uiPriority w:val="99"/>
    <w:semiHidden/>
    <w:unhideWhenUsed/>
    <w:rsid w:val="00A5746B"/>
    <w:rPr>
      <w:b/>
      <w:bCs/>
    </w:rPr>
  </w:style>
  <w:style w:type="character" w:customStyle="1" w:styleId="CommentSubjectChar">
    <w:name w:val="Comment Subject Char"/>
    <w:basedOn w:val="CommentTextChar"/>
    <w:link w:val="CommentSubject"/>
    <w:uiPriority w:val="99"/>
    <w:semiHidden/>
    <w:rsid w:val="00A5746B"/>
    <w:rPr>
      <w:b/>
      <w:bCs/>
      <w:lang w:val="en-US" w:eastAsia="en-US"/>
    </w:rPr>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link w:val="FootnoteReference"/>
    <w:qFormat/>
    <w:rsid w:val="00CF6E6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character" w:customStyle="1" w:styleId="ListParagraphChar">
    <w:name w:val="List Paragraph Char"/>
    <w:aliases w:val="Párrafo de lista1 Char,List Paragraph1 Char,Colorful List - Accent 11 Char,List Paragraph11 Char,List Paragraph2 Char,Lista vistosa - Énfasis 11 Char"/>
    <w:link w:val="ListParagraph"/>
    <w:uiPriority w:val="34"/>
    <w:locked/>
    <w:rsid w:val="00CF6E6E"/>
    <w:rPr>
      <w:rFonts w:ascii="Cambria" w:eastAsia="Cambria" w:hAnsi="Cambria" w:cs="Cambria"/>
      <w:color w:val="000000"/>
      <w:sz w:val="24"/>
      <w:szCs w:val="24"/>
      <w:u w:color="000000"/>
      <w:lang w:val="en-US"/>
    </w:rPr>
  </w:style>
  <w:style w:type="paragraph" w:customStyle="1" w:styleId="paragraph">
    <w:name w:val="paragraph"/>
    <w:basedOn w:val="Normal"/>
    <w:rsid w:val="009D7F2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9D7F29"/>
  </w:style>
  <w:style w:type="character" w:customStyle="1" w:styleId="eop">
    <w:name w:val="eop"/>
    <w:basedOn w:val="DefaultParagraphFont"/>
    <w:rsid w:val="009D7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8743">
      <w:bodyDiv w:val="1"/>
      <w:marLeft w:val="0"/>
      <w:marRight w:val="0"/>
      <w:marTop w:val="0"/>
      <w:marBottom w:val="0"/>
      <w:divBdr>
        <w:top w:val="none" w:sz="0" w:space="0" w:color="auto"/>
        <w:left w:val="none" w:sz="0" w:space="0" w:color="auto"/>
        <w:bottom w:val="none" w:sz="0" w:space="0" w:color="auto"/>
        <w:right w:val="none" w:sz="0" w:space="0" w:color="auto"/>
      </w:divBdr>
    </w:div>
    <w:div w:id="251164250">
      <w:bodyDiv w:val="1"/>
      <w:marLeft w:val="0"/>
      <w:marRight w:val="0"/>
      <w:marTop w:val="0"/>
      <w:marBottom w:val="0"/>
      <w:divBdr>
        <w:top w:val="none" w:sz="0" w:space="0" w:color="auto"/>
        <w:left w:val="none" w:sz="0" w:space="0" w:color="auto"/>
        <w:bottom w:val="none" w:sz="0" w:space="0" w:color="auto"/>
        <w:right w:val="none" w:sz="0" w:space="0" w:color="auto"/>
      </w:divBdr>
      <w:divsChild>
        <w:div w:id="863636428">
          <w:marLeft w:val="0"/>
          <w:marRight w:val="0"/>
          <w:marTop w:val="0"/>
          <w:marBottom w:val="0"/>
          <w:divBdr>
            <w:top w:val="none" w:sz="0" w:space="0" w:color="auto"/>
            <w:left w:val="none" w:sz="0" w:space="0" w:color="auto"/>
            <w:bottom w:val="none" w:sz="0" w:space="0" w:color="auto"/>
            <w:right w:val="none" w:sz="0" w:space="0" w:color="auto"/>
          </w:divBdr>
        </w:div>
      </w:divsChild>
    </w:div>
    <w:div w:id="1111238484">
      <w:bodyDiv w:val="1"/>
      <w:marLeft w:val="0"/>
      <w:marRight w:val="0"/>
      <w:marTop w:val="0"/>
      <w:marBottom w:val="0"/>
      <w:divBdr>
        <w:top w:val="none" w:sz="0" w:space="0" w:color="auto"/>
        <w:left w:val="none" w:sz="0" w:space="0" w:color="auto"/>
        <w:bottom w:val="none" w:sz="0" w:space="0" w:color="auto"/>
        <w:right w:val="none" w:sz="0" w:space="0" w:color="auto"/>
      </w:divBdr>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2087267287">
      <w:bodyDiv w:val="1"/>
      <w:marLeft w:val="0"/>
      <w:marRight w:val="0"/>
      <w:marTop w:val="0"/>
      <w:marBottom w:val="0"/>
      <w:divBdr>
        <w:top w:val="none" w:sz="0" w:space="0" w:color="auto"/>
        <w:left w:val="none" w:sz="0" w:space="0" w:color="auto"/>
        <w:bottom w:val="none" w:sz="0" w:space="0" w:color="auto"/>
        <w:right w:val="none" w:sz="0" w:space="0" w:color="auto"/>
      </w:divBdr>
      <w:divsChild>
        <w:div w:id="15167298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D1B3F"/>
    <w:rsid w:val="00136030"/>
    <w:rsid w:val="00146943"/>
    <w:rsid w:val="001B68CE"/>
    <w:rsid w:val="00200821"/>
    <w:rsid w:val="00201CE6"/>
    <w:rsid w:val="0025245B"/>
    <w:rsid w:val="002A3923"/>
    <w:rsid w:val="00306CB8"/>
    <w:rsid w:val="00394049"/>
    <w:rsid w:val="003B44D6"/>
    <w:rsid w:val="003E4EFC"/>
    <w:rsid w:val="004B5BBB"/>
    <w:rsid w:val="004D2A5D"/>
    <w:rsid w:val="004F2DF8"/>
    <w:rsid w:val="005E47EC"/>
    <w:rsid w:val="00654E54"/>
    <w:rsid w:val="006F24A1"/>
    <w:rsid w:val="007272FF"/>
    <w:rsid w:val="00787C63"/>
    <w:rsid w:val="00962508"/>
    <w:rsid w:val="009A261B"/>
    <w:rsid w:val="009C3CB6"/>
    <w:rsid w:val="00A4418E"/>
    <w:rsid w:val="00A7099D"/>
    <w:rsid w:val="00AA2E17"/>
    <w:rsid w:val="00AB3D1C"/>
    <w:rsid w:val="00AC15A4"/>
    <w:rsid w:val="00B0336C"/>
    <w:rsid w:val="00B30277"/>
    <w:rsid w:val="00B7775D"/>
    <w:rsid w:val="00B9610D"/>
    <w:rsid w:val="00C0390D"/>
    <w:rsid w:val="00C06752"/>
    <w:rsid w:val="00C10926"/>
    <w:rsid w:val="00D241E9"/>
    <w:rsid w:val="00D523CB"/>
    <w:rsid w:val="00D74C0A"/>
    <w:rsid w:val="00D7750D"/>
    <w:rsid w:val="00DA789C"/>
    <w:rsid w:val="00E0284E"/>
    <w:rsid w:val="00F00D2F"/>
    <w:rsid w:val="00F128DF"/>
    <w:rsid w:val="00F4000B"/>
    <w:rsid w:val="00FC27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d548b3393e6e8f61860a01d9f6e8665c">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c1745f32f07ce2f1fa0afb8f89743d07"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126BE-6309-409F-9A97-9BD99ECB8CA2}">
  <ds:schemaRefs>
    <ds:schemaRef ds:uri="http://schemas.openxmlformats.org/officeDocument/2006/bibliography"/>
  </ds:schemaRefs>
</ds:datastoreItem>
</file>

<file path=customXml/itemProps2.xml><?xml version="1.0" encoding="utf-8"?>
<ds:datastoreItem xmlns:ds="http://schemas.openxmlformats.org/officeDocument/2006/customXml" ds:itemID="{518990A6-C105-497A-96C4-364613CE573B}">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704C0DA4-C47D-4BC2-8421-FBFDA117111D}">
  <ds:schemaRefs>
    <ds:schemaRef ds:uri="http://schemas.microsoft.com/sharepoint/v3/contenttype/forms"/>
  </ds:schemaRefs>
</ds:datastoreItem>
</file>

<file path=customXml/itemProps4.xml><?xml version="1.0" encoding="utf-8"?>
<ds:datastoreItem xmlns:ds="http://schemas.openxmlformats.org/officeDocument/2006/customXml" ds:itemID="{595A9768-C702-41A0-9A83-88B9F80AF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4290</Words>
  <Characters>24457</Characters>
  <Application>Microsoft Office Word</Application>
  <DocSecurity>0</DocSecurity>
  <Lines>203</Lines>
  <Paragraphs>57</Paragraphs>
  <ScaleCrop>false</ScaleCrop>
  <Company/>
  <LinksUpToDate>false</LinksUpToDate>
  <CharactersWithSpaces>28690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2026-01-29T14:16:00Z</dcterms:created>
  <dcterms:modified xsi:type="dcterms:W3CDTF">2026-01-29T14:16:00Z</dcterms:modified>
</cp:coreProperties>
</file>