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3D6B03F6">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82DE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22C1D1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30822">
                              <w:rPr>
                                <w:rFonts w:asciiTheme="majorHAnsi" w:hAnsiTheme="majorHAnsi" w:cs="Arial"/>
                                <w:b/>
                                <w:bCs/>
                                <w:color w:val="0D0D0D" w:themeColor="text1" w:themeTint="F2"/>
                                <w:sz w:val="36"/>
                                <w:szCs w:val="22"/>
                                <w:lang w:val="es-ES_tradnl"/>
                              </w:rPr>
                              <w:t>39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D1D68">
                              <w:rPr>
                                <w:rFonts w:asciiTheme="majorHAnsi" w:hAnsiTheme="majorHAnsi" w:cs="Arial"/>
                                <w:b/>
                                <w:bCs/>
                                <w:color w:val="0D0D0D" w:themeColor="text1" w:themeTint="F2"/>
                                <w:sz w:val="36"/>
                                <w:szCs w:val="22"/>
                                <w:lang w:val="es-ES_tradnl"/>
                              </w:rPr>
                              <w:t>5</w:t>
                            </w:r>
                          </w:p>
                          <w:p w14:paraId="09C54AB3" w14:textId="2C8274C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A7438">
                              <w:rPr>
                                <w:rFonts w:asciiTheme="majorHAnsi" w:hAnsiTheme="majorHAnsi" w:cs="Arial"/>
                                <w:b/>
                                <w:color w:val="0D0D0D" w:themeColor="text1" w:themeTint="F2"/>
                                <w:sz w:val="36"/>
                                <w:szCs w:val="22"/>
                                <w:lang w:val="es-ES_tradnl"/>
                              </w:rPr>
                              <w:t>1938</w:t>
                            </w:r>
                            <w:r w:rsidR="00D839AA">
                              <w:rPr>
                                <w:rFonts w:asciiTheme="majorHAnsi" w:hAnsiTheme="majorHAnsi" w:cs="Arial"/>
                                <w:b/>
                                <w:color w:val="0D0D0D" w:themeColor="text1" w:themeTint="F2"/>
                                <w:sz w:val="36"/>
                                <w:szCs w:val="22"/>
                                <w:lang w:val="es-ES_tradnl"/>
                              </w:rPr>
                              <w:t>-</w:t>
                            </w:r>
                            <w:r w:rsidR="00CA7438">
                              <w:rPr>
                                <w:rFonts w:asciiTheme="majorHAnsi" w:hAnsiTheme="majorHAnsi" w:cs="Arial"/>
                                <w:b/>
                                <w:color w:val="0D0D0D" w:themeColor="text1" w:themeTint="F2"/>
                                <w:sz w:val="36"/>
                                <w:szCs w:val="22"/>
                                <w:lang w:val="es-ES_tradnl"/>
                              </w:rPr>
                              <w:t>21</w:t>
                            </w:r>
                          </w:p>
                          <w:p w14:paraId="70CF6833" w14:textId="59787F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23B6CEDC" w:rsidR="00EB197F" w:rsidRPr="00EB197F" w:rsidRDefault="000B527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S.G.</w:t>
                            </w:r>
                          </w:p>
                          <w:p w14:paraId="575DFD52" w14:textId="4B151181" w:rsidR="005B52B0" w:rsidRPr="00EB197F" w:rsidRDefault="006D1D68" w:rsidP="007A5817">
                            <w:pPr>
                              <w:rPr>
                                <w:color w:val="0D0D0D" w:themeColor="text1" w:themeTint="F2"/>
                                <w:lang w:val="es-PE"/>
                              </w:rPr>
                            </w:pPr>
                            <w:r>
                              <w:rPr>
                                <w:rFonts w:asciiTheme="majorHAnsi" w:hAnsiTheme="majorHAnsi" w:cs="Arial"/>
                                <w:color w:val="0D0D0D" w:themeColor="text1" w:themeTint="F2"/>
                                <w:szCs w:val="22"/>
                                <w:lang w:val="es-PE"/>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22C1D1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30822">
                        <w:rPr>
                          <w:rFonts w:asciiTheme="majorHAnsi" w:hAnsiTheme="majorHAnsi" w:cs="Arial"/>
                          <w:b/>
                          <w:bCs/>
                          <w:color w:val="0D0D0D" w:themeColor="text1" w:themeTint="F2"/>
                          <w:sz w:val="36"/>
                          <w:szCs w:val="22"/>
                          <w:lang w:val="es-ES_tradnl"/>
                        </w:rPr>
                        <w:t>39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D1D68">
                        <w:rPr>
                          <w:rFonts w:asciiTheme="majorHAnsi" w:hAnsiTheme="majorHAnsi" w:cs="Arial"/>
                          <w:b/>
                          <w:bCs/>
                          <w:color w:val="0D0D0D" w:themeColor="text1" w:themeTint="F2"/>
                          <w:sz w:val="36"/>
                          <w:szCs w:val="22"/>
                          <w:lang w:val="es-ES_tradnl"/>
                        </w:rPr>
                        <w:t>5</w:t>
                      </w:r>
                    </w:p>
                    <w:p w14:paraId="09C54AB3" w14:textId="2C8274C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A7438">
                        <w:rPr>
                          <w:rFonts w:asciiTheme="majorHAnsi" w:hAnsiTheme="majorHAnsi" w:cs="Arial"/>
                          <w:b/>
                          <w:color w:val="0D0D0D" w:themeColor="text1" w:themeTint="F2"/>
                          <w:sz w:val="36"/>
                          <w:szCs w:val="22"/>
                          <w:lang w:val="es-ES_tradnl"/>
                        </w:rPr>
                        <w:t>1938</w:t>
                      </w:r>
                      <w:r w:rsidR="00D839AA">
                        <w:rPr>
                          <w:rFonts w:asciiTheme="majorHAnsi" w:hAnsiTheme="majorHAnsi" w:cs="Arial"/>
                          <w:b/>
                          <w:color w:val="0D0D0D" w:themeColor="text1" w:themeTint="F2"/>
                          <w:sz w:val="36"/>
                          <w:szCs w:val="22"/>
                          <w:lang w:val="es-ES_tradnl"/>
                        </w:rPr>
                        <w:t>-</w:t>
                      </w:r>
                      <w:r w:rsidR="00CA7438">
                        <w:rPr>
                          <w:rFonts w:asciiTheme="majorHAnsi" w:hAnsiTheme="majorHAnsi" w:cs="Arial"/>
                          <w:b/>
                          <w:color w:val="0D0D0D" w:themeColor="text1" w:themeTint="F2"/>
                          <w:sz w:val="36"/>
                          <w:szCs w:val="22"/>
                          <w:lang w:val="es-ES_tradnl"/>
                        </w:rPr>
                        <w:t>21</w:t>
                      </w:r>
                    </w:p>
                    <w:p w14:paraId="70CF6833" w14:textId="59787F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23B6CEDC" w:rsidR="00EB197F" w:rsidRPr="00EB197F" w:rsidRDefault="000B527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S.G.</w:t>
                      </w:r>
                    </w:p>
                    <w:p w14:paraId="575DFD52" w14:textId="4B151181" w:rsidR="005B52B0" w:rsidRPr="00EB197F" w:rsidRDefault="006D1D68" w:rsidP="007A5817">
                      <w:pPr>
                        <w:rPr>
                          <w:color w:val="0D0D0D" w:themeColor="text1" w:themeTint="F2"/>
                          <w:lang w:val="es-PE"/>
                        </w:rPr>
                      </w:pPr>
                      <w:r>
                        <w:rPr>
                          <w:rFonts w:asciiTheme="majorHAnsi" w:hAnsiTheme="majorHAnsi" w:cs="Arial"/>
                          <w:color w:val="0D0D0D" w:themeColor="text1" w:themeTint="F2"/>
                          <w:szCs w:val="22"/>
                          <w:lang w:val="es-PE"/>
                        </w:rPr>
                        <w:t>ECUADOR</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63424A6" w:rsidR="00627C9F" w:rsidRPr="00E07AC7" w:rsidRDefault="00834D49" w:rsidP="007A5817">
                            <w:pPr>
                              <w:spacing w:line="276" w:lineRule="auto"/>
                              <w:jc w:val="right"/>
                              <w:rPr>
                                <w:rFonts w:asciiTheme="minorHAnsi" w:hAnsiTheme="minorHAnsi"/>
                                <w:color w:val="FFFFFF" w:themeColor="background1"/>
                                <w:sz w:val="22"/>
                                <w:lang w:val="es-ES"/>
                              </w:rPr>
                            </w:pPr>
                            <w:r w:rsidRPr="00E07AC7">
                              <w:rPr>
                                <w:rFonts w:asciiTheme="minorHAnsi" w:hAnsiTheme="minorHAnsi"/>
                                <w:color w:val="FFFFFF" w:themeColor="background1"/>
                                <w:sz w:val="22"/>
                                <w:lang w:val="es-ES"/>
                              </w:rPr>
                              <w:t>OEA/Ser.L/V/II</w:t>
                            </w:r>
                          </w:p>
                          <w:p w14:paraId="6A41611B" w14:textId="3553149B" w:rsidR="00627C9F" w:rsidRPr="00E07AC7" w:rsidRDefault="00627C9F" w:rsidP="007A5817">
                            <w:pPr>
                              <w:spacing w:line="276" w:lineRule="auto"/>
                              <w:jc w:val="right"/>
                              <w:rPr>
                                <w:rFonts w:asciiTheme="minorHAnsi" w:hAnsiTheme="minorHAnsi"/>
                                <w:color w:val="FFFFFF" w:themeColor="background1"/>
                                <w:sz w:val="22"/>
                                <w:lang w:val="es-ES"/>
                              </w:rPr>
                            </w:pPr>
                            <w:r w:rsidRPr="00E07AC7">
                              <w:rPr>
                                <w:rFonts w:asciiTheme="minorHAnsi" w:hAnsiTheme="minorHAnsi"/>
                                <w:color w:val="FFFFFF" w:themeColor="background1"/>
                                <w:sz w:val="22"/>
                                <w:lang w:val="es-ES"/>
                              </w:rPr>
                              <w:t xml:space="preserve">Doc. </w:t>
                            </w:r>
                            <w:r w:rsidR="00E07AC7">
                              <w:rPr>
                                <w:rFonts w:asciiTheme="minorHAnsi" w:hAnsiTheme="minorHAnsi"/>
                                <w:color w:val="FFFFFF" w:themeColor="background1"/>
                                <w:sz w:val="22"/>
                                <w:lang w:val="es-ES"/>
                              </w:rPr>
                              <w:t>42</w:t>
                            </w:r>
                          </w:p>
                          <w:p w14:paraId="69373ED2" w14:textId="1EC42D22" w:rsidR="00627C9F" w:rsidRPr="00C25ADB" w:rsidRDefault="00E3082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D1D68">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63424A6" w:rsidR="00627C9F" w:rsidRPr="00E07AC7" w:rsidRDefault="00834D49" w:rsidP="007A5817">
                      <w:pPr>
                        <w:spacing w:line="276" w:lineRule="auto"/>
                        <w:jc w:val="right"/>
                        <w:rPr>
                          <w:rFonts w:asciiTheme="minorHAnsi" w:hAnsiTheme="minorHAnsi"/>
                          <w:color w:val="FFFFFF" w:themeColor="background1"/>
                          <w:sz w:val="22"/>
                          <w:lang w:val="es-ES"/>
                        </w:rPr>
                      </w:pPr>
                      <w:r w:rsidRPr="00E07AC7">
                        <w:rPr>
                          <w:rFonts w:asciiTheme="minorHAnsi" w:hAnsiTheme="minorHAnsi"/>
                          <w:color w:val="FFFFFF" w:themeColor="background1"/>
                          <w:sz w:val="22"/>
                          <w:lang w:val="es-ES"/>
                        </w:rPr>
                        <w:t>OEA/Ser.L/V/II</w:t>
                      </w:r>
                    </w:p>
                    <w:p w14:paraId="6A41611B" w14:textId="3553149B" w:rsidR="00627C9F" w:rsidRPr="00E07AC7" w:rsidRDefault="00627C9F" w:rsidP="007A5817">
                      <w:pPr>
                        <w:spacing w:line="276" w:lineRule="auto"/>
                        <w:jc w:val="right"/>
                        <w:rPr>
                          <w:rFonts w:asciiTheme="minorHAnsi" w:hAnsiTheme="minorHAnsi"/>
                          <w:color w:val="FFFFFF" w:themeColor="background1"/>
                          <w:sz w:val="22"/>
                          <w:lang w:val="es-ES"/>
                        </w:rPr>
                      </w:pPr>
                      <w:r w:rsidRPr="00E07AC7">
                        <w:rPr>
                          <w:rFonts w:asciiTheme="minorHAnsi" w:hAnsiTheme="minorHAnsi"/>
                          <w:color w:val="FFFFFF" w:themeColor="background1"/>
                          <w:sz w:val="22"/>
                          <w:lang w:val="es-ES"/>
                        </w:rPr>
                        <w:t xml:space="preserve">Doc. </w:t>
                      </w:r>
                      <w:r w:rsidR="00E07AC7">
                        <w:rPr>
                          <w:rFonts w:asciiTheme="minorHAnsi" w:hAnsiTheme="minorHAnsi"/>
                          <w:color w:val="FFFFFF" w:themeColor="background1"/>
                          <w:sz w:val="22"/>
                          <w:lang w:val="es-ES"/>
                        </w:rPr>
                        <w:t>42</w:t>
                      </w:r>
                    </w:p>
                    <w:p w14:paraId="69373ED2" w14:textId="1EC42D22" w:rsidR="00627C9F" w:rsidRPr="00C25ADB" w:rsidRDefault="00E3082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D1D68">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7C00CB7D"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07356E" w:rsidRPr="00890650">
                              <w:rPr>
                                <w:rFonts w:asciiTheme="majorHAnsi" w:hAnsiTheme="majorHAnsi"/>
                                <w:color w:val="0D0D0D" w:themeColor="text1" w:themeTint="F2"/>
                                <w:sz w:val="18"/>
                                <w:szCs w:val="22"/>
                                <w:lang w:val="es-ES"/>
                              </w:rPr>
                              <w:t>electr</w:t>
                            </w:r>
                            <w:r w:rsidR="0007356E">
                              <w:rPr>
                                <w:rFonts w:asciiTheme="majorHAnsi" w:hAnsiTheme="majorHAnsi"/>
                                <w:color w:val="0D0D0D" w:themeColor="text1" w:themeTint="F2"/>
                                <w:sz w:val="18"/>
                                <w:szCs w:val="22"/>
                                <w:lang w:val="es-ES_tradnl"/>
                              </w:rPr>
                              <w:t>ó</w:t>
                            </w:r>
                            <w:r w:rsidR="0007356E" w:rsidRPr="00890650">
                              <w:rPr>
                                <w:rFonts w:asciiTheme="majorHAnsi" w:hAnsiTheme="majorHAnsi"/>
                                <w:color w:val="0D0D0D" w:themeColor="text1" w:themeTint="F2"/>
                                <w:sz w:val="18"/>
                                <w:szCs w:val="22"/>
                                <w:lang w:val="es-ES_tradnl"/>
                              </w:rPr>
                              <w:t>nicamente</w:t>
                            </w:r>
                            <w:r w:rsidRPr="00890650">
                              <w:rPr>
                                <w:rFonts w:asciiTheme="majorHAnsi" w:hAnsiTheme="majorHAnsi"/>
                                <w:color w:val="0D0D0D" w:themeColor="text1" w:themeTint="F2"/>
                                <w:sz w:val="18"/>
                                <w:szCs w:val="22"/>
                                <w:lang w:val="es-ES"/>
                              </w:rPr>
                              <w:t xml:space="preserve"> por la Comisión el </w:t>
                            </w:r>
                            <w:r w:rsidR="00E30822">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E30822">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B5279">
                              <w:rPr>
                                <w:rFonts w:asciiTheme="majorHAnsi" w:hAnsiTheme="majorHAnsi"/>
                                <w:color w:val="0D0D0D" w:themeColor="text1" w:themeTint="F2"/>
                                <w:sz w:val="18"/>
                                <w:szCs w:val="22"/>
                                <w:lang w:val="es-ES"/>
                              </w:rPr>
                              <w:t>5</w:t>
                            </w:r>
                            <w:r w:rsidR="00E30822">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7C00CB7D"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07356E" w:rsidRPr="00890650">
                        <w:rPr>
                          <w:rFonts w:asciiTheme="majorHAnsi" w:hAnsiTheme="majorHAnsi"/>
                          <w:color w:val="0D0D0D" w:themeColor="text1" w:themeTint="F2"/>
                          <w:sz w:val="18"/>
                          <w:szCs w:val="22"/>
                          <w:lang w:val="es-ES"/>
                        </w:rPr>
                        <w:t>electr</w:t>
                      </w:r>
                      <w:r w:rsidR="0007356E">
                        <w:rPr>
                          <w:rFonts w:asciiTheme="majorHAnsi" w:hAnsiTheme="majorHAnsi"/>
                          <w:color w:val="0D0D0D" w:themeColor="text1" w:themeTint="F2"/>
                          <w:sz w:val="18"/>
                          <w:szCs w:val="22"/>
                          <w:lang w:val="es-ES_tradnl"/>
                        </w:rPr>
                        <w:t>ó</w:t>
                      </w:r>
                      <w:r w:rsidR="0007356E" w:rsidRPr="00890650">
                        <w:rPr>
                          <w:rFonts w:asciiTheme="majorHAnsi" w:hAnsiTheme="majorHAnsi"/>
                          <w:color w:val="0D0D0D" w:themeColor="text1" w:themeTint="F2"/>
                          <w:sz w:val="18"/>
                          <w:szCs w:val="22"/>
                          <w:lang w:val="es-ES_tradnl"/>
                        </w:rPr>
                        <w:t>nicamente</w:t>
                      </w:r>
                      <w:r w:rsidRPr="00890650">
                        <w:rPr>
                          <w:rFonts w:asciiTheme="majorHAnsi" w:hAnsiTheme="majorHAnsi"/>
                          <w:color w:val="0D0D0D" w:themeColor="text1" w:themeTint="F2"/>
                          <w:sz w:val="18"/>
                          <w:szCs w:val="22"/>
                          <w:lang w:val="es-ES"/>
                        </w:rPr>
                        <w:t xml:space="preserve"> por la Comisión el </w:t>
                      </w:r>
                      <w:r w:rsidR="00E30822">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E30822">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B5279">
                        <w:rPr>
                          <w:rFonts w:asciiTheme="majorHAnsi" w:hAnsiTheme="majorHAnsi"/>
                          <w:color w:val="0D0D0D" w:themeColor="text1" w:themeTint="F2"/>
                          <w:sz w:val="18"/>
                          <w:szCs w:val="22"/>
                          <w:lang w:val="es-ES"/>
                        </w:rPr>
                        <w:t>5</w:t>
                      </w:r>
                      <w:r w:rsidR="00E30822">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C0C5A" w14:textId="77777777" w:rsidR="00BD08D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30822" w:rsidRPr="00E30822">
                              <w:rPr>
                                <w:rFonts w:asciiTheme="majorHAnsi" w:hAnsiTheme="majorHAnsi"/>
                                <w:color w:val="595959" w:themeColor="text1" w:themeTint="A6"/>
                                <w:sz w:val="18"/>
                                <w:szCs w:val="18"/>
                                <w:lang w:val="pt-BR"/>
                              </w:rPr>
                              <w:t>39</w:t>
                            </w:r>
                            <w:r w:rsidR="007B05C4" w:rsidRPr="00E30822">
                              <w:rPr>
                                <w:rFonts w:asciiTheme="majorHAnsi" w:hAnsiTheme="majorHAnsi"/>
                                <w:color w:val="595959" w:themeColor="text1" w:themeTint="A6"/>
                                <w:sz w:val="18"/>
                                <w:szCs w:val="18"/>
                                <w:lang w:val="pt-BR"/>
                              </w:rPr>
                              <w:t>/</w:t>
                            </w:r>
                            <w:r w:rsidR="00E30822" w:rsidRPr="00E30822">
                              <w:rPr>
                                <w:rFonts w:asciiTheme="majorHAnsi" w:hAnsiTheme="majorHAnsi"/>
                                <w:color w:val="595959" w:themeColor="text1" w:themeTint="A6"/>
                                <w:sz w:val="18"/>
                                <w:szCs w:val="18"/>
                                <w:lang w:val="pt-BR"/>
                              </w:rPr>
                              <w:t>25</w:t>
                            </w:r>
                            <w:r w:rsidRPr="00E3082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B5279">
                              <w:rPr>
                                <w:rFonts w:asciiTheme="majorHAnsi" w:hAnsiTheme="majorHAnsi"/>
                                <w:color w:val="595959" w:themeColor="text1" w:themeTint="A6"/>
                                <w:sz w:val="18"/>
                                <w:szCs w:val="18"/>
                                <w:lang w:val="es-ES"/>
                              </w:rPr>
                              <w:t>1938</w:t>
                            </w:r>
                            <w:r w:rsidR="002B4B34">
                              <w:rPr>
                                <w:rFonts w:asciiTheme="majorHAnsi" w:hAnsiTheme="majorHAnsi"/>
                                <w:color w:val="595959" w:themeColor="text1" w:themeTint="A6"/>
                                <w:sz w:val="18"/>
                                <w:szCs w:val="18"/>
                                <w:lang w:val="es-ES"/>
                              </w:rPr>
                              <w:t>-</w:t>
                            </w:r>
                            <w:r w:rsidR="000B5279">
                              <w:rPr>
                                <w:rFonts w:asciiTheme="majorHAnsi" w:hAnsiTheme="majorHAnsi"/>
                                <w:color w:val="595959" w:themeColor="text1" w:themeTint="A6"/>
                                <w:sz w:val="18"/>
                                <w:szCs w:val="18"/>
                                <w:lang w:val="es-ES"/>
                              </w:rPr>
                              <w:t>21</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0B5279">
                              <w:rPr>
                                <w:rFonts w:asciiTheme="majorHAnsi" w:hAnsiTheme="majorHAnsi"/>
                                <w:color w:val="595959" w:themeColor="text1" w:themeTint="A6"/>
                                <w:sz w:val="18"/>
                                <w:szCs w:val="18"/>
                                <w:lang w:val="es-ES_tradnl"/>
                              </w:rPr>
                              <w:t>S.G</w:t>
                            </w:r>
                            <w:r w:rsidRPr="00890650">
                              <w:rPr>
                                <w:rFonts w:asciiTheme="majorHAnsi" w:hAnsiTheme="majorHAnsi"/>
                                <w:color w:val="595959" w:themeColor="text1" w:themeTint="A6"/>
                                <w:sz w:val="18"/>
                                <w:szCs w:val="18"/>
                                <w:lang w:val="es-ES_tradnl"/>
                              </w:rPr>
                              <w:t xml:space="preserve">. </w:t>
                            </w:r>
                            <w:r w:rsidR="000B5279">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p>
                          <w:p w14:paraId="0D1B22CF" w14:textId="0FD74D6F" w:rsidR="00113F73" w:rsidRPr="007B05C4" w:rsidRDefault="00BD08D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 xml:space="preserve">3 de </w:t>
                            </w:r>
                            <w:r w:rsidR="001A51B7">
                              <w:rPr>
                                <w:rFonts w:asciiTheme="majorHAnsi" w:hAnsiTheme="majorHAnsi"/>
                                <w:color w:val="595959" w:themeColor="text1" w:themeTint="A6"/>
                                <w:sz w:val="18"/>
                                <w:szCs w:val="18"/>
                                <w:lang w:val="es-ES"/>
                              </w:rPr>
                              <w:t>abril</w:t>
                            </w:r>
                            <w:r>
                              <w:rPr>
                                <w:rFonts w:asciiTheme="majorHAnsi" w:hAnsiTheme="majorHAnsi"/>
                                <w:color w:val="595959" w:themeColor="text1" w:themeTint="A6"/>
                                <w:sz w:val="18"/>
                                <w:szCs w:val="18"/>
                                <w:lang w:val="es-ES"/>
                              </w:rPr>
                              <w:t xml:space="preserve">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39C0C5A" w14:textId="77777777" w:rsidR="00BD08D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30822" w:rsidRPr="00E30822">
                        <w:rPr>
                          <w:rFonts w:asciiTheme="majorHAnsi" w:hAnsiTheme="majorHAnsi"/>
                          <w:color w:val="595959" w:themeColor="text1" w:themeTint="A6"/>
                          <w:sz w:val="18"/>
                          <w:szCs w:val="18"/>
                          <w:lang w:val="pt-BR"/>
                        </w:rPr>
                        <w:t>39</w:t>
                      </w:r>
                      <w:r w:rsidR="007B05C4" w:rsidRPr="00E30822">
                        <w:rPr>
                          <w:rFonts w:asciiTheme="majorHAnsi" w:hAnsiTheme="majorHAnsi"/>
                          <w:color w:val="595959" w:themeColor="text1" w:themeTint="A6"/>
                          <w:sz w:val="18"/>
                          <w:szCs w:val="18"/>
                          <w:lang w:val="pt-BR"/>
                        </w:rPr>
                        <w:t>/</w:t>
                      </w:r>
                      <w:r w:rsidR="00E30822" w:rsidRPr="00E30822">
                        <w:rPr>
                          <w:rFonts w:asciiTheme="majorHAnsi" w:hAnsiTheme="majorHAnsi"/>
                          <w:color w:val="595959" w:themeColor="text1" w:themeTint="A6"/>
                          <w:sz w:val="18"/>
                          <w:szCs w:val="18"/>
                          <w:lang w:val="pt-BR"/>
                        </w:rPr>
                        <w:t>25</w:t>
                      </w:r>
                      <w:r w:rsidRPr="00E3082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B5279">
                        <w:rPr>
                          <w:rFonts w:asciiTheme="majorHAnsi" w:hAnsiTheme="majorHAnsi"/>
                          <w:color w:val="595959" w:themeColor="text1" w:themeTint="A6"/>
                          <w:sz w:val="18"/>
                          <w:szCs w:val="18"/>
                          <w:lang w:val="es-ES"/>
                        </w:rPr>
                        <w:t>1938</w:t>
                      </w:r>
                      <w:r w:rsidR="002B4B34">
                        <w:rPr>
                          <w:rFonts w:asciiTheme="majorHAnsi" w:hAnsiTheme="majorHAnsi"/>
                          <w:color w:val="595959" w:themeColor="text1" w:themeTint="A6"/>
                          <w:sz w:val="18"/>
                          <w:szCs w:val="18"/>
                          <w:lang w:val="es-ES"/>
                        </w:rPr>
                        <w:t>-</w:t>
                      </w:r>
                      <w:r w:rsidR="000B5279">
                        <w:rPr>
                          <w:rFonts w:asciiTheme="majorHAnsi" w:hAnsiTheme="majorHAnsi"/>
                          <w:color w:val="595959" w:themeColor="text1" w:themeTint="A6"/>
                          <w:sz w:val="18"/>
                          <w:szCs w:val="18"/>
                          <w:lang w:val="es-ES"/>
                        </w:rPr>
                        <w:t>21</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0B5279">
                        <w:rPr>
                          <w:rFonts w:asciiTheme="majorHAnsi" w:hAnsiTheme="majorHAnsi"/>
                          <w:color w:val="595959" w:themeColor="text1" w:themeTint="A6"/>
                          <w:sz w:val="18"/>
                          <w:szCs w:val="18"/>
                          <w:lang w:val="es-ES_tradnl"/>
                        </w:rPr>
                        <w:t>S.G</w:t>
                      </w:r>
                      <w:r w:rsidRPr="00890650">
                        <w:rPr>
                          <w:rFonts w:asciiTheme="majorHAnsi" w:hAnsiTheme="majorHAnsi"/>
                          <w:color w:val="595959" w:themeColor="text1" w:themeTint="A6"/>
                          <w:sz w:val="18"/>
                          <w:szCs w:val="18"/>
                          <w:lang w:val="es-ES_tradnl"/>
                        </w:rPr>
                        <w:t xml:space="preserve">. </w:t>
                      </w:r>
                      <w:r w:rsidR="000B5279">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p>
                    <w:p w14:paraId="0D1B22CF" w14:textId="0FD74D6F" w:rsidR="00113F73" w:rsidRPr="007B05C4" w:rsidRDefault="00BD08D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 xml:space="preserve">3 de </w:t>
                      </w:r>
                      <w:r w:rsidR="001A51B7">
                        <w:rPr>
                          <w:rFonts w:asciiTheme="majorHAnsi" w:hAnsiTheme="majorHAnsi"/>
                          <w:color w:val="595959" w:themeColor="text1" w:themeTint="A6"/>
                          <w:sz w:val="18"/>
                          <w:szCs w:val="18"/>
                          <w:lang w:val="es-ES"/>
                        </w:rPr>
                        <w:t>abril</w:t>
                      </w:r>
                      <w:r>
                        <w:rPr>
                          <w:rFonts w:asciiTheme="majorHAnsi" w:hAnsiTheme="majorHAnsi"/>
                          <w:color w:val="595959" w:themeColor="text1" w:themeTint="A6"/>
                          <w:sz w:val="18"/>
                          <w:szCs w:val="18"/>
                          <w:lang w:val="es-ES"/>
                        </w:rPr>
                        <w:t xml:space="preserve">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20D38E7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4E863E9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F0C8639" w:rsidR="0070697F" w:rsidRDefault="00BD08D7"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1723CC56">
                <wp:simplePos x="0" y="0"/>
                <wp:positionH relativeFrom="column">
                  <wp:posOffset>1297467</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F2890DB" w:rsidR="00D72DC6" w:rsidRPr="00D72DC6" w:rsidRDefault="00966A7A" w:rsidP="00F02AD1">
                            <w:pPr>
                              <w:rPr>
                                <w:color w:val="FFFFFF" w:themeColor="background1"/>
                                <w14:textFill>
                                  <w14:noFill/>
                                </w14:textFill>
                              </w:rPr>
                            </w:pPr>
                            <w:r>
                              <w:rPr>
                                <w:noProof/>
                                <w:color w:val="FFFFFF" w:themeColor="background1"/>
                              </w:rPr>
                              <w:drawing>
                                <wp:inline distT="0" distB="0" distL="0" distR="0" wp14:anchorId="524A2CED" wp14:editId="02AA543F">
                                  <wp:extent cx="1824355" cy="469265"/>
                                  <wp:effectExtent l="0" t="0" r="4445" b="6985"/>
                                  <wp:docPr id="487431357" name="Picture 4874313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1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oq5pq&#10;4QAAAAoBAAAPAAAAZHJzL2Rvd25yZXYueG1sTI/LToRAEEX3Jv5Dp0zcGKdxQBiRZmKMj8Sdg4+4&#10;66FLINLVhO4B/HvLlS4rdXLvucV2sb2YcPSdIwUXqwgEUu1MR42Cl+r+fAPCB01G945QwTd62JbH&#10;R4XOjZvpGaddaASHkM+1gjaEIZfS1y1a7VduQOLfpxutDnyOjTSjnjnc9nIdRam0uiNuaPWAty3W&#10;X7uDVfBx1rw/+eXhdY4v4+HucaqyN1MpdXqy3FyDCLiEPxh+9VkdSnbauwMZL3oF6yiJGVWQZbyJ&#10;gU1ylYDYM5mmM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KKuaauEA&#10;AAAKAQAADwAAAAAAAAAAAAAAAADUBAAAZHJzL2Rvd25yZXYueG1sUEsFBgAAAAAEAAQA8wAAAOIF&#10;AAAAAA==&#10;" fillcolor="white [3201]" stroked="f" strokeweight=".5pt">
                <v:textbox>
                  <w:txbxContent>
                    <w:p w14:paraId="2A1ECD3C" w14:textId="7F2890DB" w:rsidR="00D72DC6" w:rsidRPr="00D72DC6" w:rsidRDefault="00966A7A" w:rsidP="00F02AD1">
                      <w:pPr>
                        <w:rPr>
                          <w:color w:val="FFFFFF" w:themeColor="background1"/>
                          <w14:textFill>
                            <w14:noFill/>
                          </w14:textFill>
                        </w:rPr>
                      </w:pPr>
                      <w:r>
                        <w:rPr>
                          <w:noProof/>
                          <w:color w:val="FFFFFF" w:themeColor="background1"/>
                        </w:rPr>
                        <w:drawing>
                          <wp:inline distT="0" distB="0" distL="0" distR="0" wp14:anchorId="524A2CED" wp14:editId="02AA543F">
                            <wp:extent cx="1824355" cy="469265"/>
                            <wp:effectExtent l="0" t="0" r="4445" b="6985"/>
                            <wp:docPr id="487431357" name="Picture 4874313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9AAAEED" w:rsidR="003239B8" w:rsidRPr="00D13530" w:rsidRDefault="001433F8" w:rsidP="00D13530">
            <w:pPr>
              <w:jc w:val="both"/>
              <w:rPr>
                <w:rFonts w:ascii="Cambria" w:hAnsi="Cambria"/>
                <w:bCs/>
                <w:sz w:val="20"/>
                <w:szCs w:val="20"/>
                <w:lang w:val="es-PE"/>
              </w:rPr>
            </w:pPr>
            <w:r w:rsidRPr="001433F8">
              <w:rPr>
                <w:rFonts w:ascii="Cambria" w:hAnsi="Cambria"/>
                <w:bCs/>
                <w:sz w:val="20"/>
                <w:szCs w:val="20"/>
              </w:rPr>
              <w:t>M</w:t>
            </w:r>
            <w:r w:rsidR="00A9199F">
              <w:rPr>
                <w:rFonts w:ascii="Cambria" w:hAnsi="Cambria"/>
                <w:bCs/>
                <w:sz w:val="20"/>
                <w:szCs w:val="20"/>
              </w:rPr>
              <w:t>.A.G.C</w:t>
            </w:r>
            <w:r w:rsidR="00F73712">
              <w:rPr>
                <w:rFonts w:ascii="Cambria" w:hAnsi="Cambria"/>
                <w:bCs/>
                <w:sz w:val="20"/>
                <w:szCs w:val="20"/>
              </w:rPr>
              <w:t>.</w:t>
            </w:r>
          </w:p>
        </w:tc>
      </w:tr>
      <w:tr w:rsidR="003239B8" w:rsidRPr="007C7E8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C9635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4DAF4FA5" w:rsidR="003239B8" w:rsidRPr="000D05CB" w:rsidRDefault="001433F8" w:rsidP="008D2290">
            <w:pPr>
              <w:jc w:val="both"/>
              <w:rPr>
                <w:rFonts w:ascii="Cambria" w:hAnsi="Cambria"/>
                <w:bCs/>
                <w:sz w:val="20"/>
                <w:szCs w:val="20"/>
                <w:lang w:val="es-ES"/>
              </w:rPr>
            </w:pPr>
            <w:r>
              <w:rPr>
                <w:rFonts w:ascii="Cambria" w:hAnsi="Cambria"/>
                <w:bCs/>
                <w:sz w:val="20"/>
                <w:szCs w:val="20"/>
                <w:lang w:val="es-ES"/>
              </w:rPr>
              <w:t>S.G.</w:t>
            </w:r>
            <w:r w:rsidR="00A5364B">
              <w:rPr>
                <w:rStyle w:val="FootnoteReference"/>
                <w:rFonts w:ascii="Cambria" w:hAnsi="Cambria"/>
                <w:bCs/>
                <w:sz w:val="20"/>
                <w:szCs w:val="20"/>
                <w:lang w:val="es-ES"/>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7AB1FC0" w:rsidR="003239B8" w:rsidRPr="000D05CB" w:rsidRDefault="00851C01" w:rsidP="008D2290">
            <w:pPr>
              <w:jc w:val="both"/>
              <w:rPr>
                <w:rFonts w:ascii="Cambria" w:hAnsi="Cambria"/>
                <w:bCs/>
                <w:sz w:val="20"/>
                <w:szCs w:val="20"/>
              </w:rPr>
            </w:pPr>
            <w:r>
              <w:rPr>
                <w:rFonts w:ascii="Cambria" w:hAnsi="Cambria"/>
                <w:bCs/>
                <w:sz w:val="20"/>
                <w:szCs w:val="20"/>
              </w:rPr>
              <w:t>Ecuador</w:t>
            </w:r>
          </w:p>
        </w:tc>
      </w:tr>
      <w:tr w:rsidR="00223A29" w:rsidRPr="00EA76A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423122E" w:rsidR="00223A29" w:rsidRPr="00BB07D0" w:rsidRDefault="00132C4D" w:rsidP="008D2290">
            <w:pPr>
              <w:jc w:val="both"/>
              <w:rPr>
                <w:rFonts w:ascii="Cambria" w:hAnsi="Cambria"/>
                <w:bCs/>
                <w:sz w:val="20"/>
                <w:szCs w:val="20"/>
                <w:lang w:val="es-PE"/>
              </w:rPr>
            </w:pPr>
            <w:r w:rsidRPr="00D77308">
              <w:rPr>
                <w:rFonts w:ascii="Cambria" w:hAnsi="Cambria"/>
                <w:bCs/>
                <w:sz w:val="20"/>
                <w:szCs w:val="20"/>
                <w:lang w:val="es-ES"/>
              </w:rPr>
              <w:t>Artículo</w:t>
            </w:r>
            <w:r w:rsidR="002C625A">
              <w:rPr>
                <w:rFonts w:ascii="Cambria" w:hAnsi="Cambria"/>
                <w:bCs/>
                <w:sz w:val="20"/>
                <w:szCs w:val="20"/>
                <w:lang w:val="es-ES"/>
              </w:rPr>
              <w:t xml:space="preserve"> 8 </w:t>
            </w:r>
            <w:r w:rsidR="00A205CC">
              <w:rPr>
                <w:rFonts w:ascii="Cambria" w:hAnsi="Cambria"/>
                <w:bCs/>
                <w:sz w:val="20"/>
                <w:szCs w:val="20"/>
                <w:lang w:val="es-ES"/>
              </w:rPr>
              <w:t>(</w:t>
            </w:r>
            <w:r w:rsidR="002C625A">
              <w:rPr>
                <w:rFonts w:ascii="Cambria" w:hAnsi="Cambria"/>
                <w:bCs/>
                <w:sz w:val="20"/>
                <w:szCs w:val="20"/>
                <w:lang w:val="es-ES"/>
              </w:rPr>
              <w:t>garantías judiciales)</w:t>
            </w:r>
            <w:r w:rsidR="00132DD2">
              <w:rPr>
                <w:rFonts w:ascii="Cambria" w:hAnsi="Cambria"/>
                <w:bCs/>
                <w:sz w:val="20"/>
                <w:szCs w:val="20"/>
                <w:lang w:val="es-ES"/>
              </w:rPr>
              <w:t xml:space="preserve"> </w:t>
            </w:r>
            <w:r w:rsidR="00132DD2" w:rsidRPr="00D77308">
              <w:rPr>
                <w:rFonts w:ascii="Cambria" w:hAnsi="Cambria"/>
                <w:bCs/>
                <w:sz w:val="20"/>
                <w:szCs w:val="20"/>
                <w:lang w:val="es-ES"/>
              </w:rPr>
              <w:t>de la Convención Americana sobre Derechos Humanos</w:t>
            </w:r>
            <w:r w:rsidR="00132DD2" w:rsidRPr="00D77308">
              <w:rPr>
                <w:rStyle w:val="FootnoteReference"/>
                <w:rFonts w:ascii="Cambria" w:hAnsi="Cambria"/>
                <w:bCs/>
                <w:sz w:val="20"/>
                <w:szCs w:val="20"/>
                <w:lang w:val="es-ES"/>
              </w:rPr>
              <w:footnoteReference w:id="3"/>
            </w:r>
            <w:r w:rsidR="002C625A">
              <w:rPr>
                <w:rFonts w:ascii="Cambria" w:hAnsi="Cambria"/>
                <w:bCs/>
                <w:sz w:val="20"/>
                <w:szCs w:val="20"/>
                <w:lang w:val="es-ES"/>
              </w:rPr>
              <w:t xml:space="preserve">; </w:t>
            </w:r>
            <w:r w:rsidR="00EE74F5">
              <w:rPr>
                <w:rFonts w:ascii="Cambria" w:hAnsi="Cambria"/>
                <w:bCs/>
                <w:sz w:val="20"/>
                <w:szCs w:val="20"/>
                <w:lang w:val="es-ES"/>
              </w:rPr>
              <w:t>las disposiciones XVIII</w:t>
            </w:r>
            <w:r w:rsidR="00723582">
              <w:rPr>
                <w:rFonts w:ascii="Cambria" w:hAnsi="Cambria"/>
                <w:bCs/>
                <w:sz w:val="20"/>
                <w:szCs w:val="20"/>
                <w:lang w:val="es-ES"/>
              </w:rPr>
              <w:t xml:space="preserve"> </w:t>
            </w:r>
            <w:r w:rsidR="000D7DC4">
              <w:rPr>
                <w:rFonts w:ascii="Cambria" w:hAnsi="Cambria"/>
                <w:bCs/>
                <w:sz w:val="20"/>
                <w:szCs w:val="20"/>
                <w:lang w:val="es-ES"/>
              </w:rPr>
              <w:t>(derecho de justicia)</w:t>
            </w:r>
            <w:r w:rsidR="00EE74F5">
              <w:rPr>
                <w:rFonts w:ascii="Cambria" w:hAnsi="Cambria"/>
                <w:bCs/>
                <w:sz w:val="20"/>
                <w:szCs w:val="20"/>
                <w:lang w:val="es-ES"/>
              </w:rPr>
              <w:t xml:space="preserve"> y XXIV</w:t>
            </w:r>
            <w:r w:rsidR="000D7DC4">
              <w:rPr>
                <w:rFonts w:ascii="Cambria" w:hAnsi="Cambria"/>
                <w:bCs/>
                <w:sz w:val="20"/>
                <w:szCs w:val="20"/>
                <w:lang w:val="es-ES"/>
              </w:rPr>
              <w:t xml:space="preserve"> (derecho de petición)</w:t>
            </w:r>
            <w:r w:rsidR="0025388D">
              <w:rPr>
                <w:rFonts w:ascii="Cambria" w:hAnsi="Cambria"/>
                <w:bCs/>
                <w:sz w:val="20"/>
                <w:szCs w:val="20"/>
                <w:lang w:val="es-ES"/>
              </w:rPr>
              <w:t xml:space="preserve"> de la Declaración Americana </w:t>
            </w:r>
            <w:r w:rsidR="000D514C">
              <w:rPr>
                <w:rFonts w:ascii="Cambria" w:hAnsi="Cambria"/>
                <w:bCs/>
                <w:sz w:val="20"/>
                <w:szCs w:val="20"/>
                <w:lang w:val="es-ES"/>
              </w:rPr>
              <w:t>sobre Derechos y Deberes del Hombre</w:t>
            </w:r>
            <w:r w:rsidR="000D514C">
              <w:rPr>
                <w:rStyle w:val="FootnoteReference"/>
                <w:rFonts w:ascii="Cambria" w:hAnsi="Cambria"/>
                <w:bCs/>
                <w:sz w:val="20"/>
                <w:szCs w:val="20"/>
                <w:lang w:val="es-ES"/>
              </w:rPr>
              <w:footnoteReference w:id="4"/>
            </w:r>
            <w:r w:rsidR="00EE74F5">
              <w:rPr>
                <w:rFonts w:ascii="Cambria" w:hAnsi="Cambria"/>
                <w:bCs/>
                <w:sz w:val="20"/>
                <w:szCs w:val="20"/>
                <w:lang w:val="es-ES"/>
              </w:rPr>
              <w:t xml:space="preserve">; y el artículo 7 de la Convención </w:t>
            </w:r>
            <w:r w:rsidR="0025388D">
              <w:rPr>
                <w:rFonts w:ascii="Cambria" w:hAnsi="Cambria"/>
                <w:bCs/>
                <w:sz w:val="20"/>
                <w:szCs w:val="20"/>
                <w:lang w:val="es-ES"/>
              </w:rPr>
              <w:t>Interamericana para Prevenir, Sancionar y Erradicar la Violencia contra la Mujer</w:t>
            </w:r>
            <w:r w:rsidR="0025388D">
              <w:rPr>
                <w:rStyle w:val="FootnoteReference"/>
                <w:rFonts w:ascii="Cambria" w:hAnsi="Cambria"/>
                <w:bCs/>
                <w:sz w:val="20"/>
                <w:szCs w:val="20"/>
                <w:lang w:val="es-ES"/>
              </w:rPr>
              <w:footnoteReference w:id="5"/>
            </w:r>
            <w:r w:rsidR="0025388D">
              <w:rPr>
                <w:rFonts w:ascii="Cambria" w:hAnsi="Cambria"/>
                <w:bCs/>
                <w:sz w:val="20"/>
                <w:szCs w:val="20"/>
                <w:lang w:val="es-ES"/>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13CA55E" w:rsidR="004C2312" w:rsidRPr="003239B8" w:rsidRDefault="00AA7D61" w:rsidP="002625EA">
            <w:pPr>
              <w:jc w:val="both"/>
              <w:rPr>
                <w:rFonts w:ascii="Cambria" w:hAnsi="Cambria"/>
                <w:bCs/>
                <w:sz w:val="20"/>
                <w:szCs w:val="20"/>
                <w:lang w:val="es-ES"/>
              </w:rPr>
            </w:pPr>
            <w:r>
              <w:rPr>
                <w:rFonts w:ascii="Cambria" w:hAnsi="Cambria"/>
                <w:bCs/>
                <w:sz w:val="20"/>
                <w:szCs w:val="20"/>
                <w:lang w:val="es-ES"/>
              </w:rPr>
              <w:t>3 de noviembre de 2021</w:t>
            </w:r>
          </w:p>
        </w:tc>
      </w:tr>
      <w:tr w:rsidR="004C2312" w:rsidRPr="006D1D6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9AEB886" w:rsidR="004C2312" w:rsidRPr="003239B8" w:rsidRDefault="008955C6" w:rsidP="008D2290">
            <w:pPr>
              <w:jc w:val="both"/>
              <w:rPr>
                <w:rFonts w:ascii="Cambria" w:hAnsi="Cambria"/>
                <w:bCs/>
                <w:sz w:val="20"/>
                <w:szCs w:val="20"/>
                <w:lang w:val="es-ES"/>
              </w:rPr>
            </w:pPr>
            <w:r>
              <w:rPr>
                <w:rFonts w:ascii="Cambria" w:hAnsi="Cambria"/>
                <w:bCs/>
                <w:sz w:val="20"/>
                <w:szCs w:val="20"/>
                <w:lang w:val="es-ES"/>
              </w:rPr>
              <w:t>9 de diciembre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00C2441" w:rsidR="004C2312" w:rsidRPr="003239B8" w:rsidRDefault="008955C6" w:rsidP="008D2290">
            <w:pPr>
              <w:jc w:val="both"/>
              <w:rPr>
                <w:rFonts w:ascii="Cambria" w:hAnsi="Cambria"/>
                <w:bCs/>
                <w:sz w:val="20"/>
                <w:szCs w:val="20"/>
                <w:lang w:val="es-ES"/>
              </w:rPr>
            </w:pPr>
            <w:r>
              <w:rPr>
                <w:rFonts w:ascii="Cambria" w:hAnsi="Cambria"/>
                <w:bCs/>
                <w:sz w:val="20"/>
                <w:szCs w:val="20"/>
                <w:lang w:val="es-ES"/>
              </w:rPr>
              <w:t>31 de mayo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4902F9">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2D303844" w:rsidR="003239B8" w:rsidRPr="00851C01" w:rsidRDefault="00851C01" w:rsidP="008D2290">
            <w:pPr>
              <w:rPr>
                <w:rFonts w:ascii="Cambria" w:hAnsi="Cambria"/>
                <w:bCs/>
                <w:sz w:val="20"/>
                <w:szCs w:val="20"/>
                <w:lang w:val="es-PE"/>
              </w:rPr>
            </w:pPr>
            <w:r w:rsidRPr="00851C01">
              <w:rPr>
                <w:rFonts w:ascii="Cambria" w:hAnsi="Cambria"/>
                <w:bCs/>
                <w:sz w:val="20"/>
                <w:szCs w:val="20"/>
                <w:lang w:val="es-PE"/>
              </w:rPr>
              <w:t>Sí</w:t>
            </w:r>
          </w:p>
        </w:tc>
      </w:tr>
      <w:tr w:rsidR="003239B8" w:rsidRPr="00540F17" w14:paraId="4B8802DA" w14:textId="77777777" w:rsidTr="004902F9">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7C6F5143" w:rsidR="003239B8" w:rsidRPr="00851C01" w:rsidRDefault="00851C01" w:rsidP="008D2290">
            <w:pPr>
              <w:rPr>
                <w:rFonts w:ascii="Cambria" w:hAnsi="Cambria"/>
                <w:bCs/>
                <w:sz w:val="20"/>
                <w:szCs w:val="20"/>
                <w:lang w:val="es-PE"/>
              </w:rPr>
            </w:pPr>
            <w:r w:rsidRPr="00851C01">
              <w:rPr>
                <w:rFonts w:ascii="Cambria" w:hAnsi="Cambria"/>
                <w:bCs/>
                <w:sz w:val="20"/>
                <w:szCs w:val="20"/>
                <w:lang w:val="es-PE"/>
              </w:rPr>
              <w:t>Sí</w:t>
            </w:r>
          </w:p>
        </w:tc>
      </w:tr>
      <w:tr w:rsidR="003239B8" w:rsidRPr="00540F17" w14:paraId="4362FDF3" w14:textId="77777777" w:rsidTr="004902F9">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69694DA4" w:rsidR="003239B8" w:rsidRPr="00851C01" w:rsidRDefault="00851C01" w:rsidP="008D2290">
            <w:pPr>
              <w:rPr>
                <w:rFonts w:ascii="Cambria" w:hAnsi="Cambria"/>
                <w:bCs/>
                <w:sz w:val="20"/>
                <w:szCs w:val="20"/>
                <w:lang w:val="es-PE"/>
              </w:rPr>
            </w:pPr>
            <w:r w:rsidRPr="00851C01">
              <w:rPr>
                <w:rFonts w:ascii="Cambria" w:hAnsi="Cambria"/>
                <w:bCs/>
                <w:sz w:val="20"/>
                <w:szCs w:val="20"/>
                <w:lang w:val="es-PE"/>
              </w:rPr>
              <w:t>Sí</w:t>
            </w:r>
          </w:p>
        </w:tc>
      </w:tr>
      <w:tr w:rsidR="003239B8" w:rsidRPr="00EA76A8" w14:paraId="30ABEC3E" w14:textId="77777777" w:rsidTr="004902F9">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1E8A8074" w:rsidR="003239B8" w:rsidRPr="00851C01" w:rsidRDefault="00851C01" w:rsidP="008D2290">
            <w:pPr>
              <w:jc w:val="both"/>
              <w:rPr>
                <w:rFonts w:ascii="Cambria" w:hAnsi="Cambria"/>
                <w:bCs/>
                <w:sz w:val="20"/>
                <w:szCs w:val="20"/>
                <w:lang w:val="es-PE"/>
              </w:rPr>
            </w:pPr>
            <w:r w:rsidRPr="00851C01">
              <w:rPr>
                <w:rFonts w:ascii="Cambria" w:hAnsi="Cambria"/>
                <w:bCs/>
                <w:sz w:val="20"/>
                <w:szCs w:val="20"/>
                <w:lang w:val="es-PE"/>
              </w:rPr>
              <w:t>Sí, Convención Americana (depósito del instrumento de ratificación realizado el 28 de diciembre de 1977)</w:t>
            </w:r>
            <w:r w:rsidR="00E82591">
              <w:rPr>
                <w:rFonts w:ascii="Cambria" w:hAnsi="Cambria"/>
                <w:bCs/>
                <w:sz w:val="20"/>
                <w:szCs w:val="20"/>
                <w:lang w:val="es-PE"/>
              </w:rPr>
              <w:t>; y Convención Belém Do Pará (</w:t>
            </w:r>
            <w:r w:rsidR="00563D5C">
              <w:rPr>
                <w:rFonts w:ascii="Cambria" w:hAnsi="Cambria"/>
                <w:bCs/>
                <w:sz w:val="20"/>
                <w:szCs w:val="20"/>
                <w:lang w:val="es-PE"/>
              </w:rPr>
              <w:t>depósito de instrumento de ratificación realizado el 15 de septiembre de 1995)</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B75961" w14:paraId="1231C988" w14:textId="77777777" w:rsidTr="004902F9">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782019A3" w:rsidR="00EE00E9" w:rsidRPr="00DC24E3" w:rsidRDefault="00F84526" w:rsidP="008D2290">
            <w:pPr>
              <w:jc w:val="both"/>
              <w:rPr>
                <w:rFonts w:ascii="Cambria" w:hAnsi="Cambria"/>
                <w:bCs/>
                <w:sz w:val="20"/>
                <w:szCs w:val="20"/>
                <w:lang w:val="es-ES"/>
              </w:rPr>
            </w:pPr>
            <w:r>
              <w:rPr>
                <w:rFonts w:ascii="Cambria" w:hAnsi="Cambria"/>
                <w:bCs/>
                <w:sz w:val="20"/>
                <w:szCs w:val="20"/>
                <w:lang w:val="es-ES"/>
              </w:rPr>
              <w:t>No</w:t>
            </w:r>
          </w:p>
        </w:tc>
      </w:tr>
      <w:tr w:rsidR="003239B8" w:rsidRPr="00EA76A8" w14:paraId="15FAA7D1" w14:textId="77777777" w:rsidTr="004902F9">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45D27B9B" w:rsidR="003239B8" w:rsidRPr="00F84526" w:rsidRDefault="00F84526" w:rsidP="008D2290">
            <w:pPr>
              <w:jc w:val="both"/>
              <w:rPr>
                <w:rFonts w:ascii="Cambria" w:hAnsi="Cambria"/>
                <w:bCs/>
                <w:sz w:val="20"/>
                <w:szCs w:val="20"/>
                <w:lang w:val="es-PE"/>
              </w:rPr>
            </w:pPr>
            <w:r>
              <w:rPr>
                <w:rFonts w:asciiTheme="majorHAnsi" w:hAnsiTheme="majorHAnsi"/>
                <w:sz w:val="20"/>
                <w:szCs w:val="20"/>
                <w:lang w:val="es-ES_tradnl"/>
              </w:rPr>
              <w:t>A</w:t>
            </w:r>
            <w:r w:rsidRPr="002D0432">
              <w:rPr>
                <w:rFonts w:asciiTheme="majorHAnsi" w:hAnsiTheme="majorHAnsi"/>
                <w:sz w:val="20"/>
                <w:szCs w:val="20"/>
                <w:lang w:val="es-ES_tradnl"/>
              </w:rPr>
              <w:t xml:space="preserve">rtículos </w:t>
            </w:r>
            <w:r w:rsidRPr="002D0432">
              <w:rPr>
                <w:rFonts w:ascii="Cambria" w:hAnsi="Cambria"/>
                <w:bCs/>
                <w:sz w:val="20"/>
                <w:szCs w:val="20"/>
                <w:lang w:val="es-ES"/>
              </w:rPr>
              <w:t>8 (garantías judiciales)</w:t>
            </w:r>
            <w:r>
              <w:rPr>
                <w:rFonts w:ascii="Cambria" w:hAnsi="Cambria"/>
                <w:bCs/>
                <w:sz w:val="20"/>
                <w:szCs w:val="20"/>
                <w:lang w:val="es-ES"/>
              </w:rPr>
              <w:t xml:space="preserve">, </w:t>
            </w:r>
            <w:r w:rsidR="000F0745">
              <w:rPr>
                <w:rFonts w:ascii="Cambria" w:hAnsi="Cambria"/>
                <w:sz w:val="20"/>
                <w:szCs w:val="20"/>
                <w:lang w:val="es-ES"/>
              </w:rPr>
              <w:t xml:space="preserve">19 (derechos del niño), </w:t>
            </w:r>
            <w:r>
              <w:rPr>
                <w:rFonts w:ascii="Cambria" w:hAnsi="Cambria"/>
                <w:bCs/>
                <w:sz w:val="20"/>
                <w:szCs w:val="20"/>
                <w:lang w:val="es-ES"/>
              </w:rPr>
              <w:t>24 (igualdad ante la ley)</w:t>
            </w:r>
            <w:r w:rsidRPr="002D0432">
              <w:rPr>
                <w:rFonts w:ascii="Cambria" w:hAnsi="Cambria"/>
                <w:bCs/>
                <w:sz w:val="20"/>
                <w:szCs w:val="20"/>
                <w:lang w:val="es-ES"/>
              </w:rPr>
              <w:t xml:space="preserve"> y 25 (protección judicial) de la Convención Americana</w:t>
            </w:r>
            <w:r>
              <w:rPr>
                <w:rFonts w:ascii="Cambria" w:hAnsi="Cambria"/>
                <w:bCs/>
                <w:sz w:val="20"/>
                <w:szCs w:val="20"/>
                <w:lang w:val="es-ES"/>
              </w:rPr>
              <w:t>; y el artículo 7 de la Convención Belém Do Pará</w:t>
            </w:r>
          </w:p>
        </w:tc>
      </w:tr>
      <w:tr w:rsidR="003239B8" w:rsidRPr="00EA76A8" w14:paraId="4EFD141E" w14:textId="77777777" w:rsidTr="004902F9">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21986FBA" w:rsidR="003239B8" w:rsidRPr="00DC24E3" w:rsidRDefault="00F84526"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EA76A8" w14:paraId="52B5BA17" w14:textId="77777777" w:rsidTr="004902F9">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02136FC3" w:rsidR="003239B8" w:rsidRPr="00F84526" w:rsidRDefault="00F84526" w:rsidP="008D2290">
            <w:pPr>
              <w:rPr>
                <w:rFonts w:ascii="Cambria" w:hAnsi="Cambria"/>
                <w:bCs/>
                <w:sz w:val="20"/>
                <w:szCs w:val="20"/>
                <w:lang w:val="es-PE"/>
              </w:rPr>
            </w:pPr>
            <w:r w:rsidRPr="00F84526">
              <w:rPr>
                <w:rFonts w:ascii="Cambria" w:hAnsi="Cambria"/>
                <w:bCs/>
                <w:sz w:val="20"/>
                <w:szCs w:val="20"/>
                <w:lang w:val="es-PE"/>
              </w:rPr>
              <w:t>Sí, en los términos d</w:t>
            </w:r>
            <w:r>
              <w:rPr>
                <w:rFonts w:ascii="Cambria" w:hAnsi="Cambria"/>
                <w:bCs/>
                <w:sz w:val="20"/>
                <w:szCs w:val="20"/>
                <w:lang w:val="es-PE"/>
              </w:rPr>
              <w:t>e la sección VI</w:t>
            </w:r>
          </w:p>
        </w:tc>
      </w:tr>
    </w:tbl>
    <w:p w14:paraId="59E7CFE7" w14:textId="77777777" w:rsidR="00AA36EB" w:rsidRDefault="00AA36EB" w:rsidP="00AA36EB">
      <w:pPr>
        <w:spacing w:before="240" w:after="240"/>
        <w:ind w:firstLine="720"/>
        <w:jc w:val="both"/>
        <w:rPr>
          <w:rFonts w:asciiTheme="majorHAnsi" w:hAnsiTheme="majorHAnsi"/>
          <w:b/>
          <w:sz w:val="20"/>
          <w:szCs w:val="20"/>
          <w:lang w:val="es-UY"/>
        </w:rPr>
      </w:pPr>
    </w:p>
    <w:p w14:paraId="32B2E87A" w14:textId="77777777" w:rsidR="00AA36EB" w:rsidRDefault="00AA36EB" w:rsidP="00AA36EB">
      <w:pPr>
        <w:spacing w:before="240" w:after="240"/>
        <w:ind w:firstLine="720"/>
        <w:jc w:val="both"/>
        <w:rPr>
          <w:rFonts w:asciiTheme="majorHAnsi" w:hAnsiTheme="majorHAnsi"/>
          <w:b/>
          <w:sz w:val="20"/>
          <w:szCs w:val="20"/>
          <w:lang w:val="es-UY"/>
        </w:rPr>
      </w:pPr>
    </w:p>
    <w:p w14:paraId="0FBB7DBE" w14:textId="77777777" w:rsidR="00AA36EB" w:rsidRDefault="00AA36EB" w:rsidP="00AA36EB">
      <w:pPr>
        <w:spacing w:before="240" w:after="240"/>
        <w:ind w:firstLine="720"/>
        <w:jc w:val="both"/>
        <w:rPr>
          <w:rFonts w:asciiTheme="majorHAnsi" w:hAnsiTheme="majorHAnsi"/>
          <w:b/>
          <w:sz w:val="20"/>
          <w:szCs w:val="20"/>
          <w:lang w:val="es-UY"/>
        </w:rPr>
      </w:pPr>
    </w:p>
    <w:p w14:paraId="1FBECE4B" w14:textId="77777777" w:rsidR="00AA36EB" w:rsidRDefault="00AA36EB" w:rsidP="00AA36EB">
      <w:pPr>
        <w:spacing w:before="240" w:after="240"/>
        <w:ind w:firstLine="720"/>
        <w:jc w:val="both"/>
        <w:rPr>
          <w:rFonts w:asciiTheme="majorHAnsi" w:hAnsiTheme="majorHAnsi"/>
          <w:b/>
          <w:sz w:val="20"/>
          <w:szCs w:val="20"/>
          <w:lang w:val="es-UY"/>
        </w:rPr>
      </w:pPr>
    </w:p>
    <w:p w14:paraId="18E6423B" w14:textId="26D3A071" w:rsidR="003239B8" w:rsidRPr="00AA36EB" w:rsidRDefault="00223A29" w:rsidP="00AA36EB">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AA36EB">
        <w:rPr>
          <w:rFonts w:asciiTheme="majorHAnsi" w:hAnsiTheme="majorHAnsi"/>
          <w:b/>
          <w:sz w:val="20"/>
          <w:szCs w:val="20"/>
          <w:lang w:val="es-UY"/>
        </w:rPr>
        <w:t>POSICIÓN DE LAS PARTES</w:t>
      </w:r>
    </w:p>
    <w:p w14:paraId="16FB6418" w14:textId="4957E3FB" w:rsidR="0083100C" w:rsidRPr="00AA36EB" w:rsidRDefault="00CB7547" w:rsidP="00AA36EB">
      <w:pPr>
        <w:spacing w:before="240" w:after="240"/>
        <w:ind w:firstLine="720"/>
        <w:jc w:val="both"/>
        <w:rPr>
          <w:rFonts w:asciiTheme="majorHAnsi" w:hAnsiTheme="majorHAnsi"/>
          <w:b/>
          <w:sz w:val="20"/>
          <w:szCs w:val="20"/>
          <w:lang w:val="es-UY"/>
        </w:rPr>
      </w:pPr>
      <w:r w:rsidRPr="00AA36EB">
        <w:rPr>
          <w:rFonts w:asciiTheme="majorHAnsi" w:hAnsiTheme="majorHAnsi"/>
          <w:b/>
          <w:sz w:val="20"/>
          <w:szCs w:val="20"/>
          <w:lang w:val="es-UY"/>
        </w:rPr>
        <w:t>L</w:t>
      </w:r>
      <w:r w:rsidR="0083100C" w:rsidRPr="00AA36EB">
        <w:rPr>
          <w:rFonts w:asciiTheme="majorHAnsi" w:hAnsiTheme="majorHAnsi"/>
          <w:b/>
          <w:sz w:val="20"/>
          <w:szCs w:val="20"/>
          <w:lang w:val="es-UY"/>
        </w:rPr>
        <w:t>a parte peticionaria</w:t>
      </w:r>
    </w:p>
    <w:p w14:paraId="19EBAEB3" w14:textId="7D4838A5" w:rsidR="008C5E2D" w:rsidRPr="00AA36EB" w:rsidRDefault="00A9199F"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AA36EB">
        <w:rPr>
          <w:rFonts w:ascii="Cambria" w:hAnsi="Cambria"/>
          <w:sz w:val="20"/>
          <w:szCs w:val="20"/>
          <w:lang w:val="es-AR"/>
        </w:rPr>
        <w:t>El peticionario denuncia que</w:t>
      </w:r>
      <w:r w:rsidR="00B86A46" w:rsidRPr="00AA36EB">
        <w:rPr>
          <w:rFonts w:ascii="Cambria" w:hAnsi="Cambria"/>
          <w:sz w:val="20"/>
          <w:szCs w:val="20"/>
          <w:lang w:val="es-AR"/>
        </w:rPr>
        <w:t xml:space="preserve"> las autoridades no investigaron ni sancionaron</w:t>
      </w:r>
      <w:r w:rsidRPr="00AA36EB">
        <w:rPr>
          <w:rFonts w:ascii="Cambria" w:hAnsi="Cambria"/>
          <w:sz w:val="20"/>
          <w:szCs w:val="20"/>
          <w:lang w:val="es-AR"/>
        </w:rPr>
        <w:t xml:space="preserve"> </w:t>
      </w:r>
      <w:r w:rsidR="00B86A46" w:rsidRPr="00AA36EB">
        <w:rPr>
          <w:rFonts w:ascii="Cambria" w:hAnsi="Cambria"/>
          <w:sz w:val="20"/>
          <w:szCs w:val="20"/>
          <w:lang w:val="es-AR"/>
        </w:rPr>
        <w:t>el abuso sexual que sufrió su hija</w:t>
      </w:r>
      <w:r w:rsidR="00453115" w:rsidRPr="00AA36EB">
        <w:rPr>
          <w:rFonts w:ascii="Cambria" w:hAnsi="Cambria"/>
          <w:sz w:val="20"/>
          <w:szCs w:val="20"/>
          <w:lang w:val="es-AR"/>
        </w:rPr>
        <w:t xml:space="preserve"> (S.G.)</w:t>
      </w:r>
      <w:r w:rsidR="00B86A46" w:rsidRPr="00AA36EB">
        <w:rPr>
          <w:rFonts w:ascii="Cambria" w:hAnsi="Cambria"/>
          <w:sz w:val="20"/>
          <w:szCs w:val="20"/>
          <w:lang w:val="es-AR"/>
        </w:rPr>
        <w:t>, cuando tenía cuatro años, alegando una supuesta condición de inimputabilidad del agresor. A su criterio esto</w:t>
      </w:r>
      <w:r w:rsidR="00AF6E7B" w:rsidRPr="00AA36EB">
        <w:rPr>
          <w:rFonts w:ascii="Cambria" w:hAnsi="Cambria"/>
          <w:sz w:val="20"/>
          <w:szCs w:val="20"/>
          <w:lang w:val="es-AR"/>
        </w:rPr>
        <w:t xml:space="preserve"> constituyó una </w:t>
      </w:r>
      <w:r w:rsidR="00192E05" w:rsidRPr="00AA36EB">
        <w:rPr>
          <w:rFonts w:ascii="Cambria" w:hAnsi="Cambria"/>
          <w:sz w:val="20"/>
          <w:szCs w:val="20"/>
          <w:lang w:val="es-AR"/>
        </w:rPr>
        <w:t>denegación de justicia</w:t>
      </w:r>
      <w:r w:rsidR="00CF1A32" w:rsidRPr="00AA36EB">
        <w:rPr>
          <w:rFonts w:ascii="Cambria" w:hAnsi="Cambria"/>
          <w:sz w:val="20"/>
          <w:szCs w:val="20"/>
          <w:lang w:val="es-AR"/>
        </w:rPr>
        <w:t xml:space="preserve">, debido a la falta de argumentos para no proseguir con la acción penal. </w:t>
      </w:r>
    </w:p>
    <w:p w14:paraId="1CBC119B" w14:textId="06399748" w:rsidR="006D4439" w:rsidRPr="00AA36EB" w:rsidRDefault="00924649" w:rsidP="00AA36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pt-BR"/>
        </w:rPr>
      </w:pPr>
      <w:r w:rsidRPr="00AA36EB">
        <w:rPr>
          <w:rFonts w:ascii="Cambria" w:hAnsi="Cambria"/>
          <w:i/>
          <w:iCs/>
          <w:sz w:val="20"/>
          <w:szCs w:val="20"/>
          <w:lang w:val="pt-BR"/>
        </w:rPr>
        <w:t>Alegados</w:t>
      </w:r>
      <w:r w:rsidR="006D4439" w:rsidRPr="00AA36EB">
        <w:rPr>
          <w:rFonts w:ascii="Cambria" w:hAnsi="Cambria"/>
          <w:i/>
          <w:iCs/>
          <w:sz w:val="20"/>
          <w:szCs w:val="20"/>
          <w:lang w:val="pt-BR"/>
        </w:rPr>
        <w:t xml:space="preserve"> actos de abuso sexual</w:t>
      </w:r>
    </w:p>
    <w:p w14:paraId="183322F6" w14:textId="35D12049" w:rsidR="0022446A" w:rsidRPr="00AA36EB" w:rsidRDefault="00E748BF"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AA36EB">
        <w:rPr>
          <w:rFonts w:ascii="Cambria" w:hAnsi="Cambria"/>
          <w:sz w:val="20"/>
          <w:szCs w:val="20"/>
          <w:lang w:val="es-AR"/>
        </w:rPr>
        <w:t>El peticionario i</w:t>
      </w:r>
      <w:r w:rsidR="00EA20E9" w:rsidRPr="00AA36EB">
        <w:rPr>
          <w:rFonts w:ascii="Cambria" w:hAnsi="Cambria"/>
          <w:sz w:val="20"/>
          <w:szCs w:val="20"/>
          <w:lang w:val="es-AR"/>
        </w:rPr>
        <w:t xml:space="preserve">nforma que el 4 de noviembre de 2019 </w:t>
      </w:r>
      <w:r w:rsidR="00107359" w:rsidRPr="00AA36EB">
        <w:rPr>
          <w:rFonts w:ascii="Cambria" w:hAnsi="Cambria"/>
          <w:sz w:val="20"/>
          <w:szCs w:val="20"/>
          <w:lang w:val="es-AR"/>
        </w:rPr>
        <w:t xml:space="preserve">a las 14:10 </w:t>
      </w:r>
      <w:r w:rsidR="00742EF1" w:rsidRPr="00AA36EB">
        <w:rPr>
          <w:rFonts w:ascii="Cambria" w:hAnsi="Cambria"/>
          <w:sz w:val="20"/>
          <w:szCs w:val="20"/>
          <w:lang w:val="es-AR"/>
        </w:rPr>
        <w:t xml:space="preserve">pudo </w:t>
      </w:r>
      <w:r w:rsidR="00536845" w:rsidRPr="00AA36EB">
        <w:rPr>
          <w:rFonts w:ascii="Cambria" w:hAnsi="Cambria"/>
          <w:sz w:val="20"/>
          <w:szCs w:val="20"/>
          <w:lang w:val="es-AR"/>
        </w:rPr>
        <w:t>percatarse</w:t>
      </w:r>
      <w:r w:rsidR="00742EF1" w:rsidRPr="00AA36EB">
        <w:rPr>
          <w:rFonts w:ascii="Cambria" w:hAnsi="Cambria"/>
          <w:sz w:val="20"/>
          <w:szCs w:val="20"/>
          <w:lang w:val="es-AR"/>
        </w:rPr>
        <w:t xml:space="preserve"> </w:t>
      </w:r>
      <w:r w:rsidR="0097726F" w:rsidRPr="00AA36EB">
        <w:rPr>
          <w:rFonts w:ascii="Cambria" w:hAnsi="Cambria"/>
          <w:sz w:val="20"/>
          <w:szCs w:val="20"/>
          <w:lang w:val="es-AR"/>
        </w:rPr>
        <w:t>mediante</w:t>
      </w:r>
      <w:r w:rsidR="00742EF1" w:rsidRPr="00AA36EB">
        <w:rPr>
          <w:rFonts w:ascii="Cambria" w:hAnsi="Cambria"/>
          <w:sz w:val="20"/>
          <w:szCs w:val="20"/>
          <w:lang w:val="es-AR"/>
        </w:rPr>
        <w:t xml:space="preserve"> la</w:t>
      </w:r>
      <w:r w:rsidR="0002320E" w:rsidRPr="00AA36EB">
        <w:rPr>
          <w:rFonts w:ascii="Cambria" w:hAnsi="Cambria"/>
          <w:sz w:val="20"/>
          <w:szCs w:val="20"/>
          <w:lang w:val="es-AR"/>
        </w:rPr>
        <w:t>s</w:t>
      </w:r>
      <w:r w:rsidR="00742EF1" w:rsidRPr="00AA36EB">
        <w:rPr>
          <w:rFonts w:ascii="Cambria" w:hAnsi="Cambria"/>
          <w:sz w:val="20"/>
          <w:szCs w:val="20"/>
          <w:lang w:val="es-AR"/>
        </w:rPr>
        <w:t xml:space="preserve"> cámara</w:t>
      </w:r>
      <w:r w:rsidR="0002320E" w:rsidRPr="00AA36EB">
        <w:rPr>
          <w:rFonts w:ascii="Cambria" w:hAnsi="Cambria"/>
          <w:sz w:val="20"/>
          <w:szCs w:val="20"/>
          <w:lang w:val="es-AR"/>
        </w:rPr>
        <w:t>s</w:t>
      </w:r>
      <w:r w:rsidR="00742EF1" w:rsidRPr="00AA36EB">
        <w:rPr>
          <w:rFonts w:ascii="Cambria" w:hAnsi="Cambria"/>
          <w:sz w:val="20"/>
          <w:szCs w:val="20"/>
          <w:lang w:val="es-AR"/>
        </w:rPr>
        <w:t xml:space="preserve"> de seguridad </w:t>
      </w:r>
      <w:r w:rsidR="00C1161A" w:rsidRPr="00AA36EB">
        <w:rPr>
          <w:rFonts w:ascii="Cambria" w:hAnsi="Cambria"/>
          <w:sz w:val="20"/>
          <w:szCs w:val="20"/>
          <w:lang w:val="es-AR"/>
        </w:rPr>
        <w:t>de</w:t>
      </w:r>
      <w:r w:rsidR="00742EF1" w:rsidRPr="00AA36EB">
        <w:rPr>
          <w:rFonts w:ascii="Cambria" w:hAnsi="Cambria"/>
          <w:sz w:val="20"/>
          <w:szCs w:val="20"/>
          <w:lang w:val="es-AR"/>
        </w:rPr>
        <w:t xml:space="preserve"> su casa</w:t>
      </w:r>
      <w:r w:rsidR="00C1161A" w:rsidRPr="00AA36EB">
        <w:rPr>
          <w:rFonts w:ascii="Cambria" w:hAnsi="Cambria"/>
          <w:sz w:val="20"/>
          <w:szCs w:val="20"/>
          <w:lang w:val="es-AR"/>
        </w:rPr>
        <w:t>,</w:t>
      </w:r>
      <w:r w:rsidR="00742EF1" w:rsidRPr="00AA36EB">
        <w:rPr>
          <w:rFonts w:ascii="Cambria" w:hAnsi="Cambria"/>
          <w:sz w:val="20"/>
          <w:szCs w:val="20"/>
          <w:lang w:val="es-AR"/>
        </w:rPr>
        <w:t xml:space="preserve"> </w:t>
      </w:r>
      <w:r w:rsidR="006F6EB7" w:rsidRPr="00AA36EB">
        <w:rPr>
          <w:rFonts w:ascii="Cambria" w:hAnsi="Cambria"/>
          <w:sz w:val="20"/>
          <w:szCs w:val="20"/>
          <w:lang w:val="es-AR"/>
        </w:rPr>
        <w:t xml:space="preserve">que </w:t>
      </w:r>
      <w:r w:rsidR="00762CE8" w:rsidRPr="00AA36EB">
        <w:rPr>
          <w:rFonts w:ascii="Cambria" w:hAnsi="Cambria"/>
          <w:sz w:val="20"/>
          <w:szCs w:val="20"/>
          <w:lang w:val="es-AR"/>
        </w:rPr>
        <w:t xml:space="preserve">su sobrino de </w:t>
      </w:r>
      <w:r w:rsidR="003A079D" w:rsidRPr="00AA36EB">
        <w:rPr>
          <w:rFonts w:ascii="Cambria" w:hAnsi="Cambria"/>
          <w:sz w:val="20"/>
          <w:szCs w:val="20"/>
          <w:lang w:val="es-AR"/>
        </w:rPr>
        <w:t xml:space="preserve">13 años </w:t>
      </w:r>
      <w:r w:rsidR="008C01C5" w:rsidRPr="00AA36EB">
        <w:rPr>
          <w:rFonts w:ascii="Cambria" w:hAnsi="Cambria"/>
          <w:sz w:val="20"/>
          <w:szCs w:val="20"/>
          <w:lang w:val="es-AR"/>
        </w:rPr>
        <w:t xml:space="preserve">se llevó a su hija </w:t>
      </w:r>
      <w:r w:rsidR="002727AC" w:rsidRPr="00AA36EB">
        <w:rPr>
          <w:rFonts w:ascii="Cambria" w:hAnsi="Cambria"/>
          <w:sz w:val="20"/>
          <w:szCs w:val="20"/>
          <w:lang w:val="es-AR"/>
        </w:rPr>
        <w:t>carg</w:t>
      </w:r>
      <w:r w:rsidR="006F6EB7" w:rsidRPr="00AA36EB">
        <w:rPr>
          <w:rFonts w:ascii="Cambria" w:hAnsi="Cambria"/>
          <w:sz w:val="20"/>
          <w:szCs w:val="20"/>
          <w:lang w:val="es-AR"/>
        </w:rPr>
        <w:t>ada</w:t>
      </w:r>
      <w:r w:rsidR="002727AC" w:rsidRPr="00AA36EB">
        <w:rPr>
          <w:rFonts w:ascii="Cambria" w:hAnsi="Cambria"/>
          <w:sz w:val="20"/>
          <w:szCs w:val="20"/>
          <w:lang w:val="es-AR"/>
        </w:rPr>
        <w:t xml:space="preserve"> en brazos</w:t>
      </w:r>
      <w:r w:rsidR="008D4025" w:rsidRPr="00AA36EB">
        <w:rPr>
          <w:rFonts w:ascii="Cambria" w:hAnsi="Cambria"/>
          <w:sz w:val="20"/>
          <w:szCs w:val="20"/>
          <w:lang w:val="es-AR"/>
        </w:rPr>
        <w:t xml:space="preserve"> </w:t>
      </w:r>
      <w:r w:rsidR="002727AC" w:rsidRPr="00AA36EB">
        <w:rPr>
          <w:rFonts w:ascii="Cambria" w:hAnsi="Cambria"/>
          <w:sz w:val="20"/>
          <w:szCs w:val="20"/>
          <w:lang w:val="es-AR"/>
        </w:rPr>
        <w:t xml:space="preserve">a un dormitorio </w:t>
      </w:r>
      <w:r w:rsidR="00C1161A" w:rsidRPr="00AA36EB">
        <w:rPr>
          <w:rFonts w:ascii="Cambria" w:hAnsi="Cambria"/>
          <w:sz w:val="20"/>
          <w:szCs w:val="20"/>
          <w:lang w:val="es-AR"/>
        </w:rPr>
        <w:t>va</w:t>
      </w:r>
      <w:r w:rsidR="005D240A" w:rsidRPr="00AA36EB">
        <w:rPr>
          <w:rFonts w:ascii="Cambria" w:hAnsi="Cambria"/>
          <w:sz w:val="20"/>
          <w:szCs w:val="20"/>
          <w:lang w:val="es-AR"/>
        </w:rPr>
        <w:t>cío</w:t>
      </w:r>
      <w:r w:rsidR="00B21CFC" w:rsidRPr="00AA36EB">
        <w:rPr>
          <w:rFonts w:ascii="Cambria" w:hAnsi="Cambria"/>
          <w:sz w:val="20"/>
          <w:szCs w:val="20"/>
          <w:lang w:val="es-AR"/>
        </w:rPr>
        <w:t>.</w:t>
      </w:r>
      <w:r w:rsidR="005D240A" w:rsidRPr="00AA36EB">
        <w:rPr>
          <w:rFonts w:ascii="Cambria" w:hAnsi="Cambria"/>
          <w:sz w:val="20"/>
          <w:szCs w:val="20"/>
          <w:lang w:val="es-AR"/>
        </w:rPr>
        <w:t xml:space="preserve"> </w:t>
      </w:r>
      <w:r w:rsidR="00B21CFC" w:rsidRPr="00AA36EB">
        <w:rPr>
          <w:rFonts w:ascii="Cambria" w:hAnsi="Cambria"/>
          <w:sz w:val="20"/>
          <w:szCs w:val="20"/>
          <w:lang w:val="es-AR"/>
        </w:rPr>
        <w:t>En ese lugar</w:t>
      </w:r>
      <w:r w:rsidR="0002320E" w:rsidRPr="00AA36EB">
        <w:rPr>
          <w:rFonts w:ascii="Cambria" w:hAnsi="Cambria"/>
          <w:sz w:val="20"/>
          <w:szCs w:val="20"/>
          <w:lang w:val="es-AR"/>
        </w:rPr>
        <w:t xml:space="preserve"> </w:t>
      </w:r>
      <w:r w:rsidR="002727AC" w:rsidRPr="00AA36EB">
        <w:rPr>
          <w:rFonts w:ascii="Cambria" w:hAnsi="Cambria"/>
          <w:sz w:val="20"/>
          <w:szCs w:val="20"/>
          <w:lang w:val="es-AR"/>
        </w:rPr>
        <w:t>comenzó a</w:t>
      </w:r>
      <w:r w:rsidR="00EF4AC3" w:rsidRPr="00AA36EB">
        <w:rPr>
          <w:rFonts w:ascii="Cambria" w:hAnsi="Cambria"/>
          <w:sz w:val="20"/>
          <w:szCs w:val="20"/>
          <w:lang w:val="es-AR"/>
        </w:rPr>
        <w:t xml:space="preserve"> toca</w:t>
      </w:r>
      <w:r w:rsidR="002727AC" w:rsidRPr="00AA36EB">
        <w:rPr>
          <w:rFonts w:ascii="Cambria" w:hAnsi="Cambria"/>
          <w:sz w:val="20"/>
          <w:szCs w:val="20"/>
          <w:lang w:val="es-AR"/>
        </w:rPr>
        <w:t>rla</w:t>
      </w:r>
      <w:r w:rsidR="002F3A45" w:rsidRPr="00AA36EB">
        <w:rPr>
          <w:rFonts w:ascii="Cambria" w:hAnsi="Cambria"/>
          <w:sz w:val="20"/>
          <w:szCs w:val="20"/>
          <w:lang w:val="es-AR"/>
        </w:rPr>
        <w:t xml:space="preserve"> en sus partes </w:t>
      </w:r>
      <w:r w:rsidR="002727AC" w:rsidRPr="00AA36EB">
        <w:rPr>
          <w:rFonts w:ascii="Cambria" w:hAnsi="Cambria"/>
          <w:sz w:val="20"/>
          <w:szCs w:val="20"/>
          <w:lang w:val="es-AR"/>
        </w:rPr>
        <w:t>íntimas</w:t>
      </w:r>
      <w:r w:rsidR="002F3A45" w:rsidRPr="00AA36EB">
        <w:rPr>
          <w:rFonts w:ascii="Cambria" w:hAnsi="Cambria"/>
          <w:sz w:val="20"/>
          <w:szCs w:val="20"/>
          <w:lang w:val="es-AR"/>
        </w:rPr>
        <w:t xml:space="preserve">, </w:t>
      </w:r>
      <w:r w:rsidR="00850551" w:rsidRPr="00AA36EB">
        <w:rPr>
          <w:rFonts w:ascii="Cambria" w:hAnsi="Cambria"/>
          <w:sz w:val="20"/>
          <w:szCs w:val="20"/>
          <w:lang w:val="es-AR"/>
        </w:rPr>
        <w:t xml:space="preserve">y </w:t>
      </w:r>
      <w:r w:rsidR="0002320E" w:rsidRPr="00AA36EB">
        <w:rPr>
          <w:rFonts w:ascii="Cambria" w:hAnsi="Cambria"/>
          <w:sz w:val="20"/>
          <w:szCs w:val="20"/>
          <w:lang w:val="es-AR"/>
        </w:rPr>
        <w:t xml:space="preserve">la </w:t>
      </w:r>
      <w:r w:rsidR="002727AC" w:rsidRPr="00AA36EB">
        <w:rPr>
          <w:rFonts w:ascii="Cambria" w:hAnsi="Cambria"/>
          <w:sz w:val="20"/>
          <w:szCs w:val="20"/>
          <w:lang w:val="es-AR"/>
        </w:rPr>
        <w:t>oblig</w:t>
      </w:r>
      <w:r w:rsidR="0002320E" w:rsidRPr="00AA36EB">
        <w:rPr>
          <w:rFonts w:ascii="Cambria" w:hAnsi="Cambria"/>
          <w:sz w:val="20"/>
          <w:szCs w:val="20"/>
          <w:lang w:val="es-AR"/>
        </w:rPr>
        <w:t>ó</w:t>
      </w:r>
      <w:r w:rsidR="00850551" w:rsidRPr="00AA36EB">
        <w:rPr>
          <w:rFonts w:ascii="Cambria" w:hAnsi="Cambria"/>
          <w:sz w:val="20"/>
          <w:szCs w:val="20"/>
          <w:lang w:val="es-AR"/>
        </w:rPr>
        <w:t xml:space="preserve"> a</w:t>
      </w:r>
      <w:r w:rsidR="0002320E" w:rsidRPr="00AA36EB">
        <w:rPr>
          <w:rFonts w:ascii="Cambria" w:hAnsi="Cambria"/>
          <w:sz w:val="20"/>
          <w:szCs w:val="20"/>
          <w:lang w:val="es-AR"/>
        </w:rPr>
        <w:t xml:space="preserve"> que</w:t>
      </w:r>
      <w:r w:rsidR="00850551" w:rsidRPr="00AA36EB">
        <w:rPr>
          <w:rFonts w:ascii="Cambria" w:hAnsi="Cambria"/>
          <w:sz w:val="20"/>
          <w:szCs w:val="20"/>
          <w:lang w:val="es-AR"/>
        </w:rPr>
        <w:t xml:space="preserve"> </w:t>
      </w:r>
      <w:r w:rsidR="002727AC" w:rsidRPr="00AA36EB">
        <w:rPr>
          <w:rFonts w:ascii="Cambria" w:hAnsi="Cambria"/>
          <w:sz w:val="20"/>
          <w:szCs w:val="20"/>
          <w:lang w:val="es-AR"/>
        </w:rPr>
        <w:t>manipul</w:t>
      </w:r>
      <w:r w:rsidR="0002320E" w:rsidRPr="00AA36EB">
        <w:rPr>
          <w:rFonts w:ascii="Cambria" w:hAnsi="Cambria"/>
          <w:sz w:val="20"/>
          <w:szCs w:val="20"/>
          <w:lang w:val="es-AR"/>
        </w:rPr>
        <w:t>e</w:t>
      </w:r>
      <w:r w:rsidR="00850551" w:rsidRPr="00AA36EB">
        <w:rPr>
          <w:rFonts w:ascii="Cambria" w:hAnsi="Cambria"/>
          <w:sz w:val="20"/>
          <w:szCs w:val="20"/>
          <w:lang w:val="es-AR"/>
        </w:rPr>
        <w:t xml:space="preserve"> sus genitales</w:t>
      </w:r>
      <w:r w:rsidR="00623842" w:rsidRPr="00AA36EB">
        <w:rPr>
          <w:rFonts w:ascii="Cambria" w:hAnsi="Cambria"/>
          <w:sz w:val="20"/>
          <w:szCs w:val="20"/>
          <w:lang w:val="es-AR"/>
        </w:rPr>
        <w:t xml:space="preserve"> con actitud morbosa. Señala que </w:t>
      </w:r>
      <w:r w:rsidR="00EF4AC3" w:rsidRPr="00AA36EB">
        <w:rPr>
          <w:rFonts w:ascii="Cambria" w:hAnsi="Cambria"/>
          <w:sz w:val="20"/>
          <w:szCs w:val="20"/>
          <w:lang w:val="es-AR"/>
        </w:rPr>
        <w:t>apenas vio lo que estaba ocurriendo</w:t>
      </w:r>
      <w:r w:rsidR="00623842" w:rsidRPr="00AA36EB">
        <w:rPr>
          <w:rFonts w:ascii="Cambria" w:hAnsi="Cambria"/>
          <w:sz w:val="20"/>
          <w:szCs w:val="20"/>
          <w:lang w:val="es-AR"/>
        </w:rPr>
        <w:t xml:space="preserve"> ingresó al cuarto y</w:t>
      </w:r>
      <w:r w:rsidR="00B21CFC" w:rsidRPr="00AA36EB">
        <w:rPr>
          <w:rFonts w:ascii="Cambria" w:hAnsi="Cambria"/>
          <w:sz w:val="20"/>
          <w:szCs w:val="20"/>
          <w:lang w:val="es-AR"/>
        </w:rPr>
        <w:t xml:space="preserve"> los</w:t>
      </w:r>
      <w:r w:rsidR="00623842" w:rsidRPr="00AA36EB">
        <w:rPr>
          <w:rFonts w:ascii="Cambria" w:hAnsi="Cambria"/>
          <w:sz w:val="20"/>
          <w:szCs w:val="20"/>
          <w:lang w:val="es-AR"/>
        </w:rPr>
        <w:t xml:space="preserve"> separó. </w:t>
      </w:r>
    </w:p>
    <w:p w14:paraId="0BC94C57" w14:textId="37A99E98" w:rsidR="006D4439" w:rsidRPr="00AA36EB" w:rsidRDefault="006D4439" w:rsidP="00AA36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PE"/>
        </w:rPr>
      </w:pPr>
      <w:r w:rsidRPr="00AA36EB">
        <w:rPr>
          <w:rFonts w:ascii="Cambria" w:hAnsi="Cambria"/>
          <w:i/>
          <w:iCs/>
          <w:sz w:val="20"/>
          <w:szCs w:val="20"/>
          <w:lang w:val="es-AR"/>
        </w:rPr>
        <w:t>Inicio de la investigación y suspensión de la audiencia de formulación cargos</w:t>
      </w:r>
    </w:p>
    <w:p w14:paraId="416F3425" w14:textId="1E29E668" w:rsidR="00923A2B" w:rsidRPr="00AA36EB" w:rsidRDefault="0022446A"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AA36EB">
        <w:rPr>
          <w:rFonts w:asciiTheme="majorHAnsi" w:hAnsiTheme="majorHAnsi"/>
          <w:sz w:val="20"/>
          <w:szCs w:val="20"/>
          <w:lang w:val="es-PE"/>
        </w:rPr>
        <w:t>Debido a ello, el 8 de noviembre de 2019 su esposa y madre de la presunta víctima presentó una denuncia</w:t>
      </w:r>
      <w:r w:rsidR="00B56969" w:rsidRPr="00AA36EB">
        <w:rPr>
          <w:rFonts w:asciiTheme="majorHAnsi" w:hAnsiTheme="majorHAnsi"/>
          <w:sz w:val="20"/>
          <w:szCs w:val="20"/>
          <w:lang w:val="es-PE"/>
        </w:rPr>
        <w:t xml:space="preserve"> penal</w:t>
      </w:r>
      <w:r w:rsidRPr="00AA36EB">
        <w:rPr>
          <w:rFonts w:asciiTheme="majorHAnsi" w:hAnsiTheme="majorHAnsi"/>
          <w:sz w:val="20"/>
          <w:szCs w:val="20"/>
          <w:lang w:val="es-PE"/>
        </w:rPr>
        <w:t xml:space="preserve">. </w:t>
      </w:r>
      <w:r w:rsidR="00870FC4" w:rsidRPr="00AA36EB">
        <w:rPr>
          <w:rFonts w:asciiTheme="majorHAnsi" w:hAnsiTheme="majorHAnsi"/>
          <w:sz w:val="20"/>
          <w:szCs w:val="20"/>
          <w:lang w:val="es-PE"/>
        </w:rPr>
        <w:t>Así</w:t>
      </w:r>
      <w:r w:rsidRPr="00AA36EB">
        <w:rPr>
          <w:rFonts w:asciiTheme="majorHAnsi" w:hAnsiTheme="majorHAnsi"/>
          <w:sz w:val="20"/>
          <w:szCs w:val="20"/>
          <w:lang w:val="es-PE"/>
        </w:rPr>
        <w:t>, la Fiscalía Tercera de Adolescentes Infractores del Guayas inició una investigación y dispuso diversas diligencias. Tras valorar las pruebas</w:t>
      </w:r>
      <w:r w:rsidR="0079143E" w:rsidRPr="00AA36EB">
        <w:rPr>
          <w:rFonts w:asciiTheme="majorHAnsi" w:hAnsiTheme="majorHAnsi"/>
          <w:sz w:val="20"/>
          <w:szCs w:val="20"/>
          <w:lang w:val="es-PE"/>
        </w:rPr>
        <w:t xml:space="preserve"> la agencia investigadora</w:t>
      </w:r>
      <w:r w:rsidRPr="00AA36EB">
        <w:rPr>
          <w:rFonts w:asciiTheme="majorHAnsi" w:hAnsiTheme="majorHAnsi"/>
          <w:sz w:val="20"/>
          <w:szCs w:val="20"/>
          <w:lang w:val="es-PE"/>
        </w:rPr>
        <w:t xml:space="preserve"> concluyó que existían suficientes elementos para presumir la responsabilidad penal del supuesto victimario</w:t>
      </w:r>
      <w:r w:rsidR="00812BBE" w:rsidRPr="00AA36EB">
        <w:rPr>
          <w:rFonts w:asciiTheme="majorHAnsi" w:hAnsiTheme="majorHAnsi"/>
          <w:sz w:val="20"/>
          <w:szCs w:val="20"/>
          <w:lang w:val="es-PE"/>
        </w:rPr>
        <w:t>,</w:t>
      </w:r>
      <w:r w:rsidRPr="00AA36EB">
        <w:rPr>
          <w:rFonts w:asciiTheme="majorHAnsi" w:hAnsiTheme="majorHAnsi"/>
          <w:sz w:val="20"/>
          <w:szCs w:val="20"/>
          <w:lang w:val="es-PE"/>
        </w:rPr>
        <w:t xml:space="preserve"> </w:t>
      </w:r>
      <w:r w:rsidR="00812BBE" w:rsidRPr="00AA36EB">
        <w:rPr>
          <w:rFonts w:asciiTheme="majorHAnsi" w:hAnsiTheme="majorHAnsi"/>
          <w:sz w:val="20"/>
          <w:szCs w:val="20"/>
          <w:lang w:val="es-PE"/>
        </w:rPr>
        <w:t>p</w:t>
      </w:r>
      <w:r w:rsidRPr="00AA36EB">
        <w:rPr>
          <w:rFonts w:asciiTheme="majorHAnsi" w:hAnsiTheme="majorHAnsi"/>
          <w:sz w:val="20"/>
          <w:szCs w:val="20"/>
          <w:lang w:val="es-PE"/>
        </w:rPr>
        <w:t>or ello el 2 de enero de 2020 solicitó a la judicatura la convocatoria a una audiencia de formulación de cargos.</w:t>
      </w:r>
    </w:p>
    <w:p w14:paraId="7CD203A1" w14:textId="1C589CAC" w:rsidR="00923A2B" w:rsidRPr="00AA36EB" w:rsidRDefault="0022446A"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AA36EB">
        <w:rPr>
          <w:rFonts w:asciiTheme="majorHAnsi" w:hAnsiTheme="majorHAnsi"/>
          <w:sz w:val="20"/>
          <w:szCs w:val="20"/>
          <w:lang w:val="es-PE"/>
        </w:rPr>
        <w:t xml:space="preserve">No obstante, aunque el 28 de enero de 2020 la </w:t>
      </w:r>
      <w:r w:rsidR="00115D3E" w:rsidRPr="00AA36EB">
        <w:rPr>
          <w:rFonts w:asciiTheme="majorHAnsi" w:hAnsiTheme="majorHAnsi"/>
          <w:sz w:val="20"/>
          <w:szCs w:val="20"/>
          <w:lang w:val="es-PE"/>
        </w:rPr>
        <w:t>J</w:t>
      </w:r>
      <w:r w:rsidRPr="00AA36EB">
        <w:rPr>
          <w:rFonts w:asciiTheme="majorHAnsi" w:hAnsiTheme="majorHAnsi"/>
          <w:sz w:val="20"/>
          <w:szCs w:val="20"/>
          <w:lang w:val="es-PE"/>
        </w:rPr>
        <w:t xml:space="preserve">ueza </w:t>
      </w:r>
      <w:r w:rsidR="00115D3E" w:rsidRPr="00AA36EB">
        <w:rPr>
          <w:rFonts w:asciiTheme="majorHAnsi" w:hAnsiTheme="majorHAnsi"/>
          <w:sz w:val="20"/>
          <w:szCs w:val="20"/>
          <w:lang w:val="es-PE"/>
        </w:rPr>
        <w:t>P</w:t>
      </w:r>
      <w:r w:rsidRPr="00AA36EB">
        <w:rPr>
          <w:rFonts w:asciiTheme="majorHAnsi" w:hAnsiTheme="majorHAnsi"/>
          <w:sz w:val="20"/>
          <w:szCs w:val="20"/>
          <w:lang w:val="es-PE"/>
        </w:rPr>
        <w:t xml:space="preserve">enal de la Unidad Judicial de Adolescentes Infractores de Guayaquil llevó a cabo la audiencia, la suspendió poco después. </w:t>
      </w:r>
      <w:r w:rsidR="00115D3E" w:rsidRPr="00AA36EB">
        <w:rPr>
          <w:rFonts w:asciiTheme="majorHAnsi" w:hAnsiTheme="majorHAnsi"/>
          <w:sz w:val="20"/>
          <w:szCs w:val="20"/>
          <w:lang w:val="es-PE"/>
        </w:rPr>
        <w:t>La juzgadora estimó</w:t>
      </w:r>
      <w:r w:rsidRPr="00AA36EB">
        <w:rPr>
          <w:rFonts w:asciiTheme="majorHAnsi" w:hAnsiTheme="majorHAnsi"/>
          <w:sz w:val="20"/>
          <w:szCs w:val="20"/>
          <w:lang w:val="es-PE"/>
        </w:rPr>
        <w:t xml:space="preserve"> que el adolescente investigado contaba con un certificado que lo acreditaba como “</w:t>
      </w:r>
      <w:r w:rsidRPr="00AA36EB">
        <w:rPr>
          <w:rFonts w:asciiTheme="majorHAnsi" w:hAnsiTheme="majorHAnsi"/>
          <w:i/>
          <w:iCs/>
          <w:sz w:val="20"/>
          <w:szCs w:val="20"/>
          <w:lang w:val="es-PE"/>
        </w:rPr>
        <w:t>persona con discapacidad al 80%</w:t>
      </w:r>
      <w:r w:rsidRPr="00AA36EB">
        <w:rPr>
          <w:rFonts w:asciiTheme="majorHAnsi" w:hAnsiTheme="majorHAnsi"/>
          <w:sz w:val="20"/>
          <w:szCs w:val="20"/>
          <w:lang w:val="es-PE"/>
        </w:rPr>
        <w:t>”</w:t>
      </w:r>
      <w:r w:rsidR="00B34989" w:rsidRPr="00AA36EB">
        <w:rPr>
          <w:rFonts w:asciiTheme="majorHAnsi" w:hAnsiTheme="majorHAnsi"/>
          <w:sz w:val="20"/>
          <w:szCs w:val="20"/>
          <w:lang w:val="es-PE"/>
        </w:rPr>
        <w:t>;</w:t>
      </w:r>
      <w:r w:rsidRPr="00AA36EB">
        <w:rPr>
          <w:rFonts w:asciiTheme="majorHAnsi" w:hAnsiTheme="majorHAnsi"/>
          <w:sz w:val="20"/>
          <w:szCs w:val="20"/>
          <w:lang w:val="es-PE"/>
        </w:rPr>
        <w:t xml:space="preserve"> en </w:t>
      </w:r>
      <w:r w:rsidR="00F64AAB" w:rsidRPr="00AA36EB">
        <w:rPr>
          <w:rFonts w:asciiTheme="majorHAnsi" w:hAnsiTheme="majorHAnsi"/>
          <w:sz w:val="20"/>
          <w:szCs w:val="20"/>
          <w:lang w:val="es-PE"/>
        </w:rPr>
        <w:t>consecuencia,</w:t>
      </w:r>
      <w:r w:rsidRPr="00AA36EB">
        <w:rPr>
          <w:rFonts w:asciiTheme="majorHAnsi" w:hAnsiTheme="majorHAnsi"/>
          <w:sz w:val="20"/>
          <w:szCs w:val="20"/>
          <w:lang w:val="es-PE"/>
        </w:rPr>
        <w:t xml:space="preserve"> era necesaria una valoración psiquiátrica y psicológica. Por ello, la madre de S.G. presentó un escrito impugnando la decisión y solicitó la excusa de la jueza del caso, argumentando que vulneró el derecho al debido proceso, ya que la instrucción fiscal es una fase preprocesal que no está sujeta a revisión judicial. Sin embargo, el 7 de febrero de 2020 la jueza rechazó la solicitud.</w:t>
      </w:r>
    </w:p>
    <w:p w14:paraId="10048446" w14:textId="08BAA7CB" w:rsidR="006D4439" w:rsidRPr="00AA36EB" w:rsidRDefault="006D4439" w:rsidP="00AA36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PE"/>
        </w:rPr>
      </w:pPr>
      <w:r w:rsidRPr="00AA36EB">
        <w:rPr>
          <w:rFonts w:asciiTheme="majorHAnsi" w:hAnsiTheme="majorHAnsi"/>
          <w:i/>
          <w:iCs/>
          <w:sz w:val="20"/>
          <w:szCs w:val="20"/>
          <w:lang w:val="es-PE"/>
        </w:rPr>
        <w:t xml:space="preserve">Recusación de la jueza y designación de nueva responsable </w:t>
      </w:r>
    </w:p>
    <w:p w14:paraId="7DAF0436" w14:textId="58471707" w:rsidR="00923A2B" w:rsidRPr="00AA36EB" w:rsidRDefault="0022446A"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AA36EB">
        <w:rPr>
          <w:rFonts w:asciiTheme="majorHAnsi" w:hAnsiTheme="majorHAnsi"/>
          <w:sz w:val="20"/>
          <w:szCs w:val="20"/>
          <w:lang w:val="es-PE"/>
        </w:rPr>
        <w:t>En respuesta, el 17 de febrero de 2020 la madre de la presunta víctima interpuso una demanda de recusación, lo que resultó en la separación definitiva de la jueza del caso. Mediante sorteo, otra jueza de la Unidad Judicial de Adolescentes Infractores de Guayaquil asumió la competencia del expediente</w:t>
      </w:r>
      <w:r w:rsidR="00570AC9" w:rsidRPr="00AA36EB">
        <w:rPr>
          <w:rFonts w:asciiTheme="majorHAnsi" w:hAnsiTheme="majorHAnsi"/>
          <w:sz w:val="20"/>
          <w:szCs w:val="20"/>
          <w:lang w:val="es-PE"/>
        </w:rPr>
        <w:t>;</w:t>
      </w:r>
      <w:r w:rsidR="00A71A63" w:rsidRPr="00AA36EB">
        <w:rPr>
          <w:rFonts w:asciiTheme="majorHAnsi" w:hAnsiTheme="majorHAnsi"/>
          <w:sz w:val="20"/>
          <w:szCs w:val="20"/>
          <w:lang w:val="es-PE"/>
        </w:rPr>
        <w:t xml:space="preserve"> dispuso que la fiscalía continuará con la investigación</w:t>
      </w:r>
      <w:r w:rsidR="00570AC9" w:rsidRPr="00AA36EB">
        <w:rPr>
          <w:rFonts w:asciiTheme="majorHAnsi" w:hAnsiTheme="majorHAnsi"/>
          <w:sz w:val="20"/>
          <w:szCs w:val="20"/>
          <w:lang w:val="es-PE"/>
        </w:rPr>
        <w:t>;</w:t>
      </w:r>
      <w:r w:rsidR="00A71A63" w:rsidRPr="00AA36EB">
        <w:rPr>
          <w:rFonts w:asciiTheme="majorHAnsi" w:hAnsiTheme="majorHAnsi"/>
          <w:sz w:val="20"/>
          <w:szCs w:val="20"/>
          <w:lang w:val="es-PE"/>
        </w:rPr>
        <w:t xml:space="preserve"> y </w:t>
      </w:r>
      <w:r w:rsidR="00570AC9" w:rsidRPr="00AA36EB">
        <w:rPr>
          <w:rFonts w:asciiTheme="majorHAnsi" w:hAnsiTheme="majorHAnsi"/>
          <w:sz w:val="20"/>
          <w:szCs w:val="20"/>
          <w:lang w:val="es-PE"/>
        </w:rPr>
        <w:t>fijó una</w:t>
      </w:r>
      <w:r w:rsidR="00A71A63" w:rsidRPr="00AA36EB">
        <w:rPr>
          <w:rFonts w:asciiTheme="majorHAnsi" w:hAnsiTheme="majorHAnsi"/>
          <w:sz w:val="20"/>
          <w:szCs w:val="20"/>
          <w:lang w:val="es-PE"/>
        </w:rPr>
        <w:t xml:space="preserve"> fecha para la realización de la audiencia</w:t>
      </w:r>
      <w:r w:rsidRPr="00AA36EB">
        <w:rPr>
          <w:rFonts w:asciiTheme="majorHAnsi" w:hAnsiTheme="majorHAnsi"/>
          <w:sz w:val="20"/>
          <w:szCs w:val="20"/>
          <w:lang w:val="es-PE"/>
        </w:rPr>
        <w:t>.</w:t>
      </w:r>
    </w:p>
    <w:p w14:paraId="21DB56C0" w14:textId="0D57F99E" w:rsidR="006D4439" w:rsidRPr="00AA36EB" w:rsidRDefault="00D567AE" w:rsidP="00AA36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PE"/>
        </w:rPr>
      </w:pPr>
      <w:r w:rsidRPr="00AA36EB">
        <w:rPr>
          <w:rFonts w:asciiTheme="majorHAnsi" w:hAnsiTheme="majorHAnsi"/>
          <w:i/>
          <w:iCs/>
          <w:sz w:val="20"/>
          <w:szCs w:val="20"/>
          <w:lang w:val="es-PE"/>
        </w:rPr>
        <w:t xml:space="preserve">Declaración de </w:t>
      </w:r>
      <w:r w:rsidR="00E743A5" w:rsidRPr="00AA36EB">
        <w:rPr>
          <w:rFonts w:asciiTheme="majorHAnsi" w:hAnsiTheme="majorHAnsi"/>
          <w:i/>
          <w:iCs/>
          <w:sz w:val="20"/>
          <w:szCs w:val="20"/>
          <w:lang w:val="es-PE"/>
        </w:rPr>
        <w:t>inimputabilidad absoluta</w:t>
      </w:r>
    </w:p>
    <w:p w14:paraId="774292A2" w14:textId="17A34CB9" w:rsidR="00923A2B" w:rsidRPr="00AA36EB" w:rsidRDefault="00570AC9"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AA36EB">
        <w:rPr>
          <w:rFonts w:asciiTheme="majorHAnsi" w:hAnsiTheme="majorHAnsi"/>
          <w:sz w:val="20"/>
          <w:szCs w:val="20"/>
          <w:lang w:val="es-PE"/>
        </w:rPr>
        <w:t>El peticionario c</w:t>
      </w:r>
      <w:r w:rsidR="0022446A" w:rsidRPr="00AA36EB">
        <w:rPr>
          <w:rFonts w:asciiTheme="majorHAnsi" w:hAnsiTheme="majorHAnsi"/>
          <w:sz w:val="20"/>
          <w:szCs w:val="20"/>
          <w:lang w:val="es-PE"/>
        </w:rPr>
        <w:t>uestiona que el 17 de septiembre de 2020, en el último día de instrucción fiscal, se incorporara un acta de posesión en la que un perito y el fiscal certificaban que el adolescente padecía “</w:t>
      </w:r>
      <w:r w:rsidR="0022446A" w:rsidRPr="00AA36EB">
        <w:rPr>
          <w:rFonts w:asciiTheme="majorHAnsi" w:hAnsiTheme="majorHAnsi"/>
          <w:i/>
          <w:iCs/>
          <w:sz w:val="20"/>
          <w:szCs w:val="20"/>
          <w:lang w:val="es-PE"/>
        </w:rPr>
        <w:t>un trastorno de neurodesarrollo compatible con retardo mental</w:t>
      </w:r>
      <w:r w:rsidR="0022446A" w:rsidRPr="00AA36EB">
        <w:rPr>
          <w:rFonts w:asciiTheme="majorHAnsi" w:hAnsiTheme="majorHAnsi"/>
          <w:sz w:val="20"/>
          <w:szCs w:val="20"/>
          <w:lang w:val="es-PE"/>
        </w:rPr>
        <w:t>”. Sostiene que dicho documento no cumplía con los requisitos legales para su incorporación al proceso, carecía de fundamentación suficiente y no reunía las condiciones mínimas para ser considerado un informe pericial.</w:t>
      </w:r>
    </w:p>
    <w:p w14:paraId="795C5FCA" w14:textId="3A153E8A" w:rsidR="00923A2B" w:rsidRPr="00AA36EB" w:rsidRDefault="0022446A" w:rsidP="32F7BA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32F7BA95">
        <w:rPr>
          <w:rFonts w:asciiTheme="majorHAnsi" w:hAnsiTheme="majorHAnsi"/>
          <w:sz w:val="20"/>
          <w:szCs w:val="20"/>
          <w:lang w:val="es-PE"/>
        </w:rPr>
        <w:t>Pese a estos cuestionamientos, el 25 de septiembre de 2020 el fiscal utilizó dicho documento para concluir que no correspondía continuar con el proceso penal. Destacó que el informe psiquiátrico señalaba que el supuesto victimario padecía un “</w:t>
      </w:r>
      <w:r w:rsidRPr="32F7BA95">
        <w:rPr>
          <w:rFonts w:asciiTheme="majorHAnsi" w:hAnsiTheme="majorHAnsi"/>
          <w:i/>
          <w:iCs/>
          <w:sz w:val="20"/>
          <w:szCs w:val="20"/>
          <w:lang w:val="es-PE"/>
        </w:rPr>
        <w:t>trastorno de neurodesarrollo compatible con retardo mental</w:t>
      </w:r>
      <w:r w:rsidRPr="32F7BA95">
        <w:rPr>
          <w:rFonts w:asciiTheme="majorHAnsi" w:hAnsiTheme="majorHAnsi"/>
          <w:sz w:val="20"/>
          <w:szCs w:val="20"/>
          <w:lang w:val="es-PE"/>
        </w:rPr>
        <w:t>”</w:t>
      </w:r>
      <w:r w:rsidR="00AE6464" w:rsidRPr="32F7BA95">
        <w:rPr>
          <w:rFonts w:asciiTheme="majorHAnsi" w:hAnsiTheme="majorHAnsi"/>
          <w:sz w:val="20"/>
          <w:szCs w:val="20"/>
          <w:lang w:val="es-PE"/>
        </w:rPr>
        <w:t>,</w:t>
      </w:r>
      <w:r w:rsidRPr="32F7BA95">
        <w:rPr>
          <w:rFonts w:asciiTheme="majorHAnsi" w:hAnsiTheme="majorHAnsi"/>
          <w:sz w:val="20"/>
          <w:szCs w:val="20"/>
          <w:lang w:val="es-PE"/>
        </w:rPr>
        <w:t xml:space="preserve"> y que por ello, “</w:t>
      </w:r>
      <w:r w:rsidRPr="32F7BA95">
        <w:rPr>
          <w:rFonts w:asciiTheme="majorHAnsi" w:hAnsiTheme="majorHAnsi"/>
          <w:i/>
          <w:iCs/>
          <w:sz w:val="20"/>
          <w:szCs w:val="20"/>
          <w:lang w:val="es-PE"/>
        </w:rPr>
        <w:t>su edad cronológica no coincide con su edad mental, la cual es de nueve años</w:t>
      </w:r>
      <w:r w:rsidRPr="32F7BA95">
        <w:rPr>
          <w:rFonts w:asciiTheme="majorHAnsi" w:hAnsiTheme="majorHAnsi"/>
          <w:sz w:val="20"/>
          <w:szCs w:val="20"/>
          <w:lang w:val="es-PE"/>
        </w:rPr>
        <w:t xml:space="preserve">”. Con base en ello, </w:t>
      </w:r>
      <w:r w:rsidR="00BD314D" w:rsidRPr="32F7BA95">
        <w:rPr>
          <w:rFonts w:asciiTheme="majorHAnsi" w:hAnsiTheme="majorHAnsi"/>
          <w:sz w:val="20"/>
          <w:szCs w:val="20"/>
          <w:lang w:val="es-PE"/>
        </w:rPr>
        <w:t xml:space="preserve">el fiscal </w:t>
      </w:r>
      <w:r w:rsidRPr="32F7BA95">
        <w:rPr>
          <w:rFonts w:asciiTheme="majorHAnsi" w:hAnsiTheme="majorHAnsi"/>
          <w:sz w:val="20"/>
          <w:szCs w:val="20"/>
          <w:lang w:val="es-PE"/>
        </w:rPr>
        <w:t>consideró que el investigado tenía la condición de niño debido a su edad mental, por lo que según el Código Orgánico de la Niñez y Adolescencia era absolutamente inimputable,</w:t>
      </w:r>
      <w:r w:rsidR="00485F7B" w:rsidRPr="32F7BA95">
        <w:rPr>
          <w:rFonts w:asciiTheme="majorHAnsi" w:hAnsiTheme="majorHAnsi"/>
          <w:sz w:val="20"/>
          <w:szCs w:val="20"/>
          <w:lang w:val="es-PE"/>
        </w:rPr>
        <w:t xml:space="preserve"> </w:t>
      </w:r>
      <w:r w:rsidRPr="32F7BA95">
        <w:rPr>
          <w:rFonts w:asciiTheme="majorHAnsi" w:hAnsiTheme="majorHAnsi"/>
          <w:sz w:val="20"/>
          <w:szCs w:val="20"/>
          <w:lang w:val="es-PE"/>
        </w:rPr>
        <w:t xml:space="preserve">pues carece de uso de razón y por la escasa comprensibilidad de sus actos, no están sujetos ni al juzgamiento ni a las medidas socioeducativas </w:t>
      </w:r>
      <w:r w:rsidRPr="32F7BA95">
        <w:rPr>
          <w:rFonts w:asciiTheme="majorHAnsi" w:hAnsiTheme="majorHAnsi"/>
          <w:sz w:val="20"/>
          <w:szCs w:val="20"/>
          <w:lang w:val="es-PE"/>
        </w:rPr>
        <w:lastRenderedPageBreak/>
        <w:t>contempladas.</w:t>
      </w:r>
      <w:r w:rsidR="00595D63" w:rsidRPr="32F7BA95">
        <w:rPr>
          <w:rFonts w:asciiTheme="majorHAnsi" w:hAnsiTheme="majorHAnsi"/>
          <w:sz w:val="20"/>
          <w:szCs w:val="20"/>
          <w:lang w:val="es-PE"/>
        </w:rPr>
        <w:t xml:space="preserve"> Acto seguido</w:t>
      </w:r>
      <w:r w:rsidRPr="32F7BA95">
        <w:rPr>
          <w:rFonts w:asciiTheme="majorHAnsi" w:hAnsiTheme="majorHAnsi"/>
          <w:sz w:val="20"/>
          <w:szCs w:val="20"/>
          <w:lang w:val="es-PE"/>
        </w:rPr>
        <w:t xml:space="preserve">, el 9 de octubre de 2020 la </w:t>
      </w:r>
      <w:r w:rsidR="00595D63" w:rsidRPr="32F7BA95">
        <w:rPr>
          <w:rFonts w:asciiTheme="majorHAnsi" w:hAnsiTheme="majorHAnsi"/>
          <w:sz w:val="20"/>
          <w:szCs w:val="20"/>
          <w:lang w:val="es-PE"/>
        </w:rPr>
        <w:t>J</w:t>
      </w:r>
      <w:r w:rsidRPr="32F7BA95">
        <w:rPr>
          <w:rFonts w:asciiTheme="majorHAnsi" w:hAnsiTheme="majorHAnsi"/>
          <w:sz w:val="20"/>
          <w:szCs w:val="20"/>
          <w:lang w:val="es-PE"/>
        </w:rPr>
        <w:t>ueza de la Unidad Judicial de Adolescentes Infractores de Guayaquil declaró la inimputabilidad del adolescente y emitió un auto de sobreseimiento a su favor.</w:t>
      </w:r>
    </w:p>
    <w:p w14:paraId="1C12A55E" w14:textId="4FDC7329" w:rsidR="00923A2B" w:rsidRPr="00AA36EB" w:rsidRDefault="0022446A"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AA36EB">
        <w:rPr>
          <w:rFonts w:asciiTheme="majorHAnsi" w:hAnsiTheme="majorHAnsi"/>
          <w:sz w:val="20"/>
          <w:szCs w:val="20"/>
          <w:lang w:val="es-PE"/>
        </w:rPr>
        <w:t xml:space="preserve">Ante esto, la </w:t>
      </w:r>
      <w:r w:rsidR="00723234" w:rsidRPr="00AA36EB">
        <w:rPr>
          <w:rFonts w:asciiTheme="majorHAnsi" w:hAnsiTheme="majorHAnsi"/>
          <w:sz w:val="20"/>
          <w:szCs w:val="20"/>
          <w:lang w:val="es-PE"/>
        </w:rPr>
        <w:t>representación</w:t>
      </w:r>
      <w:r w:rsidRPr="00AA36EB">
        <w:rPr>
          <w:rFonts w:asciiTheme="majorHAnsi" w:hAnsiTheme="majorHAnsi"/>
          <w:sz w:val="20"/>
          <w:szCs w:val="20"/>
          <w:lang w:val="es-PE"/>
        </w:rPr>
        <w:t xml:space="preserve"> de S.P. interpuso un recurso de ampliación y aclaración, solicitando además que se dispongan medidas de seguridad para prevenir la reiteración de los hechos. No obstante, la jueza sostuvo que la resolución era clara y abordaba todos los puntos controvertidos. Además, afirmó que debido al cuadro psiquiátrico del </w:t>
      </w:r>
      <w:r w:rsidR="00081FFA" w:rsidRPr="00AA36EB">
        <w:rPr>
          <w:rFonts w:asciiTheme="majorHAnsi" w:hAnsiTheme="majorHAnsi"/>
          <w:sz w:val="20"/>
          <w:szCs w:val="20"/>
          <w:lang w:val="es-PE"/>
        </w:rPr>
        <w:t>adolescente</w:t>
      </w:r>
      <w:r w:rsidRPr="00AA36EB">
        <w:rPr>
          <w:rFonts w:asciiTheme="majorHAnsi" w:hAnsiTheme="majorHAnsi"/>
          <w:sz w:val="20"/>
          <w:szCs w:val="20"/>
          <w:lang w:val="es-PE"/>
        </w:rPr>
        <w:t xml:space="preserve"> no podía dictar ninguna medida de seguridad.</w:t>
      </w:r>
    </w:p>
    <w:p w14:paraId="4B427D97" w14:textId="401AD98D" w:rsidR="00923A2B" w:rsidRPr="00AA36EB" w:rsidRDefault="0022446A"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AA36EB">
        <w:rPr>
          <w:rFonts w:asciiTheme="majorHAnsi" w:hAnsiTheme="majorHAnsi"/>
          <w:sz w:val="20"/>
          <w:szCs w:val="20"/>
          <w:lang w:val="es-PE"/>
        </w:rPr>
        <w:t xml:space="preserve">El peticionario señala que interpuso un recurso de apelación el 27 de octubre de 2020, pero el 20 de noviembre la jueza lo inadmitió, argumentando que conforme al Código Orgánico Integral Penal la apelación contra un auto de sobreseimiento solo procede si hubo una acusación fiscal previa. </w:t>
      </w:r>
      <w:r w:rsidR="000941F9" w:rsidRPr="00AA36EB">
        <w:rPr>
          <w:rFonts w:asciiTheme="majorHAnsi" w:hAnsiTheme="majorHAnsi"/>
          <w:sz w:val="20"/>
          <w:szCs w:val="20"/>
          <w:lang w:val="es-PE"/>
        </w:rPr>
        <w:t>Por lo cual, d</w:t>
      </w:r>
      <w:r w:rsidRPr="00AA36EB">
        <w:rPr>
          <w:rFonts w:asciiTheme="majorHAnsi" w:hAnsiTheme="majorHAnsi"/>
          <w:sz w:val="20"/>
          <w:szCs w:val="20"/>
          <w:lang w:val="es-PE"/>
        </w:rPr>
        <w:t xml:space="preserve">ado que la fiscalía se </w:t>
      </w:r>
      <w:r w:rsidR="000941F9" w:rsidRPr="00AA36EB">
        <w:rPr>
          <w:rFonts w:asciiTheme="majorHAnsi" w:hAnsiTheme="majorHAnsi"/>
          <w:sz w:val="20"/>
          <w:szCs w:val="20"/>
          <w:lang w:val="es-PE"/>
        </w:rPr>
        <w:t>había abstenido</w:t>
      </w:r>
      <w:r w:rsidRPr="00AA36EB">
        <w:rPr>
          <w:rFonts w:asciiTheme="majorHAnsi" w:hAnsiTheme="majorHAnsi"/>
          <w:sz w:val="20"/>
          <w:szCs w:val="20"/>
          <w:lang w:val="es-PE"/>
        </w:rPr>
        <w:t xml:space="preserve"> de continuar </w:t>
      </w:r>
      <w:r w:rsidR="000941F9" w:rsidRPr="00AA36EB">
        <w:rPr>
          <w:rFonts w:asciiTheme="majorHAnsi" w:hAnsiTheme="majorHAnsi"/>
          <w:sz w:val="20"/>
          <w:szCs w:val="20"/>
          <w:lang w:val="es-PE"/>
        </w:rPr>
        <w:t xml:space="preserve">con </w:t>
      </w:r>
      <w:r w:rsidRPr="00AA36EB">
        <w:rPr>
          <w:rFonts w:asciiTheme="majorHAnsi" w:hAnsiTheme="majorHAnsi"/>
          <w:sz w:val="20"/>
          <w:szCs w:val="20"/>
          <w:lang w:val="es-PE"/>
        </w:rPr>
        <w:t>la investigación, el recurso no era procedente.</w:t>
      </w:r>
    </w:p>
    <w:p w14:paraId="6F76615F" w14:textId="3FD27A46" w:rsidR="0022446A" w:rsidRPr="00AA36EB" w:rsidRDefault="000941F9"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AA36EB">
        <w:rPr>
          <w:rFonts w:asciiTheme="majorHAnsi" w:hAnsiTheme="majorHAnsi"/>
          <w:sz w:val="20"/>
          <w:szCs w:val="20"/>
          <w:lang w:val="es-PE"/>
        </w:rPr>
        <w:t>Posteriormente</w:t>
      </w:r>
      <w:r w:rsidR="0022446A" w:rsidRPr="00AA36EB">
        <w:rPr>
          <w:rFonts w:asciiTheme="majorHAnsi" w:hAnsiTheme="majorHAnsi"/>
          <w:sz w:val="20"/>
          <w:szCs w:val="20"/>
          <w:lang w:val="es-PE"/>
        </w:rPr>
        <w:t xml:space="preserve">, </w:t>
      </w:r>
      <w:r w:rsidRPr="00AA36EB">
        <w:rPr>
          <w:rFonts w:asciiTheme="majorHAnsi" w:hAnsiTheme="majorHAnsi"/>
          <w:sz w:val="20"/>
          <w:szCs w:val="20"/>
          <w:lang w:val="es-PE"/>
        </w:rPr>
        <w:t xml:space="preserve">el peticionario </w:t>
      </w:r>
      <w:r w:rsidR="0022446A" w:rsidRPr="00AA36EB">
        <w:rPr>
          <w:rFonts w:asciiTheme="majorHAnsi" w:hAnsiTheme="majorHAnsi"/>
          <w:sz w:val="20"/>
          <w:szCs w:val="20"/>
          <w:lang w:val="es-PE"/>
        </w:rPr>
        <w:t xml:space="preserve">presentó una acción extraordinaria de protección, alegando que el auto de sobreseimiento vulneró el derecho de acceso a la justicia y al debido proceso. Sin embargo, el 21 de abril de 2021 la Sala de Admisión de la Corte Constitucional la inadmitió, al considerar que los alegatos del demandante versaban sobre cuestiones de legalidad e interpretación normativa, ya abordadas por los órganos competentes sin evidenciarse afectación a un derecho fundamental. </w:t>
      </w:r>
      <w:r w:rsidR="00584BCA" w:rsidRPr="00AA36EB">
        <w:rPr>
          <w:rFonts w:asciiTheme="majorHAnsi" w:hAnsiTheme="majorHAnsi"/>
          <w:sz w:val="20"/>
          <w:szCs w:val="20"/>
          <w:lang w:val="es-PE"/>
        </w:rPr>
        <w:t>A</w:t>
      </w:r>
      <w:r w:rsidR="0022446A" w:rsidRPr="00AA36EB">
        <w:rPr>
          <w:rFonts w:asciiTheme="majorHAnsi" w:hAnsiTheme="majorHAnsi"/>
          <w:sz w:val="20"/>
          <w:szCs w:val="20"/>
          <w:lang w:val="es-PE"/>
        </w:rPr>
        <w:t xml:space="preserve">unque el 14 de junio de 2021 </w:t>
      </w:r>
      <w:r w:rsidR="00597FF6" w:rsidRPr="00AA36EB">
        <w:rPr>
          <w:rFonts w:asciiTheme="majorHAnsi" w:hAnsiTheme="majorHAnsi"/>
          <w:sz w:val="20"/>
          <w:szCs w:val="20"/>
          <w:lang w:val="es-PE"/>
        </w:rPr>
        <w:t>aquel</w:t>
      </w:r>
      <w:r w:rsidR="00584BCA" w:rsidRPr="00AA36EB">
        <w:rPr>
          <w:rFonts w:asciiTheme="majorHAnsi" w:hAnsiTheme="majorHAnsi"/>
          <w:sz w:val="20"/>
          <w:szCs w:val="20"/>
          <w:lang w:val="es-PE"/>
        </w:rPr>
        <w:t xml:space="preserve"> </w:t>
      </w:r>
      <w:r w:rsidR="0022446A" w:rsidRPr="00AA36EB">
        <w:rPr>
          <w:rFonts w:asciiTheme="majorHAnsi" w:hAnsiTheme="majorHAnsi"/>
          <w:sz w:val="20"/>
          <w:szCs w:val="20"/>
          <w:lang w:val="es-PE"/>
        </w:rPr>
        <w:t xml:space="preserve">solicitó la revocatoria de dicha resolución, el 5 de agosto de 2021 la </w:t>
      </w:r>
      <w:r w:rsidR="00597FF6" w:rsidRPr="00AA36EB">
        <w:rPr>
          <w:rFonts w:asciiTheme="majorHAnsi" w:hAnsiTheme="majorHAnsi"/>
          <w:sz w:val="20"/>
          <w:szCs w:val="20"/>
          <w:lang w:val="es-PE"/>
        </w:rPr>
        <w:t>c</w:t>
      </w:r>
      <w:r w:rsidR="0022446A" w:rsidRPr="00AA36EB">
        <w:rPr>
          <w:rFonts w:asciiTheme="majorHAnsi" w:hAnsiTheme="majorHAnsi"/>
          <w:sz w:val="20"/>
          <w:szCs w:val="20"/>
          <w:lang w:val="es-PE"/>
        </w:rPr>
        <w:t>orte declaró improcedente su pedido.</w:t>
      </w:r>
    </w:p>
    <w:p w14:paraId="7DF1339C" w14:textId="7A319C6E" w:rsidR="00E743A5" w:rsidRPr="00AA36EB" w:rsidRDefault="00E743A5" w:rsidP="00AA36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PE"/>
        </w:rPr>
      </w:pPr>
      <w:r w:rsidRPr="00AA36EB">
        <w:rPr>
          <w:rFonts w:asciiTheme="majorHAnsi" w:hAnsiTheme="majorHAnsi"/>
          <w:i/>
          <w:iCs/>
          <w:sz w:val="20"/>
          <w:szCs w:val="20"/>
          <w:lang w:val="es-PE"/>
        </w:rPr>
        <w:t>Alegatos finales</w:t>
      </w:r>
    </w:p>
    <w:p w14:paraId="1AEDD691" w14:textId="6ACF027F" w:rsidR="00F50E97" w:rsidRPr="00AA36EB" w:rsidRDefault="00CF1A32"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AA36EB">
        <w:rPr>
          <w:rFonts w:ascii="Cambria" w:hAnsi="Cambria"/>
          <w:sz w:val="20"/>
          <w:szCs w:val="20"/>
          <w:lang w:val="es-PE"/>
        </w:rPr>
        <w:t>Con base en las citadas</w:t>
      </w:r>
      <w:r w:rsidRPr="00AA36EB">
        <w:rPr>
          <w:rFonts w:ascii="Cambria" w:hAnsi="Cambria"/>
          <w:sz w:val="20"/>
          <w:szCs w:val="20"/>
          <w:lang w:val="es-AR"/>
        </w:rPr>
        <w:t xml:space="preserve"> consideraciones de hecho, el peticionario cuestiona que </w:t>
      </w:r>
      <w:r w:rsidR="0098254A" w:rsidRPr="00AA36EB">
        <w:rPr>
          <w:rFonts w:ascii="Cambria" w:hAnsi="Cambria"/>
          <w:sz w:val="20"/>
          <w:szCs w:val="20"/>
          <w:lang w:val="es-AR"/>
        </w:rPr>
        <w:t xml:space="preserve">la declaratoria de inimputabilidad constituyó un obstáculo a la justicia. Destaca que esta determinación se adoptó a partir de un documento que no cumple con los requisitos mínimos para ser considerado una pericia técnica, y que se incluyó en el expediente sin cumplir los requisitos establecidos en la legislación interna. </w:t>
      </w:r>
      <w:r w:rsidR="001164D3" w:rsidRPr="00AA36EB">
        <w:rPr>
          <w:rFonts w:ascii="Cambria" w:hAnsi="Cambria"/>
          <w:sz w:val="20"/>
          <w:szCs w:val="20"/>
          <w:lang w:val="es-AR"/>
        </w:rPr>
        <w:t>Sobre esta base</w:t>
      </w:r>
      <w:r w:rsidR="0098254A" w:rsidRPr="00AA36EB">
        <w:rPr>
          <w:rFonts w:ascii="Cambria" w:hAnsi="Cambria"/>
          <w:sz w:val="20"/>
          <w:szCs w:val="20"/>
          <w:lang w:val="es-AR"/>
        </w:rPr>
        <w:t xml:space="preserve"> solicita a la CIDH que declare admisible su petición. </w:t>
      </w:r>
    </w:p>
    <w:p w14:paraId="129AF6A6" w14:textId="2268E63D" w:rsidR="00EF76F5" w:rsidRPr="00AA36EB" w:rsidRDefault="001164D3" w:rsidP="00AA36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
          <w:bCs/>
          <w:sz w:val="20"/>
          <w:szCs w:val="20"/>
          <w:lang w:val="es-AR"/>
        </w:rPr>
      </w:pPr>
      <w:r w:rsidRPr="00AA36EB">
        <w:rPr>
          <w:rFonts w:ascii="Cambria" w:hAnsi="Cambria"/>
          <w:b/>
          <w:bCs/>
          <w:sz w:val="20"/>
          <w:szCs w:val="20"/>
          <w:lang w:val="es-AR"/>
        </w:rPr>
        <w:t>E</w:t>
      </w:r>
      <w:r w:rsidR="00EF76F5" w:rsidRPr="00AA36EB">
        <w:rPr>
          <w:rFonts w:ascii="Cambria" w:hAnsi="Cambria"/>
          <w:b/>
          <w:bCs/>
          <w:sz w:val="20"/>
          <w:szCs w:val="20"/>
          <w:lang w:val="es-AR"/>
        </w:rPr>
        <w:t>l Estado</w:t>
      </w:r>
      <w:r w:rsidRPr="00AA36EB">
        <w:rPr>
          <w:rFonts w:ascii="Cambria" w:hAnsi="Cambria"/>
          <w:b/>
          <w:bCs/>
          <w:sz w:val="20"/>
          <w:szCs w:val="20"/>
          <w:lang w:val="es-AR"/>
        </w:rPr>
        <w:t xml:space="preserve"> ecuatoriano</w:t>
      </w:r>
    </w:p>
    <w:p w14:paraId="093743AD" w14:textId="31B69EA5" w:rsidR="002C7223" w:rsidRPr="00AA36EB" w:rsidRDefault="002C7223"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AA36EB">
        <w:rPr>
          <w:rFonts w:ascii="Cambria" w:hAnsi="Cambria"/>
          <w:sz w:val="20"/>
          <w:szCs w:val="20"/>
          <w:lang w:val="es-PE"/>
        </w:rPr>
        <w:t xml:space="preserve">Por su parte, el Estado sostiene que la presente petición es inadmisible, dado que los hechos denunciados no configuran vulneraciones de derechos humanos que le sean atribuibles. Argumenta que la parte peticionaria pretende que la </w:t>
      </w:r>
      <w:r w:rsidR="00186E0C" w:rsidRPr="00AA36EB">
        <w:rPr>
          <w:rFonts w:ascii="Cambria" w:hAnsi="Cambria"/>
          <w:sz w:val="20"/>
          <w:szCs w:val="20"/>
          <w:lang w:val="es-PE"/>
        </w:rPr>
        <w:t>CIDH</w:t>
      </w:r>
      <w:r w:rsidRPr="00AA36EB">
        <w:rPr>
          <w:rFonts w:ascii="Cambria" w:hAnsi="Cambria"/>
          <w:sz w:val="20"/>
          <w:szCs w:val="20"/>
          <w:lang w:val="es-PE"/>
        </w:rPr>
        <w:t xml:space="preserve"> actúe como una cuarta instancia judicial, revisando valoraciones de hecho y de derecho efectuadas por los jueces y tribunales nacionales en el ejercicio legítimo de su competencia.</w:t>
      </w:r>
    </w:p>
    <w:p w14:paraId="3BB5E610" w14:textId="6CF58032" w:rsidR="002C7223" w:rsidRPr="00AA36EB" w:rsidRDefault="00186E0C"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AA36EB">
        <w:rPr>
          <w:rFonts w:ascii="Cambria" w:hAnsi="Cambria"/>
          <w:sz w:val="20"/>
          <w:szCs w:val="20"/>
          <w:lang w:val="es-PE"/>
        </w:rPr>
        <w:t>Ecuador aduce que</w:t>
      </w:r>
      <w:r w:rsidR="002C7223" w:rsidRPr="00AA36EB">
        <w:rPr>
          <w:rFonts w:ascii="Cambria" w:hAnsi="Cambria"/>
          <w:sz w:val="20"/>
          <w:szCs w:val="20"/>
          <w:lang w:val="es-PE"/>
        </w:rPr>
        <w:t xml:space="preserve"> de la simple lectura de la petición se advierte la falta de fundamento en las alegaciones del peticionario, pues los hechos no evidencian en modo alguno que el fiscal y las juezas que conocieron el proceso hayan afectado “</w:t>
      </w:r>
      <w:r w:rsidR="002C7223" w:rsidRPr="00AA36EB">
        <w:rPr>
          <w:rFonts w:ascii="Cambria" w:hAnsi="Cambria"/>
          <w:i/>
          <w:iCs/>
          <w:sz w:val="20"/>
          <w:szCs w:val="20"/>
          <w:lang w:val="es-PE"/>
        </w:rPr>
        <w:t>el ejercicio del derecho constitucional a la defensa de la víctima, máxima del derecho al debido proceso</w:t>
      </w:r>
      <w:r w:rsidR="002C7223" w:rsidRPr="00AA36EB">
        <w:rPr>
          <w:rFonts w:ascii="Cambria" w:hAnsi="Cambria"/>
          <w:sz w:val="20"/>
          <w:szCs w:val="20"/>
          <w:lang w:val="es-PE"/>
        </w:rPr>
        <w:t xml:space="preserve">”. Por el contrario, resalta que conforme a las pruebas obrantes en el expediente, la CIDH podrá constatar que la fiscalía realizó más de </w:t>
      </w:r>
      <w:r w:rsidR="00A901A3" w:rsidRPr="00AA36EB">
        <w:rPr>
          <w:rFonts w:ascii="Cambria" w:hAnsi="Cambria"/>
          <w:sz w:val="20"/>
          <w:szCs w:val="20"/>
          <w:lang w:val="es-PE"/>
        </w:rPr>
        <w:t>30</w:t>
      </w:r>
      <w:r w:rsidR="002C7223" w:rsidRPr="00AA36EB">
        <w:rPr>
          <w:rFonts w:ascii="Cambria" w:hAnsi="Cambria"/>
          <w:sz w:val="20"/>
          <w:szCs w:val="20"/>
          <w:lang w:val="es-PE"/>
        </w:rPr>
        <w:t xml:space="preserve"> actuaciones procesales, ordenando numerosas diligencias solicitadas por las partes, entre ellas: informes periciales de audio y video</w:t>
      </w:r>
      <w:r w:rsidR="003C0DE1" w:rsidRPr="00AA36EB">
        <w:rPr>
          <w:rFonts w:ascii="Cambria" w:hAnsi="Cambria"/>
          <w:sz w:val="20"/>
          <w:szCs w:val="20"/>
          <w:lang w:val="es-PE"/>
        </w:rPr>
        <w:t>;</w:t>
      </w:r>
      <w:r w:rsidR="002C7223" w:rsidRPr="00AA36EB">
        <w:rPr>
          <w:rFonts w:ascii="Cambria" w:hAnsi="Cambria"/>
          <w:sz w:val="20"/>
          <w:szCs w:val="20"/>
          <w:lang w:val="es-PE"/>
        </w:rPr>
        <w:t xml:space="preserve"> reconocimiento del lugar de los hechos</w:t>
      </w:r>
      <w:r w:rsidR="003C0DE1" w:rsidRPr="00AA36EB">
        <w:rPr>
          <w:rFonts w:ascii="Cambria" w:hAnsi="Cambria"/>
          <w:sz w:val="20"/>
          <w:szCs w:val="20"/>
          <w:lang w:val="es-PE"/>
        </w:rPr>
        <w:t>;</w:t>
      </w:r>
      <w:r w:rsidR="002C7223" w:rsidRPr="00AA36EB">
        <w:rPr>
          <w:rFonts w:ascii="Cambria" w:hAnsi="Cambria"/>
          <w:sz w:val="20"/>
          <w:szCs w:val="20"/>
          <w:lang w:val="es-PE"/>
        </w:rPr>
        <w:t xml:space="preserve"> toma de versiones</w:t>
      </w:r>
      <w:r w:rsidR="003C0DE1" w:rsidRPr="00AA36EB">
        <w:rPr>
          <w:rFonts w:ascii="Cambria" w:hAnsi="Cambria"/>
          <w:sz w:val="20"/>
          <w:szCs w:val="20"/>
          <w:lang w:val="es-PE"/>
        </w:rPr>
        <w:t>;</w:t>
      </w:r>
      <w:r w:rsidR="002C7223" w:rsidRPr="00AA36EB">
        <w:rPr>
          <w:rFonts w:ascii="Cambria" w:hAnsi="Cambria"/>
          <w:sz w:val="20"/>
          <w:szCs w:val="20"/>
          <w:lang w:val="es-PE"/>
        </w:rPr>
        <w:t xml:space="preserve"> pericia psicológica</w:t>
      </w:r>
      <w:r w:rsidR="003C0DE1" w:rsidRPr="00AA36EB">
        <w:rPr>
          <w:rFonts w:ascii="Cambria" w:hAnsi="Cambria"/>
          <w:sz w:val="20"/>
          <w:szCs w:val="20"/>
          <w:lang w:val="es-PE"/>
        </w:rPr>
        <w:t>;</w:t>
      </w:r>
      <w:r w:rsidR="002C7223" w:rsidRPr="00AA36EB">
        <w:rPr>
          <w:rFonts w:ascii="Cambria" w:hAnsi="Cambria"/>
          <w:sz w:val="20"/>
          <w:szCs w:val="20"/>
          <w:lang w:val="es-PE"/>
        </w:rPr>
        <w:t xml:space="preserve"> análisis del entorno social y testimonio anticipado de S.P.</w:t>
      </w:r>
      <w:r w:rsidR="00731134" w:rsidRPr="00AA36EB">
        <w:rPr>
          <w:rFonts w:ascii="Cambria" w:hAnsi="Cambria"/>
          <w:sz w:val="20"/>
          <w:szCs w:val="20"/>
          <w:lang w:val="es-PE"/>
        </w:rPr>
        <w:t>;</w:t>
      </w:r>
      <w:r w:rsidR="002C7223" w:rsidRPr="00AA36EB">
        <w:rPr>
          <w:rFonts w:ascii="Cambria" w:hAnsi="Cambria"/>
          <w:sz w:val="20"/>
          <w:szCs w:val="20"/>
          <w:lang w:val="es-PE"/>
        </w:rPr>
        <w:t xml:space="preserve"> entre otras. Además, destaca que la jueza valoró todas estas pruebas y consideró las distintas situaciones de vulnerabilidad de las personas involucradas. Con base en ello, emitió decisiones debidamente fundamentadas con el objetivo de garantizar el cumplimiento de las normas aplicables.</w:t>
      </w:r>
    </w:p>
    <w:p w14:paraId="348E81F5" w14:textId="2143FA3F" w:rsidR="002C7223" w:rsidRPr="00AA36EB" w:rsidRDefault="002C7223"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AA36EB">
        <w:rPr>
          <w:rFonts w:ascii="Cambria" w:hAnsi="Cambria"/>
          <w:sz w:val="20"/>
          <w:szCs w:val="20"/>
          <w:lang w:val="es-PE"/>
        </w:rPr>
        <w:t>Finalmente, en relación con la figura jurídica de la inimputabilidad, Ecuador destaca que su Constitución y los instrumentos internacionales protegen a los menores de edad. Con base en esta normativa, los adolescentes infractores no están exentos de responsabilidad, pero dada su condición, no se les aplican las sanciones previstas en la legislación penal ordinaria, sino aquellas establecidas en el régimen especial correspondiente. En este contexto, el Estado señala que el Comité de los Derechos del Niño, en su Observación General N.º 9, recomendó que los niños con discapacidad que hayan infringido la ley sean tratados, en la medida de lo posible, sin recurrir a procedimientos jurídicos habituales, cuando ello resulte necesario en interés del orden público. Asimismo, dicho organismo precisó que, en estos casos, deben realizarse esfuerzos especiales para informar al niño sobre el procedimiento de la justicia de menores y sus derechos en relación con este.</w:t>
      </w:r>
    </w:p>
    <w:p w14:paraId="13F40C82" w14:textId="2CE47729" w:rsidR="00E50B58" w:rsidRPr="00AA36EB" w:rsidRDefault="002C7223"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AA36EB">
        <w:rPr>
          <w:rFonts w:ascii="Cambria" w:hAnsi="Cambria"/>
          <w:sz w:val="20"/>
          <w:szCs w:val="20"/>
          <w:lang w:val="es-PE"/>
        </w:rPr>
        <w:lastRenderedPageBreak/>
        <w:t>A juicio del Estado, las pruebas en el expediente demuestran que las autoridades actuaron conforme a estos parámetros. En consecuencia, considera que la petición solo refleja el desacuerdo del peticionario con lo resuelto en sede interna</w:t>
      </w:r>
      <w:r w:rsidR="00E50B58" w:rsidRPr="00AA36EB">
        <w:rPr>
          <w:rFonts w:ascii="Cambria" w:hAnsi="Cambria"/>
          <w:sz w:val="20"/>
          <w:szCs w:val="20"/>
          <w:lang w:val="es-PE"/>
        </w:rPr>
        <w:t>,</w:t>
      </w:r>
      <w:r w:rsidRPr="00AA36EB">
        <w:rPr>
          <w:rFonts w:ascii="Cambria" w:hAnsi="Cambria"/>
          <w:sz w:val="20"/>
          <w:szCs w:val="20"/>
          <w:lang w:val="es-PE"/>
        </w:rPr>
        <w:t xml:space="preserve"> y por ello, la CIDH debe declararla inadmisible.</w:t>
      </w:r>
    </w:p>
    <w:p w14:paraId="6F4D4171" w14:textId="36346ADA" w:rsidR="003239B8" w:rsidRPr="00AA36EB" w:rsidRDefault="003239B8" w:rsidP="00AA36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AA36EB">
        <w:rPr>
          <w:rFonts w:asciiTheme="majorHAnsi" w:eastAsia="Cambria" w:hAnsiTheme="majorHAnsi" w:cs="Cambria"/>
          <w:b/>
          <w:bCs/>
          <w:color w:val="000000"/>
          <w:sz w:val="20"/>
          <w:szCs w:val="20"/>
          <w:u w:color="000000"/>
          <w:lang w:val="es-ES" w:eastAsia="es-ES"/>
        </w:rPr>
        <w:t>VI.</w:t>
      </w:r>
      <w:r w:rsidRPr="00AA36EB">
        <w:rPr>
          <w:rFonts w:asciiTheme="majorHAnsi" w:eastAsia="Cambria" w:hAnsiTheme="majorHAnsi" w:cs="Cambria"/>
          <w:b/>
          <w:bCs/>
          <w:color w:val="000000"/>
          <w:sz w:val="20"/>
          <w:szCs w:val="20"/>
          <w:u w:color="000000"/>
          <w:lang w:val="es-ES" w:eastAsia="es-ES"/>
        </w:rPr>
        <w:tab/>
      </w:r>
      <w:r w:rsidR="004A6A54" w:rsidRPr="00AA36EB">
        <w:rPr>
          <w:rFonts w:asciiTheme="majorHAnsi" w:hAnsiTheme="majorHAnsi"/>
          <w:b/>
          <w:bCs/>
          <w:sz w:val="20"/>
          <w:szCs w:val="20"/>
          <w:lang w:val="es-ES_tradnl"/>
        </w:rPr>
        <w:t xml:space="preserve">ANÁLISIS DE </w:t>
      </w:r>
      <w:r w:rsidR="00C21FEF" w:rsidRPr="00AA36EB">
        <w:rPr>
          <w:rFonts w:asciiTheme="majorHAnsi" w:hAnsiTheme="majorHAnsi"/>
          <w:b/>
          <w:sz w:val="20"/>
          <w:szCs w:val="20"/>
          <w:lang w:val="es-ES"/>
        </w:rPr>
        <w:t>AGOTAMIENTO DE LOS RECURSOS INTERNOS Y PLAZO DE PRESENTACIÓN</w:t>
      </w:r>
      <w:r w:rsidR="00C21FEF" w:rsidRPr="00AA36EB">
        <w:rPr>
          <w:rFonts w:asciiTheme="majorHAnsi" w:eastAsia="Cambria" w:hAnsiTheme="majorHAnsi" w:cs="Cambria"/>
          <w:b/>
          <w:bCs/>
          <w:color w:val="000000"/>
          <w:sz w:val="20"/>
          <w:szCs w:val="20"/>
          <w:u w:color="000000"/>
          <w:lang w:val="es-ES" w:eastAsia="es-ES"/>
        </w:rPr>
        <w:t xml:space="preserve"> </w:t>
      </w:r>
    </w:p>
    <w:p w14:paraId="6B293A38" w14:textId="77777777" w:rsidR="002F4CB0" w:rsidRPr="00AA36EB" w:rsidRDefault="002F60CD"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AA36EB">
        <w:rPr>
          <w:rFonts w:asciiTheme="majorHAnsi" w:hAnsiTheme="majorHAnsi"/>
          <w:bCs/>
          <w:sz w:val="20"/>
          <w:szCs w:val="20"/>
          <w:lang w:val="es-PE"/>
        </w:rPr>
        <w:t>De acuerdo con los alegatos expuestos en la petición, el reclamo principal del señor M.A.G.C. consiste en cuestionar la falta de investigación, procesamiento y sanción del adolescente que habría abusado sexualmente de su hija. Según el peticionario, los recursos internos se agotaron con la resolución de la Sala de Admisión de la Corte Constitucional del 14 de junio de 2021, mediante la cual se inadmitió su solicitud de revocatoria. Por su parte, el Estado no ha controvertido formalmente el agotamiento de los recursos internos respecto del objeto central de la petición ni ha formulado observaciones sobre el plazo de presentación de esta.</w:t>
      </w:r>
    </w:p>
    <w:p w14:paraId="2A24557A" w14:textId="493DD111" w:rsidR="002F60CD" w:rsidRPr="00AA36EB" w:rsidRDefault="002F60CD"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AA36EB">
        <w:rPr>
          <w:rFonts w:asciiTheme="majorHAnsi" w:hAnsiTheme="majorHAnsi"/>
          <w:bCs/>
          <w:sz w:val="20"/>
          <w:szCs w:val="20"/>
          <w:lang w:val="es-PE"/>
        </w:rPr>
        <w:t>En atención a lo anterior y con base en la información contenida en el expediente, la Comisión concluye que el presente reclamo cumple con el requisito establecido en el artículo 46.1.a</w:t>
      </w:r>
      <w:r w:rsidR="00C67BDC" w:rsidRPr="00AA36EB">
        <w:rPr>
          <w:rFonts w:asciiTheme="majorHAnsi" w:hAnsiTheme="majorHAnsi"/>
          <w:bCs/>
          <w:sz w:val="20"/>
          <w:szCs w:val="20"/>
          <w:lang w:val="es-PE"/>
        </w:rPr>
        <w:t>)</w:t>
      </w:r>
      <w:r w:rsidRPr="00AA36EB">
        <w:rPr>
          <w:rFonts w:asciiTheme="majorHAnsi" w:hAnsiTheme="majorHAnsi"/>
          <w:bCs/>
          <w:sz w:val="20"/>
          <w:szCs w:val="20"/>
          <w:lang w:val="es-PE"/>
        </w:rPr>
        <w:t xml:space="preserve"> de la Convención Americana. Asimismo, dado que el peticionario presentó su solicitud el 3 de noviembre de 2021, </w:t>
      </w:r>
      <w:r w:rsidR="00B22BB5" w:rsidRPr="00AA36EB">
        <w:rPr>
          <w:rFonts w:asciiTheme="majorHAnsi" w:hAnsiTheme="majorHAnsi"/>
          <w:bCs/>
          <w:sz w:val="20"/>
          <w:szCs w:val="20"/>
          <w:lang w:val="es-PE"/>
        </w:rPr>
        <w:t xml:space="preserve">esta </w:t>
      </w:r>
      <w:r w:rsidRPr="00AA36EB">
        <w:rPr>
          <w:rFonts w:asciiTheme="majorHAnsi" w:hAnsiTheme="majorHAnsi"/>
          <w:bCs/>
          <w:sz w:val="20"/>
          <w:szCs w:val="20"/>
          <w:lang w:val="es-PE"/>
        </w:rPr>
        <w:t>también satisface el requisito de plazo previsto en el artículo 46.1.b</w:t>
      </w:r>
      <w:r w:rsidR="00B22BB5" w:rsidRPr="00AA36EB">
        <w:rPr>
          <w:rFonts w:asciiTheme="majorHAnsi" w:hAnsiTheme="majorHAnsi"/>
          <w:bCs/>
          <w:sz w:val="20"/>
          <w:szCs w:val="20"/>
          <w:lang w:val="es-PE"/>
        </w:rPr>
        <w:t>)</w:t>
      </w:r>
      <w:r w:rsidRPr="00AA36EB">
        <w:rPr>
          <w:rFonts w:asciiTheme="majorHAnsi" w:hAnsiTheme="majorHAnsi"/>
          <w:bCs/>
          <w:sz w:val="20"/>
          <w:szCs w:val="20"/>
          <w:lang w:val="es-PE"/>
        </w:rPr>
        <w:t xml:space="preserve"> </w:t>
      </w:r>
      <w:r w:rsidR="00B22BB5" w:rsidRPr="00AA36EB">
        <w:rPr>
          <w:rFonts w:asciiTheme="majorHAnsi" w:hAnsiTheme="majorHAnsi"/>
          <w:bCs/>
          <w:sz w:val="20"/>
          <w:szCs w:val="20"/>
          <w:lang w:val="es-PE"/>
        </w:rPr>
        <w:t>convencional</w:t>
      </w:r>
      <w:r w:rsidRPr="00AA36EB">
        <w:rPr>
          <w:rFonts w:asciiTheme="majorHAnsi" w:hAnsiTheme="majorHAnsi"/>
          <w:bCs/>
          <w:sz w:val="20"/>
          <w:szCs w:val="20"/>
          <w:lang w:val="es-PE"/>
        </w:rPr>
        <w:t>.</w:t>
      </w:r>
    </w:p>
    <w:p w14:paraId="4FFBE378" w14:textId="7A3C2FC3" w:rsidR="003239B8" w:rsidRPr="00AA36EB" w:rsidRDefault="003239B8" w:rsidP="00AA36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
        </w:rPr>
      </w:pPr>
      <w:r w:rsidRPr="00AA36EB">
        <w:rPr>
          <w:rFonts w:asciiTheme="majorHAnsi" w:hAnsiTheme="majorHAnsi"/>
          <w:b/>
          <w:bCs/>
          <w:sz w:val="20"/>
          <w:szCs w:val="20"/>
          <w:lang w:val="es-ES"/>
        </w:rPr>
        <w:t>VII.</w:t>
      </w:r>
      <w:r w:rsidRPr="00AA36EB">
        <w:rPr>
          <w:rFonts w:asciiTheme="majorHAnsi" w:hAnsiTheme="majorHAnsi"/>
          <w:b/>
          <w:bCs/>
          <w:sz w:val="20"/>
          <w:szCs w:val="20"/>
          <w:lang w:val="es-ES"/>
        </w:rPr>
        <w:tab/>
      </w:r>
      <w:r w:rsidR="004A6A54" w:rsidRPr="00AA36EB">
        <w:rPr>
          <w:rFonts w:asciiTheme="majorHAnsi" w:hAnsiTheme="majorHAnsi"/>
          <w:b/>
          <w:bCs/>
          <w:sz w:val="20"/>
          <w:szCs w:val="20"/>
          <w:lang w:val="es-ES_tradnl"/>
        </w:rPr>
        <w:t xml:space="preserve">ANÁLISIS DE </w:t>
      </w:r>
      <w:r w:rsidR="00C21FEF" w:rsidRPr="00AA36EB">
        <w:rPr>
          <w:rFonts w:asciiTheme="majorHAnsi" w:hAnsiTheme="majorHAnsi"/>
          <w:b/>
          <w:bCs/>
          <w:sz w:val="20"/>
          <w:szCs w:val="20"/>
          <w:lang w:val="es-ES"/>
        </w:rPr>
        <w:t xml:space="preserve">CARACTERIZACIÓN </w:t>
      </w:r>
      <w:r w:rsidR="00C21FEF" w:rsidRPr="00AA36EB">
        <w:rPr>
          <w:rFonts w:asciiTheme="majorHAnsi" w:hAnsiTheme="majorHAnsi"/>
          <w:b/>
          <w:bCs/>
          <w:sz w:val="20"/>
          <w:szCs w:val="20"/>
          <w:lang w:val="es-UY"/>
        </w:rPr>
        <w:t>DE LOS HECHOS ALEGADOS</w:t>
      </w:r>
    </w:p>
    <w:p w14:paraId="76CB4F3F" w14:textId="7B2150AD" w:rsidR="005D7D41" w:rsidRPr="00AA36EB" w:rsidRDefault="005D7D41"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AA36EB">
        <w:rPr>
          <w:rFonts w:ascii="Cambria" w:hAnsi="Cambria"/>
          <w:sz w:val="20"/>
          <w:szCs w:val="20"/>
          <w:lang w:val="es-PE"/>
        </w:rPr>
        <w:t>De manera preliminar, la Comisión recuerda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Pr="00AA36EB">
        <w:rPr>
          <w:rStyle w:val="FootnoteReference"/>
          <w:rFonts w:ascii="Cambria" w:hAnsi="Cambria"/>
          <w:sz w:val="20"/>
          <w:szCs w:val="20"/>
          <w:lang w:val="es-PE"/>
        </w:rPr>
        <w:footnoteReference w:id="7"/>
      </w:r>
      <w:r w:rsidRPr="00AA36EB">
        <w:rPr>
          <w:rFonts w:ascii="Cambria" w:hAnsi="Cambria"/>
          <w:sz w:val="20"/>
          <w:szCs w:val="20"/>
          <w:lang w:val="es-PE"/>
        </w:rPr>
        <w:t xml:space="preserve">. En consecuencia, aunque el peticionario cuestiona el incumplimiento de los artículos </w:t>
      </w:r>
      <w:r w:rsidRPr="00AA36EB">
        <w:rPr>
          <w:rFonts w:ascii="Cambria" w:hAnsi="Cambria"/>
          <w:bCs/>
          <w:sz w:val="20"/>
          <w:szCs w:val="20"/>
          <w:lang w:val="es-ES"/>
        </w:rPr>
        <w:t xml:space="preserve">XVIII y XXIV de la Declaración, la Comisión solo analizará sus alegatos de acuerdo con los </w:t>
      </w:r>
      <w:r w:rsidR="00936E25" w:rsidRPr="00AA36EB">
        <w:rPr>
          <w:rFonts w:ascii="Cambria" w:hAnsi="Cambria"/>
          <w:bCs/>
          <w:sz w:val="20"/>
          <w:szCs w:val="20"/>
          <w:lang w:val="es-ES"/>
        </w:rPr>
        <w:t xml:space="preserve">correspondientes </w:t>
      </w:r>
      <w:r w:rsidRPr="00AA36EB">
        <w:rPr>
          <w:rFonts w:ascii="Cambria" w:hAnsi="Cambria"/>
          <w:bCs/>
          <w:sz w:val="20"/>
          <w:szCs w:val="20"/>
          <w:lang w:val="es-ES"/>
        </w:rPr>
        <w:t>artículos de la Convención.</w:t>
      </w:r>
    </w:p>
    <w:p w14:paraId="19EBF0CF" w14:textId="77777777" w:rsidR="00524B1E" w:rsidRPr="00AA36EB" w:rsidRDefault="005D7D41"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6EB">
        <w:rPr>
          <w:rFonts w:ascii="Cambria" w:hAnsi="Cambria"/>
          <w:sz w:val="20"/>
          <w:szCs w:val="20"/>
          <w:lang w:val="es-ES"/>
        </w:rPr>
        <w:t>Por otra parte,</w:t>
      </w:r>
      <w:r w:rsidR="00F57C06" w:rsidRPr="00AA36EB">
        <w:rPr>
          <w:rFonts w:ascii="Cambria" w:hAnsi="Cambria"/>
          <w:sz w:val="20"/>
          <w:szCs w:val="20"/>
          <w:lang w:val="es-ES_tradnl"/>
        </w:rPr>
        <w:t xml:space="preserve"> la Comisión reitera que el criterio de evaluación de la fase de admisibilidad difiere del que se utiliza para pronunciarse sobre el fondo de una petición; la CIDH debe realizar en esta etapa una evaluación </w:t>
      </w:r>
      <w:r w:rsidR="00F57C06" w:rsidRPr="00AA36EB">
        <w:rPr>
          <w:rFonts w:ascii="Cambria" w:hAnsi="Cambria"/>
          <w:i/>
          <w:iCs/>
          <w:sz w:val="20"/>
          <w:szCs w:val="20"/>
          <w:lang w:val="es-ES_tradnl"/>
        </w:rPr>
        <w:t>prima facie</w:t>
      </w:r>
      <w:r w:rsidR="00F57C06" w:rsidRPr="00AA36EB">
        <w:rPr>
          <w:rFonts w:ascii="Cambria" w:hAnsi="Cambria"/>
          <w:sz w:val="20"/>
          <w:szCs w:val="20"/>
          <w:lang w:val="es-ES_tradnl"/>
        </w:rPr>
        <w:t xml:space="preserve"> para resolver si la petición establece el fundamento de la violación, posible o potencial, de un derecho garantizado por la Convención, pero no para definir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785FB444" w14:textId="28108596" w:rsidR="00177C57" w:rsidRPr="00AA36EB" w:rsidRDefault="00524B1E"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AA36EB">
        <w:rPr>
          <w:rFonts w:asciiTheme="majorHAnsi" w:hAnsiTheme="majorHAnsi"/>
          <w:sz w:val="20"/>
          <w:szCs w:val="20"/>
          <w:lang w:val="es-PE"/>
        </w:rPr>
        <w:t xml:space="preserve">Con base en ello, la Comisión observa que la controversia central en el presente asunto radica en determinar, entre otros aspectos, si la declaración de inimputabilidad del presunto agresor de S.G. constituyó un obstáculo para que pueda obtener justicia frente al episodio de abuso sexual que habría sufrido debido a la falta de pruebas o fundamentos para aplicar dicha figura jurídica. </w:t>
      </w:r>
      <w:r w:rsidR="00F422C7" w:rsidRPr="00AA36EB">
        <w:rPr>
          <w:rFonts w:asciiTheme="majorHAnsi" w:hAnsiTheme="majorHAnsi"/>
          <w:sz w:val="20"/>
          <w:szCs w:val="20"/>
          <w:lang w:val="es-PE"/>
        </w:rPr>
        <w:t>A efectos de analizar</w:t>
      </w:r>
      <w:r w:rsidR="00A10C66" w:rsidRPr="00AA36EB">
        <w:rPr>
          <w:rFonts w:asciiTheme="majorHAnsi" w:hAnsiTheme="majorHAnsi"/>
          <w:sz w:val="20"/>
          <w:szCs w:val="20"/>
          <w:lang w:val="es-PE"/>
        </w:rPr>
        <w:t xml:space="preserve"> este punto</w:t>
      </w:r>
      <w:r w:rsidRPr="00AA36EB">
        <w:rPr>
          <w:rFonts w:asciiTheme="majorHAnsi" w:hAnsiTheme="majorHAnsi"/>
          <w:sz w:val="20"/>
          <w:szCs w:val="20"/>
          <w:lang w:val="es-PE"/>
        </w:rPr>
        <w:t xml:space="preserve">, </w:t>
      </w:r>
      <w:r w:rsidR="00985198" w:rsidRPr="00AA36EB">
        <w:rPr>
          <w:rFonts w:asciiTheme="majorHAnsi" w:hAnsiTheme="majorHAnsi"/>
          <w:sz w:val="20"/>
          <w:szCs w:val="20"/>
          <w:lang w:val="es-PE"/>
        </w:rPr>
        <w:t>la Comisión recuerda que</w:t>
      </w:r>
      <w:r w:rsidR="00693E80" w:rsidRPr="00AA36EB">
        <w:rPr>
          <w:rFonts w:asciiTheme="majorHAnsi" w:hAnsiTheme="majorHAnsi"/>
          <w:sz w:val="20"/>
          <w:szCs w:val="20"/>
          <w:lang w:val="es-PE"/>
        </w:rPr>
        <w:t xml:space="preserve">, de acuerdo con la </w:t>
      </w:r>
      <w:r w:rsidR="00DF48EB" w:rsidRPr="00AA36EB">
        <w:rPr>
          <w:rFonts w:asciiTheme="majorHAnsi" w:hAnsiTheme="majorHAnsi"/>
          <w:sz w:val="20"/>
          <w:szCs w:val="20"/>
          <w:lang w:val="es-PE"/>
        </w:rPr>
        <w:t xml:space="preserve">jurisprudencia de la Corte Interamericana, </w:t>
      </w:r>
      <w:r w:rsidR="00F422C7" w:rsidRPr="00AA36EB">
        <w:rPr>
          <w:rFonts w:asciiTheme="majorHAnsi" w:hAnsiTheme="majorHAnsi"/>
          <w:sz w:val="20"/>
          <w:szCs w:val="20"/>
          <w:lang w:val="es-PE"/>
        </w:rPr>
        <w:t>l</w:t>
      </w:r>
      <w:r w:rsidR="00DF48EB" w:rsidRPr="00AA36EB">
        <w:rPr>
          <w:rFonts w:asciiTheme="majorHAnsi" w:hAnsiTheme="majorHAnsi"/>
          <w:sz w:val="20"/>
          <w:szCs w:val="20"/>
          <w:lang w:val="es-PE"/>
        </w:rPr>
        <w:t>as obligaciones generales establecidas en los artículos 8 y 25 de la Convención Americana se complementan y refuerzan con las obligaciones derivadas de la Convención de Belém do Pará. De este modo, ante un acto de violencia contra</w:t>
      </w:r>
      <w:r w:rsidR="001A7CA5" w:rsidRPr="00AA36EB">
        <w:rPr>
          <w:rFonts w:asciiTheme="majorHAnsi" w:hAnsiTheme="majorHAnsi"/>
          <w:sz w:val="20"/>
          <w:szCs w:val="20"/>
          <w:lang w:val="es-PE"/>
        </w:rPr>
        <w:t xml:space="preserve"> </w:t>
      </w:r>
      <w:r w:rsidR="00DF48EB" w:rsidRPr="00AA36EB">
        <w:rPr>
          <w:rFonts w:asciiTheme="majorHAnsi" w:hAnsiTheme="majorHAnsi"/>
          <w:sz w:val="20"/>
          <w:szCs w:val="20"/>
          <w:lang w:val="es-PE"/>
        </w:rPr>
        <w:t>una mujer, sea cometida por un agente estatal o por un particular, resulta especialmente</w:t>
      </w:r>
      <w:r w:rsidR="001A7CA5" w:rsidRPr="00AA36EB">
        <w:rPr>
          <w:rFonts w:asciiTheme="majorHAnsi" w:hAnsiTheme="majorHAnsi"/>
          <w:sz w:val="20"/>
          <w:szCs w:val="20"/>
          <w:lang w:val="es-PE"/>
        </w:rPr>
        <w:t xml:space="preserve"> </w:t>
      </w:r>
      <w:r w:rsidR="00DF48EB" w:rsidRPr="00AA36EB">
        <w:rPr>
          <w:rFonts w:asciiTheme="majorHAnsi" w:hAnsiTheme="majorHAnsi"/>
          <w:sz w:val="20"/>
          <w:szCs w:val="20"/>
          <w:lang w:val="es-PE"/>
        </w:rPr>
        <w:t>importante que las autoridades a cargo de la investigación la lleven adelante con determinación y</w:t>
      </w:r>
      <w:r w:rsidR="001A7CA5" w:rsidRPr="00AA36EB">
        <w:rPr>
          <w:rFonts w:asciiTheme="majorHAnsi" w:hAnsiTheme="majorHAnsi"/>
          <w:sz w:val="20"/>
          <w:szCs w:val="20"/>
          <w:lang w:val="es-PE"/>
        </w:rPr>
        <w:t xml:space="preserve"> </w:t>
      </w:r>
      <w:r w:rsidR="00DF48EB" w:rsidRPr="00AA36EB">
        <w:rPr>
          <w:rFonts w:asciiTheme="majorHAnsi" w:hAnsiTheme="majorHAnsi"/>
          <w:sz w:val="20"/>
          <w:szCs w:val="20"/>
          <w:lang w:val="es-PE"/>
        </w:rPr>
        <w:t>eficacia, teniendo en cuenta el deber de la sociedad de rechazar la violencia contra las mujeres y</w:t>
      </w:r>
      <w:r w:rsidR="001A7CA5" w:rsidRPr="00AA36EB">
        <w:rPr>
          <w:rFonts w:asciiTheme="majorHAnsi" w:hAnsiTheme="majorHAnsi"/>
          <w:sz w:val="20"/>
          <w:szCs w:val="20"/>
          <w:lang w:val="es-PE"/>
        </w:rPr>
        <w:t xml:space="preserve"> </w:t>
      </w:r>
      <w:r w:rsidR="00DF48EB" w:rsidRPr="00AA36EB">
        <w:rPr>
          <w:rFonts w:asciiTheme="majorHAnsi" w:hAnsiTheme="majorHAnsi"/>
          <w:sz w:val="20"/>
          <w:szCs w:val="20"/>
          <w:lang w:val="es-PE"/>
        </w:rPr>
        <w:t>las obligaciones del Estado de erradicarla y de brindar confianza a las víctimas en las instituciones</w:t>
      </w:r>
      <w:r w:rsidR="001A7CA5" w:rsidRPr="00AA36EB">
        <w:rPr>
          <w:rFonts w:asciiTheme="majorHAnsi" w:hAnsiTheme="majorHAnsi"/>
          <w:sz w:val="20"/>
          <w:szCs w:val="20"/>
          <w:lang w:val="es-PE"/>
        </w:rPr>
        <w:t xml:space="preserve"> </w:t>
      </w:r>
      <w:r w:rsidR="00DF48EB" w:rsidRPr="00AA36EB">
        <w:rPr>
          <w:rFonts w:asciiTheme="majorHAnsi" w:hAnsiTheme="majorHAnsi"/>
          <w:sz w:val="20"/>
          <w:szCs w:val="20"/>
          <w:lang w:val="es-PE"/>
        </w:rPr>
        <w:t>estatales para su protección</w:t>
      </w:r>
      <w:r w:rsidR="001A7CA5" w:rsidRPr="00AA36EB">
        <w:rPr>
          <w:rFonts w:asciiTheme="majorHAnsi" w:hAnsiTheme="majorHAnsi"/>
          <w:sz w:val="20"/>
          <w:szCs w:val="20"/>
          <w:lang w:val="es-PE"/>
        </w:rPr>
        <w:t xml:space="preserve">. Asimismo, </w:t>
      </w:r>
      <w:r w:rsidR="00E06B46" w:rsidRPr="00AA36EB">
        <w:rPr>
          <w:rFonts w:asciiTheme="majorHAnsi" w:hAnsiTheme="majorHAnsi"/>
          <w:sz w:val="20"/>
          <w:szCs w:val="20"/>
          <w:lang w:val="es-PE"/>
        </w:rPr>
        <w:t xml:space="preserve">en el caso de niñas o adolescentes, </w:t>
      </w:r>
      <w:r w:rsidR="009D73E7" w:rsidRPr="00AA36EB">
        <w:rPr>
          <w:rFonts w:asciiTheme="majorHAnsi" w:hAnsiTheme="majorHAnsi"/>
          <w:sz w:val="20"/>
          <w:szCs w:val="20"/>
          <w:lang w:val="es-PE"/>
        </w:rPr>
        <w:t>los Estados deben adoptar, en el marco del acatamiento del artículo 19 de la Convención Americana, medidas particularizadas y especiales</w:t>
      </w:r>
      <w:r w:rsidR="009D73E7" w:rsidRPr="00AA36EB">
        <w:rPr>
          <w:rStyle w:val="FootnoteReference"/>
          <w:rFonts w:asciiTheme="majorHAnsi" w:hAnsiTheme="majorHAnsi"/>
          <w:sz w:val="20"/>
          <w:szCs w:val="20"/>
          <w:lang w:val="es-PE"/>
        </w:rPr>
        <w:footnoteReference w:id="8"/>
      </w:r>
      <w:r w:rsidR="009D73E7" w:rsidRPr="00AA36EB">
        <w:rPr>
          <w:rFonts w:asciiTheme="majorHAnsi" w:hAnsiTheme="majorHAnsi"/>
          <w:sz w:val="20"/>
          <w:szCs w:val="20"/>
          <w:lang w:val="es-PE"/>
        </w:rPr>
        <w:t>.</w:t>
      </w:r>
      <w:r w:rsidR="00AA36EB" w:rsidRPr="00AA36EB">
        <w:rPr>
          <w:rFonts w:asciiTheme="majorHAnsi" w:hAnsiTheme="majorHAnsi"/>
          <w:sz w:val="20"/>
          <w:szCs w:val="20"/>
          <w:lang w:val="es-PE"/>
        </w:rPr>
        <w:t xml:space="preserve"> Por su parte, todo régimen penal juvenil debe contemplar </w:t>
      </w:r>
      <w:r w:rsidR="00AA36EB" w:rsidRPr="00AA36EB">
        <w:rPr>
          <w:rFonts w:asciiTheme="majorHAnsi" w:hAnsiTheme="majorHAnsi"/>
          <w:sz w:val="20"/>
          <w:szCs w:val="20"/>
          <w:lang w:val="es-PE"/>
        </w:rPr>
        <w:lastRenderedPageBreak/>
        <w:t>que la declaratoria de imputabilidad se base en evaluaciones detalladas que demuestren la incapacidad del presunto agresor de comprender la ilegalidad de sus actos".</w:t>
      </w:r>
    </w:p>
    <w:p w14:paraId="08055342" w14:textId="4F9818A9" w:rsidR="00524B1E" w:rsidRPr="00AA36EB" w:rsidRDefault="00B8075C"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6EB">
        <w:rPr>
          <w:rFonts w:asciiTheme="majorHAnsi" w:hAnsiTheme="majorHAnsi"/>
          <w:sz w:val="20"/>
          <w:szCs w:val="20"/>
          <w:lang w:val="es-ES"/>
        </w:rPr>
        <w:t>Adicionalmente</w:t>
      </w:r>
      <w:r w:rsidR="00177C57" w:rsidRPr="00AA36EB">
        <w:rPr>
          <w:rFonts w:asciiTheme="majorHAnsi" w:hAnsiTheme="majorHAnsi"/>
          <w:sz w:val="20"/>
          <w:szCs w:val="20"/>
          <w:lang w:val="es-ES"/>
        </w:rPr>
        <w:t xml:space="preserve">, a efectos de analizar si la declaración de inimputabilidad </w:t>
      </w:r>
      <w:r w:rsidR="00856763" w:rsidRPr="00AA36EB">
        <w:rPr>
          <w:rFonts w:asciiTheme="majorHAnsi" w:hAnsiTheme="majorHAnsi"/>
          <w:sz w:val="20"/>
          <w:szCs w:val="20"/>
          <w:lang w:val="es-ES"/>
        </w:rPr>
        <w:t xml:space="preserve">pudo </w:t>
      </w:r>
      <w:r w:rsidR="004D33DF" w:rsidRPr="00AA36EB">
        <w:rPr>
          <w:rFonts w:asciiTheme="majorHAnsi" w:hAnsiTheme="majorHAnsi"/>
          <w:sz w:val="20"/>
          <w:szCs w:val="20"/>
          <w:lang w:val="es-ES"/>
        </w:rPr>
        <w:t>implicar un incumplimiento del citado deber de investigar con debida diligencia</w:t>
      </w:r>
      <w:r w:rsidR="00177C57" w:rsidRPr="00AA36EB">
        <w:rPr>
          <w:rFonts w:asciiTheme="majorHAnsi" w:hAnsiTheme="majorHAnsi"/>
          <w:sz w:val="20"/>
          <w:szCs w:val="20"/>
          <w:lang w:val="es-ES"/>
        </w:rPr>
        <w:t xml:space="preserve">, </w:t>
      </w:r>
      <w:r w:rsidR="00177C57" w:rsidRPr="00AA36EB">
        <w:rPr>
          <w:rFonts w:asciiTheme="majorHAnsi" w:hAnsiTheme="majorHAnsi"/>
          <w:sz w:val="20"/>
          <w:szCs w:val="20"/>
          <w:lang w:val="es-PE"/>
        </w:rPr>
        <w:t>l</w:t>
      </w:r>
      <w:r w:rsidR="00524B1E" w:rsidRPr="00AA36EB">
        <w:rPr>
          <w:rFonts w:asciiTheme="majorHAnsi" w:hAnsiTheme="majorHAnsi"/>
          <w:sz w:val="20"/>
          <w:szCs w:val="20"/>
          <w:lang w:val="es-PE"/>
        </w:rPr>
        <w:t>a Comisión considera relevante recordar que la Corte IDH ha utilizado la Convención sobre los Derechos de las Personas con Discapacidad</w:t>
      </w:r>
      <w:r w:rsidR="00524B1E" w:rsidRPr="00AA36EB">
        <w:rPr>
          <w:rStyle w:val="FootnoteReference"/>
          <w:rFonts w:asciiTheme="majorHAnsi" w:hAnsiTheme="majorHAnsi"/>
          <w:sz w:val="20"/>
          <w:szCs w:val="20"/>
          <w:lang w:val="es-ES"/>
        </w:rPr>
        <w:footnoteReference w:id="9"/>
      </w:r>
      <w:r w:rsidR="00524B1E" w:rsidRPr="00AA36EB">
        <w:rPr>
          <w:rFonts w:asciiTheme="majorHAnsi" w:hAnsiTheme="majorHAnsi"/>
          <w:sz w:val="20"/>
          <w:szCs w:val="20"/>
          <w:lang w:val="es-PE"/>
        </w:rPr>
        <w:t xml:space="preserve"> como un instrumento de interpretación de los alcances y obligaciones establecidos en la Convención Americana.</w:t>
      </w:r>
      <w:r w:rsidR="00177C57" w:rsidRPr="00AA36EB">
        <w:rPr>
          <w:rFonts w:asciiTheme="majorHAnsi" w:hAnsiTheme="majorHAnsi"/>
          <w:sz w:val="20"/>
          <w:szCs w:val="20"/>
          <w:lang w:val="es-ES"/>
        </w:rPr>
        <w:t xml:space="preserve"> </w:t>
      </w:r>
      <w:r w:rsidR="00524B1E" w:rsidRPr="00AA36EB">
        <w:rPr>
          <w:rFonts w:asciiTheme="majorHAnsi" w:hAnsiTheme="majorHAnsi"/>
          <w:sz w:val="20"/>
          <w:szCs w:val="20"/>
          <w:lang w:val="es-PE"/>
        </w:rPr>
        <w:t xml:space="preserve">En esa línea, la jurisprudencia interamericana </w:t>
      </w:r>
      <w:r w:rsidR="001201EC" w:rsidRPr="00AA36EB">
        <w:rPr>
          <w:rFonts w:asciiTheme="majorHAnsi" w:hAnsiTheme="majorHAnsi"/>
          <w:sz w:val="20"/>
          <w:szCs w:val="20"/>
          <w:lang w:val="es-PE"/>
        </w:rPr>
        <w:t>ha reconocido el derecho a</w:t>
      </w:r>
      <w:r w:rsidR="00524B1E" w:rsidRPr="00AA36EB">
        <w:rPr>
          <w:rFonts w:asciiTheme="majorHAnsi" w:hAnsiTheme="majorHAnsi"/>
          <w:sz w:val="20"/>
          <w:szCs w:val="20"/>
          <w:lang w:val="es-PE"/>
        </w:rPr>
        <w:t xml:space="preserve"> la personalidad jurídica de las personas con discapacidad</w:t>
      </w:r>
      <w:r w:rsidRPr="00AA36EB">
        <w:rPr>
          <w:rStyle w:val="FootnoteReference"/>
          <w:rFonts w:asciiTheme="majorHAnsi" w:hAnsiTheme="majorHAnsi"/>
          <w:sz w:val="20"/>
          <w:szCs w:val="20"/>
          <w:lang w:val="es-PE"/>
        </w:rPr>
        <w:footnoteReference w:id="10"/>
      </w:r>
      <w:r w:rsidR="00524B1E" w:rsidRPr="00AA36EB">
        <w:rPr>
          <w:rFonts w:asciiTheme="majorHAnsi" w:hAnsiTheme="majorHAnsi"/>
          <w:sz w:val="20"/>
          <w:szCs w:val="20"/>
          <w:lang w:val="es-PE"/>
        </w:rPr>
        <w:t xml:space="preserve">. </w:t>
      </w:r>
      <w:r w:rsidR="00EA15E3" w:rsidRPr="00AA36EB">
        <w:rPr>
          <w:rFonts w:asciiTheme="majorHAnsi" w:hAnsiTheme="majorHAnsi"/>
          <w:sz w:val="20"/>
          <w:szCs w:val="20"/>
          <w:lang w:val="es-PE"/>
        </w:rPr>
        <w:t>Esto no solo implica reconocer la capacidad jurídica de estos, sino que además</w:t>
      </w:r>
      <w:r w:rsidR="00EE3C44" w:rsidRPr="00AA36EB">
        <w:rPr>
          <w:rFonts w:asciiTheme="majorHAnsi" w:hAnsiTheme="majorHAnsi"/>
          <w:sz w:val="20"/>
          <w:szCs w:val="20"/>
          <w:lang w:val="es-PE"/>
        </w:rPr>
        <w:t xml:space="preserve"> </w:t>
      </w:r>
      <w:r w:rsidR="00925E97" w:rsidRPr="00AA36EB">
        <w:rPr>
          <w:rFonts w:asciiTheme="majorHAnsi" w:hAnsiTheme="majorHAnsi"/>
          <w:sz w:val="20"/>
          <w:szCs w:val="20"/>
          <w:lang w:val="es-PE"/>
        </w:rPr>
        <w:t>significa que</w:t>
      </w:r>
      <w:r w:rsidR="00EE3C44" w:rsidRPr="00AA36EB">
        <w:rPr>
          <w:rFonts w:asciiTheme="majorHAnsi" w:hAnsiTheme="majorHAnsi"/>
          <w:sz w:val="20"/>
          <w:szCs w:val="20"/>
          <w:lang w:val="es-PE"/>
        </w:rPr>
        <w:t xml:space="preserve"> también </w:t>
      </w:r>
      <w:r w:rsidR="00925E97" w:rsidRPr="00AA36EB">
        <w:rPr>
          <w:rFonts w:asciiTheme="majorHAnsi" w:hAnsiTheme="majorHAnsi"/>
          <w:sz w:val="20"/>
          <w:szCs w:val="20"/>
          <w:lang w:val="es-PE"/>
        </w:rPr>
        <w:t xml:space="preserve">pueden contraer </w:t>
      </w:r>
      <w:r w:rsidR="00EE3C44" w:rsidRPr="00AA36EB">
        <w:rPr>
          <w:rFonts w:asciiTheme="majorHAnsi" w:hAnsiTheme="majorHAnsi"/>
          <w:sz w:val="20"/>
          <w:szCs w:val="20"/>
          <w:lang w:val="es-PE"/>
        </w:rPr>
        <w:t xml:space="preserve">obligaciones, lo que incluye su </w:t>
      </w:r>
      <w:r w:rsidR="00925E97" w:rsidRPr="00AA36EB">
        <w:rPr>
          <w:rFonts w:asciiTheme="majorHAnsi" w:hAnsiTheme="majorHAnsi"/>
          <w:sz w:val="20"/>
          <w:szCs w:val="20"/>
          <w:lang w:val="es-PE"/>
        </w:rPr>
        <w:t>eventual</w:t>
      </w:r>
      <w:r w:rsidR="00EE3C44" w:rsidRPr="00AA36EB">
        <w:rPr>
          <w:rFonts w:asciiTheme="majorHAnsi" w:hAnsiTheme="majorHAnsi"/>
          <w:sz w:val="20"/>
          <w:szCs w:val="20"/>
          <w:lang w:val="es-PE"/>
        </w:rPr>
        <w:t xml:space="preserve"> responsabilidad penal. </w:t>
      </w:r>
    </w:p>
    <w:p w14:paraId="4F652D45" w14:textId="3A165B38" w:rsidR="00B43A14" w:rsidRPr="00AA36EB" w:rsidRDefault="00B43A14"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AA36EB">
        <w:rPr>
          <w:rFonts w:asciiTheme="majorHAnsi" w:hAnsiTheme="majorHAnsi"/>
          <w:sz w:val="20"/>
          <w:szCs w:val="20"/>
          <w:lang w:val="es-PE"/>
        </w:rPr>
        <w:t>En este contexto, la Comisión considera que una declaración de inimputabilidad no puede basarse únicamente en la existencia de una discapacidad psicosocial o mental, sino que debe sustentarse en un análisis detallado que permita determinar si la persona</w:t>
      </w:r>
      <w:r w:rsidR="00AA36EB" w:rsidRPr="00AA36EB">
        <w:rPr>
          <w:rFonts w:asciiTheme="majorHAnsi" w:hAnsiTheme="majorHAnsi"/>
          <w:sz w:val="20"/>
          <w:szCs w:val="20"/>
          <w:lang w:val="es-PE"/>
        </w:rPr>
        <w:t>, en este caso un adolescente,</w:t>
      </w:r>
      <w:r w:rsidRPr="00AA36EB">
        <w:rPr>
          <w:rFonts w:asciiTheme="majorHAnsi" w:hAnsiTheme="majorHAnsi"/>
          <w:sz w:val="20"/>
          <w:szCs w:val="20"/>
          <w:lang w:val="es-PE"/>
        </w:rPr>
        <w:t xml:space="preserve"> efectivamente carecía de la capacidad para comprender la ilicitud de sus actos. No obstante, según la parte peticionaria, en el presente caso dicho examen se habría realizado a partir de un documento que no describía con la suficiente precisión la condición médica del presunto agresor y que, además, no cumplía con los requisitos establecidos en la legislación interna para ser considerado una pericia válida.</w:t>
      </w:r>
    </w:p>
    <w:p w14:paraId="77869A63" w14:textId="77777777" w:rsidR="00B43A14" w:rsidRPr="00AA36EB" w:rsidRDefault="00B43A14"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AA36EB">
        <w:rPr>
          <w:rFonts w:asciiTheme="majorHAnsi" w:hAnsiTheme="majorHAnsi"/>
          <w:sz w:val="20"/>
          <w:szCs w:val="20"/>
          <w:lang w:val="es-PE"/>
        </w:rPr>
        <w:t>Asimismo, la Comisión observa que tanto la Fiscalía como los tribunales otorgaron a dicho documento un valor determinante en sus resoluciones, sin ofrecer una justificación clara o un análisis riguroso sobre su idoneidad como prueba. En consecuencia, a partir de los elementos disponibles en el expediente, la Comisión advierte que no se acredita prima facie que las autoridades hayan llevado a cabo un examen adecuado ni que hayan fundamentado con la debida suficiencia la declaratoria de inimputabilidad.</w:t>
      </w:r>
    </w:p>
    <w:p w14:paraId="05CFFE97" w14:textId="531A27A0" w:rsidR="00524B1E" w:rsidRPr="00AA36EB" w:rsidRDefault="00524B1E"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6EB">
        <w:rPr>
          <w:rFonts w:asciiTheme="majorHAnsi" w:hAnsiTheme="majorHAnsi"/>
          <w:sz w:val="20"/>
          <w:szCs w:val="20"/>
          <w:lang w:val="es-PE"/>
        </w:rPr>
        <w:t>En consecuencia, la Comisión estima pertinente analizar en la etapa de fondo si la ausencia de dicho examen y motivación pudo constituir una vulneración del derecho de acceso a la justicia de la presunta víctima y del deber de investigar con debida diligencia un posible acto de violencia de género.</w:t>
      </w:r>
    </w:p>
    <w:p w14:paraId="559F0118" w14:textId="165B1214" w:rsidR="001768E0" w:rsidRPr="00AA36EB" w:rsidRDefault="001133D3" w:rsidP="00AA36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6EB">
        <w:rPr>
          <w:rFonts w:asciiTheme="majorHAnsi" w:hAnsiTheme="majorHAnsi"/>
          <w:sz w:val="20"/>
          <w:szCs w:val="20"/>
          <w:lang w:val="es-PE"/>
        </w:rPr>
        <w:t xml:space="preserve"> </w:t>
      </w:r>
      <w:r w:rsidR="00A4748D" w:rsidRPr="00AA36EB">
        <w:rPr>
          <w:rFonts w:asciiTheme="majorHAnsi" w:hAnsiTheme="majorHAnsi"/>
          <w:sz w:val="20"/>
          <w:szCs w:val="20"/>
          <w:lang w:val="es-ES_tradnl"/>
        </w:rPr>
        <w:t xml:space="preserve">En atención a estas consideraciones, y tras examinar los elementos de hecho y de derecho expuestos por las partes, la Comisión estima que </w:t>
      </w:r>
      <w:r w:rsidR="007F09E2" w:rsidRPr="00AA36EB">
        <w:rPr>
          <w:rFonts w:asciiTheme="majorHAnsi" w:hAnsiTheme="majorHAnsi"/>
          <w:sz w:val="20"/>
          <w:szCs w:val="20"/>
          <w:lang w:val="es-ES_tradnl"/>
        </w:rPr>
        <w:t xml:space="preserve">los alegatos del peticionario </w:t>
      </w:r>
      <w:r w:rsidR="00A4748D" w:rsidRPr="00AA36EB">
        <w:rPr>
          <w:rFonts w:asciiTheme="majorHAnsi" w:hAnsiTheme="majorHAnsi"/>
          <w:sz w:val="20"/>
          <w:szCs w:val="20"/>
          <w:lang w:val="es-ES_tradnl"/>
        </w:rPr>
        <w:t>podría</w:t>
      </w:r>
      <w:r w:rsidR="007F09E2" w:rsidRPr="00AA36EB">
        <w:rPr>
          <w:rFonts w:asciiTheme="majorHAnsi" w:hAnsiTheme="majorHAnsi"/>
          <w:sz w:val="20"/>
          <w:szCs w:val="20"/>
          <w:lang w:val="es-ES_tradnl"/>
        </w:rPr>
        <w:t>n</w:t>
      </w:r>
      <w:r w:rsidR="00A4748D" w:rsidRPr="00AA36EB">
        <w:rPr>
          <w:rFonts w:asciiTheme="majorHAnsi" w:hAnsiTheme="majorHAnsi"/>
          <w:sz w:val="20"/>
          <w:szCs w:val="20"/>
          <w:lang w:val="es-ES_tradnl"/>
        </w:rPr>
        <w:t xml:space="preserve"> caracterizar violaciones a los artículos </w:t>
      </w:r>
      <w:r w:rsidR="00A4748D" w:rsidRPr="00AA36EB">
        <w:rPr>
          <w:rFonts w:ascii="Cambria" w:hAnsi="Cambria"/>
          <w:sz w:val="20"/>
          <w:szCs w:val="20"/>
          <w:lang w:val="es-ES"/>
        </w:rPr>
        <w:t>8 (garantías judiciales)</w:t>
      </w:r>
      <w:r w:rsidR="00DE22AE" w:rsidRPr="00AA36EB">
        <w:rPr>
          <w:rFonts w:ascii="Cambria" w:hAnsi="Cambria"/>
          <w:sz w:val="20"/>
          <w:szCs w:val="20"/>
          <w:lang w:val="es-ES"/>
        </w:rPr>
        <w:t xml:space="preserve">, </w:t>
      </w:r>
      <w:r w:rsidR="007F09E2" w:rsidRPr="00AA36EB">
        <w:rPr>
          <w:rFonts w:ascii="Cambria" w:hAnsi="Cambria"/>
          <w:sz w:val="20"/>
          <w:szCs w:val="20"/>
          <w:lang w:val="es-ES"/>
        </w:rPr>
        <w:t>19 (</w:t>
      </w:r>
      <w:r w:rsidR="0098254A" w:rsidRPr="00AA36EB">
        <w:rPr>
          <w:rFonts w:ascii="Cambria" w:hAnsi="Cambria"/>
          <w:sz w:val="20"/>
          <w:szCs w:val="20"/>
          <w:lang w:val="es-ES"/>
        </w:rPr>
        <w:t xml:space="preserve">derechos del niño), </w:t>
      </w:r>
      <w:r w:rsidR="00DE22AE" w:rsidRPr="00AA36EB">
        <w:rPr>
          <w:rFonts w:ascii="Cambria" w:hAnsi="Cambria"/>
          <w:sz w:val="20"/>
          <w:szCs w:val="20"/>
          <w:lang w:val="es-ES"/>
        </w:rPr>
        <w:t>24 (igualdad ante la ley)</w:t>
      </w:r>
      <w:r w:rsidR="00A4748D" w:rsidRPr="00AA36EB">
        <w:rPr>
          <w:rFonts w:ascii="Cambria" w:hAnsi="Cambria"/>
          <w:sz w:val="20"/>
          <w:szCs w:val="20"/>
          <w:lang w:val="es-ES"/>
        </w:rPr>
        <w:t xml:space="preserve"> y 25 (protección judicial) de la Convención Americana</w:t>
      </w:r>
      <w:r w:rsidR="00A4748D" w:rsidRPr="00AA36EB">
        <w:rPr>
          <w:rFonts w:asciiTheme="majorHAnsi" w:hAnsiTheme="majorHAnsi"/>
          <w:sz w:val="20"/>
          <w:szCs w:val="20"/>
          <w:lang w:val="es-ES_tradnl"/>
        </w:rPr>
        <w:t xml:space="preserve"> en relación con </w:t>
      </w:r>
      <w:r w:rsidR="00DE22AE" w:rsidRPr="00AA36EB">
        <w:rPr>
          <w:rFonts w:asciiTheme="majorHAnsi" w:hAnsiTheme="majorHAnsi"/>
          <w:sz w:val="20"/>
          <w:szCs w:val="20"/>
          <w:lang w:val="es-ES_tradnl"/>
        </w:rPr>
        <w:t>el</w:t>
      </w:r>
      <w:r w:rsidR="00A4748D" w:rsidRPr="00AA36EB">
        <w:rPr>
          <w:rFonts w:asciiTheme="majorHAnsi" w:hAnsiTheme="majorHAnsi"/>
          <w:sz w:val="20"/>
          <w:szCs w:val="20"/>
          <w:lang w:val="es-ES_tradnl"/>
        </w:rPr>
        <w:t xml:space="preserve"> artículo 1.1 (obligación de respetar los derechos), en perjuicio de</w:t>
      </w:r>
      <w:r w:rsidR="00DE22AE" w:rsidRPr="00AA36EB">
        <w:rPr>
          <w:rFonts w:asciiTheme="majorHAnsi" w:hAnsiTheme="majorHAnsi"/>
          <w:sz w:val="20"/>
          <w:szCs w:val="20"/>
          <w:lang w:val="es-ES_tradnl"/>
        </w:rPr>
        <w:t xml:space="preserve"> S.P</w:t>
      </w:r>
      <w:r w:rsidR="00A4748D" w:rsidRPr="00AA36EB">
        <w:rPr>
          <w:rFonts w:asciiTheme="majorHAnsi" w:hAnsiTheme="majorHAnsi"/>
          <w:sz w:val="20"/>
          <w:szCs w:val="20"/>
          <w:lang w:val="es-ES_tradnl"/>
        </w:rPr>
        <w:t xml:space="preserve">. Asimismo, la Comisión estima pertinente también examinar si tal situación </w:t>
      </w:r>
      <w:r w:rsidR="00DE22AE" w:rsidRPr="00AA36EB">
        <w:rPr>
          <w:rFonts w:asciiTheme="majorHAnsi" w:hAnsiTheme="majorHAnsi"/>
          <w:sz w:val="20"/>
          <w:szCs w:val="20"/>
          <w:lang w:val="es-ES_tradnl"/>
        </w:rPr>
        <w:t xml:space="preserve">incumplió el artículo 7 de la </w:t>
      </w:r>
      <w:r w:rsidR="00A0400A" w:rsidRPr="00AA36EB">
        <w:rPr>
          <w:rFonts w:asciiTheme="majorHAnsi" w:hAnsiTheme="majorHAnsi"/>
          <w:sz w:val="20"/>
          <w:szCs w:val="20"/>
          <w:lang w:val="es-ES_tradnl"/>
        </w:rPr>
        <w:t>Convención</w:t>
      </w:r>
      <w:r w:rsidR="001768E0" w:rsidRPr="00AA36EB">
        <w:rPr>
          <w:rFonts w:asciiTheme="majorHAnsi" w:hAnsiTheme="majorHAnsi"/>
          <w:sz w:val="20"/>
          <w:szCs w:val="20"/>
          <w:lang w:val="es-ES_tradnl"/>
        </w:rPr>
        <w:t xml:space="preserve"> Belém Do Pará</w:t>
      </w:r>
      <w:r w:rsidR="003C6BF7" w:rsidRPr="00AA36EB">
        <w:rPr>
          <w:rFonts w:asciiTheme="majorHAnsi" w:hAnsiTheme="majorHAnsi"/>
          <w:sz w:val="20"/>
          <w:szCs w:val="20"/>
          <w:lang w:val="es-ES_tradnl"/>
        </w:rPr>
        <w:t>, en perjuicio de la presunta víctima</w:t>
      </w:r>
      <w:r w:rsidR="001768E0" w:rsidRPr="00AA36EB">
        <w:rPr>
          <w:rFonts w:asciiTheme="majorHAnsi" w:hAnsiTheme="majorHAnsi"/>
          <w:sz w:val="20"/>
          <w:szCs w:val="20"/>
          <w:lang w:val="es-ES_tradnl"/>
        </w:rPr>
        <w:t xml:space="preserve">. </w:t>
      </w:r>
    </w:p>
    <w:p w14:paraId="29BB41F5" w14:textId="2818AC84" w:rsidR="003239B8" w:rsidRPr="00AA36EB" w:rsidRDefault="003239B8" w:rsidP="00AA36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AA36EB">
        <w:rPr>
          <w:rFonts w:asciiTheme="majorHAnsi" w:hAnsiTheme="majorHAnsi"/>
          <w:b/>
          <w:bCs/>
          <w:sz w:val="20"/>
          <w:szCs w:val="20"/>
          <w:lang w:val="es-ES"/>
        </w:rPr>
        <w:t xml:space="preserve">VIII. </w:t>
      </w:r>
      <w:r w:rsidRPr="00AA36EB">
        <w:rPr>
          <w:rFonts w:asciiTheme="majorHAnsi" w:hAnsiTheme="majorHAnsi"/>
          <w:b/>
          <w:bCs/>
          <w:sz w:val="20"/>
          <w:szCs w:val="20"/>
          <w:lang w:val="es-ES"/>
        </w:rPr>
        <w:tab/>
        <w:t>DECISIÓN</w:t>
      </w:r>
    </w:p>
    <w:p w14:paraId="41AA5BF6" w14:textId="5881FCD6" w:rsidR="000419AD" w:rsidRPr="00AA36EB" w:rsidRDefault="003239B8" w:rsidP="00AA36E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AA36EB">
        <w:rPr>
          <w:rFonts w:asciiTheme="majorHAnsi" w:hAnsiTheme="majorHAnsi"/>
          <w:sz w:val="20"/>
          <w:szCs w:val="20"/>
          <w:lang w:val="es-ES"/>
        </w:rPr>
        <w:t>Declarar admisible la presente petición en relación con</w:t>
      </w:r>
      <w:r w:rsidR="00F84526" w:rsidRPr="00AA36EB">
        <w:rPr>
          <w:rFonts w:asciiTheme="majorHAnsi" w:hAnsiTheme="majorHAnsi"/>
          <w:sz w:val="20"/>
          <w:szCs w:val="20"/>
          <w:lang w:val="es-ES"/>
        </w:rPr>
        <w:t xml:space="preserve"> los artículos 8, </w:t>
      </w:r>
      <w:r w:rsidR="0098254A" w:rsidRPr="00AA36EB">
        <w:rPr>
          <w:rFonts w:asciiTheme="majorHAnsi" w:hAnsiTheme="majorHAnsi"/>
          <w:sz w:val="20"/>
          <w:szCs w:val="20"/>
          <w:lang w:val="es-ES"/>
        </w:rPr>
        <w:t xml:space="preserve">19, </w:t>
      </w:r>
      <w:r w:rsidR="00F84526" w:rsidRPr="00AA36EB">
        <w:rPr>
          <w:rFonts w:asciiTheme="majorHAnsi" w:hAnsiTheme="majorHAnsi"/>
          <w:sz w:val="20"/>
          <w:szCs w:val="20"/>
          <w:lang w:val="es-ES"/>
        </w:rPr>
        <w:t>24 y 25 de la Convención Americana; y el artículo 7 de la Convención Belém Do Pará</w:t>
      </w:r>
      <w:r w:rsidR="00A758AA" w:rsidRPr="00AA36EB">
        <w:rPr>
          <w:rFonts w:asciiTheme="majorHAnsi" w:hAnsiTheme="majorHAnsi"/>
          <w:sz w:val="20"/>
          <w:szCs w:val="20"/>
          <w:lang w:val="es-ES"/>
        </w:rPr>
        <w:t>;</w:t>
      </w:r>
      <w:r w:rsidR="007B76D3" w:rsidRPr="00AA36EB">
        <w:rPr>
          <w:rFonts w:asciiTheme="majorHAnsi" w:hAnsiTheme="majorHAnsi"/>
          <w:sz w:val="20"/>
          <w:szCs w:val="20"/>
          <w:lang w:val="es-ES"/>
        </w:rPr>
        <w:t xml:space="preserve"> y</w:t>
      </w:r>
    </w:p>
    <w:p w14:paraId="12A7002C" w14:textId="77777777" w:rsidR="004A6A54" w:rsidRDefault="004A6A54" w:rsidP="00AA36E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6E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D98495A" w14:textId="2CEE5C1A" w:rsidR="008D768D" w:rsidRPr="00C60EF9" w:rsidRDefault="00991C9C" w:rsidP="00C60EF9">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w:t>
      </w:r>
      <w:r w:rsidRPr="00BF514C">
        <w:rPr>
          <w:rStyle w:val="normaltextrun"/>
          <w:rFonts w:ascii="Cambria" w:hAnsi="Cambria" w:cs="Segoe UI"/>
          <w:sz w:val="20"/>
          <w:szCs w:val="20"/>
          <w:lang w:val="es-CL"/>
        </w:rPr>
        <w:t>r la Comisión Interamericana de Derechos Humanos a los 3 días del mes de abril de 2025.  (Firmado): José Luis Caballero Ochoa, Presidente; Andrea Pochak, Primera Vicepresidenta; Edgar Stuardo Ralón Orellana</w:t>
      </w:r>
      <w:r w:rsidR="00BF514C" w:rsidRPr="00BF514C">
        <w:rPr>
          <w:rStyle w:val="normaltextrun"/>
          <w:rFonts w:ascii="Cambria" w:hAnsi="Cambria" w:cs="Segoe UI"/>
          <w:sz w:val="20"/>
          <w:szCs w:val="20"/>
          <w:lang w:val="es-CL"/>
        </w:rPr>
        <w:t xml:space="preserve"> y </w:t>
      </w:r>
      <w:r w:rsidRPr="00BF514C">
        <w:rPr>
          <w:rStyle w:val="normaltextrun"/>
          <w:rFonts w:ascii="Cambria" w:hAnsi="Cambria" w:cs="Segoe UI"/>
          <w:sz w:val="20"/>
          <w:szCs w:val="20"/>
          <w:lang w:val="es-CL"/>
        </w:rPr>
        <w:t xml:space="preserve">Carlos Bernal Pulido, </w:t>
      </w:r>
      <w:r w:rsidR="00725F8B">
        <w:rPr>
          <w:rStyle w:val="normaltextrun"/>
          <w:rFonts w:ascii="Cambria" w:hAnsi="Cambria" w:cs="Segoe UI"/>
          <w:sz w:val="20"/>
          <w:szCs w:val="20"/>
          <w:lang w:val="es-CL"/>
        </w:rPr>
        <w:t>m</w:t>
      </w:r>
      <w:r w:rsidRPr="00BF514C">
        <w:rPr>
          <w:rStyle w:val="normaltextrun"/>
          <w:rFonts w:ascii="Cambria" w:hAnsi="Cambria" w:cs="Segoe UI"/>
          <w:sz w:val="20"/>
          <w:szCs w:val="20"/>
          <w:lang w:val="es-CL"/>
        </w:rPr>
        <w:t>ie</w:t>
      </w:r>
      <w:r>
        <w:rPr>
          <w:rStyle w:val="normaltextrun"/>
          <w:rFonts w:ascii="Cambria" w:hAnsi="Cambria" w:cs="Segoe UI"/>
          <w:sz w:val="20"/>
          <w:szCs w:val="20"/>
          <w:lang w:val="es-CL"/>
        </w:rPr>
        <w:t>mbros de la Comisión.</w:t>
      </w:r>
    </w:p>
    <w:p w14:paraId="6AC80CA6" w14:textId="77777777" w:rsidR="00722C9F" w:rsidRPr="00974491" w:rsidRDefault="00722C9F" w:rsidP="00AA36EB">
      <w:pPr>
        <w:spacing w:before="240" w:after="240"/>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F7D1" w14:textId="77777777" w:rsidR="00517274" w:rsidRDefault="00517274">
      <w:r>
        <w:separator/>
      </w:r>
    </w:p>
  </w:endnote>
  <w:endnote w:type="continuationSeparator" w:id="0">
    <w:p w14:paraId="4CD8D4B7" w14:textId="77777777" w:rsidR="00517274" w:rsidRDefault="0051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85C9" w14:textId="77777777" w:rsidR="00517274" w:rsidRPr="000F35ED" w:rsidRDefault="0051727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C071788" w14:textId="77777777" w:rsidR="00517274" w:rsidRPr="000F35ED" w:rsidRDefault="00517274" w:rsidP="000F35ED">
      <w:pPr>
        <w:rPr>
          <w:rFonts w:asciiTheme="majorHAnsi" w:hAnsiTheme="majorHAnsi"/>
          <w:sz w:val="16"/>
          <w:szCs w:val="16"/>
        </w:rPr>
      </w:pPr>
      <w:r w:rsidRPr="000F35ED">
        <w:rPr>
          <w:rFonts w:asciiTheme="majorHAnsi" w:hAnsiTheme="majorHAnsi"/>
          <w:sz w:val="16"/>
          <w:szCs w:val="16"/>
        </w:rPr>
        <w:separator/>
      </w:r>
    </w:p>
    <w:p w14:paraId="371EAC46" w14:textId="77777777" w:rsidR="00517274" w:rsidRPr="000F35ED" w:rsidRDefault="0051727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AA68311" w14:textId="77777777" w:rsidR="00517274" w:rsidRPr="000F35ED" w:rsidRDefault="005172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98F57CA" w14:textId="7F32C7F2" w:rsidR="00A5364B" w:rsidRPr="00D66FC6" w:rsidRDefault="00A5364B" w:rsidP="00286CFD">
      <w:pPr>
        <w:pStyle w:val="FootnoteText"/>
        <w:ind w:firstLine="720"/>
        <w:jc w:val="both"/>
        <w:rPr>
          <w:lang w:val="es-PE"/>
        </w:rPr>
      </w:pPr>
      <w:r w:rsidRPr="00D66FC6">
        <w:rPr>
          <w:rStyle w:val="FootnoteReference"/>
          <w:rFonts w:asciiTheme="majorHAnsi" w:hAnsiTheme="majorHAnsi"/>
          <w:sz w:val="16"/>
          <w:szCs w:val="16"/>
        </w:rPr>
        <w:footnoteRef/>
      </w:r>
      <w:r w:rsidRPr="00D66FC6">
        <w:rPr>
          <w:rFonts w:asciiTheme="majorHAnsi" w:hAnsiTheme="majorHAnsi"/>
          <w:sz w:val="16"/>
          <w:szCs w:val="16"/>
          <w:lang w:val="es-PE"/>
        </w:rPr>
        <w:t xml:space="preserve"> </w:t>
      </w:r>
      <w:r w:rsidR="00D66FC6" w:rsidRPr="00D66FC6">
        <w:rPr>
          <w:rFonts w:asciiTheme="majorHAnsi" w:hAnsiTheme="majorHAnsi"/>
          <w:sz w:val="16"/>
          <w:szCs w:val="16"/>
          <w:lang w:val="es-PE"/>
        </w:rPr>
        <w:t xml:space="preserve">Por tratarse de una denuncia de hechos de violencia sexual en perjuicio de una niña, la </w:t>
      </w:r>
      <w:r w:rsidR="006C7D2B">
        <w:rPr>
          <w:rFonts w:asciiTheme="majorHAnsi" w:hAnsiTheme="majorHAnsi"/>
          <w:sz w:val="16"/>
          <w:szCs w:val="16"/>
          <w:lang w:val="es-PE"/>
        </w:rPr>
        <w:t>CIDH</w:t>
      </w:r>
      <w:r w:rsidR="00D66FC6" w:rsidRPr="00D66FC6">
        <w:rPr>
          <w:rFonts w:asciiTheme="majorHAnsi" w:hAnsiTheme="majorHAnsi"/>
          <w:sz w:val="16"/>
          <w:szCs w:val="16"/>
          <w:lang w:val="es-PE"/>
        </w:rPr>
        <w:t xml:space="preserve"> decidió aplicar la restricción de identidad </w:t>
      </w:r>
      <w:r w:rsidR="00AF6E7B">
        <w:rPr>
          <w:rFonts w:asciiTheme="majorHAnsi" w:hAnsiTheme="majorHAnsi"/>
          <w:sz w:val="16"/>
          <w:szCs w:val="16"/>
          <w:lang w:val="es-PE"/>
        </w:rPr>
        <w:t>de la</w:t>
      </w:r>
      <w:r w:rsidR="00D66FC6" w:rsidRPr="00D66FC6">
        <w:rPr>
          <w:rFonts w:asciiTheme="majorHAnsi" w:hAnsiTheme="majorHAnsi"/>
          <w:sz w:val="16"/>
          <w:szCs w:val="16"/>
          <w:lang w:val="es-PE"/>
        </w:rPr>
        <w:t xml:space="preserve"> presunta víctima </w:t>
      </w:r>
      <w:r w:rsidR="006C7D2B">
        <w:rPr>
          <w:rFonts w:asciiTheme="majorHAnsi" w:hAnsiTheme="majorHAnsi"/>
          <w:sz w:val="16"/>
          <w:szCs w:val="16"/>
          <w:lang w:val="es-PE"/>
        </w:rPr>
        <w:t xml:space="preserve">y la reserva de identidad del peticionario </w:t>
      </w:r>
      <w:r w:rsidR="00D66FC6" w:rsidRPr="00D66FC6">
        <w:rPr>
          <w:rFonts w:asciiTheme="majorHAnsi" w:hAnsiTheme="majorHAnsi"/>
          <w:sz w:val="16"/>
          <w:szCs w:val="16"/>
          <w:lang w:val="es-PE"/>
        </w:rPr>
        <w:t xml:space="preserve">para evitar </w:t>
      </w:r>
      <w:r w:rsidR="001D0E76">
        <w:rPr>
          <w:rFonts w:asciiTheme="majorHAnsi" w:hAnsiTheme="majorHAnsi"/>
          <w:sz w:val="16"/>
          <w:szCs w:val="16"/>
          <w:lang w:val="es-PE"/>
        </w:rPr>
        <w:t>p</w:t>
      </w:r>
      <w:r w:rsidR="00D66FC6" w:rsidRPr="00D66FC6">
        <w:rPr>
          <w:rFonts w:asciiTheme="majorHAnsi" w:hAnsiTheme="majorHAnsi"/>
          <w:sz w:val="16"/>
          <w:szCs w:val="16"/>
          <w:lang w:val="es-PE"/>
        </w:rPr>
        <w:t>osibles afectaciones a su vida privada.</w:t>
      </w:r>
    </w:p>
  </w:footnote>
  <w:footnote w:id="3">
    <w:p w14:paraId="6981D0CE" w14:textId="77777777" w:rsidR="00132DD2" w:rsidRPr="000D514C" w:rsidRDefault="00132DD2" w:rsidP="00286CFD">
      <w:pPr>
        <w:pStyle w:val="FootnoteText"/>
        <w:ind w:firstLine="720"/>
        <w:jc w:val="both"/>
        <w:rPr>
          <w:rFonts w:asciiTheme="majorHAnsi" w:hAnsiTheme="majorHAnsi"/>
          <w:sz w:val="16"/>
          <w:szCs w:val="16"/>
          <w:lang w:val="es-US"/>
        </w:rPr>
      </w:pPr>
      <w:r w:rsidRPr="000D514C">
        <w:rPr>
          <w:rStyle w:val="FootnoteReference"/>
          <w:rFonts w:asciiTheme="majorHAnsi" w:hAnsiTheme="majorHAnsi"/>
          <w:sz w:val="16"/>
          <w:szCs w:val="16"/>
        </w:rPr>
        <w:footnoteRef/>
      </w:r>
      <w:r w:rsidRPr="000D514C">
        <w:rPr>
          <w:rFonts w:asciiTheme="majorHAnsi" w:hAnsiTheme="majorHAnsi"/>
          <w:sz w:val="16"/>
          <w:szCs w:val="16"/>
          <w:lang w:val="es-US"/>
        </w:rPr>
        <w:t xml:space="preserve"> En adelante, “la Convención Americana” o “la Convención”.</w:t>
      </w:r>
    </w:p>
  </w:footnote>
  <w:footnote w:id="4">
    <w:p w14:paraId="407D3D03" w14:textId="7954C475" w:rsidR="000D514C" w:rsidRPr="000D514C" w:rsidRDefault="000D514C" w:rsidP="00286CFD">
      <w:pPr>
        <w:pStyle w:val="FootnoteText"/>
        <w:ind w:firstLine="720"/>
        <w:rPr>
          <w:rFonts w:asciiTheme="majorHAnsi" w:hAnsiTheme="majorHAnsi"/>
          <w:sz w:val="16"/>
          <w:szCs w:val="16"/>
          <w:lang w:val="es-PE"/>
        </w:rPr>
      </w:pPr>
      <w:r w:rsidRPr="000D514C">
        <w:rPr>
          <w:rStyle w:val="FootnoteReference"/>
          <w:rFonts w:asciiTheme="majorHAnsi" w:hAnsiTheme="majorHAnsi"/>
          <w:sz w:val="16"/>
          <w:szCs w:val="16"/>
        </w:rPr>
        <w:footnoteRef/>
      </w:r>
      <w:r w:rsidRPr="000D514C">
        <w:rPr>
          <w:rFonts w:asciiTheme="majorHAnsi" w:hAnsiTheme="majorHAnsi"/>
          <w:sz w:val="16"/>
          <w:szCs w:val="16"/>
          <w:lang w:val="es-PE"/>
        </w:rPr>
        <w:t xml:space="preserve"> </w:t>
      </w:r>
      <w:r>
        <w:rPr>
          <w:rFonts w:asciiTheme="majorHAnsi" w:hAnsiTheme="majorHAnsi"/>
          <w:sz w:val="16"/>
          <w:szCs w:val="16"/>
          <w:lang w:val="es-PE"/>
        </w:rPr>
        <w:t xml:space="preserve">En adelante, </w:t>
      </w:r>
      <w:r w:rsidR="00BC5DDB">
        <w:rPr>
          <w:rFonts w:asciiTheme="majorHAnsi" w:hAnsiTheme="majorHAnsi"/>
          <w:sz w:val="16"/>
          <w:szCs w:val="16"/>
          <w:lang w:val="es-PE"/>
        </w:rPr>
        <w:t>“</w:t>
      </w:r>
      <w:r>
        <w:rPr>
          <w:rFonts w:asciiTheme="majorHAnsi" w:hAnsiTheme="majorHAnsi"/>
          <w:sz w:val="16"/>
          <w:szCs w:val="16"/>
          <w:lang w:val="es-PE"/>
        </w:rPr>
        <w:t>la</w:t>
      </w:r>
      <w:r w:rsidR="00BC5DDB">
        <w:rPr>
          <w:rFonts w:asciiTheme="majorHAnsi" w:hAnsiTheme="majorHAnsi"/>
          <w:sz w:val="16"/>
          <w:szCs w:val="16"/>
          <w:lang w:val="es-PE"/>
        </w:rPr>
        <w:t xml:space="preserve"> Declaración Americana” o “la Declaración”. </w:t>
      </w:r>
    </w:p>
  </w:footnote>
  <w:footnote w:id="5">
    <w:p w14:paraId="06E1DD0B" w14:textId="2F7C0EE3" w:rsidR="0025388D" w:rsidRPr="0025388D" w:rsidRDefault="0025388D" w:rsidP="00286CFD">
      <w:pPr>
        <w:pStyle w:val="FootnoteText"/>
        <w:ind w:firstLine="720"/>
        <w:rPr>
          <w:lang w:val="es-PE"/>
        </w:rPr>
      </w:pPr>
      <w:r w:rsidRPr="0025388D">
        <w:rPr>
          <w:rStyle w:val="FootnoteReference"/>
          <w:rFonts w:asciiTheme="majorHAnsi" w:hAnsiTheme="majorHAnsi"/>
          <w:sz w:val="16"/>
          <w:szCs w:val="16"/>
        </w:rPr>
        <w:footnoteRef/>
      </w:r>
      <w:r w:rsidRPr="0025388D">
        <w:rPr>
          <w:rFonts w:asciiTheme="majorHAnsi" w:hAnsiTheme="majorHAnsi"/>
          <w:sz w:val="16"/>
          <w:szCs w:val="16"/>
          <w:lang w:val="es-PE"/>
        </w:rPr>
        <w:t xml:space="preserve"> En</w:t>
      </w:r>
      <w:r>
        <w:rPr>
          <w:rFonts w:asciiTheme="majorHAnsi" w:hAnsiTheme="majorHAnsi"/>
          <w:sz w:val="16"/>
          <w:szCs w:val="16"/>
          <w:lang w:val="es-PE"/>
        </w:rPr>
        <w:t xml:space="preserve"> adelante, “la Convención Belém Do Pará”.</w:t>
      </w:r>
    </w:p>
  </w:footnote>
  <w:footnote w:id="6">
    <w:p w14:paraId="79F07139" w14:textId="77777777" w:rsidR="008E3BFE" w:rsidRPr="00537490" w:rsidRDefault="008E3BFE" w:rsidP="00286CFD">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7">
    <w:p w14:paraId="5C66E205" w14:textId="13835B98" w:rsidR="005D7D41" w:rsidRPr="00A51960" w:rsidRDefault="005D7D41" w:rsidP="00286CFD">
      <w:pPr>
        <w:pStyle w:val="FootnoteText"/>
        <w:ind w:firstLine="720"/>
        <w:rPr>
          <w:rFonts w:asciiTheme="majorHAnsi" w:hAnsiTheme="majorHAnsi"/>
          <w:sz w:val="16"/>
          <w:szCs w:val="16"/>
          <w:lang w:val="es-PE"/>
        </w:rPr>
      </w:pPr>
      <w:r w:rsidRPr="00A51960">
        <w:rPr>
          <w:rStyle w:val="FootnoteReference"/>
          <w:rFonts w:asciiTheme="majorHAnsi" w:hAnsiTheme="majorHAnsi"/>
          <w:sz w:val="16"/>
          <w:szCs w:val="16"/>
        </w:rPr>
        <w:footnoteRef/>
      </w:r>
      <w:r w:rsidRPr="00A51960">
        <w:rPr>
          <w:rFonts w:asciiTheme="majorHAnsi" w:hAnsiTheme="majorHAnsi"/>
          <w:sz w:val="16"/>
          <w:szCs w:val="16"/>
          <w:lang w:val="es-PE"/>
        </w:rPr>
        <w:t xml:space="preserve"> CIDH, Informe No. 180/18</w:t>
      </w:r>
      <w:r w:rsidR="00856763">
        <w:rPr>
          <w:rFonts w:asciiTheme="majorHAnsi" w:hAnsiTheme="majorHAnsi"/>
          <w:sz w:val="16"/>
          <w:szCs w:val="16"/>
          <w:lang w:val="es-PE"/>
        </w:rPr>
        <w:t>,</w:t>
      </w:r>
      <w:r w:rsidRPr="00A51960">
        <w:rPr>
          <w:rFonts w:asciiTheme="majorHAnsi" w:hAnsiTheme="majorHAnsi"/>
          <w:sz w:val="16"/>
          <w:szCs w:val="16"/>
          <w:lang w:val="es-PE"/>
        </w:rPr>
        <w:t xml:space="preserve"> Petición 1616-07</w:t>
      </w:r>
      <w:r w:rsidR="00856763">
        <w:rPr>
          <w:rFonts w:asciiTheme="majorHAnsi" w:hAnsiTheme="majorHAnsi"/>
          <w:sz w:val="16"/>
          <w:szCs w:val="16"/>
          <w:lang w:val="es-PE"/>
        </w:rPr>
        <w:t>,</w:t>
      </w:r>
      <w:r w:rsidRPr="00A51960">
        <w:rPr>
          <w:rFonts w:asciiTheme="majorHAnsi" w:hAnsiTheme="majorHAnsi"/>
          <w:sz w:val="16"/>
          <w:szCs w:val="16"/>
          <w:lang w:val="es-PE"/>
        </w:rPr>
        <w:t xml:space="preserve"> Admisibilidad. A.G.A. y familiares</w:t>
      </w:r>
      <w:r w:rsidR="00856763">
        <w:rPr>
          <w:rFonts w:asciiTheme="majorHAnsi" w:hAnsiTheme="majorHAnsi"/>
          <w:sz w:val="16"/>
          <w:szCs w:val="16"/>
          <w:lang w:val="es-PE"/>
        </w:rPr>
        <w:t>,</w:t>
      </w:r>
      <w:r w:rsidRPr="00A51960">
        <w:rPr>
          <w:rFonts w:asciiTheme="majorHAnsi" w:hAnsiTheme="majorHAnsi"/>
          <w:sz w:val="16"/>
          <w:szCs w:val="16"/>
          <w:lang w:val="es-PE"/>
        </w:rPr>
        <w:t xml:space="preserve"> </w:t>
      </w:r>
      <w:r w:rsidRPr="00856763">
        <w:rPr>
          <w:rFonts w:asciiTheme="majorHAnsi" w:hAnsiTheme="majorHAnsi"/>
          <w:sz w:val="16"/>
          <w:szCs w:val="16"/>
          <w:lang w:val="es-PE"/>
        </w:rPr>
        <w:t>Colombia</w:t>
      </w:r>
      <w:r w:rsidR="00856763" w:rsidRPr="00856763">
        <w:rPr>
          <w:rFonts w:asciiTheme="majorHAnsi" w:hAnsiTheme="majorHAnsi"/>
          <w:sz w:val="16"/>
          <w:szCs w:val="16"/>
          <w:lang w:val="es-PE"/>
        </w:rPr>
        <w:t>,</w:t>
      </w:r>
      <w:r w:rsidRPr="00856763">
        <w:rPr>
          <w:rFonts w:asciiTheme="majorHAnsi" w:hAnsiTheme="majorHAnsi"/>
          <w:sz w:val="16"/>
          <w:szCs w:val="16"/>
          <w:lang w:val="es-PE"/>
        </w:rPr>
        <w:t xml:space="preserve"> 26 de diciembre de 2018, párr. 17.</w:t>
      </w:r>
    </w:p>
  </w:footnote>
  <w:footnote w:id="8">
    <w:p w14:paraId="701A5474" w14:textId="48D37A3E" w:rsidR="009D73E7" w:rsidRPr="009D73E7" w:rsidRDefault="009D73E7" w:rsidP="00286CFD">
      <w:pPr>
        <w:pStyle w:val="FootnoteText"/>
        <w:ind w:firstLine="720"/>
        <w:jc w:val="both"/>
        <w:rPr>
          <w:rFonts w:asciiTheme="majorHAnsi" w:hAnsiTheme="majorHAnsi"/>
          <w:sz w:val="16"/>
          <w:szCs w:val="16"/>
          <w:lang w:val="es-PE"/>
        </w:rPr>
      </w:pPr>
      <w:r w:rsidRPr="009D73E7">
        <w:rPr>
          <w:rStyle w:val="FootnoteReference"/>
          <w:rFonts w:asciiTheme="majorHAnsi" w:hAnsiTheme="majorHAnsi"/>
          <w:sz w:val="16"/>
          <w:szCs w:val="16"/>
        </w:rPr>
        <w:footnoteRef/>
      </w:r>
      <w:r w:rsidRPr="009D73E7">
        <w:rPr>
          <w:rFonts w:asciiTheme="majorHAnsi" w:hAnsiTheme="majorHAnsi"/>
          <w:sz w:val="16"/>
          <w:szCs w:val="16"/>
          <w:lang w:val="es-PE"/>
        </w:rPr>
        <w:t xml:space="preserve"> Corte IDH</w:t>
      </w:r>
      <w:r w:rsidR="00856763">
        <w:rPr>
          <w:rFonts w:asciiTheme="majorHAnsi" w:hAnsiTheme="majorHAnsi"/>
          <w:sz w:val="16"/>
          <w:szCs w:val="16"/>
          <w:lang w:val="es-PE"/>
        </w:rPr>
        <w:t>,</w:t>
      </w:r>
      <w:r w:rsidRPr="009D73E7">
        <w:rPr>
          <w:rFonts w:asciiTheme="majorHAnsi" w:hAnsiTheme="majorHAnsi"/>
          <w:sz w:val="16"/>
          <w:szCs w:val="16"/>
          <w:lang w:val="es-PE"/>
        </w:rPr>
        <w:t xml:space="preserve"> Caso V.R.P., V.P.C. y otros Vs. Nicaragua</w:t>
      </w:r>
      <w:r w:rsidR="00856763">
        <w:rPr>
          <w:rFonts w:asciiTheme="majorHAnsi" w:hAnsiTheme="majorHAnsi"/>
          <w:sz w:val="16"/>
          <w:szCs w:val="16"/>
          <w:lang w:val="es-PE"/>
        </w:rPr>
        <w:t>,</w:t>
      </w:r>
      <w:r w:rsidRPr="009D73E7">
        <w:rPr>
          <w:rFonts w:asciiTheme="majorHAnsi" w:hAnsiTheme="majorHAnsi"/>
          <w:sz w:val="16"/>
          <w:szCs w:val="16"/>
          <w:lang w:val="es-PE"/>
        </w:rPr>
        <w:t xml:space="preserve"> Excepciones Preliminares, Fondo, Reparaciones y Costas</w:t>
      </w:r>
      <w:r w:rsidR="00856763">
        <w:rPr>
          <w:rFonts w:asciiTheme="majorHAnsi" w:hAnsiTheme="majorHAnsi"/>
          <w:sz w:val="16"/>
          <w:szCs w:val="16"/>
          <w:lang w:val="es-PE"/>
        </w:rPr>
        <w:t>,</w:t>
      </w:r>
      <w:r w:rsidRPr="009D73E7">
        <w:rPr>
          <w:rFonts w:asciiTheme="majorHAnsi" w:hAnsiTheme="majorHAnsi"/>
          <w:sz w:val="16"/>
          <w:szCs w:val="16"/>
          <w:lang w:val="es-PE"/>
        </w:rPr>
        <w:t xml:space="preserve"> Sentencia de 8 de marzo de 2018</w:t>
      </w:r>
      <w:r w:rsidR="00856763">
        <w:rPr>
          <w:rFonts w:asciiTheme="majorHAnsi" w:hAnsiTheme="majorHAnsi"/>
          <w:sz w:val="16"/>
          <w:szCs w:val="16"/>
          <w:lang w:val="es-PE"/>
        </w:rPr>
        <w:t>,</w:t>
      </w:r>
      <w:r w:rsidRPr="009D73E7">
        <w:rPr>
          <w:rFonts w:asciiTheme="majorHAnsi" w:hAnsiTheme="majorHAnsi"/>
          <w:sz w:val="16"/>
          <w:szCs w:val="16"/>
          <w:lang w:val="es-PE"/>
        </w:rPr>
        <w:t xml:space="preserve"> Serie C No. 350, párr. 152 y 155.</w:t>
      </w:r>
    </w:p>
  </w:footnote>
  <w:footnote w:id="9">
    <w:p w14:paraId="24921C0A" w14:textId="77777777" w:rsidR="00524B1E" w:rsidRPr="00C71165" w:rsidRDefault="00524B1E" w:rsidP="00286CFD">
      <w:pPr>
        <w:pStyle w:val="FootnoteText"/>
        <w:ind w:firstLine="720"/>
        <w:rPr>
          <w:rFonts w:asciiTheme="majorHAnsi" w:hAnsiTheme="majorHAnsi"/>
          <w:sz w:val="16"/>
          <w:szCs w:val="16"/>
          <w:lang w:val="es-US"/>
        </w:rPr>
      </w:pPr>
      <w:r w:rsidRPr="00C71165">
        <w:rPr>
          <w:rStyle w:val="FootnoteReference"/>
          <w:rFonts w:asciiTheme="majorHAnsi" w:hAnsiTheme="majorHAnsi"/>
          <w:sz w:val="16"/>
          <w:szCs w:val="16"/>
        </w:rPr>
        <w:footnoteRef/>
      </w:r>
      <w:r w:rsidRPr="00C71165">
        <w:rPr>
          <w:rFonts w:asciiTheme="majorHAnsi" w:hAnsiTheme="majorHAnsi"/>
          <w:sz w:val="16"/>
          <w:szCs w:val="16"/>
          <w:lang w:val="es-PE"/>
        </w:rPr>
        <w:t xml:space="preserve"> </w:t>
      </w:r>
      <w:r w:rsidRPr="00C71165">
        <w:rPr>
          <w:rFonts w:asciiTheme="majorHAnsi" w:hAnsiTheme="majorHAnsi"/>
          <w:sz w:val="16"/>
          <w:szCs w:val="16"/>
          <w:lang w:val="es-US"/>
        </w:rPr>
        <w:t>El Estado de Ecuador ratificó el citado tratado el 3 de abril de 2008.</w:t>
      </w:r>
    </w:p>
  </w:footnote>
  <w:footnote w:id="10">
    <w:p w14:paraId="7C48754A" w14:textId="38C62379" w:rsidR="00B8075C" w:rsidRPr="00856763" w:rsidRDefault="00B8075C" w:rsidP="00286CFD">
      <w:pPr>
        <w:pStyle w:val="FootnoteText"/>
        <w:ind w:firstLine="720"/>
        <w:rPr>
          <w:rFonts w:asciiTheme="majorHAnsi" w:hAnsiTheme="majorHAnsi"/>
          <w:sz w:val="16"/>
          <w:szCs w:val="16"/>
          <w:lang w:val="es-US"/>
        </w:rPr>
      </w:pPr>
      <w:r w:rsidRPr="00856763">
        <w:rPr>
          <w:rStyle w:val="FootnoteReference"/>
          <w:rFonts w:asciiTheme="majorHAnsi" w:hAnsiTheme="majorHAnsi"/>
          <w:sz w:val="16"/>
          <w:szCs w:val="16"/>
        </w:rPr>
        <w:footnoteRef/>
      </w:r>
      <w:r w:rsidRPr="00856763">
        <w:rPr>
          <w:rFonts w:asciiTheme="majorHAnsi" w:hAnsiTheme="majorHAnsi"/>
          <w:sz w:val="16"/>
          <w:szCs w:val="16"/>
          <w:lang w:val="es-PE"/>
        </w:rPr>
        <w:t xml:space="preserve"> </w:t>
      </w:r>
      <w:r w:rsidR="00856763" w:rsidRPr="00856763">
        <w:rPr>
          <w:rFonts w:asciiTheme="majorHAnsi" w:hAnsiTheme="majorHAnsi"/>
          <w:sz w:val="16"/>
          <w:szCs w:val="16"/>
          <w:lang w:val="es-PE"/>
        </w:rPr>
        <w:t>Corte IDH</w:t>
      </w:r>
      <w:r w:rsidR="00856763">
        <w:rPr>
          <w:rFonts w:asciiTheme="majorHAnsi" w:hAnsiTheme="majorHAnsi"/>
          <w:sz w:val="16"/>
          <w:szCs w:val="16"/>
          <w:lang w:val="es-PE"/>
        </w:rPr>
        <w:t>,</w:t>
      </w:r>
      <w:r w:rsidR="00856763" w:rsidRPr="00856763">
        <w:rPr>
          <w:rFonts w:asciiTheme="majorHAnsi" w:hAnsiTheme="majorHAnsi"/>
          <w:sz w:val="16"/>
          <w:szCs w:val="16"/>
          <w:lang w:val="es-PE"/>
        </w:rPr>
        <w:t xml:space="preserve"> Caso Guachalá Chimbo y otros Vs. Ecuador</w:t>
      </w:r>
      <w:r w:rsidR="00856763">
        <w:rPr>
          <w:rFonts w:asciiTheme="majorHAnsi" w:hAnsiTheme="majorHAnsi"/>
          <w:sz w:val="16"/>
          <w:szCs w:val="16"/>
          <w:lang w:val="es-PE"/>
        </w:rPr>
        <w:t>,</w:t>
      </w:r>
      <w:r w:rsidR="00856763" w:rsidRPr="00856763">
        <w:rPr>
          <w:rFonts w:asciiTheme="majorHAnsi" w:hAnsiTheme="majorHAnsi"/>
          <w:sz w:val="16"/>
          <w:szCs w:val="16"/>
          <w:lang w:val="es-PE"/>
        </w:rPr>
        <w:t xml:space="preserve"> Fondo, Reparaciones y Costas</w:t>
      </w:r>
      <w:r w:rsidR="00856763">
        <w:rPr>
          <w:rFonts w:asciiTheme="majorHAnsi" w:hAnsiTheme="majorHAnsi"/>
          <w:sz w:val="16"/>
          <w:szCs w:val="16"/>
          <w:lang w:val="es-PE"/>
        </w:rPr>
        <w:t>,</w:t>
      </w:r>
      <w:r w:rsidR="00856763" w:rsidRPr="00856763">
        <w:rPr>
          <w:rFonts w:asciiTheme="majorHAnsi" w:hAnsiTheme="majorHAnsi"/>
          <w:sz w:val="16"/>
          <w:szCs w:val="16"/>
          <w:lang w:val="es-PE"/>
        </w:rPr>
        <w:t xml:space="preserve"> Sentencia de 26 de marzo de 2021</w:t>
      </w:r>
      <w:r w:rsidR="00856763">
        <w:rPr>
          <w:rFonts w:asciiTheme="majorHAnsi" w:hAnsiTheme="majorHAnsi"/>
          <w:sz w:val="16"/>
          <w:szCs w:val="16"/>
          <w:lang w:val="es-PE"/>
        </w:rPr>
        <w:t>,</w:t>
      </w:r>
      <w:r w:rsidR="00856763" w:rsidRPr="00856763">
        <w:rPr>
          <w:rFonts w:asciiTheme="majorHAnsi" w:hAnsiTheme="majorHAnsi"/>
          <w:sz w:val="16"/>
          <w:szCs w:val="16"/>
          <w:lang w:val="es-PE"/>
        </w:rPr>
        <w:t xml:space="preserve"> Serie C No. 423, párr. 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9635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BA4"/>
    <w:multiLevelType w:val="multilevel"/>
    <w:tmpl w:val="7CF65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02688CC6"/>
    <w:lvl w:ilvl="0" w:tplc="23609D1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6"/>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8"/>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4"/>
  </w:num>
  <w:num w:numId="9" w16cid:durableId="1616525600">
    <w:abstractNumId w:val="52"/>
  </w:num>
  <w:num w:numId="10" w16cid:durableId="1097168266">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30"/>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9"/>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20"/>
  </w:num>
  <w:num w:numId="36" w16cid:durableId="48000539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1"/>
  </w:num>
  <w:num w:numId="54" w16cid:durableId="2134210098">
    <w:abstractNumId w:val="41"/>
  </w:num>
  <w:num w:numId="55" w16cid:durableId="608663301">
    <w:abstractNumId w:val="42"/>
  </w:num>
  <w:num w:numId="56" w16cid:durableId="255601910">
    <w:abstractNumId w:val="48"/>
  </w:num>
  <w:num w:numId="57" w16cid:durableId="1761757703">
    <w:abstractNumId w:val="2"/>
  </w:num>
  <w:num w:numId="58" w16cid:durableId="1186796706">
    <w:abstractNumId w:val="3"/>
  </w:num>
  <w:num w:numId="59" w16cid:durableId="1606693034">
    <w:abstractNumId w:val="10"/>
  </w:num>
  <w:num w:numId="60" w16cid:durableId="1738476247">
    <w:abstractNumId w:val="11"/>
  </w:num>
  <w:num w:numId="61" w16cid:durableId="1484001738">
    <w:abstractNumId w:val="12"/>
  </w:num>
  <w:num w:numId="62" w16cid:durableId="866941465">
    <w:abstractNumId w:val="13"/>
  </w:num>
  <w:num w:numId="63" w16cid:durableId="891114917">
    <w:abstractNumId w:val="14"/>
  </w:num>
  <w:num w:numId="64" w16cid:durableId="1852600886">
    <w:abstractNumId w:val="16"/>
  </w:num>
  <w:num w:numId="65" w16cid:durableId="925655403">
    <w:abstractNumId w:val="17"/>
  </w:num>
  <w:num w:numId="66" w16cid:durableId="1122456303">
    <w:abstractNumId w:val="18"/>
  </w:num>
  <w:num w:numId="67" w16cid:durableId="2034264947">
    <w:abstractNumId w:val="19"/>
  </w:num>
  <w:num w:numId="68" w16cid:durableId="943655646">
    <w:abstractNumId w:val="21"/>
  </w:num>
  <w:num w:numId="69" w16cid:durableId="48573556">
    <w:abstractNumId w:val="22"/>
  </w:num>
  <w:num w:numId="70" w16cid:durableId="1714845553">
    <w:abstractNumId w:val="25"/>
  </w:num>
  <w:num w:numId="71" w16cid:durableId="43258639">
    <w:abstractNumId w:val="26"/>
  </w:num>
  <w:num w:numId="72" w16cid:durableId="1533766946">
    <w:abstractNumId w:val="27"/>
  </w:num>
  <w:num w:numId="73" w16cid:durableId="1375960398">
    <w:abstractNumId w:val="29"/>
  </w:num>
  <w:num w:numId="74" w16cid:durableId="142351334">
    <w:abstractNumId w:val="31"/>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3"/>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4"/>
  </w:num>
  <w:num w:numId="101" w16cid:durableId="1289773468">
    <w:abstractNumId w:val="28"/>
  </w:num>
  <w:num w:numId="102" w16cid:durableId="1186287539">
    <w:abstractNumId w:val="51"/>
  </w:num>
  <w:num w:numId="103" w16cid:durableId="1458334191">
    <w:abstractNumId w:val="7"/>
  </w:num>
  <w:num w:numId="104" w16cid:durableId="913318813">
    <w:abstractNumId w:val="66"/>
  </w:num>
  <w:num w:numId="105" w16cid:durableId="589050340">
    <w:abstractNumId w:val="55"/>
  </w:num>
  <w:num w:numId="106" w16cid:durableId="836576904">
    <w:abstractNumId w:val="5"/>
  </w:num>
  <w:num w:numId="107" w16cid:durableId="1173912010">
    <w:abstractNumId w:val="32"/>
  </w:num>
  <w:num w:numId="108" w16cid:durableId="2116440378">
    <w:abstractNumId w:val="15"/>
  </w:num>
  <w:num w:numId="109" w16cid:durableId="1694842942">
    <w:abstractNumId w:val="47"/>
  </w:num>
  <w:num w:numId="110" w16cid:durableId="715737355">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5B2"/>
    <w:rsid w:val="0001788C"/>
    <w:rsid w:val="0002320E"/>
    <w:rsid w:val="000235C5"/>
    <w:rsid w:val="00031892"/>
    <w:rsid w:val="00032D7A"/>
    <w:rsid w:val="000337EF"/>
    <w:rsid w:val="00040C3A"/>
    <w:rsid w:val="000419AD"/>
    <w:rsid w:val="000433C9"/>
    <w:rsid w:val="00051A18"/>
    <w:rsid w:val="000716C5"/>
    <w:rsid w:val="00072687"/>
    <w:rsid w:val="0007356E"/>
    <w:rsid w:val="00075831"/>
    <w:rsid w:val="00075E23"/>
    <w:rsid w:val="00081FFA"/>
    <w:rsid w:val="00086350"/>
    <w:rsid w:val="000876E1"/>
    <w:rsid w:val="0009344A"/>
    <w:rsid w:val="000941F9"/>
    <w:rsid w:val="000A2294"/>
    <w:rsid w:val="000A392E"/>
    <w:rsid w:val="000A3E83"/>
    <w:rsid w:val="000A575F"/>
    <w:rsid w:val="000A6943"/>
    <w:rsid w:val="000B062C"/>
    <w:rsid w:val="000B5279"/>
    <w:rsid w:val="000D05CB"/>
    <w:rsid w:val="000D10DB"/>
    <w:rsid w:val="000D2A65"/>
    <w:rsid w:val="000D514C"/>
    <w:rsid w:val="000D7DC4"/>
    <w:rsid w:val="000E4FEB"/>
    <w:rsid w:val="000E5EB5"/>
    <w:rsid w:val="000F0745"/>
    <w:rsid w:val="000F35ED"/>
    <w:rsid w:val="000F60B3"/>
    <w:rsid w:val="000F78C4"/>
    <w:rsid w:val="00107131"/>
    <w:rsid w:val="00107359"/>
    <w:rsid w:val="0010736F"/>
    <w:rsid w:val="00112B8D"/>
    <w:rsid w:val="001133D3"/>
    <w:rsid w:val="00113F73"/>
    <w:rsid w:val="00115D3E"/>
    <w:rsid w:val="001164D3"/>
    <w:rsid w:val="001201EC"/>
    <w:rsid w:val="00121CC2"/>
    <w:rsid w:val="00126D22"/>
    <w:rsid w:val="00131425"/>
    <w:rsid w:val="00132C4D"/>
    <w:rsid w:val="00132DD2"/>
    <w:rsid w:val="00133EE5"/>
    <w:rsid w:val="001433F8"/>
    <w:rsid w:val="00143B1B"/>
    <w:rsid w:val="001620A2"/>
    <w:rsid w:val="00167A34"/>
    <w:rsid w:val="001768E0"/>
    <w:rsid w:val="00177C57"/>
    <w:rsid w:val="00185F6A"/>
    <w:rsid w:val="00186E0C"/>
    <w:rsid w:val="00192E05"/>
    <w:rsid w:val="00194DA9"/>
    <w:rsid w:val="0019566B"/>
    <w:rsid w:val="001A0724"/>
    <w:rsid w:val="001A51B7"/>
    <w:rsid w:val="001A7870"/>
    <w:rsid w:val="001A7CA5"/>
    <w:rsid w:val="001B3A00"/>
    <w:rsid w:val="001C172B"/>
    <w:rsid w:val="001C1B41"/>
    <w:rsid w:val="001D0E76"/>
    <w:rsid w:val="001D65EF"/>
    <w:rsid w:val="001D7945"/>
    <w:rsid w:val="001E0102"/>
    <w:rsid w:val="001E49E7"/>
    <w:rsid w:val="001F4196"/>
    <w:rsid w:val="001F7201"/>
    <w:rsid w:val="00207C49"/>
    <w:rsid w:val="002114C2"/>
    <w:rsid w:val="002153F4"/>
    <w:rsid w:val="002169F6"/>
    <w:rsid w:val="00223A29"/>
    <w:rsid w:val="0022446A"/>
    <w:rsid w:val="002250A3"/>
    <w:rsid w:val="00235217"/>
    <w:rsid w:val="002469D2"/>
    <w:rsid w:val="00246CBB"/>
    <w:rsid w:val="00246D1F"/>
    <w:rsid w:val="00247403"/>
    <w:rsid w:val="00247542"/>
    <w:rsid w:val="00252691"/>
    <w:rsid w:val="0025388D"/>
    <w:rsid w:val="0026020D"/>
    <w:rsid w:val="00266B61"/>
    <w:rsid w:val="0026712A"/>
    <w:rsid w:val="002704DB"/>
    <w:rsid w:val="002727AC"/>
    <w:rsid w:val="00286594"/>
    <w:rsid w:val="00286CFD"/>
    <w:rsid w:val="002A0AAE"/>
    <w:rsid w:val="002A5540"/>
    <w:rsid w:val="002A5820"/>
    <w:rsid w:val="002A7B3F"/>
    <w:rsid w:val="002B412B"/>
    <w:rsid w:val="002B4B34"/>
    <w:rsid w:val="002C30A5"/>
    <w:rsid w:val="002C35A6"/>
    <w:rsid w:val="002C625A"/>
    <w:rsid w:val="002C7223"/>
    <w:rsid w:val="002D1E8C"/>
    <w:rsid w:val="002D2B26"/>
    <w:rsid w:val="002D5101"/>
    <w:rsid w:val="002D7EA2"/>
    <w:rsid w:val="002E0435"/>
    <w:rsid w:val="002E187C"/>
    <w:rsid w:val="002E191D"/>
    <w:rsid w:val="002F3A45"/>
    <w:rsid w:val="002F4CB0"/>
    <w:rsid w:val="002F60CD"/>
    <w:rsid w:val="00302733"/>
    <w:rsid w:val="003029CE"/>
    <w:rsid w:val="00314078"/>
    <w:rsid w:val="0031535D"/>
    <w:rsid w:val="003239B8"/>
    <w:rsid w:val="0033169F"/>
    <w:rsid w:val="00344977"/>
    <w:rsid w:val="00346C95"/>
    <w:rsid w:val="00356185"/>
    <w:rsid w:val="00360380"/>
    <w:rsid w:val="0037242D"/>
    <w:rsid w:val="0037519E"/>
    <w:rsid w:val="00386CF0"/>
    <w:rsid w:val="00394049"/>
    <w:rsid w:val="003A079D"/>
    <w:rsid w:val="003A5B7D"/>
    <w:rsid w:val="003B1B44"/>
    <w:rsid w:val="003B70FB"/>
    <w:rsid w:val="003C0DE1"/>
    <w:rsid w:val="003C2239"/>
    <w:rsid w:val="003C61BD"/>
    <w:rsid w:val="003C676B"/>
    <w:rsid w:val="003C6BF7"/>
    <w:rsid w:val="003D3BC2"/>
    <w:rsid w:val="003E6CA1"/>
    <w:rsid w:val="004004AC"/>
    <w:rsid w:val="00405F9C"/>
    <w:rsid w:val="004065A8"/>
    <w:rsid w:val="004155B2"/>
    <w:rsid w:val="004165C2"/>
    <w:rsid w:val="004222C8"/>
    <w:rsid w:val="00433F84"/>
    <w:rsid w:val="00436B39"/>
    <w:rsid w:val="00441524"/>
    <w:rsid w:val="00441E0D"/>
    <w:rsid w:val="00441ECB"/>
    <w:rsid w:val="00445193"/>
    <w:rsid w:val="00451D23"/>
    <w:rsid w:val="00453115"/>
    <w:rsid w:val="004539D6"/>
    <w:rsid w:val="0046255C"/>
    <w:rsid w:val="00462C1B"/>
    <w:rsid w:val="00467B7E"/>
    <w:rsid w:val="00473BB4"/>
    <w:rsid w:val="00477592"/>
    <w:rsid w:val="00485F7B"/>
    <w:rsid w:val="00486F1C"/>
    <w:rsid w:val="004902F9"/>
    <w:rsid w:val="0049419D"/>
    <w:rsid w:val="004A6A54"/>
    <w:rsid w:val="004B0D02"/>
    <w:rsid w:val="004B38C5"/>
    <w:rsid w:val="004C0662"/>
    <w:rsid w:val="004C20D2"/>
    <w:rsid w:val="004C2312"/>
    <w:rsid w:val="004C4B62"/>
    <w:rsid w:val="004C54C9"/>
    <w:rsid w:val="004D33DF"/>
    <w:rsid w:val="004D4ABA"/>
    <w:rsid w:val="004D6025"/>
    <w:rsid w:val="004D6E38"/>
    <w:rsid w:val="004E2649"/>
    <w:rsid w:val="004E4535"/>
    <w:rsid w:val="004F626F"/>
    <w:rsid w:val="00501399"/>
    <w:rsid w:val="0050633D"/>
    <w:rsid w:val="00507BC4"/>
    <w:rsid w:val="005128E4"/>
    <w:rsid w:val="005133DB"/>
    <w:rsid w:val="00514504"/>
    <w:rsid w:val="00514FD1"/>
    <w:rsid w:val="00517274"/>
    <w:rsid w:val="0052391E"/>
    <w:rsid w:val="00524B1E"/>
    <w:rsid w:val="0052527A"/>
    <w:rsid w:val="00525560"/>
    <w:rsid w:val="00536845"/>
    <w:rsid w:val="005425FD"/>
    <w:rsid w:val="00544C49"/>
    <w:rsid w:val="00547D9D"/>
    <w:rsid w:val="005516A1"/>
    <w:rsid w:val="005559EF"/>
    <w:rsid w:val="005564B7"/>
    <w:rsid w:val="00563557"/>
    <w:rsid w:val="00563D5C"/>
    <w:rsid w:val="00570AC9"/>
    <w:rsid w:val="0057402A"/>
    <w:rsid w:val="00574F61"/>
    <w:rsid w:val="005771D0"/>
    <w:rsid w:val="005819AE"/>
    <w:rsid w:val="00584BCA"/>
    <w:rsid w:val="00587CFF"/>
    <w:rsid w:val="0059191A"/>
    <w:rsid w:val="005921FF"/>
    <w:rsid w:val="00595D63"/>
    <w:rsid w:val="00597FF6"/>
    <w:rsid w:val="005A24ED"/>
    <w:rsid w:val="005A254F"/>
    <w:rsid w:val="005A25B2"/>
    <w:rsid w:val="005A6D0E"/>
    <w:rsid w:val="005B52B0"/>
    <w:rsid w:val="005B6806"/>
    <w:rsid w:val="005C4225"/>
    <w:rsid w:val="005D240A"/>
    <w:rsid w:val="005D38F9"/>
    <w:rsid w:val="005D512E"/>
    <w:rsid w:val="005D624A"/>
    <w:rsid w:val="005D7D41"/>
    <w:rsid w:val="005F0DAD"/>
    <w:rsid w:val="005F0F33"/>
    <w:rsid w:val="005F5FDA"/>
    <w:rsid w:val="005F691D"/>
    <w:rsid w:val="00600DEB"/>
    <w:rsid w:val="00602916"/>
    <w:rsid w:val="00623842"/>
    <w:rsid w:val="006270F8"/>
    <w:rsid w:val="00627C9F"/>
    <w:rsid w:val="006311E9"/>
    <w:rsid w:val="00632354"/>
    <w:rsid w:val="00635421"/>
    <w:rsid w:val="00641580"/>
    <w:rsid w:val="00642810"/>
    <w:rsid w:val="00652333"/>
    <w:rsid w:val="00673144"/>
    <w:rsid w:val="006771EC"/>
    <w:rsid w:val="00677BD6"/>
    <w:rsid w:val="0068009E"/>
    <w:rsid w:val="0068455F"/>
    <w:rsid w:val="00690163"/>
    <w:rsid w:val="00692219"/>
    <w:rsid w:val="00693E80"/>
    <w:rsid w:val="00696068"/>
    <w:rsid w:val="006A05B8"/>
    <w:rsid w:val="006A17D2"/>
    <w:rsid w:val="006A73E6"/>
    <w:rsid w:val="006A7957"/>
    <w:rsid w:val="006B090F"/>
    <w:rsid w:val="006B2D5C"/>
    <w:rsid w:val="006B3152"/>
    <w:rsid w:val="006B41A1"/>
    <w:rsid w:val="006C326D"/>
    <w:rsid w:val="006C4EB1"/>
    <w:rsid w:val="006C7D2B"/>
    <w:rsid w:val="006D1D68"/>
    <w:rsid w:val="006D4439"/>
    <w:rsid w:val="006D5B19"/>
    <w:rsid w:val="006E0166"/>
    <w:rsid w:val="006E2FFB"/>
    <w:rsid w:val="006E7455"/>
    <w:rsid w:val="006E7B34"/>
    <w:rsid w:val="006F2C31"/>
    <w:rsid w:val="006F5294"/>
    <w:rsid w:val="006F6EB7"/>
    <w:rsid w:val="0070697F"/>
    <w:rsid w:val="007217B0"/>
    <w:rsid w:val="0072199C"/>
    <w:rsid w:val="00722C9F"/>
    <w:rsid w:val="00723234"/>
    <w:rsid w:val="00723582"/>
    <w:rsid w:val="007253B8"/>
    <w:rsid w:val="00725F8B"/>
    <w:rsid w:val="00731134"/>
    <w:rsid w:val="0073741F"/>
    <w:rsid w:val="00742EF1"/>
    <w:rsid w:val="0074387D"/>
    <w:rsid w:val="00762CE8"/>
    <w:rsid w:val="0076643F"/>
    <w:rsid w:val="00770DE6"/>
    <w:rsid w:val="00777F63"/>
    <w:rsid w:val="0079143E"/>
    <w:rsid w:val="00793CC7"/>
    <w:rsid w:val="007949C2"/>
    <w:rsid w:val="007A5817"/>
    <w:rsid w:val="007B05C4"/>
    <w:rsid w:val="007B60E9"/>
    <w:rsid w:val="007B6CC3"/>
    <w:rsid w:val="007B76D3"/>
    <w:rsid w:val="007C3334"/>
    <w:rsid w:val="007C5E84"/>
    <w:rsid w:val="007C7E8C"/>
    <w:rsid w:val="007D2B98"/>
    <w:rsid w:val="007E21BC"/>
    <w:rsid w:val="007E5D2E"/>
    <w:rsid w:val="007E7C82"/>
    <w:rsid w:val="007F09E2"/>
    <w:rsid w:val="007F244F"/>
    <w:rsid w:val="007F2AA1"/>
    <w:rsid w:val="007F3337"/>
    <w:rsid w:val="007F588D"/>
    <w:rsid w:val="00803F1C"/>
    <w:rsid w:val="0080600E"/>
    <w:rsid w:val="008071B3"/>
    <w:rsid w:val="00812BBE"/>
    <w:rsid w:val="00814688"/>
    <w:rsid w:val="00817612"/>
    <w:rsid w:val="00830869"/>
    <w:rsid w:val="0083100C"/>
    <w:rsid w:val="008330E5"/>
    <w:rsid w:val="008338A4"/>
    <w:rsid w:val="00834D49"/>
    <w:rsid w:val="00837C45"/>
    <w:rsid w:val="00844730"/>
    <w:rsid w:val="00844D03"/>
    <w:rsid w:val="008457C2"/>
    <w:rsid w:val="00850551"/>
    <w:rsid w:val="00851251"/>
    <w:rsid w:val="00851C01"/>
    <w:rsid w:val="00856763"/>
    <w:rsid w:val="00857A82"/>
    <w:rsid w:val="00863AD0"/>
    <w:rsid w:val="00867314"/>
    <w:rsid w:val="00870FC4"/>
    <w:rsid w:val="00873836"/>
    <w:rsid w:val="00881E76"/>
    <w:rsid w:val="00885737"/>
    <w:rsid w:val="00890650"/>
    <w:rsid w:val="008955C6"/>
    <w:rsid w:val="00897E12"/>
    <w:rsid w:val="008A4421"/>
    <w:rsid w:val="008A7E0F"/>
    <w:rsid w:val="008B12F5"/>
    <w:rsid w:val="008B2B7A"/>
    <w:rsid w:val="008C01C5"/>
    <w:rsid w:val="008C5E2D"/>
    <w:rsid w:val="008D2827"/>
    <w:rsid w:val="008D4025"/>
    <w:rsid w:val="008D40BA"/>
    <w:rsid w:val="008D768D"/>
    <w:rsid w:val="008E3759"/>
    <w:rsid w:val="008E3BFE"/>
    <w:rsid w:val="008F1912"/>
    <w:rsid w:val="008F7E2A"/>
    <w:rsid w:val="0090270B"/>
    <w:rsid w:val="009033CC"/>
    <w:rsid w:val="009041DC"/>
    <w:rsid w:val="00904B29"/>
    <w:rsid w:val="009141C5"/>
    <w:rsid w:val="00914F15"/>
    <w:rsid w:val="00917B5A"/>
    <w:rsid w:val="00920A58"/>
    <w:rsid w:val="00920A8C"/>
    <w:rsid w:val="00923A2B"/>
    <w:rsid w:val="00924649"/>
    <w:rsid w:val="00925E97"/>
    <w:rsid w:val="00934A2C"/>
    <w:rsid w:val="00935656"/>
    <w:rsid w:val="00936E25"/>
    <w:rsid w:val="00955CCE"/>
    <w:rsid w:val="00966A7A"/>
    <w:rsid w:val="0096706E"/>
    <w:rsid w:val="00967CC6"/>
    <w:rsid w:val="009728F1"/>
    <w:rsid w:val="00974491"/>
    <w:rsid w:val="00975978"/>
    <w:rsid w:val="00975C4E"/>
    <w:rsid w:val="0097726F"/>
    <w:rsid w:val="00981FBA"/>
    <w:rsid w:val="0098254A"/>
    <w:rsid w:val="00985198"/>
    <w:rsid w:val="00985DE5"/>
    <w:rsid w:val="0098682F"/>
    <w:rsid w:val="00991C9C"/>
    <w:rsid w:val="00992B31"/>
    <w:rsid w:val="00997BC5"/>
    <w:rsid w:val="009A4F41"/>
    <w:rsid w:val="009B1E80"/>
    <w:rsid w:val="009B381B"/>
    <w:rsid w:val="009B6897"/>
    <w:rsid w:val="009C55CE"/>
    <w:rsid w:val="009D1753"/>
    <w:rsid w:val="009D73E7"/>
    <w:rsid w:val="009D7611"/>
    <w:rsid w:val="009E0B61"/>
    <w:rsid w:val="009E2D77"/>
    <w:rsid w:val="009E53DE"/>
    <w:rsid w:val="009F16CA"/>
    <w:rsid w:val="00A0400A"/>
    <w:rsid w:val="00A10C66"/>
    <w:rsid w:val="00A11212"/>
    <w:rsid w:val="00A11671"/>
    <w:rsid w:val="00A11E44"/>
    <w:rsid w:val="00A144CB"/>
    <w:rsid w:val="00A205CC"/>
    <w:rsid w:val="00A223CD"/>
    <w:rsid w:val="00A23907"/>
    <w:rsid w:val="00A27281"/>
    <w:rsid w:val="00A30100"/>
    <w:rsid w:val="00A32721"/>
    <w:rsid w:val="00A328B3"/>
    <w:rsid w:val="00A4748D"/>
    <w:rsid w:val="00A50FCF"/>
    <w:rsid w:val="00A528D1"/>
    <w:rsid w:val="00A52AA8"/>
    <w:rsid w:val="00A5364B"/>
    <w:rsid w:val="00A55187"/>
    <w:rsid w:val="00A610CD"/>
    <w:rsid w:val="00A619C7"/>
    <w:rsid w:val="00A71A63"/>
    <w:rsid w:val="00A758AA"/>
    <w:rsid w:val="00A76E3F"/>
    <w:rsid w:val="00A80CBD"/>
    <w:rsid w:val="00A8423B"/>
    <w:rsid w:val="00A901A3"/>
    <w:rsid w:val="00A9199F"/>
    <w:rsid w:val="00AA09A2"/>
    <w:rsid w:val="00AA36EB"/>
    <w:rsid w:val="00AA52AC"/>
    <w:rsid w:val="00AA751B"/>
    <w:rsid w:val="00AA7996"/>
    <w:rsid w:val="00AA7D61"/>
    <w:rsid w:val="00AC19CB"/>
    <w:rsid w:val="00AE5488"/>
    <w:rsid w:val="00AE6464"/>
    <w:rsid w:val="00AE6956"/>
    <w:rsid w:val="00AE6F91"/>
    <w:rsid w:val="00AF3AA7"/>
    <w:rsid w:val="00AF5571"/>
    <w:rsid w:val="00AF6DD7"/>
    <w:rsid w:val="00AF6E7B"/>
    <w:rsid w:val="00B07341"/>
    <w:rsid w:val="00B21CFC"/>
    <w:rsid w:val="00B22BB5"/>
    <w:rsid w:val="00B30539"/>
    <w:rsid w:val="00B314DB"/>
    <w:rsid w:val="00B34989"/>
    <w:rsid w:val="00B361F2"/>
    <w:rsid w:val="00B3718B"/>
    <w:rsid w:val="00B3745F"/>
    <w:rsid w:val="00B43A14"/>
    <w:rsid w:val="00B4632A"/>
    <w:rsid w:val="00B530F1"/>
    <w:rsid w:val="00B536B4"/>
    <w:rsid w:val="00B56969"/>
    <w:rsid w:val="00B650B0"/>
    <w:rsid w:val="00B75961"/>
    <w:rsid w:val="00B8075C"/>
    <w:rsid w:val="00B86A46"/>
    <w:rsid w:val="00B872A9"/>
    <w:rsid w:val="00B95335"/>
    <w:rsid w:val="00BA276C"/>
    <w:rsid w:val="00BA7B15"/>
    <w:rsid w:val="00BB07D0"/>
    <w:rsid w:val="00BB306F"/>
    <w:rsid w:val="00BB6912"/>
    <w:rsid w:val="00BC1BD6"/>
    <w:rsid w:val="00BC5DDB"/>
    <w:rsid w:val="00BD08D7"/>
    <w:rsid w:val="00BD314D"/>
    <w:rsid w:val="00BD346E"/>
    <w:rsid w:val="00BD4B89"/>
    <w:rsid w:val="00BD5922"/>
    <w:rsid w:val="00BF02CB"/>
    <w:rsid w:val="00BF200A"/>
    <w:rsid w:val="00BF26A6"/>
    <w:rsid w:val="00BF514C"/>
    <w:rsid w:val="00BF6FD8"/>
    <w:rsid w:val="00C03680"/>
    <w:rsid w:val="00C054DF"/>
    <w:rsid w:val="00C1161A"/>
    <w:rsid w:val="00C21762"/>
    <w:rsid w:val="00C21FEF"/>
    <w:rsid w:val="00C23BA4"/>
    <w:rsid w:val="00C23DDC"/>
    <w:rsid w:val="00C24543"/>
    <w:rsid w:val="00C256A2"/>
    <w:rsid w:val="00C25ADB"/>
    <w:rsid w:val="00C50BF6"/>
    <w:rsid w:val="00C51515"/>
    <w:rsid w:val="00C5660B"/>
    <w:rsid w:val="00C60EF9"/>
    <w:rsid w:val="00C66B72"/>
    <w:rsid w:val="00C67BDC"/>
    <w:rsid w:val="00C71165"/>
    <w:rsid w:val="00C741C1"/>
    <w:rsid w:val="00C7534F"/>
    <w:rsid w:val="00C87AC4"/>
    <w:rsid w:val="00C9567A"/>
    <w:rsid w:val="00C96350"/>
    <w:rsid w:val="00CA2889"/>
    <w:rsid w:val="00CA2A2A"/>
    <w:rsid w:val="00CA39CB"/>
    <w:rsid w:val="00CA7438"/>
    <w:rsid w:val="00CB212D"/>
    <w:rsid w:val="00CB2660"/>
    <w:rsid w:val="00CB7547"/>
    <w:rsid w:val="00CC5E90"/>
    <w:rsid w:val="00CC765A"/>
    <w:rsid w:val="00CD046C"/>
    <w:rsid w:val="00CE076C"/>
    <w:rsid w:val="00CE13B3"/>
    <w:rsid w:val="00CE2FBB"/>
    <w:rsid w:val="00CE5199"/>
    <w:rsid w:val="00CE66D5"/>
    <w:rsid w:val="00CE7C2F"/>
    <w:rsid w:val="00CF1A32"/>
    <w:rsid w:val="00CF637A"/>
    <w:rsid w:val="00D059DE"/>
    <w:rsid w:val="00D05ABD"/>
    <w:rsid w:val="00D13530"/>
    <w:rsid w:val="00D13605"/>
    <w:rsid w:val="00D13FCE"/>
    <w:rsid w:val="00D16B85"/>
    <w:rsid w:val="00D306D1"/>
    <w:rsid w:val="00D30800"/>
    <w:rsid w:val="00D34786"/>
    <w:rsid w:val="00D37BFC"/>
    <w:rsid w:val="00D457CA"/>
    <w:rsid w:val="00D46743"/>
    <w:rsid w:val="00D47A8E"/>
    <w:rsid w:val="00D5032C"/>
    <w:rsid w:val="00D51D5F"/>
    <w:rsid w:val="00D52D14"/>
    <w:rsid w:val="00D567AE"/>
    <w:rsid w:val="00D66FC6"/>
    <w:rsid w:val="00D712D3"/>
    <w:rsid w:val="00D71422"/>
    <w:rsid w:val="00D72DC6"/>
    <w:rsid w:val="00D7558D"/>
    <w:rsid w:val="00D81D92"/>
    <w:rsid w:val="00D839AA"/>
    <w:rsid w:val="00D876F9"/>
    <w:rsid w:val="00D92067"/>
    <w:rsid w:val="00D97713"/>
    <w:rsid w:val="00DA0BA5"/>
    <w:rsid w:val="00DA7B5F"/>
    <w:rsid w:val="00DC11E7"/>
    <w:rsid w:val="00DC24E3"/>
    <w:rsid w:val="00DC31B6"/>
    <w:rsid w:val="00DC7023"/>
    <w:rsid w:val="00DC769A"/>
    <w:rsid w:val="00DD3D86"/>
    <w:rsid w:val="00DD4AD2"/>
    <w:rsid w:val="00DE22AE"/>
    <w:rsid w:val="00DE23B0"/>
    <w:rsid w:val="00DE4716"/>
    <w:rsid w:val="00DF1EC4"/>
    <w:rsid w:val="00DF48EB"/>
    <w:rsid w:val="00E00EAD"/>
    <w:rsid w:val="00E0340B"/>
    <w:rsid w:val="00E04A90"/>
    <w:rsid w:val="00E0551F"/>
    <w:rsid w:val="00E06B46"/>
    <w:rsid w:val="00E07884"/>
    <w:rsid w:val="00E07AC7"/>
    <w:rsid w:val="00E219C7"/>
    <w:rsid w:val="00E27E7D"/>
    <w:rsid w:val="00E30822"/>
    <w:rsid w:val="00E4118C"/>
    <w:rsid w:val="00E43157"/>
    <w:rsid w:val="00E461CE"/>
    <w:rsid w:val="00E50B58"/>
    <w:rsid w:val="00E535BD"/>
    <w:rsid w:val="00E54D28"/>
    <w:rsid w:val="00E573E4"/>
    <w:rsid w:val="00E62322"/>
    <w:rsid w:val="00E64C3D"/>
    <w:rsid w:val="00E673F3"/>
    <w:rsid w:val="00E67C67"/>
    <w:rsid w:val="00E720CA"/>
    <w:rsid w:val="00E743A5"/>
    <w:rsid w:val="00E748BF"/>
    <w:rsid w:val="00E81484"/>
    <w:rsid w:val="00E82591"/>
    <w:rsid w:val="00E82DDC"/>
    <w:rsid w:val="00E84EB5"/>
    <w:rsid w:val="00E85662"/>
    <w:rsid w:val="00E8789F"/>
    <w:rsid w:val="00E95CDD"/>
    <w:rsid w:val="00E97B71"/>
    <w:rsid w:val="00EA15E3"/>
    <w:rsid w:val="00EA20E9"/>
    <w:rsid w:val="00EA3D34"/>
    <w:rsid w:val="00EA76A8"/>
    <w:rsid w:val="00EB197F"/>
    <w:rsid w:val="00EB454D"/>
    <w:rsid w:val="00EC004B"/>
    <w:rsid w:val="00EC55CE"/>
    <w:rsid w:val="00ED549D"/>
    <w:rsid w:val="00ED76BE"/>
    <w:rsid w:val="00EE00E9"/>
    <w:rsid w:val="00EE36F3"/>
    <w:rsid w:val="00EE3C44"/>
    <w:rsid w:val="00EE74F5"/>
    <w:rsid w:val="00EF1AAA"/>
    <w:rsid w:val="00EF4AC3"/>
    <w:rsid w:val="00EF619B"/>
    <w:rsid w:val="00EF76F5"/>
    <w:rsid w:val="00F00B55"/>
    <w:rsid w:val="00F01B26"/>
    <w:rsid w:val="00F02AD1"/>
    <w:rsid w:val="00F174D7"/>
    <w:rsid w:val="00F253CC"/>
    <w:rsid w:val="00F25AE8"/>
    <w:rsid w:val="00F37106"/>
    <w:rsid w:val="00F37E2A"/>
    <w:rsid w:val="00F422C7"/>
    <w:rsid w:val="00F44E25"/>
    <w:rsid w:val="00F50E97"/>
    <w:rsid w:val="00F519CF"/>
    <w:rsid w:val="00F56BA5"/>
    <w:rsid w:val="00F57C06"/>
    <w:rsid w:val="00F60E22"/>
    <w:rsid w:val="00F64AAB"/>
    <w:rsid w:val="00F73712"/>
    <w:rsid w:val="00F81395"/>
    <w:rsid w:val="00F81BB8"/>
    <w:rsid w:val="00F84526"/>
    <w:rsid w:val="00F90C64"/>
    <w:rsid w:val="00F917D1"/>
    <w:rsid w:val="00F9653B"/>
    <w:rsid w:val="00FA05BA"/>
    <w:rsid w:val="00FA6B0C"/>
    <w:rsid w:val="00FA6EA9"/>
    <w:rsid w:val="00FB25C7"/>
    <w:rsid w:val="00FB3552"/>
    <w:rsid w:val="00FB62CF"/>
    <w:rsid w:val="00FD160C"/>
    <w:rsid w:val="00FD25D9"/>
    <w:rsid w:val="00FD2C00"/>
    <w:rsid w:val="00FD3C3B"/>
    <w:rsid w:val="00FD5F43"/>
    <w:rsid w:val="00FE07DD"/>
    <w:rsid w:val="00FE6B45"/>
    <w:rsid w:val="00FF55F3"/>
    <w:rsid w:val="00FF5851"/>
    <w:rsid w:val="00FF5EA0"/>
    <w:rsid w:val="00FF5F56"/>
    <w:rsid w:val="00FF7B79"/>
    <w:rsid w:val="258D6D37"/>
    <w:rsid w:val="32F7BA95"/>
    <w:rsid w:val="3FD9C9FC"/>
    <w:rsid w:val="44C86A1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32DD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2244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paragraph" w:customStyle="1" w:styleId="paragraph">
    <w:name w:val="paragraph"/>
    <w:basedOn w:val="Normal"/>
    <w:rsid w:val="00991C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91C9C"/>
  </w:style>
  <w:style w:type="character" w:customStyle="1" w:styleId="eop">
    <w:name w:val="eop"/>
    <w:basedOn w:val="DefaultParagraphFont"/>
    <w:rsid w:val="00991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8699">
      <w:bodyDiv w:val="1"/>
      <w:marLeft w:val="0"/>
      <w:marRight w:val="0"/>
      <w:marTop w:val="0"/>
      <w:marBottom w:val="0"/>
      <w:divBdr>
        <w:top w:val="none" w:sz="0" w:space="0" w:color="auto"/>
        <w:left w:val="none" w:sz="0" w:space="0" w:color="auto"/>
        <w:bottom w:val="none" w:sz="0" w:space="0" w:color="auto"/>
        <w:right w:val="none" w:sz="0" w:space="0" w:color="auto"/>
      </w:divBdr>
    </w:div>
    <w:div w:id="407265230">
      <w:bodyDiv w:val="1"/>
      <w:marLeft w:val="0"/>
      <w:marRight w:val="0"/>
      <w:marTop w:val="0"/>
      <w:marBottom w:val="0"/>
      <w:divBdr>
        <w:top w:val="none" w:sz="0" w:space="0" w:color="auto"/>
        <w:left w:val="none" w:sz="0" w:space="0" w:color="auto"/>
        <w:bottom w:val="none" w:sz="0" w:space="0" w:color="auto"/>
        <w:right w:val="none" w:sz="0" w:space="0" w:color="auto"/>
      </w:divBdr>
    </w:div>
    <w:div w:id="492765523">
      <w:bodyDiv w:val="1"/>
      <w:marLeft w:val="0"/>
      <w:marRight w:val="0"/>
      <w:marTop w:val="0"/>
      <w:marBottom w:val="0"/>
      <w:divBdr>
        <w:top w:val="none" w:sz="0" w:space="0" w:color="auto"/>
        <w:left w:val="none" w:sz="0" w:space="0" w:color="auto"/>
        <w:bottom w:val="none" w:sz="0" w:space="0" w:color="auto"/>
        <w:right w:val="none" w:sz="0" w:space="0" w:color="auto"/>
      </w:divBdr>
    </w:div>
    <w:div w:id="544029973">
      <w:bodyDiv w:val="1"/>
      <w:marLeft w:val="0"/>
      <w:marRight w:val="0"/>
      <w:marTop w:val="0"/>
      <w:marBottom w:val="0"/>
      <w:divBdr>
        <w:top w:val="none" w:sz="0" w:space="0" w:color="auto"/>
        <w:left w:val="none" w:sz="0" w:space="0" w:color="auto"/>
        <w:bottom w:val="none" w:sz="0" w:space="0" w:color="auto"/>
        <w:right w:val="none" w:sz="0" w:space="0" w:color="auto"/>
      </w:divBdr>
    </w:div>
    <w:div w:id="78061231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478468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0413273">
      <w:bodyDiv w:val="1"/>
      <w:marLeft w:val="0"/>
      <w:marRight w:val="0"/>
      <w:marTop w:val="0"/>
      <w:marBottom w:val="0"/>
      <w:divBdr>
        <w:top w:val="none" w:sz="0" w:space="0" w:color="auto"/>
        <w:left w:val="none" w:sz="0" w:space="0" w:color="auto"/>
        <w:bottom w:val="none" w:sz="0" w:space="0" w:color="auto"/>
        <w:right w:val="none" w:sz="0" w:space="0" w:color="auto"/>
      </w:divBdr>
    </w:div>
    <w:div w:id="1970085961">
      <w:bodyDiv w:val="1"/>
      <w:marLeft w:val="0"/>
      <w:marRight w:val="0"/>
      <w:marTop w:val="0"/>
      <w:marBottom w:val="0"/>
      <w:divBdr>
        <w:top w:val="none" w:sz="0" w:space="0" w:color="auto"/>
        <w:left w:val="none" w:sz="0" w:space="0" w:color="auto"/>
        <w:bottom w:val="none" w:sz="0" w:space="0" w:color="auto"/>
        <w:right w:val="none" w:sz="0" w:space="0" w:color="auto"/>
      </w:divBdr>
    </w:div>
    <w:div w:id="2016034304">
      <w:bodyDiv w:val="1"/>
      <w:marLeft w:val="0"/>
      <w:marRight w:val="0"/>
      <w:marTop w:val="0"/>
      <w:marBottom w:val="0"/>
      <w:divBdr>
        <w:top w:val="none" w:sz="0" w:space="0" w:color="auto"/>
        <w:left w:val="none" w:sz="0" w:space="0" w:color="auto"/>
        <w:bottom w:val="none" w:sz="0" w:space="0" w:color="auto"/>
        <w:right w:val="none" w:sz="0" w:space="0" w:color="auto"/>
      </w:divBdr>
    </w:div>
    <w:div w:id="2065831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75B2"/>
    <w:rsid w:val="0007321F"/>
    <w:rsid w:val="000A3BE3"/>
    <w:rsid w:val="000A3E83"/>
    <w:rsid w:val="00126D22"/>
    <w:rsid w:val="00136030"/>
    <w:rsid w:val="001B68CE"/>
    <w:rsid w:val="00200821"/>
    <w:rsid w:val="00201CE6"/>
    <w:rsid w:val="0025245B"/>
    <w:rsid w:val="002A3923"/>
    <w:rsid w:val="0039342E"/>
    <w:rsid w:val="00394049"/>
    <w:rsid w:val="003E4EFC"/>
    <w:rsid w:val="00451D23"/>
    <w:rsid w:val="0046255C"/>
    <w:rsid w:val="004B5BBB"/>
    <w:rsid w:val="004F2DF8"/>
    <w:rsid w:val="005E67DE"/>
    <w:rsid w:val="006768A1"/>
    <w:rsid w:val="006C326D"/>
    <w:rsid w:val="006F24A1"/>
    <w:rsid w:val="008B2B7A"/>
    <w:rsid w:val="009A261B"/>
    <w:rsid w:val="009C3CB6"/>
    <w:rsid w:val="009C55CE"/>
    <w:rsid w:val="00A4418E"/>
    <w:rsid w:val="00A739B5"/>
    <w:rsid w:val="00AA2E17"/>
    <w:rsid w:val="00AC15A4"/>
    <w:rsid w:val="00B0336C"/>
    <w:rsid w:val="00B30277"/>
    <w:rsid w:val="00BB6912"/>
    <w:rsid w:val="00BD346E"/>
    <w:rsid w:val="00CC6066"/>
    <w:rsid w:val="00D241E9"/>
    <w:rsid w:val="00D457CA"/>
    <w:rsid w:val="00D7750D"/>
    <w:rsid w:val="00DC5D91"/>
    <w:rsid w:val="00E673F3"/>
    <w:rsid w:val="00F00D2F"/>
    <w:rsid w:val="00F128DF"/>
    <w:rsid w:val="00FD160C"/>
    <w:rsid w:val="00FD25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02E6B-2850-4E4E-96B5-325A36F34270}">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3.xml><?xml version="1.0" encoding="utf-8"?>
<ds:datastoreItem xmlns:ds="http://schemas.openxmlformats.org/officeDocument/2006/customXml" ds:itemID="{2C23A1D2-5CFD-4C58-8161-63556AB08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0C7FB-6AD9-49BB-AB27-74F6553B9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2720</Words>
  <Characters>15508</Characters>
  <Application>Microsoft Office Word</Application>
  <DocSecurity>0</DocSecurity>
  <Lines>129</Lines>
  <Paragraphs>36</Paragraphs>
  <ScaleCrop>false</ScaleCrop>
  <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2025-06-17T13:15:00Z</dcterms:created>
  <dcterms:modified xsi:type="dcterms:W3CDTF">2025-06-17T13:15:00Z</dcterms:modified>
</cp:coreProperties>
</file>