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C50773" w:rsidRDefault="00D306D1" w:rsidP="00627C9F">
      <w:pPr>
        <w:jc w:val="both"/>
        <w:rPr>
          <w:rFonts w:asciiTheme="majorHAnsi" w:hAnsiTheme="majorHAnsi" w:cs="Univers"/>
          <w:b/>
          <w:bCs/>
          <w:sz w:val="22"/>
          <w:szCs w:val="22"/>
          <w:lang w:val="es-ES"/>
        </w:rPr>
      </w:pPr>
      <w:r w:rsidRPr="00C50773">
        <w:rPr>
          <w:rFonts w:asciiTheme="majorHAnsi" w:hAnsiTheme="majorHAnsi"/>
          <w:noProof/>
          <w:sz w:val="22"/>
          <w:szCs w:val="22"/>
          <w:lang w:val="es-ES"/>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92EF9"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C50773">
        <w:rPr>
          <w:rFonts w:asciiTheme="majorHAnsi" w:hAnsiTheme="majorHAnsi"/>
          <w:noProof/>
          <w:sz w:val="22"/>
          <w:szCs w:val="22"/>
          <w:lang w:val="es-ES"/>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sidRPr="00C50773">
        <w:rPr>
          <w:rFonts w:asciiTheme="majorHAnsi" w:hAnsiTheme="majorHAnsi" w:cs="Univers"/>
          <w:b/>
          <w:bCs/>
          <w:sz w:val="22"/>
          <w:szCs w:val="22"/>
          <w:lang w:val="es-ES"/>
        </w:rPr>
        <w:t xml:space="preserve"> </w:t>
      </w:r>
    </w:p>
    <w:p w14:paraId="751BC92D" w14:textId="77777777" w:rsidR="00040C3A" w:rsidRPr="00C50773"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C50773"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C50773" w:rsidRDefault="005128E4" w:rsidP="00040C3A">
      <w:pPr>
        <w:tabs>
          <w:tab w:val="center" w:pos="5400"/>
        </w:tabs>
        <w:suppressAutoHyphens/>
        <w:rPr>
          <w:rFonts w:asciiTheme="majorHAnsi" w:hAnsiTheme="majorHAnsi"/>
          <w:sz w:val="22"/>
          <w:szCs w:val="22"/>
          <w:lang w:val="es-ES"/>
        </w:rPr>
      </w:pPr>
    </w:p>
    <w:p w14:paraId="7F51F08B" w14:textId="77777777" w:rsidR="005128E4" w:rsidRPr="00C50773" w:rsidRDefault="005128E4" w:rsidP="00040C3A">
      <w:pPr>
        <w:tabs>
          <w:tab w:val="center" w:pos="5400"/>
        </w:tabs>
        <w:suppressAutoHyphens/>
        <w:rPr>
          <w:rFonts w:asciiTheme="majorHAnsi" w:hAnsiTheme="majorHAnsi"/>
          <w:sz w:val="22"/>
          <w:szCs w:val="22"/>
          <w:lang w:val="es-ES"/>
        </w:rPr>
      </w:pPr>
    </w:p>
    <w:p w14:paraId="058606A7" w14:textId="77777777" w:rsidR="005128E4" w:rsidRPr="00C50773" w:rsidRDefault="005128E4" w:rsidP="00040C3A">
      <w:pPr>
        <w:tabs>
          <w:tab w:val="center" w:pos="5400"/>
        </w:tabs>
        <w:suppressAutoHyphens/>
        <w:rPr>
          <w:rFonts w:asciiTheme="majorHAnsi" w:hAnsiTheme="majorHAnsi"/>
          <w:sz w:val="22"/>
          <w:szCs w:val="22"/>
          <w:lang w:val="es-ES"/>
        </w:rPr>
      </w:pPr>
    </w:p>
    <w:p w14:paraId="01B9D56A" w14:textId="77777777" w:rsidR="00040C3A" w:rsidRPr="00C50773"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C50773"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C50773"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C50773"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C50773"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C50773"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C50773"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C50773" w:rsidRDefault="003D3BC2" w:rsidP="00040C3A">
      <w:pPr>
        <w:tabs>
          <w:tab w:val="center" w:pos="5400"/>
        </w:tabs>
        <w:suppressAutoHyphens/>
        <w:jc w:val="center"/>
        <w:rPr>
          <w:rFonts w:asciiTheme="majorHAnsi" w:hAnsiTheme="majorHAnsi"/>
          <w:sz w:val="22"/>
          <w:szCs w:val="22"/>
          <w:lang w:val="es-ES"/>
        </w:rPr>
      </w:pPr>
      <w:r w:rsidRPr="00C50773">
        <w:rPr>
          <w:rFonts w:asciiTheme="majorHAnsi" w:hAnsiTheme="majorHAnsi"/>
          <w:noProof/>
          <w:sz w:val="22"/>
          <w:szCs w:val="22"/>
          <w:lang w:val="es-ES"/>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39F252A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172ADE">
                              <w:rPr>
                                <w:rFonts w:asciiTheme="majorHAnsi" w:hAnsiTheme="majorHAnsi" w:cs="Arial"/>
                                <w:b/>
                                <w:bCs/>
                                <w:color w:val="0D0D0D" w:themeColor="text1" w:themeTint="F2"/>
                                <w:sz w:val="36"/>
                                <w:szCs w:val="22"/>
                                <w:lang w:val="es-ES_tradnl"/>
                              </w:rPr>
                              <w:t>291</w:t>
                            </w:r>
                            <w:r w:rsidR="007B05C4">
                              <w:rPr>
                                <w:rFonts w:asciiTheme="majorHAnsi" w:hAnsiTheme="majorHAnsi" w:cs="Arial"/>
                                <w:b/>
                                <w:bCs/>
                                <w:color w:val="0D0D0D" w:themeColor="text1" w:themeTint="F2"/>
                                <w:sz w:val="36"/>
                                <w:szCs w:val="22"/>
                                <w:lang w:val="es-ES_tradnl"/>
                              </w:rPr>
                              <w:t>/</w:t>
                            </w:r>
                            <w:r w:rsidR="00AD49CC">
                              <w:rPr>
                                <w:rFonts w:asciiTheme="majorHAnsi" w:hAnsiTheme="majorHAnsi" w:cs="Arial"/>
                                <w:b/>
                                <w:bCs/>
                                <w:color w:val="0D0D0D" w:themeColor="text1" w:themeTint="F2"/>
                                <w:sz w:val="36"/>
                                <w:szCs w:val="22"/>
                                <w:lang w:val="es-ES_tradnl"/>
                              </w:rPr>
                              <w:t>25</w:t>
                            </w:r>
                          </w:p>
                          <w:p w14:paraId="45F30ECA" w14:textId="518AE8D6"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AD49CC">
                              <w:rPr>
                                <w:rFonts w:asciiTheme="majorHAnsi" w:hAnsiTheme="majorHAnsi" w:cs="Arial"/>
                                <w:b/>
                                <w:color w:val="0D0D0D" w:themeColor="text1" w:themeTint="F2"/>
                                <w:sz w:val="36"/>
                                <w:szCs w:val="22"/>
                                <w:lang w:val="es-ES_tradnl"/>
                              </w:rPr>
                              <w:t>1009</w:t>
                            </w:r>
                            <w:r w:rsidR="00246D1F" w:rsidRPr="004E2649">
                              <w:rPr>
                                <w:rFonts w:asciiTheme="majorHAnsi" w:hAnsiTheme="majorHAnsi" w:cs="Arial"/>
                                <w:b/>
                                <w:color w:val="0D0D0D" w:themeColor="text1" w:themeTint="F2"/>
                                <w:sz w:val="36"/>
                                <w:szCs w:val="22"/>
                                <w:lang w:val="es-ES_tradnl"/>
                              </w:rPr>
                              <w:t>-</w:t>
                            </w:r>
                            <w:r w:rsidR="00AD49CC">
                              <w:rPr>
                                <w:rFonts w:asciiTheme="majorHAnsi" w:hAnsiTheme="majorHAnsi" w:cs="Arial"/>
                                <w:b/>
                                <w:color w:val="0D0D0D" w:themeColor="text1" w:themeTint="F2"/>
                                <w:sz w:val="36"/>
                                <w:szCs w:val="22"/>
                                <w:lang w:val="es-ES_tradnl"/>
                              </w:rPr>
                              <w:t>15</w:t>
                            </w:r>
                            <w:r w:rsidR="00246D1F" w:rsidRPr="004E2649">
                              <w:rPr>
                                <w:rFonts w:asciiTheme="majorHAnsi" w:hAnsiTheme="majorHAnsi" w:cs="Arial"/>
                                <w:b/>
                                <w:color w:val="0D0D0D" w:themeColor="text1" w:themeTint="F2"/>
                                <w:sz w:val="36"/>
                                <w:szCs w:val="22"/>
                                <w:lang w:val="es-ES_tradnl"/>
                              </w:rPr>
                              <w:t xml:space="preserve"> </w:t>
                            </w:r>
                          </w:p>
                          <w:p w14:paraId="188B4303" w14:textId="32249C0E"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2BD40E15" w14:textId="77777777" w:rsidR="00AD49CC" w:rsidRPr="000B1FAE" w:rsidRDefault="00AD49CC" w:rsidP="00AD49CC">
                            <w:pPr>
                              <w:spacing w:line="276" w:lineRule="auto"/>
                              <w:rPr>
                                <w:rFonts w:asciiTheme="majorHAnsi" w:hAnsiTheme="majorHAnsi" w:cs="Arial"/>
                                <w:color w:val="0D0D0D" w:themeColor="text1" w:themeTint="F2"/>
                                <w:szCs w:val="22"/>
                                <w:lang w:val="es-ES_tradnl"/>
                              </w:rPr>
                            </w:pPr>
                            <w:r w:rsidRPr="000B1FAE">
                              <w:rPr>
                                <w:rFonts w:asciiTheme="majorHAnsi" w:hAnsiTheme="majorHAnsi" w:cs="Arial"/>
                                <w:color w:val="0D0D0D" w:themeColor="text1" w:themeTint="F2"/>
                                <w:szCs w:val="22"/>
                                <w:lang w:val="es-ES_tradnl"/>
                              </w:rPr>
                              <w:t>DOMINGO GUTIÉRREZ MENDÍVIL</w:t>
                            </w:r>
                          </w:p>
                          <w:p w14:paraId="0B9F7D22" w14:textId="45A543FB" w:rsidR="005B52B0" w:rsidRPr="00AD49CC" w:rsidRDefault="00AD49CC" w:rsidP="00AD49CC">
                            <w:pPr>
                              <w:rPr>
                                <w:color w:val="0D0D0D" w:themeColor="text1" w:themeTint="F2"/>
                                <w:lang w:val="es-PE"/>
                              </w:rPr>
                            </w:pPr>
                            <w:r>
                              <w:rPr>
                                <w:rFonts w:asciiTheme="majorHAnsi" w:hAnsiTheme="majorHAnsi" w:cs="Arial"/>
                                <w:color w:val="0D0D0D" w:themeColor="text1" w:themeTint="F2"/>
                                <w:szCs w:val="22"/>
                                <w:lang w:val="es-P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39F252A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172ADE">
                        <w:rPr>
                          <w:rFonts w:asciiTheme="majorHAnsi" w:hAnsiTheme="majorHAnsi" w:cs="Arial"/>
                          <w:b/>
                          <w:bCs/>
                          <w:color w:val="0D0D0D" w:themeColor="text1" w:themeTint="F2"/>
                          <w:sz w:val="36"/>
                          <w:szCs w:val="22"/>
                          <w:lang w:val="es-ES_tradnl"/>
                        </w:rPr>
                        <w:t>291</w:t>
                      </w:r>
                      <w:r w:rsidR="007B05C4">
                        <w:rPr>
                          <w:rFonts w:asciiTheme="majorHAnsi" w:hAnsiTheme="majorHAnsi" w:cs="Arial"/>
                          <w:b/>
                          <w:bCs/>
                          <w:color w:val="0D0D0D" w:themeColor="text1" w:themeTint="F2"/>
                          <w:sz w:val="36"/>
                          <w:szCs w:val="22"/>
                          <w:lang w:val="es-ES_tradnl"/>
                        </w:rPr>
                        <w:t>/</w:t>
                      </w:r>
                      <w:r w:rsidR="00AD49CC">
                        <w:rPr>
                          <w:rFonts w:asciiTheme="majorHAnsi" w:hAnsiTheme="majorHAnsi" w:cs="Arial"/>
                          <w:b/>
                          <w:bCs/>
                          <w:color w:val="0D0D0D" w:themeColor="text1" w:themeTint="F2"/>
                          <w:sz w:val="36"/>
                          <w:szCs w:val="22"/>
                          <w:lang w:val="es-ES_tradnl"/>
                        </w:rPr>
                        <w:t>25</w:t>
                      </w:r>
                    </w:p>
                    <w:p w14:paraId="45F30ECA" w14:textId="518AE8D6"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AD49CC">
                        <w:rPr>
                          <w:rFonts w:asciiTheme="majorHAnsi" w:hAnsiTheme="majorHAnsi" w:cs="Arial"/>
                          <w:b/>
                          <w:color w:val="0D0D0D" w:themeColor="text1" w:themeTint="F2"/>
                          <w:sz w:val="36"/>
                          <w:szCs w:val="22"/>
                          <w:lang w:val="es-ES_tradnl"/>
                        </w:rPr>
                        <w:t>1009</w:t>
                      </w:r>
                      <w:r w:rsidR="00246D1F" w:rsidRPr="004E2649">
                        <w:rPr>
                          <w:rFonts w:asciiTheme="majorHAnsi" w:hAnsiTheme="majorHAnsi" w:cs="Arial"/>
                          <w:b/>
                          <w:color w:val="0D0D0D" w:themeColor="text1" w:themeTint="F2"/>
                          <w:sz w:val="36"/>
                          <w:szCs w:val="22"/>
                          <w:lang w:val="es-ES_tradnl"/>
                        </w:rPr>
                        <w:t>-</w:t>
                      </w:r>
                      <w:r w:rsidR="00AD49CC">
                        <w:rPr>
                          <w:rFonts w:asciiTheme="majorHAnsi" w:hAnsiTheme="majorHAnsi" w:cs="Arial"/>
                          <w:b/>
                          <w:color w:val="0D0D0D" w:themeColor="text1" w:themeTint="F2"/>
                          <w:sz w:val="36"/>
                          <w:szCs w:val="22"/>
                          <w:lang w:val="es-ES_tradnl"/>
                        </w:rPr>
                        <w:t>15</w:t>
                      </w:r>
                      <w:r w:rsidR="00246D1F" w:rsidRPr="004E2649">
                        <w:rPr>
                          <w:rFonts w:asciiTheme="majorHAnsi" w:hAnsiTheme="majorHAnsi" w:cs="Arial"/>
                          <w:b/>
                          <w:color w:val="0D0D0D" w:themeColor="text1" w:themeTint="F2"/>
                          <w:sz w:val="36"/>
                          <w:szCs w:val="22"/>
                          <w:lang w:val="es-ES_tradnl"/>
                        </w:rPr>
                        <w:t xml:space="preserve"> </w:t>
                      </w:r>
                    </w:p>
                    <w:p w14:paraId="188B4303" w14:textId="32249C0E"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2BD40E15" w14:textId="77777777" w:rsidR="00AD49CC" w:rsidRPr="000B1FAE" w:rsidRDefault="00AD49CC" w:rsidP="00AD49CC">
                      <w:pPr>
                        <w:spacing w:line="276" w:lineRule="auto"/>
                        <w:rPr>
                          <w:rFonts w:asciiTheme="majorHAnsi" w:hAnsiTheme="majorHAnsi" w:cs="Arial"/>
                          <w:color w:val="0D0D0D" w:themeColor="text1" w:themeTint="F2"/>
                          <w:szCs w:val="22"/>
                          <w:lang w:val="es-ES_tradnl"/>
                        </w:rPr>
                      </w:pPr>
                      <w:r w:rsidRPr="000B1FAE">
                        <w:rPr>
                          <w:rFonts w:asciiTheme="majorHAnsi" w:hAnsiTheme="majorHAnsi" w:cs="Arial"/>
                          <w:color w:val="0D0D0D" w:themeColor="text1" w:themeTint="F2"/>
                          <w:szCs w:val="22"/>
                          <w:lang w:val="es-ES_tradnl"/>
                        </w:rPr>
                        <w:t>DOMINGO GUTIÉRREZ MENDÍVIL</w:t>
                      </w:r>
                    </w:p>
                    <w:p w14:paraId="0B9F7D22" w14:textId="45A543FB" w:rsidR="005B52B0" w:rsidRPr="00AD49CC" w:rsidRDefault="00AD49CC" w:rsidP="00AD49CC">
                      <w:pPr>
                        <w:rPr>
                          <w:color w:val="0D0D0D" w:themeColor="text1" w:themeTint="F2"/>
                          <w:lang w:val="es-PE"/>
                        </w:rPr>
                      </w:pPr>
                      <w:r>
                        <w:rPr>
                          <w:rFonts w:asciiTheme="majorHAnsi" w:hAnsiTheme="majorHAnsi" w:cs="Arial"/>
                          <w:color w:val="0D0D0D" w:themeColor="text1" w:themeTint="F2"/>
                          <w:szCs w:val="22"/>
                          <w:lang w:val="es-PE"/>
                        </w:rPr>
                        <w:t>MÉXICO</w:t>
                      </w:r>
                    </w:p>
                  </w:txbxContent>
                </v:textbox>
              </v:shape>
            </w:pict>
          </mc:Fallback>
        </mc:AlternateContent>
      </w:r>
      <w:r w:rsidR="004E2649" w:rsidRPr="00C50773">
        <w:rPr>
          <w:rFonts w:asciiTheme="majorHAnsi" w:hAnsiTheme="majorHAnsi"/>
          <w:noProof/>
          <w:sz w:val="22"/>
          <w:szCs w:val="22"/>
          <w:lang w:val="es-ES"/>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41D6AF01" w:rsidR="00627C9F" w:rsidRPr="002C2319" w:rsidRDefault="00834D49" w:rsidP="007A5817">
                            <w:pPr>
                              <w:spacing w:line="276" w:lineRule="auto"/>
                              <w:jc w:val="right"/>
                              <w:rPr>
                                <w:rFonts w:asciiTheme="minorHAnsi" w:hAnsiTheme="minorHAnsi"/>
                                <w:color w:val="FFFFFF" w:themeColor="background1"/>
                                <w:sz w:val="22"/>
                                <w:lang w:val="es-ES"/>
                              </w:rPr>
                            </w:pPr>
                            <w:r w:rsidRPr="002C2319">
                              <w:rPr>
                                <w:rFonts w:asciiTheme="minorHAnsi" w:hAnsiTheme="minorHAnsi"/>
                                <w:color w:val="FFFFFF" w:themeColor="background1"/>
                                <w:sz w:val="22"/>
                                <w:lang w:val="es-ES"/>
                              </w:rPr>
                              <w:t>OEA/Ser.L/V/II</w:t>
                            </w:r>
                          </w:p>
                          <w:p w14:paraId="71D2D5D2" w14:textId="75565F2F" w:rsidR="00627C9F" w:rsidRPr="002C2319" w:rsidRDefault="00627C9F" w:rsidP="007A5817">
                            <w:pPr>
                              <w:spacing w:line="276" w:lineRule="auto"/>
                              <w:jc w:val="right"/>
                              <w:rPr>
                                <w:rFonts w:asciiTheme="minorHAnsi" w:hAnsiTheme="minorHAnsi"/>
                                <w:color w:val="FFFFFF" w:themeColor="background1"/>
                                <w:sz w:val="22"/>
                                <w:lang w:val="es-ES"/>
                              </w:rPr>
                            </w:pPr>
                            <w:r w:rsidRPr="002C2319">
                              <w:rPr>
                                <w:rFonts w:asciiTheme="minorHAnsi" w:hAnsiTheme="minorHAnsi"/>
                                <w:color w:val="FFFFFF" w:themeColor="background1"/>
                                <w:sz w:val="22"/>
                                <w:lang w:val="es-ES"/>
                              </w:rPr>
                              <w:t xml:space="preserve">Doc. </w:t>
                            </w:r>
                            <w:r w:rsidR="00172ADE" w:rsidRPr="002C2319">
                              <w:rPr>
                                <w:rFonts w:asciiTheme="minorHAnsi" w:hAnsiTheme="minorHAnsi"/>
                                <w:color w:val="FFFFFF" w:themeColor="background1"/>
                                <w:sz w:val="22"/>
                                <w:lang w:val="es-ES"/>
                              </w:rPr>
                              <w:t>306</w:t>
                            </w:r>
                          </w:p>
                          <w:p w14:paraId="4061DBBD" w14:textId="370CAFE8" w:rsidR="00627C9F" w:rsidRPr="00C25ADB" w:rsidRDefault="00172ADE"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15 diciembre</w:t>
                            </w:r>
                            <w:r w:rsidR="00627C9F" w:rsidRPr="00C25ADB">
                              <w:rPr>
                                <w:rFonts w:asciiTheme="minorHAnsi" w:hAnsiTheme="minorHAnsi"/>
                                <w:color w:val="FFFFFF" w:themeColor="background1"/>
                                <w:sz w:val="22"/>
                                <w:lang w:val="es-PA"/>
                              </w:rPr>
                              <w:t xml:space="preserve"> </w:t>
                            </w:r>
                            <w:r w:rsidR="00AD49CC">
                              <w:rPr>
                                <w:rFonts w:asciiTheme="minorHAnsi" w:hAnsiTheme="minorHAnsi"/>
                                <w:color w:val="FFFFFF" w:themeColor="background1"/>
                                <w:sz w:val="22"/>
                                <w:lang w:val="es-PA"/>
                              </w:rPr>
                              <w:t>2025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41D6AF01" w:rsidR="00627C9F" w:rsidRPr="002C2319" w:rsidRDefault="00834D49" w:rsidP="007A5817">
                      <w:pPr>
                        <w:spacing w:line="276" w:lineRule="auto"/>
                        <w:jc w:val="right"/>
                        <w:rPr>
                          <w:rFonts w:asciiTheme="minorHAnsi" w:hAnsiTheme="minorHAnsi"/>
                          <w:color w:val="FFFFFF" w:themeColor="background1"/>
                          <w:sz w:val="22"/>
                          <w:lang w:val="es-ES"/>
                        </w:rPr>
                      </w:pPr>
                      <w:r w:rsidRPr="002C2319">
                        <w:rPr>
                          <w:rFonts w:asciiTheme="minorHAnsi" w:hAnsiTheme="minorHAnsi"/>
                          <w:color w:val="FFFFFF" w:themeColor="background1"/>
                          <w:sz w:val="22"/>
                          <w:lang w:val="es-ES"/>
                        </w:rPr>
                        <w:t>OEA/Ser.L/V/II</w:t>
                      </w:r>
                    </w:p>
                    <w:p w14:paraId="71D2D5D2" w14:textId="75565F2F" w:rsidR="00627C9F" w:rsidRPr="002C2319" w:rsidRDefault="00627C9F" w:rsidP="007A5817">
                      <w:pPr>
                        <w:spacing w:line="276" w:lineRule="auto"/>
                        <w:jc w:val="right"/>
                        <w:rPr>
                          <w:rFonts w:asciiTheme="minorHAnsi" w:hAnsiTheme="minorHAnsi"/>
                          <w:color w:val="FFFFFF" w:themeColor="background1"/>
                          <w:sz w:val="22"/>
                          <w:lang w:val="es-ES"/>
                        </w:rPr>
                      </w:pPr>
                      <w:r w:rsidRPr="002C2319">
                        <w:rPr>
                          <w:rFonts w:asciiTheme="minorHAnsi" w:hAnsiTheme="minorHAnsi"/>
                          <w:color w:val="FFFFFF" w:themeColor="background1"/>
                          <w:sz w:val="22"/>
                          <w:lang w:val="es-ES"/>
                        </w:rPr>
                        <w:t xml:space="preserve">Doc. </w:t>
                      </w:r>
                      <w:r w:rsidR="00172ADE" w:rsidRPr="002C2319">
                        <w:rPr>
                          <w:rFonts w:asciiTheme="minorHAnsi" w:hAnsiTheme="minorHAnsi"/>
                          <w:color w:val="FFFFFF" w:themeColor="background1"/>
                          <w:sz w:val="22"/>
                          <w:lang w:val="es-ES"/>
                        </w:rPr>
                        <w:t>306</w:t>
                      </w:r>
                    </w:p>
                    <w:p w14:paraId="4061DBBD" w14:textId="370CAFE8" w:rsidR="00627C9F" w:rsidRPr="00C25ADB" w:rsidRDefault="00172ADE"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15 diciembre</w:t>
                      </w:r>
                      <w:r w:rsidR="00627C9F" w:rsidRPr="00C25ADB">
                        <w:rPr>
                          <w:rFonts w:asciiTheme="minorHAnsi" w:hAnsiTheme="minorHAnsi"/>
                          <w:color w:val="FFFFFF" w:themeColor="background1"/>
                          <w:sz w:val="22"/>
                          <w:lang w:val="es-PA"/>
                        </w:rPr>
                        <w:t xml:space="preserve"> </w:t>
                      </w:r>
                      <w:r w:rsidR="00AD49CC">
                        <w:rPr>
                          <w:rFonts w:asciiTheme="minorHAnsi" w:hAnsiTheme="minorHAnsi"/>
                          <w:color w:val="FFFFFF" w:themeColor="background1"/>
                          <w:sz w:val="22"/>
                          <w:lang w:val="es-PA"/>
                        </w:rPr>
                        <w:t>2025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C50773"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C50773"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C50773"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C50773"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C50773"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C50773"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C50773"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C50773"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C50773"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C50773"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C50773"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C50773"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C50773"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C50773"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C50773" w:rsidRDefault="0090270B" w:rsidP="00040C3A">
      <w:pPr>
        <w:tabs>
          <w:tab w:val="center" w:pos="5400"/>
        </w:tabs>
        <w:suppressAutoHyphens/>
        <w:jc w:val="center"/>
        <w:rPr>
          <w:rFonts w:asciiTheme="majorHAnsi" w:hAnsiTheme="majorHAnsi"/>
          <w:sz w:val="18"/>
          <w:szCs w:val="22"/>
          <w:lang w:val="es-ES"/>
        </w:rPr>
      </w:pPr>
      <w:r w:rsidRPr="00C50773">
        <w:rPr>
          <w:rFonts w:asciiTheme="majorHAnsi" w:hAnsiTheme="majorHAnsi"/>
          <w:noProof/>
          <w:sz w:val="22"/>
          <w:szCs w:val="22"/>
          <w:lang w:val="es-ES"/>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B8538" w14:textId="3AE95616"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172ADE">
                              <w:rPr>
                                <w:rFonts w:asciiTheme="majorHAnsi" w:hAnsiTheme="majorHAnsi"/>
                                <w:color w:val="0D0D0D" w:themeColor="text1" w:themeTint="F2"/>
                                <w:sz w:val="18"/>
                                <w:szCs w:val="22"/>
                                <w:lang w:val="es-ES"/>
                              </w:rPr>
                              <w:t>15</w:t>
                            </w:r>
                            <w:r w:rsidRPr="00890650">
                              <w:rPr>
                                <w:rFonts w:asciiTheme="majorHAnsi" w:hAnsiTheme="majorHAnsi"/>
                                <w:color w:val="0D0D0D" w:themeColor="text1" w:themeTint="F2"/>
                                <w:sz w:val="18"/>
                                <w:szCs w:val="22"/>
                                <w:lang w:val="es-ES"/>
                              </w:rPr>
                              <w:t xml:space="preserve"> de </w:t>
                            </w:r>
                            <w:r w:rsidR="00172ADE">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172ADE">
                              <w:rPr>
                                <w:rFonts w:asciiTheme="majorHAnsi" w:hAnsiTheme="majorHAnsi"/>
                                <w:color w:val="0D0D0D" w:themeColor="text1" w:themeTint="F2"/>
                                <w:sz w:val="18"/>
                                <w:szCs w:val="22"/>
                                <w:lang w:val="es-ES"/>
                              </w:rPr>
                              <w:t>5.</w:t>
                            </w: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27EB8538" w14:textId="3AE95616"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172ADE">
                        <w:rPr>
                          <w:rFonts w:asciiTheme="majorHAnsi" w:hAnsiTheme="majorHAnsi"/>
                          <w:color w:val="0D0D0D" w:themeColor="text1" w:themeTint="F2"/>
                          <w:sz w:val="18"/>
                          <w:szCs w:val="22"/>
                          <w:lang w:val="es-ES"/>
                        </w:rPr>
                        <w:t>15</w:t>
                      </w:r>
                      <w:r w:rsidRPr="00890650">
                        <w:rPr>
                          <w:rFonts w:asciiTheme="majorHAnsi" w:hAnsiTheme="majorHAnsi"/>
                          <w:color w:val="0D0D0D" w:themeColor="text1" w:themeTint="F2"/>
                          <w:sz w:val="18"/>
                          <w:szCs w:val="22"/>
                          <w:lang w:val="es-ES"/>
                        </w:rPr>
                        <w:t xml:space="preserve"> de </w:t>
                      </w:r>
                      <w:r w:rsidR="00172ADE">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172ADE">
                        <w:rPr>
                          <w:rFonts w:asciiTheme="majorHAnsi" w:hAnsiTheme="majorHAnsi"/>
                          <w:color w:val="0D0D0D" w:themeColor="text1" w:themeTint="F2"/>
                          <w:sz w:val="18"/>
                          <w:szCs w:val="22"/>
                          <w:lang w:val="es-ES"/>
                        </w:rPr>
                        <w:t>5.</w:t>
                      </w: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5EDC5EE2"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4730F205" w14:textId="77777777" w:rsidR="00A50FCF" w:rsidRPr="00C50773" w:rsidRDefault="0090270B" w:rsidP="00040C3A">
      <w:pPr>
        <w:tabs>
          <w:tab w:val="center" w:pos="5400"/>
        </w:tabs>
        <w:suppressAutoHyphens/>
        <w:jc w:val="center"/>
        <w:rPr>
          <w:rFonts w:asciiTheme="majorHAnsi" w:hAnsiTheme="majorHAnsi"/>
          <w:sz w:val="18"/>
          <w:szCs w:val="22"/>
          <w:lang w:val="es-ES"/>
        </w:rPr>
      </w:pPr>
      <w:r w:rsidRPr="00C50773">
        <w:rPr>
          <w:rFonts w:asciiTheme="majorHAnsi" w:hAnsiTheme="majorHAnsi"/>
          <w:noProof/>
          <w:sz w:val="18"/>
          <w:szCs w:val="22"/>
          <w:lang w:val="es-ES"/>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24D2895F"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5124AD" w:rsidRPr="005124AD">
                              <w:rPr>
                                <w:rFonts w:asciiTheme="majorHAnsi" w:hAnsiTheme="majorHAnsi"/>
                                <w:color w:val="595959" w:themeColor="text1" w:themeTint="A6"/>
                                <w:sz w:val="18"/>
                                <w:szCs w:val="18"/>
                                <w:lang w:val="pt-BR"/>
                              </w:rPr>
                              <w:t>291</w:t>
                            </w:r>
                            <w:r w:rsidR="007B05C4" w:rsidRPr="005124AD">
                              <w:rPr>
                                <w:rFonts w:asciiTheme="majorHAnsi" w:hAnsiTheme="majorHAnsi"/>
                                <w:color w:val="595959" w:themeColor="text1" w:themeTint="A6"/>
                                <w:sz w:val="18"/>
                                <w:szCs w:val="18"/>
                                <w:lang w:val="pt-BR"/>
                              </w:rPr>
                              <w:t>/</w:t>
                            </w:r>
                            <w:r w:rsidR="005124AD" w:rsidRPr="005124AD">
                              <w:rPr>
                                <w:rFonts w:asciiTheme="majorHAnsi" w:hAnsiTheme="majorHAnsi"/>
                                <w:color w:val="595959" w:themeColor="text1" w:themeTint="A6"/>
                                <w:sz w:val="18"/>
                                <w:szCs w:val="18"/>
                                <w:lang w:val="pt-BR"/>
                              </w:rPr>
                              <w:t>25</w:t>
                            </w:r>
                            <w:r w:rsidRPr="005124AD">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5124AD">
                              <w:rPr>
                                <w:rFonts w:asciiTheme="majorHAnsi" w:hAnsiTheme="majorHAnsi"/>
                                <w:color w:val="595959" w:themeColor="text1" w:themeTint="A6"/>
                                <w:sz w:val="18"/>
                                <w:szCs w:val="18"/>
                                <w:lang w:val="es-ES"/>
                              </w:rPr>
                              <w:t>1009</w:t>
                            </w:r>
                            <w:r w:rsidR="000433C9">
                              <w:rPr>
                                <w:rFonts w:asciiTheme="majorHAnsi" w:hAnsiTheme="majorHAnsi"/>
                                <w:color w:val="595959" w:themeColor="text1" w:themeTint="A6"/>
                                <w:sz w:val="18"/>
                                <w:szCs w:val="18"/>
                                <w:lang w:val="es-ES"/>
                              </w:rPr>
                              <w:t>-</w:t>
                            </w:r>
                            <w:r w:rsidR="005124AD">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r w:rsidR="005124AD">
                              <w:rPr>
                                <w:rFonts w:asciiTheme="majorHAnsi" w:hAnsiTheme="majorHAnsi"/>
                                <w:color w:val="595959" w:themeColor="text1" w:themeTint="A6"/>
                                <w:sz w:val="18"/>
                                <w:szCs w:val="18"/>
                                <w:lang w:val="es-ES_tradnl"/>
                              </w:rPr>
                              <w:t>Domingo Guti</w:t>
                            </w:r>
                            <w:r w:rsidR="005124AD" w:rsidRPr="005124AD">
                              <w:rPr>
                                <w:rFonts w:asciiTheme="majorHAnsi" w:hAnsiTheme="majorHAnsi"/>
                                <w:color w:val="595959" w:themeColor="text1" w:themeTint="A6"/>
                                <w:sz w:val="18"/>
                                <w:szCs w:val="18"/>
                                <w:lang w:val="es-ES"/>
                              </w:rPr>
                              <w:t>érrez Mendível</w:t>
                            </w:r>
                            <w:r w:rsidRPr="00890650">
                              <w:rPr>
                                <w:rFonts w:asciiTheme="majorHAnsi" w:hAnsiTheme="majorHAnsi"/>
                                <w:color w:val="595959" w:themeColor="text1" w:themeTint="A6"/>
                                <w:sz w:val="18"/>
                                <w:szCs w:val="18"/>
                                <w:lang w:val="es-ES_tradnl"/>
                              </w:rPr>
                              <w:t xml:space="preserve">. </w:t>
                            </w:r>
                            <w:r w:rsidR="001C4E8B">
                              <w:rPr>
                                <w:rFonts w:asciiTheme="majorHAnsi" w:hAnsiTheme="majorHAnsi"/>
                                <w:color w:val="595959" w:themeColor="text1" w:themeTint="A6"/>
                                <w:sz w:val="18"/>
                                <w:szCs w:val="18"/>
                                <w:lang w:val="es-ES_tradnl"/>
                              </w:rPr>
                              <w:t>México</w:t>
                            </w:r>
                            <w:r w:rsidRPr="00890650">
                              <w:rPr>
                                <w:rFonts w:asciiTheme="majorHAnsi" w:hAnsiTheme="majorHAnsi"/>
                                <w:color w:val="595959" w:themeColor="text1" w:themeTint="A6"/>
                                <w:sz w:val="18"/>
                                <w:szCs w:val="18"/>
                                <w:lang w:val="es-ES_tradnl"/>
                              </w:rPr>
                              <w:t xml:space="preserve">. </w:t>
                            </w:r>
                            <w:r w:rsidR="001C4E8B">
                              <w:rPr>
                                <w:rFonts w:asciiTheme="majorHAnsi" w:hAnsiTheme="majorHAnsi"/>
                                <w:color w:val="595959" w:themeColor="text1" w:themeTint="A6"/>
                                <w:sz w:val="18"/>
                                <w:szCs w:val="18"/>
                                <w:lang w:val="es-ES"/>
                              </w:rPr>
                              <w:t>15 de diciembre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24D2895F"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5124AD" w:rsidRPr="005124AD">
                        <w:rPr>
                          <w:rFonts w:asciiTheme="majorHAnsi" w:hAnsiTheme="majorHAnsi"/>
                          <w:color w:val="595959" w:themeColor="text1" w:themeTint="A6"/>
                          <w:sz w:val="18"/>
                          <w:szCs w:val="18"/>
                          <w:lang w:val="pt-BR"/>
                        </w:rPr>
                        <w:t>291</w:t>
                      </w:r>
                      <w:r w:rsidR="007B05C4" w:rsidRPr="005124AD">
                        <w:rPr>
                          <w:rFonts w:asciiTheme="majorHAnsi" w:hAnsiTheme="majorHAnsi"/>
                          <w:color w:val="595959" w:themeColor="text1" w:themeTint="A6"/>
                          <w:sz w:val="18"/>
                          <w:szCs w:val="18"/>
                          <w:lang w:val="pt-BR"/>
                        </w:rPr>
                        <w:t>/</w:t>
                      </w:r>
                      <w:r w:rsidR="005124AD" w:rsidRPr="005124AD">
                        <w:rPr>
                          <w:rFonts w:asciiTheme="majorHAnsi" w:hAnsiTheme="majorHAnsi"/>
                          <w:color w:val="595959" w:themeColor="text1" w:themeTint="A6"/>
                          <w:sz w:val="18"/>
                          <w:szCs w:val="18"/>
                          <w:lang w:val="pt-BR"/>
                        </w:rPr>
                        <w:t>25</w:t>
                      </w:r>
                      <w:r w:rsidRPr="005124AD">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5124AD">
                        <w:rPr>
                          <w:rFonts w:asciiTheme="majorHAnsi" w:hAnsiTheme="majorHAnsi"/>
                          <w:color w:val="595959" w:themeColor="text1" w:themeTint="A6"/>
                          <w:sz w:val="18"/>
                          <w:szCs w:val="18"/>
                          <w:lang w:val="es-ES"/>
                        </w:rPr>
                        <w:t>1009</w:t>
                      </w:r>
                      <w:r w:rsidR="000433C9">
                        <w:rPr>
                          <w:rFonts w:asciiTheme="majorHAnsi" w:hAnsiTheme="majorHAnsi"/>
                          <w:color w:val="595959" w:themeColor="text1" w:themeTint="A6"/>
                          <w:sz w:val="18"/>
                          <w:szCs w:val="18"/>
                          <w:lang w:val="es-ES"/>
                        </w:rPr>
                        <w:t>-</w:t>
                      </w:r>
                      <w:r w:rsidR="005124AD">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r w:rsidR="005124AD">
                        <w:rPr>
                          <w:rFonts w:asciiTheme="majorHAnsi" w:hAnsiTheme="majorHAnsi"/>
                          <w:color w:val="595959" w:themeColor="text1" w:themeTint="A6"/>
                          <w:sz w:val="18"/>
                          <w:szCs w:val="18"/>
                          <w:lang w:val="es-ES_tradnl"/>
                        </w:rPr>
                        <w:t>Domingo Guti</w:t>
                      </w:r>
                      <w:r w:rsidR="005124AD" w:rsidRPr="005124AD">
                        <w:rPr>
                          <w:rFonts w:asciiTheme="majorHAnsi" w:hAnsiTheme="majorHAnsi"/>
                          <w:color w:val="595959" w:themeColor="text1" w:themeTint="A6"/>
                          <w:sz w:val="18"/>
                          <w:szCs w:val="18"/>
                          <w:lang w:val="es-ES"/>
                        </w:rPr>
                        <w:t>érrez Mendível</w:t>
                      </w:r>
                      <w:r w:rsidRPr="00890650">
                        <w:rPr>
                          <w:rFonts w:asciiTheme="majorHAnsi" w:hAnsiTheme="majorHAnsi"/>
                          <w:color w:val="595959" w:themeColor="text1" w:themeTint="A6"/>
                          <w:sz w:val="18"/>
                          <w:szCs w:val="18"/>
                          <w:lang w:val="es-ES_tradnl"/>
                        </w:rPr>
                        <w:t xml:space="preserve">. </w:t>
                      </w:r>
                      <w:r w:rsidR="001C4E8B">
                        <w:rPr>
                          <w:rFonts w:asciiTheme="majorHAnsi" w:hAnsiTheme="majorHAnsi"/>
                          <w:color w:val="595959" w:themeColor="text1" w:themeTint="A6"/>
                          <w:sz w:val="18"/>
                          <w:szCs w:val="18"/>
                          <w:lang w:val="es-ES_tradnl"/>
                        </w:rPr>
                        <w:t>México</w:t>
                      </w:r>
                      <w:r w:rsidRPr="00890650">
                        <w:rPr>
                          <w:rFonts w:asciiTheme="majorHAnsi" w:hAnsiTheme="majorHAnsi"/>
                          <w:color w:val="595959" w:themeColor="text1" w:themeTint="A6"/>
                          <w:sz w:val="18"/>
                          <w:szCs w:val="18"/>
                          <w:lang w:val="es-ES_tradnl"/>
                        </w:rPr>
                        <w:t xml:space="preserve">. </w:t>
                      </w:r>
                      <w:r w:rsidR="001C4E8B">
                        <w:rPr>
                          <w:rFonts w:asciiTheme="majorHAnsi" w:hAnsiTheme="majorHAnsi"/>
                          <w:color w:val="595959" w:themeColor="text1" w:themeTint="A6"/>
                          <w:sz w:val="18"/>
                          <w:szCs w:val="18"/>
                          <w:lang w:val="es-ES"/>
                        </w:rPr>
                        <w:t>15 de diciembre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C50773" w:rsidRDefault="00A50FCF" w:rsidP="00040C3A">
      <w:pPr>
        <w:tabs>
          <w:tab w:val="center" w:pos="5400"/>
        </w:tabs>
        <w:suppressAutoHyphens/>
        <w:jc w:val="center"/>
        <w:rPr>
          <w:rFonts w:asciiTheme="majorHAnsi" w:hAnsiTheme="majorHAnsi"/>
          <w:sz w:val="18"/>
          <w:szCs w:val="22"/>
          <w:lang w:val="es-ES"/>
        </w:rPr>
      </w:pPr>
    </w:p>
    <w:p w14:paraId="0C9396CC" w14:textId="77777777" w:rsidR="0090270B" w:rsidRPr="00C50773" w:rsidRDefault="00D306D1" w:rsidP="005516A1">
      <w:pPr>
        <w:tabs>
          <w:tab w:val="center" w:pos="5400"/>
        </w:tabs>
        <w:suppressAutoHyphens/>
        <w:jc w:val="center"/>
        <w:rPr>
          <w:rFonts w:asciiTheme="majorHAnsi" w:hAnsiTheme="majorHAnsi"/>
          <w:b/>
          <w:sz w:val="20"/>
          <w:lang w:val="es-ES"/>
        </w:rPr>
      </w:pPr>
      <w:r w:rsidRPr="00C50773">
        <w:rPr>
          <w:rFonts w:asciiTheme="majorHAnsi" w:hAnsiTheme="majorHAnsi"/>
          <w:noProof/>
          <w:sz w:val="18"/>
          <w:szCs w:val="22"/>
          <w:lang w:val="es-ES"/>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0F2CDC78" w:rsidR="00D72DC6" w:rsidRPr="00D72DC6" w:rsidRDefault="00FE5A3B" w:rsidP="00F02AD1">
                            <w:pPr>
                              <w:rPr>
                                <w:color w:val="FFFFFF" w:themeColor="background1"/>
                                <w14:textFill>
                                  <w14:noFill/>
                                </w14:textFill>
                              </w:rPr>
                            </w:pPr>
                            <w:r>
                              <w:rPr>
                                <w:noProof/>
                                <w:color w:val="FFFFFF" w:themeColor="background1"/>
                              </w:rPr>
                              <w:drawing>
                                <wp:inline distT="0" distB="0" distL="0" distR="0" wp14:anchorId="4712B166" wp14:editId="332C6CAC">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0F2CDC78" w:rsidR="00D72DC6" w:rsidRPr="00D72DC6" w:rsidRDefault="00FE5A3B" w:rsidP="00F02AD1">
                      <w:pPr>
                        <w:rPr>
                          <w:color w:val="FFFFFF" w:themeColor="background1"/>
                          <w14:textFill>
                            <w14:noFill/>
                          </w14:textFill>
                        </w:rPr>
                      </w:pPr>
                      <w:r>
                        <w:rPr>
                          <w:noProof/>
                          <w:color w:val="FFFFFF" w:themeColor="background1"/>
                        </w:rPr>
                        <w:drawing>
                          <wp:inline distT="0" distB="0" distL="0" distR="0" wp14:anchorId="4712B166" wp14:editId="332C6CAC">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C50773">
        <w:rPr>
          <w:rFonts w:asciiTheme="majorHAnsi" w:hAnsiTheme="majorHAnsi"/>
          <w:noProof/>
          <w:sz w:val="22"/>
          <w:szCs w:val="22"/>
          <w:lang w:val="es-ES"/>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Pr="00C50773" w:rsidRDefault="004A6A54" w:rsidP="005516A1">
      <w:pPr>
        <w:tabs>
          <w:tab w:val="center" w:pos="5400"/>
        </w:tabs>
        <w:suppressAutoHyphens/>
        <w:jc w:val="center"/>
        <w:rPr>
          <w:rFonts w:asciiTheme="majorHAnsi" w:hAnsiTheme="majorHAnsi"/>
          <w:b/>
          <w:sz w:val="20"/>
          <w:lang w:val="es-ES"/>
        </w:rPr>
        <w:sectPr w:rsidR="0070697F" w:rsidRPr="00C50773"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C50773">
        <w:rPr>
          <w:rFonts w:asciiTheme="majorHAnsi" w:hAnsiTheme="majorHAnsi"/>
          <w:b/>
          <w:sz w:val="20"/>
          <w:lang w:val="es-ES"/>
        </w:rPr>
        <w:tab/>
      </w:r>
    </w:p>
    <w:p w14:paraId="2786EE58" w14:textId="77777777" w:rsidR="003239B8" w:rsidRPr="00C50773" w:rsidRDefault="003239B8" w:rsidP="004A6A54">
      <w:pPr>
        <w:spacing w:after="240"/>
        <w:ind w:firstLine="720"/>
        <w:jc w:val="both"/>
        <w:rPr>
          <w:rFonts w:asciiTheme="majorHAnsi" w:hAnsiTheme="majorHAnsi"/>
          <w:b/>
          <w:bCs/>
          <w:sz w:val="20"/>
          <w:szCs w:val="20"/>
          <w:lang w:val="es-ES"/>
        </w:rPr>
      </w:pPr>
      <w:r w:rsidRPr="00C50773">
        <w:rPr>
          <w:rFonts w:asciiTheme="majorHAnsi" w:hAnsiTheme="majorHAnsi"/>
          <w:b/>
          <w:bCs/>
          <w:sz w:val="20"/>
          <w:szCs w:val="20"/>
          <w:lang w:val="es-ES"/>
        </w:rPr>
        <w:lastRenderedPageBreak/>
        <w:t>I.</w:t>
      </w:r>
      <w:r w:rsidRPr="00C50773">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AD49CC" w:rsidRPr="002C2319" w14:paraId="6B58C8A4" w14:textId="77777777" w:rsidTr="00AD49CC">
        <w:tc>
          <w:tcPr>
            <w:tcW w:w="3600" w:type="dxa"/>
            <w:tcBorders>
              <w:top w:val="single" w:sz="4" w:space="0" w:color="auto"/>
              <w:bottom w:val="single" w:sz="6" w:space="0" w:color="auto"/>
            </w:tcBorders>
            <w:shd w:val="clear" w:color="auto" w:fill="386294"/>
            <w:vAlign w:val="center"/>
          </w:tcPr>
          <w:p w14:paraId="7E72740A" w14:textId="77777777" w:rsidR="00AD49CC" w:rsidRPr="00C50773" w:rsidRDefault="00AD49CC" w:rsidP="00AD49CC">
            <w:pPr>
              <w:jc w:val="center"/>
              <w:rPr>
                <w:rFonts w:ascii="Cambria" w:hAnsi="Cambria"/>
                <w:b/>
                <w:bCs/>
                <w:color w:val="FFFFFF" w:themeColor="background1"/>
                <w:sz w:val="20"/>
                <w:szCs w:val="20"/>
                <w:lang w:val="es-ES"/>
              </w:rPr>
            </w:pPr>
            <w:r w:rsidRPr="00C50773">
              <w:rPr>
                <w:rFonts w:ascii="Cambria" w:hAnsi="Cambria"/>
                <w:b/>
                <w:bCs/>
                <w:color w:val="FFFFFF" w:themeColor="background1"/>
                <w:sz w:val="20"/>
                <w:szCs w:val="20"/>
                <w:lang w:val="es-ES"/>
              </w:rPr>
              <w:t>Parte peticionaria:</w:t>
            </w:r>
          </w:p>
        </w:tc>
        <w:tc>
          <w:tcPr>
            <w:tcW w:w="5647" w:type="dxa"/>
            <w:vAlign w:val="center"/>
          </w:tcPr>
          <w:p w14:paraId="5E033875" w14:textId="23275235" w:rsidR="00AD49CC" w:rsidRPr="00425D50" w:rsidRDefault="00AD49CC" w:rsidP="00DF602F">
            <w:pPr>
              <w:pStyle w:val="p1"/>
              <w:rPr>
                <w:sz w:val="27"/>
                <w:szCs w:val="27"/>
              </w:rPr>
            </w:pPr>
            <w:r w:rsidRPr="00425D50">
              <w:rPr>
                <w:rFonts w:ascii="Cambria" w:hAnsi="Cambria"/>
                <w:bCs/>
                <w:sz w:val="20"/>
                <w:szCs w:val="20"/>
                <w:lang w:val="es-ES"/>
              </w:rPr>
              <w:t>Domingo Gutiérrez Mendívil</w:t>
            </w:r>
            <w:r w:rsidR="00DF602F" w:rsidRPr="00425D50">
              <w:rPr>
                <w:rFonts w:ascii="Cambria" w:hAnsi="Cambria"/>
                <w:bCs/>
                <w:sz w:val="20"/>
                <w:szCs w:val="20"/>
                <w:lang w:val="es-ES"/>
              </w:rPr>
              <w:t xml:space="preserve">, en representación </w:t>
            </w:r>
            <w:r w:rsidR="006D1ADD" w:rsidRPr="00425D50">
              <w:rPr>
                <w:rFonts w:ascii="Cambria" w:hAnsi="Cambria"/>
                <w:bCs/>
                <w:sz w:val="20"/>
                <w:szCs w:val="20"/>
                <w:lang w:val="es-ES"/>
              </w:rPr>
              <w:t>de la Academia Sonorense De Derechos Humanos, A.C</w:t>
            </w:r>
          </w:p>
        </w:tc>
      </w:tr>
      <w:tr w:rsidR="00AD49CC" w:rsidRPr="002C2319" w14:paraId="0D7F9389" w14:textId="77777777" w:rsidTr="00AD49CC">
        <w:tc>
          <w:tcPr>
            <w:tcW w:w="3600" w:type="dxa"/>
            <w:tcBorders>
              <w:top w:val="single" w:sz="6" w:space="0" w:color="auto"/>
              <w:bottom w:val="single" w:sz="6" w:space="0" w:color="auto"/>
            </w:tcBorders>
            <w:shd w:val="clear" w:color="auto" w:fill="386294"/>
            <w:vAlign w:val="center"/>
          </w:tcPr>
          <w:p w14:paraId="481622AE" w14:textId="77777777" w:rsidR="00AD49CC" w:rsidRPr="00C50773" w:rsidRDefault="000F7EF1" w:rsidP="00AD49CC">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A1BDDEAA6B15DD44A9DF83FA0526847C"/>
                </w:placeholder>
                <w:dropDownList>
                  <w:listItem w:value="Choose an item."/>
                  <w:listItem w:displayText="Presunta víctima" w:value="Presunta víctima"/>
                  <w:listItem w:displayText="Presuntas víctimas" w:value="Presuntas víctimas"/>
                </w:dropDownList>
              </w:sdtPr>
              <w:sdtEndPr/>
              <w:sdtContent>
                <w:r w:rsidR="00AD49CC" w:rsidRPr="00C50773">
                  <w:rPr>
                    <w:rFonts w:ascii="Cambria" w:hAnsi="Cambria"/>
                    <w:b/>
                    <w:bCs/>
                    <w:color w:val="FFFFFF" w:themeColor="background1"/>
                    <w:sz w:val="20"/>
                    <w:szCs w:val="20"/>
                    <w:lang w:val="es-ES"/>
                  </w:rPr>
                  <w:t>Presunta víctima</w:t>
                </w:r>
              </w:sdtContent>
            </w:sdt>
            <w:r w:rsidR="00AD49CC" w:rsidRPr="00C50773">
              <w:rPr>
                <w:rFonts w:ascii="Cambria" w:hAnsi="Cambria"/>
                <w:b/>
                <w:bCs/>
                <w:color w:val="FFFFFF" w:themeColor="background1"/>
                <w:sz w:val="20"/>
                <w:szCs w:val="20"/>
                <w:lang w:val="es-ES"/>
              </w:rPr>
              <w:t>:</w:t>
            </w:r>
          </w:p>
        </w:tc>
        <w:tc>
          <w:tcPr>
            <w:tcW w:w="5647" w:type="dxa"/>
            <w:vAlign w:val="center"/>
          </w:tcPr>
          <w:p w14:paraId="73F86C53" w14:textId="6C2633A0" w:rsidR="00AD49CC" w:rsidRPr="00425D50" w:rsidRDefault="00AD49CC" w:rsidP="00AD49CC">
            <w:pPr>
              <w:jc w:val="both"/>
              <w:rPr>
                <w:rFonts w:ascii="Cambria" w:hAnsi="Cambria"/>
                <w:bCs/>
                <w:sz w:val="20"/>
                <w:szCs w:val="20"/>
                <w:lang w:val="es-ES"/>
              </w:rPr>
            </w:pPr>
            <w:r w:rsidRPr="00425D50">
              <w:rPr>
                <w:rFonts w:ascii="Cambria" w:hAnsi="Cambria"/>
                <w:bCs/>
                <w:sz w:val="20"/>
                <w:szCs w:val="20"/>
                <w:lang w:val="es-ES"/>
              </w:rPr>
              <w:t>Domingo Gutiérrez Mendívil</w:t>
            </w:r>
            <w:r w:rsidR="006D1ADD" w:rsidRPr="00425D50">
              <w:rPr>
                <w:rFonts w:ascii="Cambria" w:hAnsi="Cambria"/>
                <w:bCs/>
                <w:sz w:val="20"/>
                <w:szCs w:val="20"/>
                <w:lang w:val="es-ES"/>
              </w:rPr>
              <w:t xml:space="preserve"> y </w:t>
            </w:r>
            <w:r w:rsidR="00DC51B0" w:rsidRPr="00425D50">
              <w:rPr>
                <w:rFonts w:ascii="Cambria" w:hAnsi="Cambria"/>
                <w:bCs/>
                <w:sz w:val="20"/>
                <w:szCs w:val="20"/>
                <w:lang w:val="es-ES"/>
              </w:rPr>
              <w:t>habitantes de las zonas adyacentes al predio denominado “Las Víboras”, en Hermosillo</w:t>
            </w:r>
          </w:p>
        </w:tc>
      </w:tr>
      <w:tr w:rsidR="00AD49CC" w:rsidRPr="00C50773" w14:paraId="19F69F82" w14:textId="77777777" w:rsidTr="00AD49CC">
        <w:tc>
          <w:tcPr>
            <w:tcW w:w="3600" w:type="dxa"/>
            <w:tcBorders>
              <w:top w:val="single" w:sz="6" w:space="0" w:color="auto"/>
              <w:bottom w:val="single" w:sz="6" w:space="0" w:color="auto"/>
            </w:tcBorders>
            <w:shd w:val="clear" w:color="auto" w:fill="386294"/>
            <w:vAlign w:val="center"/>
          </w:tcPr>
          <w:p w14:paraId="724BB294" w14:textId="77777777" w:rsidR="00AD49CC" w:rsidRPr="00C50773" w:rsidRDefault="00AD49CC" w:rsidP="00AD49CC">
            <w:pPr>
              <w:jc w:val="center"/>
              <w:rPr>
                <w:rFonts w:ascii="Cambria" w:hAnsi="Cambria"/>
                <w:b/>
                <w:bCs/>
                <w:color w:val="FFFFFF" w:themeColor="background1"/>
                <w:sz w:val="20"/>
                <w:szCs w:val="20"/>
                <w:lang w:val="es-ES"/>
              </w:rPr>
            </w:pPr>
            <w:r w:rsidRPr="00C50773">
              <w:rPr>
                <w:rFonts w:ascii="Cambria" w:hAnsi="Cambria"/>
                <w:b/>
                <w:bCs/>
                <w:color w:val="FFFFFF" w:themeColor="background1"/>
                <w:sz w:val="20"/>
                <w:szCs w:val="20"/>
                <w:lang w:val="es-ES"/>
              </w:rPr>
              <w:t>Estado denunciado:</w:t>
            </w:r>
          </w:p>
        </w:tc>
        <w:tc>
          <w:tcPr>
            <w:tcW w:w="5647" w:type="dxa"/>
            <w:vAlign w:val="center"/>
          </w:tcPr>
          <w:p w14:paraId="3FE9DD09" w14:textId="36395EC6" w:rsidR="00AD49CC" w:rsidRPr="00425D50" w:rsidRDefault="00AD49CC" w:rsidP="00AD49CC">
            <w:pPr>
              <w:jc w:val="both"/>
              <w:rPr>
                <w:rFonts w:ascii="Cambria" w:hAnsi="Cambria"/>
                <w:bCs/>
                <w:sz w:val="20"/>
                <w:szCs w:val="20"/>
                <w:lang w:val="es-ES"/>
              </w:rPr>
            </w:pPr>
            <w:r w:rsidRPr="00425D50">
              <w:rPr>
                <w:rFonts w:ascii="Cambria" w:hAnsi="Cambria"/>
                <w:bCs/>
                <w:sz w:val="20"/>
                <w:szCs w:val="20"/>
                <w:lang w:val="es-ES"/>
              </w:rPr>
              <w:t>México</w:t>
            </w:r>
            <w:r w:rsidRPr="00425D50">
              <w:rPr>
                <w:rStyle w:val="FootnoteReference"/>
                <w:rFonts w:ascii="Cambria" w:hAnsi="Cambria"/>
                <w:bCs/>
                <w:sz w:val="20"/>
                <w:szCs w:val="20"/>
                <w:lang w:val="es-ES"/>
              </w:rPr>
              <w:footnoteReference w:id="2"/>
            </w:r>
          </w:p>
        </w:tc>
      </w:tr>
      <w:tr w:rsidR="00AD49CC" w:rsidRPr="002C2319" w14:paraId="256E66EF" w14:textId="77777777" w:rsidTr="00AD49CC">
        <w:tc>
          <w:tcPr>
            <w:tcW w:w="3600" w:type="dxa"/>
            <w:tcBorders>
              <w:top w:val="single" w:sz="6" w:space="0" w:color="auto"/>
              <w:bottom w:val="single" w:sz="6" w:space="0" w:color="auto"/>
            </w:tcBorders>
            <w:shd w:val="clear" w:color="auto" w:fill="386294"/>
            <w:vAlign w:val="center"/>
          </w:tcPr>
          <w:p w14:paraId="2551EB09" w14:textId="77777777" w:rsidR="00AD49CC" w:rsidRPr="00C50773" w:rsidRDefault="00AD49CC" w:rsidP="00AD49CC">
            <w:pPr>
              <w:jc w:val="center"/>
              <w:rPr>
                <w:rFonts w:ascii="Cambria" w:hAnsi="Cambria"/>
                <w:b/>
                <w:bCs/>
                <w:color w:val="FFFFFF" w:themeColor="background1"/>
                <w:sz w:val="20"/>
                <w:szCs w:val="20"/>
                <w:lang w:val="es-ES"/>
              </w:rPr>
            </w:pPr>
            <w:r w:rsidRPr="00C50773">
              <w:rPr>
                <w:rFonts w:ascii="Cambria" w:hAnsi="Cambria"/>
                <w:b/>
                <w:bCs/>
                <w:color w:val="FFFFFF" w:themeColor="background1"/>
                <w:sz w:val="20"/>
                <w:szCs w:val="20"/>
                <w:lang w:val="es-ES"/>
              </w:rPr>
              <w:t>Derechos invocados:</w:t>
            </w:r>
          </w:p>
        </w:tc>
        <w:tc>
          <w:tcPr>
            <w:tcW w:w="5647" w:type="dxa"/>
            <w:vAlign w:val="center"/>
          </w:tcPr>
          <w:p w14:paraId="440BF5EC" w14:textId="5AFC1011" w:rsidR="00AD49CC" w:rsidRPr="00C50773" w:rsidRDefault="00AD49CC" w:rsidP="00AD49CC">
            <w:pPr>
              <w:jc w:val="both"/>
              <w:rPr>
                <w:rFonts w:ascii="Cambria" w:hAnsi="Cambria"/>
                <w:bCs/>
                <w:sz w:val="20"/>
                <w:szCs w:val="20"/>
                <w:lang w:val="es-ES"/>
              </w:rPr>
            </w:pPr>
            <w:r w:rsidRPr="00C50773">
              <w:rPr>
                <w:rFonts w:ascii="Cambria" w:hAnsi="Cambria"/>
                <w:bCs/>
                <w:sz w:val="20"/>
                <w:szCs w:val="20"/>
                <w:lang w:val="es-ES"/>
              </w:rPr>
              <w:t xml:space="preserve">Artículos </w:t>
            </w:r>
            <w:r w:rsidR="00EE28E8" w:rsidRPr="00C50773">
              <w:rPr>
                <w:rFonts w:ascii="Cambria" w:hAnsi="Cambria"/>
                <w:bCs/>
                <w:sz w:val="20"/>
                <w:szCs w:val="20"/>
                <w:lang w:val="es-ES"/>
              </w:rPr>
              <w:t xml:space="preserve">8 (garantías judiciales) y 25 (protección judicial) </w:t>
            </w:r>
            <w:r w:rsidRPr="00C50773">
              <w:rPr>
                <w:rFonts w:ascii="Cambria" w:hAnsi="Cambria"/>
                <w:bCs/>
                <w:sz w:val="20"/>
                <w:szCs w:val="20"/>
                <w:lang w:val="es-ES"/>
              </w:rPr>
              <w:t>de la Convención Americana sobre Derechos Humanos</w:t>
            </w:r>
            <w:r w:rsidR="00EE28E8" w:rsidRPr="00C50773">
              <w:rPr>
                <w:rStyle w:val="FootnoteReference"/>
                <w:rFonts w:ascii="Cambria" w:hAnsi="Cambria"/>
                <w:bCs/>
                <w:sz w:val="20"/>
                <w:szCs w:val="20"/>
                <w:lang w:val="es-ES"/>
              </w:rPr>
              <w:footnoteReference w:id="3"/>
            </w:r>
            <w:r w:rsidR="00EE28E8" w:rsidRPr="00C50773">
              <w:rPr>
                <w:rFonts w:ascii="Cambria" w:hAnsi="Cambria"/>
                <w:bCs/>
                <w:sz w:val="20"/>
                <w:szCs w:val="20"/>
                <w:lang w:val="es-ES"/>
              </w:rPr>
              <w:t>; y artículo 11 del Protocolo Adicional a la Convención Americana en materia de Derechos Económicos, Sociales y Culturales</w:t>
            </w:r>
            <w:r w:rsidR="00EE28E8" w:rsidRPr="00C50773">
              <w:rPr>
                <w:rStyle w:val="FootnoteReference"/>
                <w:rFonts w:ascii="Cambria" w:hAnsi="Cambria"/>
                <w:bCs/>
                <w:sz w:val="20"/>
                <w:szCs w:val="20"/>
                <w:lang w:val="es-ES"/>
              </w:rPr>
              <w:footnoteReference w:id="4"/>
            </w:r>
          </w:p>
        </w:tc>
      </w:tr>
    </w:tbl>
    <w:p w14:paraId="176FB213" w14:textId="77777777" w:rsidR="003239B8" w:rsidRPr="00C50773" w:rsidRDefault="003239B8" w:rsidP="003239B8">
      <w:pPr>
        <w:spacing w:before="240" w:after="240"/>
        <w:ind w:firstLine="720"/>
        <w:jc w:val="both"/>
        <w:rPr>
          <w:rFonts w:asciiTheme="majorHAnsi" w:hAnsiTheme="majorHAnsi"/>
          <w:b/>
          <w:bCs/>
          <w:sz w:val="20"/>
          <w:szCs w:val="20"/>
          <w:lang w:val="es-ES"/>
        </w:rPr>
      </w:pPr>
      <w:r w:rsidRPr="00C50773">
        <w:rPr>
          <w:rFonts w:asciiTheme="majorHAnsi" w:hAnsiTheme="majorHAnsi"/>
          <w:b/>
          <w:bCs/>
          <w:sz w:val="20"/>
          <w:szCs w:val="20"/>
          <w:lang w:val="es-ES"/>
        </w:rPr>
        <w:t>II.</w:t>
      </w:r>
      <w:r w:rsidRPr="00C50773">
        <w:rPr>
          <w:rFonts w:asciiTheme="majorHAnsi" w:hAnsiTheme="majorHAnsi"/>
          <w:b/>
          <w:bCs/>
          <w:sz w:val="20"/>
          <w:szCs w:val="20"/>
          <w:lang w:val="es-ES"/>
        </w:rPr>
        <w:tab/>
        <w:t>TRÁMITE ANTE LA CIDH</w:t>
      </w:r>
      <w:r w:rsidR="008E3BFE" w:rsidRPr="00C50773">
        <w:rPr>
          <w:rStyle w:val="FootnoteReference"/>
          <w:rFonts w:ascii="Cambria" w:hAnsi="Cambria"/>
          <w:b/>
          <w:sz w:val="20"/>
          <w:szCs w:val="20"/>
          <w:lang w:val="es-ES"/>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AD49CC" w:rsidRPr="00C50773"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AD49CC" w:rsidRPr="00C50773" w:rsidRDefault="00AD49CC" w:rsidP="00AD49CC">
            <w:pPr>
              <w:jc w:val="center"/>
              <w:rPr>
                <w:rFonts w:ascii="Cambria" w:hAnsi="Cambria"/>
                <w:b/>
                <w:bCs/>
                <w:color w:val="FFFFFF" w:themeColor="background1"/>
                <w:sz w:val="20"/>
                <w:szCs w:val="20"/>
                <w:lang w:val="es-ES"/>
              </w:rPr>
            </w:pPr>
            <w:r w:rsidRPr="00C50773">
              <w:rPr>
                <w:rFonts w:ascii="Cambria" w:hAnsi="Cambria"/>
                <w:b/>
                <w:bCs/>
                <w:color w:val="FFFFFF" w:themeColor="background1"/>
                <w:sz w:val="20"/>
                <w:szCs w:val="20"/>
                <w:lang w:val="es-ES"/>
              </w:rPr>
              <w:t>Presentación de la petición:</w:t>
            </w:r>
          </w:p>
        </w:tc>
        <w:tc>
          <w:tcPr>
            <w:tcW w:w="5647" w:type="dxa"/>
            <w:vAlign w:val="center"/>
          </w:tcPr>
          <w:p w14:paraId="6883A5F8" w14:textId="7997B2A0" w:rsidR="00AD49CC" w:rsidRPr="00C50773" w:rsidRDefault="00AD49CC" w:rsidP="00AD49CC">
            <w:pPr>
              <w:jc w:val="both"/>
              <w:rPr>
                <w:rFonts w:ascii="Cambria" w:hAnsi="Cambria"/>
                <w:bCs/>
                <w:sz w:val="20"/>
                <w:szCs w:val="20"/>
                <w:lang w:val="es-ES"/>
              </w:rPr>
            </w:pPr>
            <w:r w:rsidRPr="00C50773">
              <w:rPr>
                <w:rFonts w:ascii="Cambria" w:hAnsi="Cambria"/>
                <w:bCs/>
                <w:sz w:val="20"/>
                <w:szCs w:val="20"/>
                <w:lang w:val="es-ES"/>
              </w:rPr>
              <w:t>31 de julio de 2015</w:t>
            </w:r>
          </w:p>
        </w:tc>
      </w:tr>
      <w:tr w:rsidR="00AD49CC" w:rsidRPr="00C50773"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AD49CC" w:rsidRPr="00C50773" w:rsidRDefault="00AD49CC" w:rsidP="00AD49CC">
            <w:pPr>
              <w:jc w:val="center"/>
              <w:rPr>
                <w:rFonts w:ascii="Cambria" w:hAnsi="Cambria"/>
                <w:b/>
                <w:bCs/>
                <w:color w:val="FFFFFF" w:themeColor="background1"/>
                <w:sz w:val="20"/>
                <w:szCs w:val="20"/>
                <w:lang w:val="es-ES"/>
              </w:rPr>
            </w:pPr>
            <w:r w:rsidRPr="00C50773">
              <w:rPr>
                <w:rFonts w:ascii="Cambria" w:hAnsi="Cambria"/>
                <w:b/>
                <w:color w:val="FFFFFF" w:themeColor="background1"/>
                <w:sz w:val="20"/>
                <w:szCs w:val="20"/>
                <w:lang w:val="es-ES"/>
              </w:rPr>
              <w:t>Notificación de la petición al Estado:</w:t>
            </w:r>
          </w:p>
        </w:tc>
        <w:tc>
          <w:tcPr>
            <w:tcW w:w="5647" w:type="dxa"/>
            <w:vAlign w:val="center"/>
          </w:tcPr>
          <w:p w14:paraId="58485921" w14:textId="4BACA899" w:rsidR="00AD49CC" w:rsidRPr="00C50773" w:rsidRDefault="00AD49CC" w:rsidP="00AD49CC">
            <w:pPr>
              <w:jc w:val="both"/>
              <w:rPr>
                <w:rFonts w:ascii="Cambria" w:hAnsi="Cambria"/>
                <w:bCs/>
                <w:sz w:val="20"/>
                <w:szCs w:val="20"/>
                <w:lang w:val="es-ES"/>
              </w:rPr>
            </w:pPr>
            <w:r w:rsidRPr="00C50773">
              <w:rPr>
                <w:rFonts w:ascii="Cambria" w:hAnsi="Cambria"/>
                <w:bCs/>
                <w:sz w:val="20"/>
                <w:szCs w:val="20"/>
                <w:lang w:val="es-ES"/>
              </w:rPr>
              <w:t>4 de octubre de 2021</w:t>
            </w:r>
          </w:p>
        </w:tc>
      </w:tr>
      <w:tr w:rsidR="00AD49CC" w:rsidRPr="00C50773"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AD49CC" w:rsidRPr="00C50773" w:rsidRDefault="00AD49CC" w:rsidP="00AD49CC">
            <w:pPr>
              <w:jc w:val="center"/>
              <w:rPr>
                <w:rFonts w:ascii="Cambria" w:hAnsi="Cambria"/>
                <w:b/>
                <w:bCs/>
                <w:color w:val="FFFFFF" w:themeColor="background1"/>
                <w:sz w:val="20"/>
                <w:szCs w:val="20"/>
                <w:lang w:val="es-ES"/>
              </w:rPr>
            </w:pPr>
            <w:r w:rsidRPr="00C50773">
              <w:rPr>
                <w:rFonts w:ascii="Cambria" w:hAnsi="Cambria"/>
                <w:b/>
                <w:color w:val="FFFFFF" w:themeColor="background1"/>
                <w:sz w:val="20"/>
                <w:szCs w:val="20"/>
                <w:lang w:val="es-ES"/>
              </w:rPr>
              <w:t>Primera respuesta del Estado:</w:t>
            </w:r>
          </w:p>
        </w:tc>
        <w:tc>
          <w:tcPr>
            <w:tcW w:w="5647" w:type="dxa"/>
            <w:vAlign w:val="center"/>
          </w:tcPr>
          <w:p w14:paraId="6B47064C" w14:textId="39CCD4D1" w:rsidR="00AD49CC" w:rsidRPr="00C50773" w:rsidRDefault="00AD49CC" w:rsidP="00AD49CC">
            <w:pPr>
              <w:jc w:val="both"/>
              <w:rPr>
                <w:rFonts w:ascii="Cambria" w:hAnsi="Cambria"/>
                <w:bCs/>
                <w:sz w:val="20"/>
                <w:szCs w:val="20"/>
                <w:lang w:val="es-ES"/>
              </w:rPr>
            </w:pPr>
            <w:r w:rsidRPr="00C50773">
              <w:rPr>
                <w:rFonts w:ascii="Cambria" w:hAnsi="Cambria"/>
                <w:bCs/>
                <w:sz w:val="20"/>
                <w:szCs w:val="20"/>
                <w:lang w:val="es-ES"/>
              </w:rPr>
              <w:t>27 de noviembre de 2023</w:t>
            </w:r>
          </w:p>
        </w:tc>
      </w:tr>
      <w:tr w:rsidR="00AD49CC" w:rsidRPr="002C2319"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AD49CC" w:rsidRPr="00C50773" w:rsidRDefault="00AD49CC" w:rsidP="00AD49CC">
            <w:pPr>
              <w:jc w:val="center"/>
              <w:rPr>
                <w:rFonts w:ascii="Cambria" w:hAnsi="Cambria"/>
                <w:b/>
                <w:bCs/>
                <w:color w:val="FFFFFF" w:themeColor="background1"/>
                <w:sz w:val="20"/>
                <w:szCs w:val="20"/>
                <w:lang w:val="es-ES"/>
              </w:rPr>
            </w:pPr>
            <w:r w:rsidRPr="00C50773">
              <w:rPr>
                <w:rFonts w:ascii="Cambria" w:hAnsi="Cambria"/>
                <w:b/>
                <w:bCs/>
                <w:color w:val="FFFFFF" w:themeColor="background1"/>
                <w:sz w:val="20"/>
                <w:szCs w:val="20"/>
                <w:lang w:val="es-ES"/>
              </w:rPr>
              <w:t>Advertencia sobre posible archivo:</w:t>
            </w:r>
          </w:p>
        </w:tc>
        <w:tc>
          <w:tcPr>
            <w:tcW w:w="5647" w:type="dxa"/>
            <w:vAlign w:val="center"/>
          </w:tcPr>
          <w:p w14:paraId="48CA2CFB" w14:textId="020D2A99" w:rsidR="00AD49CC" w:rsidRPr="00C50773" w:rsidRDefault="00AD49CC" w:rsidP="00AD49CC">
            <w:pPr>
              <w:jc w:val="both"/>
              <w:rPr>
                <w:rFonts w:ascii="Cambria" w:hAnsi="Cambria"/>
                <w:bCs/>
                <w:sz w:val="20"/>
                <w:szCs w:val="20"/>
                <w:lang w:val="es-ES"/>
              </w:rPr>
            </w:pPr>
            <w:r w:rsidRPr="00C50773">
              <w:rPr>
                <w:rFonts w:ascii="Cambria" w:hAnsi="Cambria"/>
                <w:bCs/>
                <w:sz w:val="20"/>
                <w:szCs w:val="20"/>
                <w:lang w:val="es-ES"/>
              </w:rPr>
              <w:t>6 de agosto de 2020 y 19 de septiembre de 2023</w:t>
            </w:r>
          </w:p>
        </w:tc>
      </w:tr>
      <w:tr w:rsidR="00AD49CC" w:rsidRPr="002C2319"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AD49CC" w:rsidRPr="00C50773" w:rsidRDefault="00AD49CC" w:rsidP="00AD49CC">
            <w:pPr>
              <w:jc w:val="center"/>
              <w:rPr>
                <w:rFonts w:ascii="Cambria" w:hAnsi="Cambria"/>
                <w:b/>
                <w:bCs/>
                <w:color w:val="FFFFFF" w:themeColor="background1"/>
                <w:sz w:val="20"/>
                <w:szCs w:val="20"/>
                <w:lang w:val="es-ES"/>
              </w:rPr>
            </w:pPr>
            <w:r w:rsidRPr="00C50773">
              <w:rPr>
                <w:rFonts w:ascii="Cambria" w:hAnsi="Cambria"/>
                <w:b/>
                <w:bCs/>
                <w:color w:val="FFFFFF" w:themeColor="background1"/>
                <w:sz w:val="20"/>
                <w:szCs w:val="20"/>
                <w:lang w:val="es-ES"/>
              </w:rPr>
              <w:t>Respuesta de la parte peticionaria ante advertencia de posible archivo:</w:t>
            </w:r>
          </w:p>
        </w:tc>
        <w:tc>
          <w:tcPr>
            <w:tcW w:w="5647" w:type="dxa"/>
            <w:vAlign w:val="center"/>
          </w:tcPr>
          <w:p w14:paraId="6E85D194" w14:textId="4E27ECCC" w:rsidR="00AD49CC" w:rsidRPr="00C50773" w:rsidRDefault="00AD49CC" w:rsidP="00AD49CC">
            <w:pPr>
              <w:jc w:val="both"/>
              <w:rPr>
                <w:rFonts w:ascii="Cambria" w:hAnsi="Cambria"/>
                <w:bCs/>
                <w:sz w:val="20"/>
                <w:szCs w:val="20"/>
                <w:lang w:val="es-ES"/>
              </w:rPr>
            </w:pPr>
            <w:r w:rsidRPr="00C50773">
              <w:rPr>
                <w:rFonts w:ascii="Cambria" w:hAnsi="Cambria"/>
                <w:bCs/>
                <w:sz w:val="20"/>
                <w:szCs w:val="20"/>
                <w:lang w:val="es-ES"/>
              </w:rPr>
              <w:t>8 de agosto de 2020 y 21 de septiembre de 2023</w:t>
            </w:r>
          </w:p>
        </w:tc>
      </w:tr>
    </w:tbl>
    <w:p w14:paraId="0FC6E9E8" w14:textId="77777777" w:rsidR="003239B8" w:rsidRPr="00C50773" w:rsidRDefault="003239B8" w:rsidP="003239B8">
      <w:pPr>
        <w:spacing w:before="240" w:after="240"/>
        <w:ind w:firstLine="720"/>
        <w:jc w:val="both"/>
        <w:rPr>
          <w:rFonts w:asciiTheme="majorHAnsi" w:hAnsiTheme="majorHAnsi"/>
          <w:b/>
          <w:bCs/>
          <w:sz w:val="20"/>
          <w:szCs w:val="20"/>
          <w:lang w:val="es-ES"/>
        </w:rPr>
      </w:pPr>
      <w:r w:rsidRPr="00C50773">
        <w:rPr>
          <w:rFonts w:asciiTheme="majorHAnsi" w:hAnsiTheme="majorHAnsi"/>
          <w:b/>
          <w:bCs/>
          <w:sz w:val="20"/>
          <w:szCs w:val="20"/>
          <w:lang w:val="es-ES"/>
        </w:rPr>
        <w:t xml:space="preserve">III. </w:t>
      </w:r>
      <w:r w:rsidRPr="00C50773">
        <w:rPr>
          <w:rFonts w:asciiTheme="majorHAnsi" w:hAnsiTheme="majorHAnsi"/>
          <w:b/>
          <w:bCs/>
          <w:sz w:val="20"/>
          <w:szCs w:val="20"/>
          <w:lang w:val="es-ES"/>
        </w:rPr>
        <w:tab/>
        <w:t>COMPETENCIA</w:t>
      </w:r>
      <w:r w:rsidR="00EE00E9" w:rsidRPr="00C50773">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7"/>
        <w:gridCol w:w="5675"/>
      </w:tblGrid>
      <w:tr w:rsidR="00AD49CC" w:rsidRPr="00C50773" w14:paraId="7D299FC7" w14:textId="77777777" w:rsidTr="00AD49CC">
        <w:trPr>
          <w:cantSplit/>
        </w:trPr>
        <w:tc>
          <w:tcPr>
            <w:tcW w:w="3567" w:type="dxa"/>
            <w:tcBorders>
              <w:top w:val="single" w:sz="4" w:space="0" w:color="auto"/>
              <w:bottom w:val="single" w:sz="6" w:space="0" w:color="auto"/>
            </w:tcBorders>
            <w:shd w:val="clear" w:color="auto" w:fill="386294"/>
            <w:vAlign w:val="center"/>
          </w:tcPr>
          <w:p w14:paraId="5D0830E9" w14:textId="77777777" w:rsidR="00AD49CC" w:rsidRPr="00C50773" w:rsidRDefault="00AD49CC" w:rsidP="00AD49CC">
            <w:pPr>
              <w:jc w:val="center"/>
              <w:rPr>
                <w:rFonts w:ascii="Cambria" w:hAnsi="Cambria"/>
                <w:b/>
                <w:bCs/>
                <w:i/>
                <w:color w:val="FFFFFF" w:themeColor="background1"/>
                <w:sz w:val="20"/>
                <w:szCs w:val="20"/>
                <w:lang w:val="es-ES"/>
              </w:rPr>
            </w:pPr>
            <w:r w:rsidRPr="00C50773">
              <w:rPr>
                <w:rFonts w:ascii="Cambria" w:hAnsi="Cambria"/>
                <w:b/>
                <w:bCs/>
                <w:color w:val="FFFFFF" w:themeColor="background1"/>
                <w:sz w:val="20"/>
                <w:szCs w:val="20"/>
                <w:lang w:val="es-ES"/>
              </w:rPr>
              <w:t>Competencia</w:t>
            </w:r>
            <w:r w:rsidRPr="00C50773">
              <w:rPr>
                <w:rFonts w:ascii="Cambria" w:hAnsi="Cambria"/>
                <w:b/>
                <w:bCs/>
                <w:i/>
                <w:color w:val="FFFFFF" w:themeColor="background1"/>
                <w:sz w:val="20"/>
                <w:szCs w:val="20"/>
                <w:lang w:val="es-ES"/>
              </w:rPr>
              <w:t xml:space="preserve"> Ratione personae:</w:t>
            </w:r>
          </w:p>
        </w:tc>
        <w:tc>
          <w:tcPr>
            <w:tcW w:w="5675" w:type="dxa"/>
            <w:vAlign w:val="center"/>
          </w:tcPr>
          <w:p w14:paraId="1E494D5D" w14:textId="60296531" w:rsidR="00AD49CC" w:rsidRPr="00C50773" w:rsidRDefault="00AD49CC" w:rsidP="00AD49CC">
            <w:pPr>
              <w:rPr>
                <w:rFonts w:ascii="Cambria" w:hAnsi="Cambria"/>
                <w:bCs/>
                <w:sz w:val="20"/>
                <w:szCs w:val="20"/>
                <w:lang w:val="es-ES"/>
              </w:rPr>
            </w:pPr>
            <w:r w:rsidRPr="00C50773">
              <w:rPr>
                <w:rFonts w:ascii="Cambria" w:hAnsi="Cambria"/>
                <w:bCs/>
                <w:sz w:val="20"/>
                <w:szCs w:val="20"/>
                <w:lang w:val="es-ES"/>
              </w:rPr>
              <w:t>Sí</w:t>
            </w:r>
          </w:p>
        </w:tc>
      </w:tr>
      <w:tr w:rsidR="00AD49CC" w:rsidRPr="00C50773" w14:paraId="54503A4F" w14:textId="77777777" w:rsidTr="00AD49CC">
        <w:trPr>
          <w:cantSplit/>
        </w:trPr>
        <w:tc>
          <w:tcPr>
            <w:tcW w:w="3567" w:type="dxa"/>
            <w:tcBorders>
              <w:top w:val="single" w:sz="6" w:space="0" w:color="auto"/>
              <w:bottom w:val="single" w:sz="6" w:space="0" w:color="auto"/>
            </w:tcBorders>
            <w:shd w:val="clear" w:color="auto" w:fill="386294"/>
            <w:vAlign w:val="center"/>
          </w:tcPr>
          <w:p w14:paraId="40E3A1EF" w14:textId="77777777" w:rsidR="00AD49CC" w:rsidRPr="00C50773" w:rsidRDefault="00AD49CC" w:rsidP="00AD49CC">
            <w:pPr>
              <w:jc w:val="center"/>
              <w:rPr>
                <w:rFonts w:ascii="Cambria" w:hAnsi="Cambria"/>
                <w:b/>
                <w:bCs/>
                <w:color w:val="FFFFFF" w:themeColor="background1"/>
                <w:sz w:val="20"/>
                <w:szCs w:val="20"/>
                <w:lang w:val="es-ES"/>
              </w:rPr>
            </w:pPr>
            <w:r w:rsidRPr="00C50773">
              <w:rPr>
                <w:rFonts w:ascii="Cambria" w:hAnsi="Cambria"/>
                <w:b/>
                <w:bCs/>
                <w:color w:val="FFFFFF" w:themeColor="background1"/>
                <w:sz w:val="20"/>
                <w:szCs w:val="20"/>
                <w:lang w:val="es-ES"/>
              </w:rPr>
              <w:t>Competencia</w:t>
            </w:r>
            <w:r w:rsidRPr="00C50773">
              <w:rPr>
                <w:rFonts w:ascii="Cambria" w:hAnsi="Cambria"/>
                <w:b/>
                <w:bCs/>
                <w:i/>
                <w:color w:val="FFFFFF" w:themeColor="background1"/>
                <w:sz w:val="20"/>
                <w:szCs w:val="20"/>
                <w:lang w:val="es-ES"/>
              </w:rPr>
              <w:t xml:space="preserve"> Ratione loci</w:t>
            </w:r>
            <w:r w:rsidRPr="00C50773">
              <w:rPr>
                <w:rFonts w:ascii="Cambria" w:hAnsi="Cambria"/>
                <w:b/>
                <w:bCs/>
                <w:color w:val="FFFFFF" w:themeColor="background1"/>
                <w:sz w:val="20"/>
                <w:szCs w:val="20"/>
                <w:lang w:val="es-ES"/>
              </w:rPr>
              <w:t>:</w:t>
            </w:r>
          </w:p>
        </w:tc>
        <w:tc>
          <w:tcPr>
            <w:tcW w:w="5675" w:type="dxa"/>
            <w:vAlign w:val="center"/>
          </w:tcPr>
          <w:p w14:paraId="77C8256A" w14:textId="2F1BF7EC" w:rsidR="00AD49CC" w:rsidRPr="00C50773" w:rsidRDefault="00AD49CC" w:rsidP="00AD49CC">
            <w:pPr>
              <w:rPr>
                <w:rFonts w:ascii="Cambria" w:hAnsi="Cambria"/>
                <w:bCs/>
                <w:sz w:val="20"/>
                <w:szCs w:val="20"/>
                <w:lang w:val="es-ES"/>
              </w:rPr>
            </w:pPr>
            <w:r w:rsidRPr="00C50773">
              <w:rPr>
                <w:rFonts w:ascii="Cambria" w:hAnsi="Cambria"/>
                <w:bCs/>
                <w:sz w:val="20"/>
                <w:szCs w:val="20"/>
                <w:lang w:val="es-ES"/>
              </w:rPr>
              <w:t>Sí</w:t>
            </w:r>
          </w:p>
        </w:tc>
      </w:tr>
      <w:tr w:rsidR="00AD49CC" w:rsidRPr="00C50773" w14:paraId="6618D96A" w14:textId="77777777" w:rsidTr="00AD49CC">
        <w:trPr>
          <w:cantSplit/>
        </w:trPr>
        <w:tc>
          <w:tcPr>
            <w:tcW w:w="3567" w:type="dxa"/>
            <w:tcBorders>
              <w:top w:val="single" w:sz="6" w:space="0" w:color="auto"/>
              <w:bottom w:val="single" w:sz="6" w:space="0" w:color="auto"/>
            </w:tcBorders>
            <w:shd w:val="clear" w:color="auto" w:fill="386294"/>
            <w:vAlign w:val="center"/>
          </w:tcPr>
          <w:p w14:paraId="24D9CAA2" w14:textId="77777777" w:rsidR="00AD49CC" w:rsidRPr="00C50773" w:rsidRDefault="00AD49CC" w:rsidP="00AD49CC">
            <w:pPr>
              <w:jc w:val="center"/>
              <w:rPr>
                <w:rFonts w:ascii="Cambria" w:hAnsi="Cambria"/>
                <w:b/>
                <w:bCs/>
                <w:color w:val="FFFFFF" w:themeColor="background1"/>
                <w:sz w:val="20"/>
                <w:szCs w:val="20"/>
                <w:lang w:val="es-ES"/>
              </w:rPr>
            </w:pPr>
            <w:r w:rsidRPr="00C50773">
              <w:rPr>
                <w:rFonts w:ascii="Cambria" w:hAnsi="Cambria"/>
                <w:b/>
                <w:bCs/>
                <w:color w:val="FFFFFF" w:themeColor="background1"/>
                <w:sz w:val="20"/>
                <w:szCs w:val="20"/>
                <w:lang w:val="es-ES"/>
              </w:rPr>
              <w:t>Competencia</w:t>
            </w:r>
            <w:r w:rsidRPr="00C50773">
              <w:rPr>
                <w:rFonts w:ascii="Cambria" w:hAnsi="Cambria"/>
                <w:b/>
                <w:bCs/>
                <w:i/>
                <w:color w:val="FFFFFF" w:themeColor="background1"/>
                <w:sz w:val="20"/>
                <w:szCs w:val="20"/>
                <w:lang w:val="es-ES"/>
              </w:rPr>
              <w:t xml:space="preserve"> Ratione temporis</w:t>
            </w:r>
            <w:r w:rsidRPr="00C50773">
              <w:rPr>
                <w:rFonts w:ascii="Cambria" w:hAnsi="Cambria"/>
                <w:b/>
                <w:bCs/>
                <w:color w:val="FFFFFF" w:themeColor="background1"/>
                <w:sz w:val="20"/>
                <w:szCs w:val="20"/>
                <w:lang w:val="es-ES"/>
              </w:rPr>
              <w:t>:</w:t>
            </w:r>
          </w:p>
        </w:tc>
        <w:tc>
          <w:tcPr>
            <w:tcW w:w="5675" w:type="dxa"/>
            <w:vAlign w:val="center"/>
          </w:tcPr>
          <w:p w14:paraId="523F6BD6" w14:textId="5F02DA85" w:rsidR="00AD49CC" w:rsidRPr="00C50773" w:rsidRDefault="00AD49CC" w:rsidP="00AD49CC">
            <w:pPr>
              <w:rPr>
                <w:rFonts w:ascii="Cambria" w:hAnsi="Cambria"/>
                <w:bCs/>
                <w:sz w:val="20"/>
                <w:szCs w:val="20"/>
                <w:lang w:val="es-ES"/>
              </w:rPr>
            </w:pPr>
            <w:r w:rsidRPr="00C50773">
              <w:rPr>
                <w:rFonts w:ascii="Cambria" w:hAnsi="Cambria"/>
                <w:bCs/>
                <w:sz w:val="20"/>
                <w:szCs w:val="20"/>
                <w:lang w:val="es-ES"/>
              </w:rPr>
              <w:t>Sí</w:t>
            </w:r>
          </w:p>
        </w:tc>
      </w:tr>
      <w:tr w:rsidR="00AD49CC" w:rsidRPr="00C50773" w14:paraId="34C2A0A9" w14:textId="77777777" w:rsidTr="00AD49CC">
        <w:trPr>
          <w:cantSplit/>
        </w:trPr>
        <w:tc>
          <w:tcPr>
            <w:tcW w:w="3567" w:type="dxa"/>
            <w:tcBorders>
              <w:top w:val="single" w:sz="6" w:space="0" w:color="auto"/>
              <w:bottom w:val="single" w:sz="6" w:space="0" w:color="auto"/>
            </w:tcBorders>
            <w:shd w:val="clear" w:color="auto" w:fill="386294"/>
            <w:vAlign w:val="center"/>
          </w:tcPr>
          <w:p w14:paraId="6259AE31" w14:textId="77777777" w:rsidR="00AD49CC" w:rsidRPr="00C50773" w:rsidRDefault="00AD49CC" w:rsidP="00AD49CC">
            <w:pPr>
              <w:jc w:val="center"/>
              <w:rPr>
                <w:rFonts w:ascii="Cambria" w:hAnsi="Cambria"/>
                <w:b/>
                <w:bCs/>
                <w:color w:val="FFFFFF" w:themeColor="background1"/>
                <w:sz w:val="20"/>
                <w:szCs w:val="20"/>
                <w:lang w:val="es-ES"/>
              </w:rPr>
            </w:pPr>
            <w:r w:rsidRPr="00C50773">
              <w:rPr>
                <w:rFonts w:ascii="Cambria" w:hAnsi="Cambria"/>
                <w:b/>
                <w:bCs/>
                <w:color w:val="FFFFFF" w:themeColor="background1"/>
                <w:sz w:val="20"/>
                <w:szCs w:val="20"/>
                <w:lang w:val="es-ES"/>
              </w:rPr>
              <w:t>Competencia</w:t>
            </w:r>
            <w:r w:rsidRPr="00C50773">
              <w:rPr>
                <w:rFonts w:ascii="Cambria" w:hAnsi="Cambria"/>
                <w:b/>
                <w:bCs/>
                <w:i/>
                <w:color w:val="FFFFFF" w:themeColor="background1"/>
                <w:sz w:val="20"/>
                <w:szCs w:val="20"/>
                <w:lang w:val="es-ES"/>
              </w:rPr>
              <w:t xml:space="preserve"> Ratione materiae</w:t>
            </w:r>
            <w:r w:rsidRPr="00C50773">
              <w:rPr>
                <w:rFonts w:ascii="Cambria" w:hAnsi="Cambria"/>
                <w:b/>
                <w:bCs/>
                <w:color w:val="FFFFFF" w:themeColor="background1"/>
                <w:sz w:val="20"/>
                <w:szCs w:val="20"/>
                <w:lang w:val="es-ES"/>
              </w:rPr>
              <w:t>:</w:t>
            </w:r>
          </w:p>
        </w:tc>
        <w:tc>
          <w:tcPr>
            <w:tcW w:w="5675" w:type="dxa"/>
            <w:vAlign w:val="center"/>
          </w:tcPr>
          <w:p w14:paraId="0B860C97" w14:textId="77777777" w:rsidR="00AD49CC" w:rsidRPr="00C50773" w:rsidRDefault="00AD49CC" w:rsidP="00AD49CC">
            <w:pPr>
              <w:jc w:val="both"/>
              <w:rPr>
                <w:rFonts w:ascii="Cambria" w:hAnsi="Cambria"/>
                <w:bCs/>
                <w:sz w:val="20"/>
                <w:szCs w:val="20"/>
                <w:lang w:val="es-ES"/>
              </w:rPr>
            </w:pPr>
            <w:r w:rsidRPr="00C50773">
              <w:rPr>
                <w:rFonts w:ascii="Cambria" w:hAnsi="Cambria"/>
                <w:bCs/>
                <w:sz w:val="20"/>
                <w:szCs w:val="20"/>
                <w:lang w:val="es-ES"/>
              </w:rPr>
              <w:t>Sí, la Convención Americana (depósito de instrumento realizado</w:t>
            </w:r>
          </w:p>
          <w:p w14:paraId="257C8337" w14:textId="309DC264" w:rsidR="00AD49CC" w:rsidRPr="00C50773" w:rsidRDefault="00AD49CC" w:rsidP="00AD49CC">
            <w:pPr>
              <w:jc w:val="both"/>
              <w:rPr>
                <w:rFonts w:ascii="Cambria" w:hAnsi="Cambria"/>
                <w:bCs/>
                <w:sz w:val="20"/>
                <w:szCs w:val="20"/>
                <w:lang w:val="es-ES"/>
              </w:rPr>
            </w:pPr>
            <w:r w:rsidRPr="00C50773">
              <w:rPr>
                <w:rFonts w:ascii="Cambria" w:hAnsi="Cambria"/>
                <w:bCs/>
                <w:sz w:val="20"/>
                <w:szCs w:val="20"/>
                <w:lang w:val="es-ES"/>
              </w:rPr>
              <w:t>el 24 de marzo de 1981)</w:t>
            </w:r>
          </w:p>
        </w:tc>
      </w:tr>
    </w:tbl>
    <w:p w14:paraId="299A3868" w14:textId="6B78BE0B" w:rsidR="003239B8" w:rsidRPr="00C50773" w:rsidRDefault="003239B8" w:rsidP="003239B8">
      <w:pPr>
        <w:spacing w:before="240" w:after="240"/>
        <w:ind w:firstLine="720"/>
        <w:jc w:val="both"/>
        <w:rPr>
          <w:rFonts w:asciiTheme="majorHAnsi" w:hAnsiTheme="majorHAnsi"/>
          <w:b/>
          <w:bCs/>
          <w:sz w:val="20"/>
          <w:szCs w:val="20"/>
          <w:lang w:val="es-ES"/>
        </w:rPr>
      </w:pPr>
      <w:r w:rsidRPr="00C50773">
        <w:rPr>
          <w:rFonts w:asciiTheme="majorHAnsi" w:hAnsiTheme="majorHAnsi"/>
          <w:b/>
          <w:bCs/>
          <w:sz w:val="20"/>
          <w:szCs w:val="20"/>
          <w:lang w:val="es-ES"/>
        </w:rPr>
        <w:t xml:space="preserve">IV. </w:t>
      </w:r>
      <w:r w:rsidRPr="00C50773">
        <w:rPr>
          <w:rFonts w:asciiTheme="majorHAnsi" w:hAnsiTheme="majorHAnsi"/>
          <w:b/>
          <w:bCs/>
          <w:sz w:val="20"/>
          <w:szCs w:val="20"/>
          <w:lang w:val="es-ES"/>
        </w:rPr>
        <w:tab/>
      </w:r>
      <w:r w:rsidR="00EE00E9" w:rsidRPr="00C50773">
        <w:rPr>
          <w:rFonts w:asciiTheme="majorHAnsi" w:hAnsiTheme="majorHAnsi"/>
          <w:b/>
          <w:bCs/>
          <w:sz w:val="20"/>
          <w:szCs w:val="20"/>
          <w:lang w:val="es-ES"/>
        </w:rPr>
        <w:t>DUPLICACIÓN</w:t>
      </w:r>
      <w:r w:rsidR="00EE00E9" w:rsidRPr="00C50773">
        <w:rPr>
          <w:rFonts w:asciiTheme="majorHAnsi" w:hAnsiTheme="majorHAnsi"/>
          <w:b/>
          <w:bCs/>
          <w:color w:val="FFFFFF" w:themeColor="background1"/>
          <w:sz w:val="20"/>
          <w:szCs w:val="20"/>
          <w:lang w:val="es-ES"/>
        </w:rPr>
        <w:t xml:space="preserve"> </w:t>
      </w:r>
      <w:r w:rsidR="00EE00E9" w:rsidRPr="00C50773">
        <w:rPr>
          <w:rFonts w:asciiTheme="majorHAnsi" w:hAnsiTheme="majorHAnsi"/>
          <w:b/>
          <w:bCs/>
          <w:sz w:val="20"/>
          <w:szCs w:val="20"/>
          <w:lang w:val="es-ES"/>
        </w:rPr>
        <w:t>DE PROCEDIMIENTOS Y COSA JUZGADA</w:t>
      </w:r>
      <w:r w:rsidR="00EE00E9" w:rsidRPr="00C50773">
        <w:rPr>
          <w:rFonts w:asciiTheme="majorHAnsi" w:hAnsiTheme="majorHAnsi"/>
          <w:b/>
          <w:bCs/>
          <w:i/>
          <w:sz w:val="20"/>
          <w:szCs w:val="20"/>
          <w:lang w:val="es-ES"/>
        </w:rPr>
        <w:t xml:space="preserve"> </w:t>
      </w:r>
      <w:r w:rsidR="00C50773" w:rsidRPr="00C50773">
        <w:rPr>
          <w:rFonts w:asciiTheme="majorHAnsi" w:hAnsiTheme="majorHAnsi"/>
          <w:b/>
          <w:bCs/>
          <w:sz w:val="20"/>
          <w:szCs w:val="20"/>
          <w:lang w:val="es-ES"/>
        </w:rPr>
        <w:t>INTERNACIONAL, CARACTERIZACIÓN</w:t>
      </w:r>
      <w:r w:rsidRPr="00C50773">
        <w:rPr>
          <w:rFonts w:asciiTheme="majorHAnsi" w:hAnsiTheme="majorHAnsi"/>
          <w:b/>
          <w:bCs/>
          <w:sz w:val="20"/>
          <w:szCs w:val="20"/>
          <w:lang w:val="es-ES"/>
        </w:rPr>
        <w:t xml:space="preserve">, </w:t>
      </w:r>
      <w:r w:rsidRPr="00C50773">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C50773" w14:paraId="161C8568" w14:textId="77777777" w:rsidTr="00EE28E8">
        <w:trPr>
          <w:cantSplit/>
        </w:trPr>
        <w:tc>
          <w:tcPr>
            <w:tcW w:w="3565" w:type="dxa"/>
            <w:tcBorders>
              <w:top w:val="single" w:sz="4" w:space="0" w:color="auto"/>
              <w:bottom w:val="single" w:sz="6" w:space="0" w:color="auto"/>
            </w:tcBorders>
            <w:shd w:val="clear" w:color="auto" w:fill="386294"/>
            <w:vAlign w:val="center"/>
          </w:tcPr>
          <w:p w14:paraId="1C72AC6C" w14:textId="77777777" w:rsidR="00EE00E9" w:rsidRPr="00C50773" w:rsidRDefault="00EE00E9" w:rsidP="008D2290">
            <w:pPr>
              <w:jc w:val="center"/>
              <w:rPr>
                <w:rFonts w:ascii="Cambria" w:hAnsi="Cambria"/>
                <w:b/>
                <w:bCs/>
                <w:color w:val="FFFFFF" w:themeColor="background1"/>
                <w:sz w:val="20"/>
                <w:szCs w:val="20"/>
                <w:lang w:val="es-ES"/>
              </w:rPr>
            </w:pPr>
            <w:r w:rsidRPr="00C50773">
              <w:rPr>
                <w:rFonts w:ascii="Cambria" w:hAnsi="Cambria"/>
                <w:b/>
                <w:bCs/>
                <w:color w:val="FFFFFF" w:themeColor="background1"/>
                <w:sz w:val="20"/>
                <w:szCs w:val="20"/>
                <w:lang w:val="es-ES"/>
              </w:rPr>
              <w:t>Duplicación de procedimientos y cosa juzgada internacional:</w:t>
            </w:r>
          </w:p>
        </w:tc>
        <w:tc>
          <w:tcPr>
            <w:tcW w:w="5677" w:type="dxa"/>
            <w:vAlign w:val="center"/>
          </w:tcPr>
          <w:p w14:paraId="764D7F60" w14:textId="1B57A71F" w:rsidR="00EE00E9" w:rsidRPr="00C50773" w:rsidRDefault="00EE28E8" w:rsidP="008D2290">
            <w:pPr>
              <w:jc w:val="both"/>
              <w:rPr>
                <w:rFonts w:ascii="Cambria" w:hAnsi="Cambria"/>
                <w:bCs/>
                <w:sz w:val="20"/>
                <w:szCs w:val="20"/>
                <w:lang w:val="es-ES"/>
              </w:rPr>
            </w:pPr>
            <w:r w:rsidRPr="00C50773">
              <w:rPr>
                <w:rFonts w:ascii="Cambria" w:hAnsi="Cambria"/>
                <w:bCs/>
                <w:sz w:val="20"/>
                <w:szCs w:val="20"/>
                <w:lang w:val="es-ES"/>
              </w:rPr>
              <w:t>No</w:t>
            </w:r>
          </w:p>
        </w:tc>
      </w:tr>
      <w:tr w:rsidR="003239B8" w:rsidRPr="002C2319" w14:paraId="3ED57BF3" w14:textId="77777777" w:rsidTr="00EE28E8">
        <w:trPr>
          <w:cantSplit/>
        </w:trPr>
        <w:tc>
          <w:tcPr>
            <w:tcW w:w="3565" w:type="dxa"/>
            <w:tcBorders>
              <w:top w:val="single" w:sz="4" w:space="0" w:color="auto"/>
              <w:bottom w:val="single" w:sz="6" w:space="0" w:color="auto"/>
            </w:tcBorders>
            <w:shd w:val="clear" w:color="auto" w:fill="386294"/>
            <w:vAlign w:val="center"/>
          </w:tcPr>
          <w:p w14:paraId="5F36A040" w14:textId="77777777" w:rsidR="003239B8" w:rsidRPr="00C50773" w:rsidRDefault="003239B8" w:rsidP="008D2290">
            <w:pPr>
              <w:jc w:val="center"/>
              <w:rPr>
                <w:rFonts w:ascii="Cambria" w:hAnsi="Cambria"/>
                <w:b/>
                <w:bCs/>
                <w:i/>
                <w:color w:val="FFFFFF" w:themeColor="background1"/>
                <w:sz w:val="20"/>
                <w:szCs w:val="20"/>
                <w:lang w:val="es-ES"/>
              </w:rPr>
            </w:pPr>
            <w:r w:rsidRPr="00C50773">
              <w:rPr>
                <w:rFonts w:ascii="Cambria" w:hAnsi="Cambria"/>
                <w:b/>
                <w:bCs/>
                <w:color w:val="FFFFFF" w:themeColor="background1"/>
                <w:sz w:val="20"/>
                <w:szCs w:val="20"/>
                <w:lang w:val="es-ES"/>
              </w:rPr>
              <w:t>Derechos declarados admisibles</w:t>
            </w:r>
            <w:r w:rsidRPr="00C50773">
              <w:rPr>
                <w:rFonts w:ascii="Cambria" w:hAnsi="Cambria"/>
                <w:b/>
                <w:bCs/>
                <w:i/>
                <w:color w:val="FFFFFF" w:themeColor="background1"/>
                <w:sz w:val="20"/>
                <w:szCs w:val="20"/>
                <w:lang w:val="es-ES"/>
              </w:rPr>
              <w:t>:</w:t>
            </w:r>
          </w:p>
        </w:tc>
        <w:tc>
          <w:tcPr>
            <w:tcW w:w="5677" w:type="dxa"/>
            <w:vAlign w:val="center"/>
          </w:tcPr>
          <w:p w14:paraId="4DAE9D4D" w14:textId="708850EE" w:rsidR="003239B8" w:rsidRPr="00C50773" w:rsidRDefault="00EE28E8" w:rsidP="008D2290">
            <w:pPr>
              <w:jc w:val="both"/>
              <w:rPr>
                <w:rFonts w:ascii="Cambria" w:hAnsi="Cambria"/>
                <w:bCs/>
                <w:sz w:val="20"/>
                <w:szCs w:val="20"/>
                <w:lang w:val="es-ES"/>
              </w:rPr>
            </w:pPr>
            <w:r w:rsidRPr="00C50773">
              <w:rPr>
                <w:rFonts w:ascii="Cambria" w:hAnsi="Cambria"/>
                <w:bCs/>
                <w:sz w:val="20"/>
                <w:szCs w:val="20"/>
                <w:lang w:val="es-ES"/>
              </w:rPr>
              <w:t xml:space="preserve">Artículos 8 (garantías judiciales), 25 (protección judicial) y </w:t>
            </w:r>
            <w:r w:rsidRPr="00C50773">
              <w:rPr>
                <w:rStyle w:val="s49"/>
                <w:rFonts w:ascii="Cambria" w:hAnsi="Cambria"/>
                <w:color w:val="000000"/>
                <w:sz w:val="20"/>
                <w:szCs w:val="20"/>
                <w:lang w:val="es-ES"/>
              </w:rPr>
              <w:t>26 (derechos económicos, sociales</w:t>
            </w:r>
            <w:r w:rsidR="00726929" w:rsidRPr="00C50773">
              <w:rPr>
                <w:rStyle w:val="s49"/>
                <w:rFonts w:ascii="Cambria" w:hAnsi="Cambria"/>
                <w:color w:val="000000"/>
                <w:sz w:val="20"/>
                <w:szCs w:val="20"/>
                <w:lang w:val="es-ES"/>
              </w:rPr>
              <w:t>, culturales y ambientales</w:t>
            </w:r>
            <w:r w:rsidRPr="00C50773">
              <w:rPr>
                <w:rStyle w:val="s49"/>
                <w:rFonts w:ascii="Cambria" w:hAnsi="Cambria"/>
                <w:color w:val="000000"/>
                <w:sz w:val="20"/>
                <w:szCs w:val="20"/>
                <w:lang w:val="es-ES"/>
              </w:rPr>
              <w:t xml:space="preserve">) </w:t>
            </w:r>
            <w:r w:rsidRPr="00C50773">
              <w:rPr>
                <w:rFonts w:ascii="Cambria" w:hAnsi="Cambria"/>
                <w:bCs/>
                <w:sz w:val="20"/>
                <w:szCs w:val="20"/>
                <w:lang w:val="es-ES"/>
              </w:rPr>
              <w:t>de la Convención Americana</w:t>
            </w:r>
            <w:r w:rsidR="00D970C9" w:rsidRPr="00C50773">
              <w:rPr>
                <w:rFonts w:ascii="Cambria" w:hAnsi="Cambria"/>
                <w:bCs/>
                <w:sz w:val="20"/>
                <w:szCs w:val="20"/>
                <w:lang w:val="es-ES"/>
              </w:rPr>
              <w:t>, en relación con su artículo 1.1 (obligación de respetar los derechos)</w:t>
            </w:r>
          </w:p>
        </w:tc>
      </w:tr>
      <w:tr w:rsidR="00EE28E8" w:rsidRPr="002C2319" w14:paraId="5702249F" w14:textId="77777777" w:rsidTr="00EE28E8">
        <w:trPr>
          <w:cantSplit/>
        </w:trPr>
        <w:tc>
          <w:tcPr>
            <w:tcW w:w="3565" w:type="dxa"/>
            <w:tcBorders>
              <w:top w:val="single" w:sz="6" w:space="0" w:color="auto"/>
              <w:bottom w:val="single" w:sz="6" w:space="0" w:color="auto"/>
            </w:tcBorders>
            <w:shd w:val="clear" w:color="auto" w:fill="386294"/>
            <w:vAlign w:val="center"/>
          </w:tcPr>
          <w:p w14:paraId="1F00DF1D" w14:textId="77777777" w:rsidR="00EE28E8" w:rsidRPr="00C50773" w:rsidRDefault="00EE28E8" w:rsidP="00EE28E8">
            <w:pPr>
              <w:jc w:val="center"/>
              <w:rPr>
                <w:rFonts w:ascii="Cambria" w:hAnsi="Cambria"/>
                <w:b/>
                <w:bCs/>
                <w:color w:val="FFFFFF" w:themeColor="background1"/>
                <w:sz w:val="20"/>
                <w:szCs w:val="20"/>
                <w:lang w:val="es-ES"/>
              </w:rPr>
            </w:pPr>
            <w:r w:rsidRPr="00C50773">
              <w:rPr>
                <w:rFonts w:ascii="Cambria" w:hAnsi="Cambria"/>
                <w:b/>
                <w:bCs/>
                <w:color w:val="FFFFFF" w:themeColor="background1"/>
                <w:sz w:val="20"/>
                <w:szCs w:val="20"/>
                <w:lang w:val="es-ES"/>
              </w:rPr>
              <w:t>Agotamiento de recursos internos o procedencia de una excepción:</w:t>
            </w:r>
          </w:p>
        </w:tc>
        <w:tc>
          <w:tcPr>
            <w:tcW w:w="5677" w:type="dxa"/>
            <w:vAlign w:val="center"/>
          </w:tcPr>
          <w:p w14:paraId="7F7C1A19" w14:textId="746E0727" w:rsidR="00EE28E8" w:rsidRPr="00C50773" w:rsidRDefault="00EE28E8" w:rsidP="00EE28E8">
            <w:pPr>
              <w:rPr>
                <w:rFonts w:ascii="Cambria" w:hAnsi="Cambria"/>
                <w:bCs/>
                <w:sz w:val="20"/>
                <w:szCs w:val="20"/>
                <w:lang w:val="es-ES"/>
              </w:rPr>
            </w:pPr>
            <w:r w:rsidRPr="00C50773">
              <w:rPr>
                <w:rFonts w:ascii="Cambria" w:hAnsi="Cambria"/>
                <w:bCs/>
                <w:sz w:val="20"/>
                <w:szCs w:val="20"/>
                <w:lang w:val="es-ES"/>
              </w:rPr>
              <w:t>Sí, en los términos de la sección VI</w:t>
            </w:r>
          </w:p>
        </w:tc>
      </w:tr>
      <w:tr w:rsidR="00EE28E8" w:rsidRPr="002C2319" w14:paraId="7A101B89" w14:textId="77777777" w:rsidTr="00EE28E8">
        <w:trPr>
          <w:cantSplit/>
        </w:trPr>
        <w:tc>
          <w:tcPr>
            <w:tcW w:w="3565" w:type="dxa"/>
            <w:tcBorders>
              <w:top w:val="single" w:sz="6" w:space="0" w:color="auto"/>
              <w:bottom w:val="single" w:sz="6" w:space="0" w:color="auto"/>
            </w:tcBorders>
            <w:shd w:val="clear" w:color="auto" w:fill="386294"/>
            <w:vAlign w:val="center"/>
          </w:tcPr>
          <w:p w14:paraId="0843C533" w14:textId="77777777" w:rsidR="00EE28E8" w:rsidRPr="00C50773" w:rsidRDefault="00EE28E8" w:rsidP="00EE28E8">
            <w:pPr>
              <w:jc w:val="center"/>
              <w:rPr>
                <w:rFonts w:ascii="Cambria" w:hAnsi="Cambria"/>
                <w:b/>
                <w:bCs/>
                <w:color w:val="FFFFFF" w:themeColor="background1"/>
                <w:sz w:val="20"/>
                <w:szCs w:val="20"/>
                <w:lang w:val="es-ES"/>
              </w:rPr>
            </w:pPr>
            <w:r w:rsidRPr="00C50773">
              <w:rPr>
                <w:rFonts w:ascii="Cambria" w:hAnsi="Cambria"/>
                <w:b/>
                <w:bCs/>
                <w:color w:val="FFFFFF" w:themeColor="background1"/>
                <w:sz w:val="20"/>
                <w:szCs w:val="20"/>
                <w:lang w:val="es-ES"/>
              </w:rPr>
              <w:t>Presentación dentro de plazo:</w:t>
            </w:r>
          </w:p>
        </w:tc>
        <w:tc>
          <w:tcPr>
            <w:tcW w:w="5677" w:type="dxa"/>
            <w:vAlign w:val="center"/>
          </w:tcPr>
          <w:p w14:paraId="2AF0FC69" w14:textId="3C154D6B" w:rsidR="00EE28E8" w:rsidRPr="00C50773" w:rsidRDefault="00EE28E8" w:rsidP="00EE28E8">
            <w:pPr>
              <w:rPr>
                <w:rFonts w:ascii="Cambria" w:hAnsi="Cambria"/>
                <w:bCs/>
                <w:sz w:val="20"/>
                <w:szCs w:val="20"/>
                <w:lang w:val="es-ES"/>
              </w:rPr>
            </w:pPr>
            <w:r w:rsidRPr="00C50773">
              <w:rPr>
                <w:rFonts w:ascii="Cambria" w:hAnsi="Cambria"/>
                <w:bCs/>
                <w:sz w:val="20"/>
                <w:szCs w:val="20"/>
                <w:lang w:val="es-ES"/>
              </w:rPr>
              <w:t>Sí, en los términos de la sección VI</w:t>
            </w:r>
          </w:p>
        </w:tc>
      </w:tr>
    </w:tbl>
    <w:p w14:paraId="10F72416" w14:textId="77777777" w:rsidR="00425D50" w:rsidRDefault="00425D50" w:rsidP="001A7906">
      <w:pPr>
        <w:spacing w:before="240" w:after="240"/>
        <w:ind w:firstLine="720"/>
        <w:jc w:val="both"/>
        <w:rPr>
          <w:rFonts w:ascii="Cambria" w:hAnsi="Cambria"/>
          <w:b/>
          <w:sz w:val="20"/>
          <w:szCs w:val="20"/>
          <w:lang w:val="es-ES"/>
        </w:rPr>
      </w:pPr>
    </w:p>
    <w:p w14:paraId="723701F9" w14:textId="77777777" w:rsidR="00425D50" w:rsidRDefault="00425D50" w:rsidP="001A7906">
      <w:pPr>
        <w:spacing w:before="240" w:after="240"/>
        <w:ind w:firstLine="720"/>
        <w:jc w:val="both"/>
        <w:rPr>
          <w:rFonts w:ascii="Cambria" w:hAnsi="Cambria"/>
          <w:b/>
          <w:sz w:val="20"/>
          <w:szCs w:val="20"/>
          <w:lang w:val="es-ES"/>
        </w:rPr>
      </w:pPr>
    </w:p>
    <w:p w14:paraId="78A22786" w14:textId="77777777" w:rsidR="00425D50" w:rsidRDefault="00425D50" w:rsidP="001A7906">
      <w:pPr>
        <w:spacing w:before="240" w:after="240"/>
        <w:ind w:firstLine="720"/>
        <w:jc w:val="both"/>
        <w:rPr>
          <w:rFonts w:ascii="Cambria" w:hAnsi="Cambria"/>
          <w:b/>
          <w:sz w:val="20"/>
          <w:szCs w:val="20"/>
          <w:lang w:val="es-ES"/>
        </w:rPr>
      </w:pPr>
    </w:p>
    <w:p w14:paraId="56FD5D57" w14:textId="435395AF" w:rsidR="003239B8" w:rsidRPr="00C12C27" w:rsidRDefault="00223A29" w:rsidP="001A7906">
      <w:pPr>
        <w:spacing w:before="240" w:after="240"/>
        <w:ind w:firstLine="720"/>
        <w:jc w:val="both"/>
        <w:rPr>
          <w:rFonts w:asciiTheme="majorHAnsi" w:hAnsiTheme="majorHAnsi"/>
          <w:b/>
          <w:sz w:val="20"/>
          <w:szCs w:val="20"/>
          <w:lang w:val="es-ES"/>
        </w:rPr>
      </w:pPr>
      <w:r w:rsidRPr="00C12C27">
        <w:rPr>
          <w:rFonts w:ascii="Cambria" w:hAnsi="Cambria"/>
          <w:b/>
          <w:sz w:val="20"/>
          <w:szCs w:val="20"/>
          <w:lang w:val="es-ES"/>
        </w:rPr>
        <w:lastRenderedPageBreak/>
        <w:t xml:space="preserve">V. </w:t>
      </w:r>
      <w:r w:rsidRPr="00C12C27">
        <w:rPr>
          <w:rFonts w:ascii="Cambria" w:hAnsi="Cambria"/>
          <w:b/>
          <w:sz w:val="20"/>
          <w:szCs w:val="20"/>
          <w:lang w:val="es-ES"/>
        </w:rPr>
        <w:tab/>
      </w:r>
      <w:r w:rsidR="004241A0" w:rsidRPr="00C12C27">
        <w:rPr>
          <w:rFonts w:asciiTheme="majorHAnsi" w:hAnsiTheme="majorHAnsi"/>
          <w:b/>
          <w:sz w:val="20"/>
          <w:szCs w:val="20"/>
          <w:lang w:val="es-ES"/>
        </w:rPr>
        <w:t>POSICIÓN DE LAS PARTES</w:t>
      </w:r>
      <w:r w:rsidR="003239B8" w:rsidRPr="00C12C27">
        <w:rPr>
          <w:rFonts w:asciiTheme="majorHAnsi" w:hAnsiTheme="majorHAnsi"/>
          <w:b/>
          <w:sz w:val="20"/>
          <w:szCs w:val="20"/>
          <w:lang w:val="es-ES"/>
        </w:rPr>
        <w:t xml:space="preserve"> </w:t>
      </w:r>
    </w:p>
    <w:p w14:paraId="441E91B8" w14:textId="77777777" w:rsidR="0050659F" w:rsidRPr="00C12C27" w:rsidRDefault="00AD49CC" w:rsidP="001A7906">
      <w:pPr>
        <w:spacing w:before="240" w:after="240"/>
        <w:ind w:firstLine="720"/>
        <w:jc w:val="both"/>
        <w:rPr>
          <w:rFonts w:asciiTheme="majorHAnsi" w:hAnsiTheme="majorHAnsi"/>
          <w:b/>
          <w:sz w:val="20"/>
          <w:szCs w:val="20"/>
          <w:lang w:val="es-ES"/>
        </w:rPr>
      </w:pPr>
      <w:r w:rsidRPr="00C12C27">
        <w:rPr>
          <w:rFonts w:asciiTheme="majorHAnsi" w:hAnsiTheme="majorHAnsi"/>
          <w:b/>
          <w:sz w:val="20"/>
          <w:szCs w:val="20"/>
          <w:lang w:val="es-ES"/>
        </w:rPr>
        <w:t>La parte peticionaria</w:t>
      </w:r>
    </w:p>
    <w:p w14:paraId="313389D3" w14:textId="1A2D6009" w:rsidR="00620B20" w:rsidRPr="00C12C27" w:rsidRDefault="0050659F"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bCs/>
          <w:sz w:val="20"/>
          <w:szCs w:val="20"/>
          <w:lang w:val="es-ES"/>
        </w:rPr>
        <w:t>Domingo Gutiérrez Mendívil</w:t>
      </w:r>
      <w:r w:rsidR="000608E1" w:rsidRPr="00C12C27">
        <w:rPr>
          <w:rFonts w:asciiTheme="majorHAnsi" w:hAnsiTheme="majorHAnsi"/>
          <w:bCs/>
          <w:sz w:val="20"/>
          <w:szCs w:val="20"/>
          <w:lang w:val="es-ES"/>
        </w:rPr>
        <w:t xml:space="preserve">, en calidad de </w:t>
      </w:r>
      <w:r w:rsidR="00DA2F43" w:rsidRPr="00C12C27">
        <w:rPr>
          <w:rFonts w:asciiTheme="majorHAnsi" w:hAnsiTheme="majorHAnsi"/>
          <w:bCs/>
          <w:sz w:val="20"/>
          <w:szCs w:val="20"/>
          <w:lang w:val="es-ES"/>
        </w:rPr>
        <w:t>peticionario</w:t>
      </w:r>
      <w:r w:rsidR="00DC51B0" w:rsidRPr="00C12C27">
        <w:rPr>
          <w:rFonts w:asciiTheme="majorHAnsi" w:hAnsiTheme="majorHAnsi"/>
          <w:bCs/>
          <w:sz w:val="20"/>
          <w:szCs w:val="20"/>
          <w:lang w:val="es-ES"/>
        </w:rPr>
        <w:t>,</w:t>
      </w:r>
      <w:r w:rsidR="000608E1" w:rsidRPr="00C12C27">
        <w:rPr>
          <w:rFonts w:asciiTheme="majorHAnsi" w:hAnsiTheme="majorHAnsi"/>
          <w:bCs/>
          <w:sz w:val="20"/>
          <w:szCs w:val="20"/>
          <w:lang w:val="es-ES"/>
        </w:rPr>
        <w:t xml:space="preserve"> </w:t>
      </w:r>
      <w:r w:rsidR="0046382D" w:rsidRPr="00C12C27">
        <w:rPr>
          <w:rFonts w:asciiTheme="majorHAnsi" w:hAnsiTheme="majorHAnsi"/>
          <w:sz w:val="20"/>
          <w:szCs w:val="20"/>
          <w:lang w:val="es-ES"/>
        </w:rPr>
        <w:t>denuncia la vulneración de sus derechos por la autorización y operación del confinamiento de residuos peligrosos</w:t>
      </w:r>
      <w:r w:rsidR="00DF602F" w:rsidRPr="00C12C27">
        <w:rPr>
          <w:rStyle w:val="FootnoteReference"/>
          <w:rFonts w:asciiTheme="majorHAnsi" w:hAnsiTheme="majorHAnsi"/>
          <w:sz w:val="20"/>
          <w:szCs w:val="20"/>
          <w:lang w:val="es-ES"/>
        </w:rPr>
        <w:footnoteReference w:id="6"/>
      </w:r>
      <w:r w:rsidR="0046382D" w:rsidRPr="00C12C27">
        <w:rPr>
          <w:rFonts w:asciiTheme="majorHAnsi" w:hAnsiTheme="majorHAnsi"/>
          <w:sz w:val="20"/>
          <w:szCs w:val="20"/>
          <w:lang w:val="es-ES"/>
        </w:rPr>
        <w:t xml:space="preserve"> de Cytrar, S.A. en Hermosillo</w:t>
      </w:r>
      <w:r w:rsidR="00620B20" w:rsidRPr="00C12C27">
        <w:rPr>
          <w:rFonts w:asciiTheme="majorHAnsi" w:hAnsiTheme="majorHAnsi"/>
          <w:sz w:val="20"/>
          <w:szCs w:val="20"/>
          <w:lang w:val="es-ES"/>
        </w:rPr>
        <w:t xml:space="preserve">, </w:t>
      </w:r>
      <w:r w:rsidR="00483162" w:rsidRPr="00C12C27">
        <w:rPr>
          <w:rFonts w:asciiTheme="majorHAnsi" w:hAnsiTheme="majorHAnsi"/>
          <w:sz w:val="20"/>
          <w:szCs w:val="20"/>
          <w:lang w:val="es-ES"/>
        </w:rPr>
        <w:t xml:space="preserve">Sonora, </w:t>
      </w:r>
      <w:r w:rsidR="00620B20" w:rsidRPr="00C12C27">
        <w:rPr>
          <w:rFonts w:asciiTheme="majorHAnsi" w:hAnsiTheme="majorHAnsi"/>
          <w:sz w:val="20"/>
          <w:szCs w:val="20"/>
          <w:lang w:val="es-ES"/>
        </w:rPr>
        <w:t>que habría generado riesgos ambientales y de salud pública</w:t>
      </w:r>
      <w:r w:rsidR="005F343E" w:rsidRPr="00C12C27">
        <w:rPr>
          <w:rFonts w:asciiTheme="majorHAnsi" w:hAnsiTheme="majorHAnsi"/>
          <w:sz w:val="20"/>
          <w:szCs w:val="20"/>
          <w:lang w:val="es-ES"/>
        </w:rPr>
        <w:t xml:space="preserve">. </w:t>
      </w:r>
      <w:r w:rsidR="00A53783" w:rsidRPr="00C12C27">
        <w:rPr>
          <w:rFonts w:asciiTheme="majorHAnsi" w:hAnsiTheme="majorHAnsi"/>
          <w:sz w:val="20"/>
          <w:szCs w:val="20"/>
          <w:lang w:val="es-ES"/>
        </w:rPr>
        <w:t xml:space="preserve">Además, </w:t>
      </w:r>
      <w:r w:rsidR="00620B20" w:rsidRPr="00C12C27">
        <w:rPr>
          <w:rFonts w:asciiTheme="majorHAnsi" w:hAnsiTheme="majorHAnsi"/>
          <w:sz w:val="20"/>
          <w:szCs w:val="20"/>
          <w:lang w:val="es-ES"/>
        </w:rPr>
        <w:t>que el Estado no le proporcionó recursos adecuados ni eficaces para cuestionar la autorización, evaluar la situación ambiental o garantizar la protección judicial de los derechos afectados.</w:t>
      </w:r>
    </w:p>
    <w:p w14:paraId="11063926" w14:textId="0E324075" w:rsidR="0020113B" w:rsidRPr="00C12C27" w:rsidRDefault="0020113B"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 xml:space="preserve">De la información aportada por las partes se desprende que el 5 de julio de 1994 la Dirección General de Planeación y Desarrollo Urbano del Ayuntamiento de Hermosillo autorizó el uso de suelo del predio denominado “Las Víboras” a favor del Parque Industrial de Hermosillo, declarando </w:t>
      </w:r>
      <w:r w:rsidR="006A5380" w:rsidRPr="00C12C27">
        <w:rPr>
          <w:rFonts w:asciiTheme="majorHAnsi" w:hAnsiTheme="majorHAnsi"/>
          <w:sz w:val="20"/>
          <w:szCs w:val="20"/>
          <w:lang w:val="es-ES"/>
        </w:rPr>
        <w:t>su compatibilidad</w:t>
      </w:r>
      <w:r w:rsidRPr="00C12C27">
        <w:rPr>
          <w:rFonts w:asciiTheme="majorHAnsi" w:hAnsiTheme="majorHAnsi"/>
          <w:sz w:val="20"/>
          <w:szCs w:val="20"/>
          <w:lang w:val="es-ES"/>
        </w:rPr>
        <w:t xml:space="preserve"> con actividades industriales. </w:t>
      </w:r>
      <w:r w:rsidR="006A5380" w:rsidRPr="00C12C27">
        <w:rPr>
          <w:rFonts w:asciiTheme="majorHAnsi" w:hAnsiTheme="majorHAnsi"/>
          <w:sz w:val="20"/>
          <w:szCs w:val="20"/>
          <w:lang w:val="es-ES"/>
        </w:rPr>
        <w:t>Ello permitió que la empresa Cytrar, S.A. instalara y operara en ese lugar un confinamiento de residuos peligrosos, al sur del área urbana. En respuesta, el señor Domingo Gutiérrez Mendívil presentó una queja ante la Comisión Nacional de los Derechos Humanos (</w:t>
      </w:r>
      <w:r w:rsidR="00572228" w:rsidRPr="00C12C27">
        <w:rPr>
          <w:rFonts w:asciiTheme="majorHAnsi" w:hAnsiTheme="majorHAnsi"/>
          <w:sz w:val="20"/>
          <w:szCs w:val="20"/>
          <w:lang w:val="es-ES"/>
        </w:rPr>
        <w:t xml:space="preserve">en adelante </w:t>
      </w:r>
      <w:r w:rsidR="006A5380" w:rsidRPr="00C12C27">
        <w:rPr>
          <w:rFonts w:asciiTheme="majorHAnsi" w:hAnsiTheme="majorHAnsi"/>
          <w:sz w:val="20"/>
          <w:szCs w:val="20"/>
          <w:lang w:val="es-ES"/>
        </w:rPr>
        <w:t xml:space="preserve">CNDH) por la autorización y operación del confinamiento; el 26 de agosto de 1997 la CNDH remitió la queja a la Procuraduría Federal de Protección al Ambiente. </w:t>
      </w:r>
      <w:r w:rsidR="001270BD" w:rsidRPr="00C12C27">
        <w:rPr>
          <w:rFonts w:asciiTheme="majorHAnsi" w:hAnsiTheme="majorHAnsi"/>
          <w:sz w:val="20"/>
          <w:szCs w:val="20"/>
          <w:lang w:val="es-ES"/>
        </w:rPr>
        <w:t xml:space="preserve">El </w:t>
      </w:r>
      <w:r w:rsidR="0046382D" w:rsidRPr="00C12C27">
        <w:rPr>
          <w:rFonts w:asciiTheme="majorHAnsi" w:hAnsiTheme="majorHAnsi"/>
          <w:sz w:val="20"/>
          <w:szCs w:val="20"/>
          <w:lang w:val="es-ES"/>
        </w:rPr>
        <w:t>señor Gutiérrez</w:t>
      </w:r>
      <w:r w:rsidR="001270BD" w:rsidRPr="00C12C27">
        <w:rPr>
          <w:rFonts w:asciiTheme="majorHAnsi" w:hAnsiTheme="majorHAnsi"/>
          <w:sz w:val="20"/>
          <w:szCs w:val="20"/>
          <w:lang w:val="es-ES"/>
        </w:rPr>
        <w:t xml:space="preserve"> cuestiona </w:t>
      </w:r>
      <w:r w:rsidR="00572228" w:rsidRPr="00C12C27">
        <w:rPr>
          <w:rFonts w:asciiTheme="majorHAnsi" w:hAnsiTheme="majorHAnsi"/>
          <w:sz w:val="20"/>
          <w:szCs w:val="20"/>
          <w:lang w:val="es-ES"/>
        </w:rPr>
        <w:t>dicho traslado</w:t>
      </w:r>
      <w:r w:rsidR="001270BD" w:rsidRPr="00C12C27">
        <w:rPr>
          <w:rFonts w:asciiTheme="majorHAnsi" w:hAnsiTheme="majorHAnsi"/>
          <w:sz w:val="20"/>
          <w:szCs w:val="20"/>
          <w:lang w:val="es-ES"/>
        </w:rPr>
        <w:t>, pues ello implicaba que una de las autoridades denunciadas evaluara su propia actuación</w:t>
      </w:r>
      <w:r w:rsidR="008D4A3D" w:rsidRPr="00C12C27">
        <w:rPr>
          <w:rFonts w:asciiTheme="majorHAnsi" w:hAnsiTheme="majorHAnsi"/>
          <w:sz w:val="20"/>
          <w:szCs w:val="20"/>
          <w:lang w:val="es-ES"/>
        </w:rPr>
        <w:t xml:space="preserve">. La CIDH aclara que el peticionario </w:t>
      </w:r>
      <w:r w:rsidR="00572228" w:rsidRPr="00C12C27">
        <w:rPr>
          <w:rFonts w:asciiTheme="majorHAnsi" w:hAnsiTheme="majorHAnsi"/>
          <w:sz w:val="20"/>
          <w:szCs w:val="20"/>
          <w:lang w:val="es-ES"/>
        </w:rPr>
        <w:t>no detalla</w:t>
      </w:r>
      <w:r w:rsidR="009D073A" w:rsidRPr="00C12C27">
        <w:rPr>
          <w:rFonts w:asciiTheme="majorHAnsi" w:hAnsiTheme="majorHAnsi"/>
          <w:sz w:val="20"/>
          <w:szCs w:val="20"/>
          <w:lang w:val="es-ES"/>
        </w:rPr>
        <w:t xml:space="preserve"> ni adjunta</w:t>
      </w:r>
      <w:r w:rsidR="001270BD" w:rsidRPr="00C12C27">
        <w:rPr>
          <w:rFonts w:asciiTheme="majorHAnsi" w:hAnsiTheme="majorHAnsi"/>
          <w:sz w:val="20"/>
          <w:szCs w:val="20"/>
          <w:lang w:val="es-ES"/>
        </w:rPr>
        <w:t xml:space="preserve"> </w:t>
      </w:r>
      <w:r w:rsidR="00572228" w:rsidRPr="00C12C27">
        <w:rPr>
          <w:rFonts w:asciiTheme="majorHAnsi" w:hAnsiTheme="majorHAnsi"/>
          <w:sz w:val="20"/>
          <w:szCs w:val="20"/>
          <w:lang w:val="es-ES"/>
        </w:rPr>
        <w:t>más información</w:t>
      </w:r>
      <w:r w:rsidR="001270BD" w:rsidRPr="00C12C27">
        <w:rPr>
          <w:rFonts w:asciiTheme="majorHAnsi" w:hAnsiTheme="majorHAnsi"/>
          <w:sz w:val="20"/>
          <w:szCs w:val="20"/>
          <w:lang w:val="es-ES"/>
        </w:rPr>
        <w:t xml:space="preserve"> sobre la tramitación de la queja.</w:t>
      </w:r>
    </w:p>
    <w:p w14:paraId="70F23834" w14:textId="742215A2" w:rsidR="001031ED" w:rsidRPr="00C12C27" w:rsidRDefault="001031ED"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El 14 de noviembre de 1997</w:t>
      </w:r>
      <w:r w:rsidR="008D4A3D" w:rsidRPr="00C12C27">
        <w:rPr>
          <w:rFonts w:asciiTheme="majorHAnsi" w:hAnsiTheme="majorHAnsi"/>
          <w:sz w:val="20"/>
          <w:szCs w:val="20"/>
          <w:lang w:val="es-ES"/>
        </w:rPr>
        <w:t>,</w:t>
      </w:r>
      <w:r w:rsidRPr="00C12C27">
        <w:rPr>
          <w:rFonts w:asciiTheme="majorHAnsi" w:hAnsiTheme="majorHAnsi"/>
          <w:sz w:val="20"/>
          <w:szCs w:val="20"/>
          <w:lang w:val="es-ES"/>
        </w:rPr>
        <w:t xml:space="preserve"> </w:t>
      </w:r>
      <w:r w:rsidR="00D107DD" w:rsidRPr="00C12C27">
        <w:rPr>
          <w:rFonts w:asciiTheme="majorHAnsi" w:hAnsiTheme="majorHAnsi"/>
          <w:sz w:val="20"/>
          <w:szCs w:val="20"/>
          <w:lang w:val="es-ES"/>
        </w:rPr>
        <w:t>el peticionario junto con un grupo de residentes solicitó</w:t>
      </w:r>
      <w:r w:rsidRPr="00C12C27">
        <w:rPr>
          <w:rFonts w:asciiTheme="majorHAnsi" w:hAnsiTheme="majorHAnsi"/>
          <w:sz w:val="20"/>
          <w:szCs w:val="20"/>
          <w:lang w:val="es-ES"/>
        </w:rPr>
        <w:t xml:space="preserve"> al ayuntamiento revocar la autorización de uso de suelo otorgada</w:t>
      </w:r>
      <w:r w:rsidR="008D4A3D" w:rsidRPr="00C12C27">
        <w:rPr>
          <w:rFonts w:asciiTheme="majorHAnsi" w:hAnsiTheme="majorHAnsi"/>
          <w:sz w:val="20"/>
          <w:szCs w:val="20"/>
          <w:lang w:val="es-ES"/>
        </w:rPr>
        <w:t>;</w:t>
      </w:r>
      <w:r w:rsidR="00572228" w:rsidRPr="00C12C27">
        <w:rPr>
          <w:rFonts w:asciiTheme="majorHAnsi" w:hAnsiTheme="majorHAnsi"/>
          <w:sz w:val="20"/>
          <w:szCs w:val="20"/>
          <w:lang w:val="es-ES"/>
        </w:rPr>
        <w:t xml:space="preserve"> no obstante,</w:t>
      </w:r>
      <w:r w:rsidR="006A5380" w:rsidRPr="00C12C27">
        <w:rPr>
          <w:rFonts w:asciiTheme="majorHAnsi" w:hAnsiTheme="majorHAnsi"/>
          <w:sz w:val="20"/>
          <w:szCs w:val="20"/>
          <w:lang w:val="es-ES"/>
        </w:rPr>
        <w:t xml:space="preserve"> </w:t>
      </w:r>
      <w:r w:rsidRPr="00C12C27">
        <w:rPr>
          <w:rFonts w:asciiTheme="majorHAnsi" w:hAnsiTheme="majorHAnsi"/>
          <w:sz w:val="20"/>
          <w:szCs w:val="20"/>
          <w:lang w:val="es-ES"/>
        </w:rPr>
        <w:t>el 1 de abril de 1998</w:t>
      </w:r>
      <w:r w:rsidR="00FF1C15" w:rsidRPr="00C12C27">
        <w:rPr>
          <w:rFonts w:asciiTheme="majorHAnsi" w:hAnsiTheme="majorHAnsi"/>
          <w:sz w:val="20"/>
          <w:szCs w:val="20"/>
          <w:lang w:val="es-ES"/>
        </w:rPr>
        <w:t>,</w:t>
      </w:r>
      <w:r w:rsidRPr="00C12C27">
        <w:rPr>
          <w:rFonts w:asciiTheme="majorHAnsi" w:hAnsiTheme="majorHAnsi"/>
          <w:sz w:val="20"/>
          <w:szCs w:val="20"/>
          <w:lang w:val="es-ES"/>
        </w:rPr>
        <w:t xml:space="preserve"> </w:t>
      </w:r>
      <w:r w:rsidR="00483162" w:rsidRPr="00C12C27">
        <w:rPr>
          <w:rFonts w:asciiTheme="majorHAnsi" w:hAnsiTheme="majorHAnsi"/>
          <w:sz w:val="20"/>
          <w:szCs w:val="20"/>
          <w:lang w:val="es-ES"/>
        </w:rPr>
        <w:t>el municipio</w:t>
      </w:r>
      <w:r w:rsidR="00D107DD" w:rsidRPr="00C12C27">
        <w:rPr>
          <w:rFonts w:asciiTheme="majorHAnsi" w:hAnsiTheme="majorHAnsi"/>
          <w:sz w:val="20"/>
          <w:szCs w:val="20"/>
          <w:lang w:val="es-ES"/>
        </w:rPr>
        <w:t xml:space="preserve"> </w:t>
      </w:r>
      <w:r w:rsidRPr="00C12C27">
        <w:rPr>
          <w:rFonts w:asciiTheme="majorHAnsi" w:hAnsiTheme="majorHAnsi"/>
          <w:sz w:val="20"/>
          <w:szCs w:val="20"/>
          <w:lang w:val="es-ES"/>
        </w:rPr>
        <w:t xml:space="preserve">ratificó </w:t>
      </w:r>
      <w:r w:rsidR="00483162" w:rsidRPr="00C12C27">
        <w:rPr>
          <w:rFonts w:asciiTheme="majorHAnsi" w:hAnsiTheme="majorHAnsi"/>
          <w:sz w:val="20"/>
          <w:szCs w:val="20"/>
          <w:lang w:val="es-ES"/>
        </w:rPr>
        <w:t>su validez</w:t>
      </w:r>
      <w:r w:rsidR="00572228" w:rsidRPr="00C12C27">
        <w:rPr>
          <w:rFonts w:asciiTheme="majorHAnsi" w:hAnsiTheme="majorHAnsi"/>
          <w:sz w:val="20"/>
          <w:szCs w:val="20"/>
          <w:lang w:val="es-ES"/>
        </w:rPr>
        <w:t>.</w:t>
      </w:r>
      <w:r w:rsidRPr="00C12C27">
        <w:rPr>
          <w:rFonts w:asciiTheme="majorHAnsi" w:hAnsiTheme="majorHAnsi"/>
          <w:sz w:val="20"/>
          <w:szCs w:val="20"/>
          <w:lang w:val="es-ES"/>
        </w:rPr>
        <w:t xml:space="preserve"> </w:t>
      </w:r>
      <w:r w:rsidR="006A5380" w:rsidRPr="00C12C27">
        <w:rPr>
          <w:rFonts w:asciiTheme="majorHAnsi" w:hAnsiTheme="majorHAnsi"/>
          <w:sz w:val="20"/>
          <w:szCs w:val="20"/>
          <w:lang w:val="es-ES"/>
        </w:rPr>
        <w:t xml:space="preserve">El 11 de junio de 1998 los mismos residentes interpusieron </w:t>
      </w:r>
      <w:r w:rsidR="00572228" w:rsidRPr="00C12C27">
        <w:rPr>
          <w:rFonts w:asciiTheme="majorHAnsi" w:hAnsiTheme="majorHAnsi"/>
          <w:sz w:val="20"/>
          <w:szCs w:val="20"/>
          <w:lang w:val="es-ES"/>
        </w:rPr>
        <w:t xml:space="preserve">una </w:t>
      </w:r>
      <w:r w:rsidR="006A5380" w:rsidRPr="00C12C27">
        <w:rPr>
          <w:rFonts w:asciiTheme="majorHAnsi" w:hAnsiTheme="majorHAnsi"/>
          <w:sz w:val="20"/>
          <w:szCs w:val="20"/>
          <w:lang w:val="es-ES"/>
        </w:rPr>
        <w:t>queja ante la Comisión Estatal de Derechos Humanos de Sonora (</w:t>
      </w:r>
      <w:r w:rsidR="00572228" w:rsidRPr="00C12C27">
        <w:rPr>
          <w:rFonts w:asciiTheme="majorHAnsi" w:hAnsiTheme="majorHAnsi"/>
          <w:sz w:val="20"/>
          <w:szCs w:val="20"/>
          <w:lang w:val="es-ES"/>
        </w:rPr>
        <w:t xml:space="preserve">en adelante </w:t>
      </w:r>
      <w:r w:rsidR="006A5380" w:rsidRPr="00C12C27">
        <w:rPr>
          <w:rFonts w:asciiTheme="majorHAnsi" w:hAnsiTheme="majorHAnsi"/>
          <w:sz w:val="20"/>
          <w:szCs w:val="20"/>
          <w:lang w:val="es-ES"/>
        </w:rPr>
        <w:t xml:space="preserve">CEDH). </w:t>
      </w:r>
      <w:r w:rsidR="00357DD9" w:rsidRPr="00C12C27">
        <w:rPr>
          <w:rFonts w:asciiTheme="majorHAnsi" w:hAnsiTheme="majorHAnsi"/>
          <w:sz w:val="20"/>
          <w:szCs w:val="20"/>
          <w:lang w:val="es-ES"/>
        </w:rPr>
        <w:t>Así, e</w:t>
      </w:r>
      <w:r w:rsidR="006A5380" w:rsidRPr="00C12C27">
        <w:rPr>
          <w:rFonts w:asciiTheme="majorHAnsi" w:hAnsiTheme="majorHAnsi"/>
          <w:sz w:val="20"/>
          <w:szCs w:val="20"/>
          <w:lang w:val="es-ES"/>
        </w:rPr>
        <w:t xml:space="preserve">l 20 de enero de 1999 la CEDH emitió la </w:t>
      </w:r>
      <w:r w:rsidR="0078677F" w:rsidRPr="00C12C27">
        <w:rPr>
          <w:rFonts w:asciiTheme="majorHAnsi" w:hAnsiTheme="majorHAnsi"/>
          <w:sz w:val="20"/>
          <w:szCs w:val="20"/>
          <w:lang w:val="es-ES"/>
        </w:rPr>
        <w:t>r</w:t>
      </w:r>
      <w:r w:rsidR="006A5380" w:rsidRPr="00C12C27">
        <w:rPr>
          <w:rFonts w:asciiTheme="majorHAnsi" w:hAnsiTheme="majorHAnsi"/>
          <w:sz w:val="20"/>
          <w:szCs w:val="20"/>
          <w:lang w:val="es-ES"/>
        </w:rPr>
        <w:t>ecomendación</w:t>
      </w:r>
      <w:r w:rsidR="00483162" w:rsidRPr="00C12C27">
        <w:rPr>
          <w:rFonts w:asciiTheme="majorHAnsi" w:hAnsiTheme="majorHAnsi"/>
          <w:sz w:val="20"/>
          <w:szCs w:val="20"/>
          <w:lang w:val="es-ES"/>
        </w:rPr>
        <w:t xml:space="preserve"> </w:t>
      </w:r>
      <w:r w:rsidR="0078677F" w:rsidRPr="00C12C27">
        <w:rPr>
          <w:rFonts w:asciiTheme="majorHAnsi" w:hAnsiTheme="majorHAnsi"/>
          <w:color w:val="auto"/>
          <w:sz w:val="20"/>
          <w:szCs w:val="20"/>
          <w:lang w:val="es-ES"/>
        </w:rPr>
        <w:t xml:space="preserve">Nº </w:t>
      </w:r>
      <w:r w:rsidR="006A5380" w:rsidRPr="00C12C27">
        <w:rPr>
          <w:rFonts w:asciiTheme="majorHAnsi" w:hAnsiTheme="majorHAnsi"/>
          <w:sz w:val="20"/>
          <w:szCs w:val="20"/>
          <w:lang w:val="es-ES"/>
        </w:rPr>
        <w:t>01/99, concluyendo que el director de desarrollo urbano carecía de competencia para otorgar la autorización impugnada</w:t>
      </w:r>
      <w:r w:rsidR="00483162" w:rsidRPr="00C12C27">
        <w:rPr>
          <w:rFonts w:asciiTheme="majorHAnsi" w:hAnsiTheme="majorHAnsi"/>
          <w:sz w:val="20"/>
          <w:szCs w:val="20"/>
          <w:lang w:val="es-ES"/>
        </w:rPr>
        <w:t xml:space="preserve"> y </w:t>
      </w:r>
      <w:r w:rsidR="006A5380" w:rsidRPr="00C12C27">
        <w:rPr>
          <w:rFonts w:asciiTheme="majorHAnsi" w:hAnsiTheme="majorHAnsi"/>
          <w:sz w:val="20"/>
          <w:szCs w:val="20"/>
          <w:lang w:val="es-ES"/>
        </w:rPr>
        <w:t xml:space="preserve">recomendó dejar sin efecto el acuerdo de 1 de abril de 1998. </w:t>
      </w:r>
      <w:r w:rsidR="00363D36" w:rsidRPr="00C12C27">
        <w:rPr>
          <w:rFonts w:asciiTheme="majorHAnsi" w:hAnsiTheme="majorHAnsi"/>
          <w:sz w:val="20"/>
          <w:szCs w:val="20"/>
          <w:lang w:val="es-ES"/>
        </w:rPr>
        <w:t>Aunque e</w:t>
      </w:r>
      <w:r w:rsidR="006A5380" w:rsidRPr="00C12C27">
        <w:rPr>
          <w:rFonts w:asciiTheme="majorHAnsi" w:hAnsiTheme="majorHAnsi"/>
          <w:sz w:val="20"/>
          <w:szCs w:val="20"/>
          <w:lang w:val="es-ES"/>
        </w:rPr>
        <w:t>l municipio aceptó la recomendación</w:t>
      </w:r>
      <w:r w:rsidR="00363D36" w:rsidRPr="00C12C27">
        <w:rPr>
          <w:rFonts w:asciiTheme="majorHAnsi" w:hAnsiTheme="majorHAnsi"/>
          <w:sz w:val="20"/>
          <w:szCs w:val="20"/>
          <w:lang w:val="es-ES"/>
        </w:rPr>
        <w:t xml:space="preserve">, </w:t>
      </w:r>
      <w:r w:rsidR="006A5380" w:rsidRPr="00C12C27">
        <w:rPr>
          <w:rFonts w:asciiTheme="majorHAnsi" w:hAnsiTheme="majorHAnsi"/>
          <w:sz w:val="20"/>
          <w:szCs w:val="20"/>
          <w:lang w:val="es-ES"/>
        </w:rPr>
        <w:t>el 30 de junio de 2000 aprobó un nuevo dictamen que reiteró la validez de la autorización</w:t>
      </w:r>
      <w:r w:rsidR="00572228" w:rsidRPr="00C12C27">
        <w:rPr>
          <w:rFonts w:asciiTheme="majorHAnsi" w:hAnsiTheme="majorHAnsi"/>
          <w:sz w:val="20"/>
          <w:szCs w:val="20"/>
          <w:lang w:val="es-ES"/>
        </w:rPr>
        <w:t xml:space="preserve"> inicial</w:t>
      </w:r>
      <w:r w:rsidR="006A5380" w:rsidRPr="00C12C27">
        <w:rPr>
          <w:rFonts w:asciiTheme="majorHAnsi" w:hAnsiTheme="majorHAnsi"/>
          <w:sz w:val="20"/>
          <w:szCs w:val="20"/>
          <w:lang w:val="es-ES"/>
        </w:rPr>
        <w:t xml:space="preserve">. Esta decisión motivó una nueva queja </w:t>
      </w:r>
      <w:r w:rsidR="00D107DD" w:rsidRPr="00C12C27">
        <w:rPr>
          <w:rFonts w:asciiTheme="majorHAnsi" w:hAnsiTheme="majorHAnsi"/>
          <w:sz w:val="20"/>
          <w:szCs w:val="20"/>
          <w:lang w:val="es-ES"/>
        </w:rPr>
        <w:t xml:space="preserve">ante la CEDH </w:t>
      </w:r>
      <w:r w:rsidR="006A5380" w:rsidRPr="00C12C27">
        <w:rPr>
          <w:rFonts w:asciiTheme="majorHAnsi" w:hAnsiTheme="majorHAnsi"/>
          <w:sz w:val="20"/>
          <w:szCs w:val="20"/>
          <w:lang w:val="es-ES"/>
        </w:rPr>
        <w:t xml:space="preserve">presentada el 13 de octubre de 2000, que culminó el 23 de febrero de 2001 con la </w:t>
      </w:r>
      <w:r w:rsidR="0078677F" w:rsidRPr="00C12C27">
        <w:rPr>
          <w:rFonts w:asciiTheme="majorHAnsi" w:hAnsiTheme="majorHAnsi"/>
          <w:sz w:val="20"/>
          <w:szCs w:val="20"/>
          <w:lang w:val="es-ES"/>
        </w:rPr>
        <w:t>r</w:t>
      </w:r>
      <w:r w:rsidR="006A5380" w:rsidRPr="00C12C27">
        <w:rPr>
          <w:rFonts w:asciiTheme="majorHAnsi" w:hAnsiTheme="majorHAnsi"/>
          <w:sz w:val="20"/>
          <w:szCs w:val="20"/>
          <w:lang w:val="es-ES"/>
        </w:rPr>
        <w:t>ecomendación</w:t>
      </w:r>
      <w:r w:rsidR="0078677F" w:rsidRPr="00C12C27">
        <w:rPr>
          <w:rFonts w:asciiTheme="majorHAnsi" w:hAnsiTheme="majorHAnsi"/>
          <w:color w:val="auto"/>
          <w:sz w:val="20"/>
          <w:szCs w:val="20"/>
          <w:lang w:val="es-ES"/>
        </w:rPr>
        <w:t xml:space="preserve"> N.º</w:t>
      </w:r>
      <w:r w:rsidR="006A5380" w:rsidRPr="00C12C27">
        <w:rPr>
          <w:rFonts w:asciiTheme="majorHAnsi" w:hAnsiTheme="majorHAnsi"/>
          <w:sz w:val="20"/>
          <w:szCs w:val="20"/>
          <w:lang w:val="es-ES"/>
        </w:rPr>
        <w:t xml:space="preserve"> 03/2001, en la que se determinó el incumplimiento material de la anterior y se instó a dejar sin efecto el acuerdo de 30 de junio de 2000. Ante el incumplimiento</w:t>
      </w:r>
      <w:r w:rsidR="00572228" w:rsidRPr="00C12C27">
        <w:rPr>
          <w:rFonts w:asciiTheme="majorHAnsi" w:hAnsiTheme="majorHAnsi"/>
          <w:sz w:val="20"/>
          <w:szCs w:val="20"/>
          <w:lang w:val="es-ES"/>
        </w:rPr>
        <w:t xml:space="preserve"> municipal</w:t>
      </w:r>
      <w:r w:rsidR="006A5380" w:rsidRPr="00C12C27">
        <w:rPr>
          <w:rFonts w:asciiTheme="majorHAnsi" w:hAnsiTheme="majorHAnsi"/>
          <w:sz w:val="20"/>
          <w:szCs w:val="20"/>
          <w:lang w:val="es-ES"/>
        </w:rPr>
        <w:t xml:space="preserve">, el </w:t>
      </w:r>
      <w:r w:rsidR="00B61D30" w:rsidRPr="00C12C27">
        <w:rPr>
          <w:rFonts w:asciiTheme="majorHAnsi" w:hAnsiTheme="majorHAnsi"/>
          <w:sz w:val="20"/>
          <w:szCs w:val="20"/>
          <w:lang w:val="es-ES"/>
        </w:rPr>
        <w:t xml:space="preserve">5 de junio de 2001 el </w:t>
      </w:r>
      <w:r w:rsidR="006A5380" w:rsidRPr="00C12C27">
        <w:rPr>
          <w:rFonts w:asciiTheme="majorHAnsi" w:hAnsiTheme="majorHAnsi"/>
          <w:sz w:val="20"/>
          <w:szCs w:val="20"/>
          <w:lang w:val="es-ES"/>
        </w:rPr>
        <w:t xml:space="preserve">peticionario interpuso </w:t>
      </w:r>
      <w:r w:rsidR="00572228" w:rsidRPr="00C12C27">
        <w:rPr>
          <w:rFonts w:asciiTheme="majorHAnsi" w:hAnsiTheme="majorHAnsi"/>
          <w:sz w:val="20"/>
          <w:szCs w:val="20"/>
          <w:lang w:val="es-ES"/>
        </w:rPr>
        <w:t xml:space="preserve">un </w:t>
      </w:r>
      <w:r w:rsidR="006A5380" w:rsidRPr="00C12C27">
        <w:rPr>
          <w:rFonts w:asciiTheme="majorHAnsi" w:hAnsiTheme="majorHAnsi"/>
          <w:sz w:val="20"/>
          <w:szCs w:val="20"/>
          <w:lang w:val="es-ES"/>
        </w:rPr>
        <w:t>recurso de impugnación,</w:t>
      </w:r>
      <w:r w:rsidR="00B61D30" w:rsidRPr="00C12C27">
        <w:rPr>
          <w:rFonts w:asciiTheme="majorHAnsi" w:hAnsiTheme="majorHAnsi"/>
          <w:sz w:val="20"/>
          <w:szCs w:val="20"/>
          <w:lang w:val="es-ES"/>
        </w:rPr>
        <w:t xml:space="preserve"> que</w:t>
      </w:r>
      <w:r w:rsidR="006A5380" w:rsidRPr="00C12C27">
        <w:rPr>
          <w:rFonts w:asciiTheme="majorHAnsi" w:hAnsiTheme="majorHAnsi"/>
          <w:sz w:val="20"/>
          <w:szCs w:val="20"/>
          <w:lang w:val="es-ES"/>
        </w:rPr>
        <w:t xml:space="preserve"> el 19 de septiembre de 2001 </w:t>
      </w:r>
      <w:r w:rsidR="00572228" w:rsidRPr="00C12C27">
        <w:rPr>
          <w:rFonts w:asciiTheme="majorHAnsi" w:hAnsiTheme="majorHAnsi"/>
          <w:sz w:val="20"/>
          <w:szCs w:val="20"/>
          <w:lang w:val="es-ES"/>
        </w:rPr>
        <w:t xml:space="preserve">la CNDH </w:t>
      </w:r>
      <w:r w:rsidR="006D365A" w:rsidRPr="00C12C27">
        <w:rPr>
          <w:rFonts w:asciiTheme="majorHAnsi" w:hAnsiTheme="majorHAnsi"/>
          <w:sz w:val="20"/>
          <w:szCs w:val="20"/>
          <w:lang w:val="es-ES"/>
        </w:rPr>
        <w:t>rechazó</w:t>
      </w:r>
      <w:r w:rsidR="00572228" w:rsidRPr="00C12C27">
        <w:rPr>
          <w:rFonts w:asciiTheme="majorHAnsi" w:hAnsiTheme="majorHAnsi"/>
          <w:sz w:val="20"/>
          <w:szCs w:val="20"/>
          <w:lang w:val="es-ES"/>
        </w:rPr>
        <w:t xml:space="preserve">, </w:t>
      </w:r>
      <w:r w:rsidR="006A5380" w:rsidRPr="00C12C27">
        <w:rPr>
          <w:rFonts w:asciiTheme="majorHAnsi" w:hAnsiTheme="majorHAnsi"/>
          <w:sz w:val="20"/>
          <w:szCs w:val="20"/>
          <w:lang w:val="es-ES"/>
        </w:rPr>
        <w:t>al considerar que el asunto ya estaba bajo conocimiento del Juzgado Segundo de Distrito en el Estado de Sonora</w:t>
      </w:r>
      <w:r w:rsidR="00B61D30" w:rsidRPr="00C12C27">
        <w:rPr>
          <w:rFonts w:asciiTheme="majorHAnsi" w:hAnsiTheme="majorHAnsi"/>
          <w:sz w:val="20"/>
          <w:szCs w:val="20"/>
          <w:lang w:val="es-ES"/>
        </w:rPr>
        <w:t xml:space="preserve"> (</w:t>
      </w:r>
      <w:r w:rsidR="00831CCA" w:rsidRPr="00C12C27">
        <w:rPr>
          <w:rFonts w:asciiTheme="majorHAnsi" w:hAnsiTheme="majorHAnsi"/>
          <w:sz w:val="20"/>
          <w:szCs w:val="20"/>
          <w:lang w:val="es-ES"/>
        </w:rPr>
        <w:t xml:space="preserve">dentro del </w:t>
      </w:r>
      <w:r w:rsidR="00B61D30" w:rsidRPr="00C12C27">
        <w:rPr>
          <w:rFonts w:asciiTheme="majorHAnsi" w:hAnsiTheme="majorHAnsi"/>
          <w:sz w:val="20"/>
          <w:szCs w:val="20"/>
          <w:lang w:val="es-ES"/>
        </w:rPr>
        <w:t>amparo indirecto)</w:t>
      </w:r>
      <w:r w:rsidR="006A5380" w:rsidRPr="00C12C27">
        <w:rPr>
          <w:rFonts w:asciiTheme="majorHAnsi" w:hAnsiTheme="majorHAnsi"/>
          <w:sz w:val="20"/>
          <w:szCs w:val="20"/>
          <w:lang w:val="es-ES"/>
        </w:rPr>
        <w:t>.</w:t>
      </w:r>
    </w:p>
    <w:p w14:paraId="29BE43C0" w14:textId="6B68F5FB" w:rsidR="00A278FF" w:rsidRPr="00C12C27" w:rsidRDefault="00B61D30"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En forma paralela, el</w:t>
      </w:r>
      <w:r w:rsidR="00A278FF" w:rsidRPr="00C12C27">
        <w:rPr>
          <w:rFonts w:asciiTheme="majorHAnsi" w:hAnsiTheme="majorHAnsi"/>
          <w:sz w:val="20"/>
          <w:szCs w:val="20"/>
          <w:lang w:val="es-ES"/>
        </w:rPr>
        <w:t xml:space="preserve"> expediente refleja que</w:t>
      </w:r>
      <w:r w:rsidR="006A5380" w:rsidRPr="00C12C27">
        <w:rPr>
          <w:rFonts w:asciiTheme="majorHAnsi" w:hAnsiTheme="majorHAnsi"/>
          <w:sz w:val="20"/>
          <w:szCs w:val="20"/>
          <w:lang w:val="es-ES"/>
        </w:rPr>
        <w:t xml:space="preserve"> </w:t>
      </w:r>
      <w:r w:rsidR="00A278FF" w:rsidRPr="00C12C27">
        <w:rPr>
          <w:rFonts w:asciiTheme="majorHAnsi" w:hAnsiTheme="majorHAnsi"/>
          <w:sz w:val="20"/>
          <w:szCs w:val="20"/>
          <w:lang w:val="es-ES"/>
        </w:rPr>
        <w:t xml:space="preserve">el 2 de marzo de 1998 el Tribunal de lo Contencioso Administrativo del Estado de Sonora confirmó la validez de la autorización </w:t>
      </w:r>
      <w:r w:rsidR="006A5380" w:rsidRPr="00C12C27">
        <w:rPr>
          <w:rFonts w:asciiTheme="majorHAnsi" w:hAnsiTheme="majorHAnsi"/>
          <w:sz w:val="20"/>
          <w:szCs w:val="20"/>
          <w:lang w:val="es-ES"/>
        </w:rPr>
        <w:t>del ayuntamiento</w:t>
      </w:r>
      <w:r w:rsidR="00A278FF" w:rsidRPr="00C12C27">
        <w:rPr>
          <w:rFonts w:asciiTheme="majorHAnsi" w:hAnsiTheme="majorHAnsi"/>
          <w:sz w:val="20"/>
          <w:szCs w:val="20"/>
          <w:lang w:val="es-ES"/>
        </w:rPr>
        <w:t xml:space="preserve">, al </w:t>
      </w:r>
      <w:r w:rsidR="006A5380" w:rsidRPr="00C12C27">
        <w:rPr>
          <w:rFonts w:asciiTheme="majorHAnsi" w:hAnsiTheme="majorHAnsi"/>
          <w:sz w:val="20"/>
          <w:szCs w:val="20"/>
          <w:lang w:val="es-ES"/>
        </w:rPr>
        <w:t>estimar</w:t>
      </w:r>
      <w:r w:rsidR="00A278FF" w:rsidRPr="00C12C27">
        <w:rPr>
          <w:rFonts w:asciiTheme="majorHAnsi" w:hAnsiTheme="majorHAnsi"/>
          <w:sz w:val="20"/>
          <w:szCs w:val="20"/>
          <w:lang w:val="es-ES"/>
        </w:rPr>
        <w:t xml:space="preserve"> que el uso de suelo derivaba del Programa Municipal de Desarrollo Urbano y no de un acto ilegal del municipio. </w:t>
      </w:r>
      <w:r w:rsidR="006A5380" w:rsidRPr="00C12C27">
        <w:rPr>
          <w:rFonts w:asciiTheme="majorHAnsi" w:hAnsiTheme="majorHAnsi"/>
          <w:sz w:val="20"/>
          <w:szCs w:val="20"/>
          <w:lang w:val="es-ES"/>
        </w:rPr>
        <w:t>Contra es</w:t>
      </w:r>
      <w:r w:rsidR="00D107DD" w:rsidRPr="00C12C27">
        <w:rPr>
          <w:rFonts w:asciiTheme="majorHAnsi" w:hAnsiTheme="majorHAnsi"/>
          <w:sz w:val="20"/>
          <w:szCs w:val="20"/>
          <w:lang w:val="es-ES"/>
        </w:rPr>
        <w:t>t</w:t>
      </w:r>
      <w:r w:rsidR="006A5380" w:rsidRPr="00C12C27">
        <w:rPr>
          <w:rFonts w:asciiTheme="majorHAnsi" w:hAnsiTheme="majorHAnsi"/>
          <w:sz w:val="20"/>
          <w:szCs w:val="20"/>
          <w:lang w:val="es-ES"/>
        </w:rPr>
        <w:t xml:space="preserve">a sentencia, el señor Gutiérrez Mendívil promovió amparo directo el 24 de marzo de 1998 por presuntas violaciones a legalidad y debido proceso, alegando que la Ley de Desarrollo Urbano de Sonora no preveía un procedimiento para </w:t>
      </w:r>
      <w:r w:rsidRPr="00C12C27">
        <w:rPr>
          <w:rFonts w:asciiTheme="majorHAnsi" w:hAnsiTheme="majorHAnsi"/>
          <w:sz w:val="20"/>
          <w:szCs w:val="20"/>
          <w:lang w:val="es-ES"/>
        </w:rPr>
        <w:t xml:space="preserve">impugnar </w:t>
      </w:r>
      <w:r w:rsidR="006A5380" w:rsidRPr="00C12C27">
        <w:rPr>
          <w:rFonts w:asciiTheme="majorHAnsi" w:hAnsiTheme="majorHAnsi"/>
          <w:sz w:val="20"/>
          <w:szCs w:val="20"/>
          <w:lang w:val="es-ES"/>
        </w:rPr>
        <w:t xml:space="preserve">actos municipales que afectaran </w:t>
      </w:r>
      <w:r w:rsidRPr="00C12C27">
        <w:rPr>
          <w:rFonts w:asciiTheme="majorHAnsi" w:hAnsiTheme="majorHAnsi"/>
          <w:sz w:val="20"/>
          <w:szCs w:val="20"/>
          <w:lang w:val="es-ES"/>
        </w:rPr>
        <w:t>la</w:t>
      </w:r>
      <w:r w:rsidR="006A5380" w:rsidRPr="00C12C27">
        <w:rPr>
          <w:rFonts w:asciiTheme="majorHAnsi" w:hAnsiTheme="majorHAnsi"/>
          <w:sz w:val="20"/>
          <w:szCs w:val="20"/>
          <w:lang w:val="es-ES"/>
        </w:rPr>
        <w:t xml:space="preserve"> salud y el medio ambiente. El 30 de septiembre de 1998 el Tercer Tribunal Colegiado del Quinto Circuito negó el amparo por ausencia de precisión sobre la contravención constitucional alegada. El 29 de octubre de 1998 interpuso </w:t>
      </w:r>
      <w:r w:rsidRPr="00C12C27">
        <w:rPr>
          <w:rFonts w:asciiTheme="majorHAnsi" w:hAnsiTheme="majorHAnsi"/>
          <w:sz w:val="20"/>
          <w:szCs w:val="20"/>
          <w:lang w:val="es-ES"/>
        </w:rPr>
        <w:t xml:space="preserve">un </w:t>
      </w:r>
      <w:r w:rsidR="006A5380" w:rsidRPr="00C12C27">
        <w:rPr>
          <w:rFonts w:asciiTheme="majorHAnsi" w:hAnsiTheme="majorHAnsi"/>
          <w:sz w:val="20"/>
          <w:szCs w:val="20"/>
          <w:lang w:val="es-ES"/>
        </w:rPr>
        <w:t>recurso de revisión, resuelto por la Suprema Corte de Justicia de la Nación el 18 de octubre de 2000</w:t>
      </w:r>
      <w:r w:rsidR="00D107DD" w:rsidRPr="00C12C27">
        <w:rPr>
          <w:rFonts w:asciiTheme="majorHAnsi" w:hAnsiTheme="majorHAnsi"/>
          <w:sz w:val="20"/>
          <w:szCs w:val="20"/>
          <w:lang w:val="es-ES"/>
        </w:rPr>
        <w:t xml:space="preserve">, </w:t>
      </w:r>
      <w:r w:rsidR="006A5380" w:rsidRPr="00C12C27">
        <w:rPr>
          <w:rFonts w:asciiTheme="majorHAnsi" w:hAnsiTheme="majorHAnsi"/>
          <w:sz w:val="20"/>
          <w:szCs w:val="20"/>
          <w:lang w:val="es-ES"/>
        </w:rPr>
        <w:t xml:space="preserve">que confirmó la negativa al </w:t>
      </w:r>
      <w:r w:rsidRPr="00C12C27">
        <w:rPr>
          <w:rFonts w:asciiTheme="majorHAnsi" w:hAnsiTheme="majorHAnsi"/>
          <w:sz w:val="20"/>
          <w:szCs w:val="20"/>
          <w:lang w:val="es-ES"/>
        </w:rPr>
        <w:t>considerar</w:t>
      </w:r>
      <w:r w:rsidR="006A5380" w:rsidRPr="00C12C27">
        <w:rPr>
          <w:rFonts w:asciiTheme="majorHAnsi" w:hAnsiTheme="majorHAnsi"/>
          <w:sz w:val="20"/>
          <w:szCs w:val="20"/>
          <w:lang w:val="es-ES"/>
        </w:rPr>
        <w:t xml:space="preserve"> que </w:t>
      </w:r>
      <w:r w:rsidR="00A33513" w:rsidRPr="00C12C27">
        <w:rPr>
          <w:rFonts w:asciiTheme="majorHAnsi" w:hAnsiTheme="majorHAnsi"/>
          <w:sz w:val="20"/>
          <w:szCs w:val="20"/>
          <w:lang w:val="es-ES"/>
        </w:rPr>
        <w:t xml:space="preserve">el peticionario </w:t>
      </w:r>
      <w:r w:rsidR="006A5380" w:rsidRPr="00C12C27">
        <w:rPr>
          <w:rFonts w:asciiTheme="majorHAnsi" w:hAnsiTheme="majorHAnsi"/>
          <w:sz w:val="20"/>
          <w:szCs w:val="20"/>
          <w:lang w:val="es-ES"/>
        </w:rPr>
        <w:t>carecía de legitimación para controvertir actos vinculados a derechos colectivos</w:t>
      </w:r>
      <w:r w:rsidR="008E3BDA" w:rsidRPr="00C12C27">
        <w:rPr>
          <w:rFonts w:asciiTheme="majorHAnsi" w:hAnsiTheme="majorHAnsi"/>
          <w:sz w:val="20"/>
          <w:szCs w:val="20"/>
          <w:lang w:val="es-ES"/>
        </w:rPr>
        <w:t>,</w:t>
      </w:r>
      <w:r w:rsidR="00A33513" w:rsidRPr="00C12C27">
        <w:rPr>
          <w:rFonts w:asciiTheme="majorHAnsi" w:hAnsiTheme="majorHAnsi"/>
          <w:sz w:val="20"/>
          <w:szCs w:val="20"/>
          <w:lang w:val="es-ES"/>
        </w:rPr>
        <w:t xml:space="preserve"> </w:t>
      </w:r>
      <w:r w:rsidR="006A5380" w:rsidRPr="00C12C27">
        <w:rPr>
          <w:rFonts w:asciiTheme="majorHAnsi" w:hAnsiTheme="majorHAnsi"/>
          <w:sz w:val="20"/>
          <w:szCs w:val="20"/>
          <w:lang w:val="es-ES"/>
        </w:rPr>
        <w:t>y que</w:t>
      </w:r>
      <w:r w:rsidR="00201796" w:rsidRPr="00C12C27">
        <w:rPr>
          <w:rFonts w:asciiTheme="majorHAnsi" w:hAnsiTheme="majorHAnsi"/>
          <w:sz w:val="20"/>
          <w:szCs w:val="20"/>
          <w:lang w:val="es-ES"/>
        </w:rPr>
        <w:t xml:space="preserve"> no fundamentó claramente en qué medida las normas impugnadas vulneraban los derechos constitucionales que alegaba.</w:t>
      </w:r>
    </w:p>
    <w:p w14:paraId="162FDD34" w14:textId="7FF422B4" w:rsidR="004A0BAB" w:rsidRPr="00C12C27" w:rsidRDefault="006A5380"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Finalmente, el 30 de mayo de 2001 el</w:t>
      </w:r>
      <w:r w:rsidR="00B61D30" w:rsidRPr="00C12C27">
        <w:rPr>
          <w:rFonts w:asciiTheme="majorHAnsi" w:hAnsiTheme="majorHAnsi"/>
          <w:sz w:val="20"/>
          <w:szCs w:val="20"/>
          <w:lang w:val="es-ES"/>
        </w:rPr>
        <w:t xml:space="preserve"> señor Gutiérrez Mendívil </w:t>
      </w:r>
      <w:r w:rsidRPr="00C12C27">
        <w:rPr>
          <w:rFonts w:asciiTheme="majorHAnsi" w:hAnsiTheme="majorHAnsi"/>
          <w:sz w:val="20"/>
          <w:szCs w:val="20"/>
          <w:lang w:val="es-ES"/>
        </w:rPr>
        <w:t>promovió</w:t>
      </w:r>
      <w:r w:rsidR="00A045F2" w:rsidRPr="00C12C27">
        <w:rPr>
          <w:rFonts w:asciiTheme="majorHAnsi" w:hAnsiTheme="majorHAnsi"/>
          <w:sz w:val="20"/>
          <w:szCs w:val="20"/>
          <w:lang w:val="es-ES"/>
        </w:rPr>
        <w:t xml:space="preserve"> un</w:t>
      </w:r>
      <w:r w:rsidRPr="00C12C27">
        <w:rPr>
          <w:rFonts w:asciiTheme="majorHAnsi" w:hAnsiTheme="majorHAnsi"/>
          <w:sz w:val="20"/>
          <w:szCs w:val="20"/>
          <w:lang w:val="es-ES"/>
        </w:rPr>
        <w:t xml:space="preserve"> amparo indirecto ante el Juzgado Segundo de Distrito en Sonora contra diversas autoridades municipales y federales en materia ambiental y urbana, cuestionando la legalidad de la autorización municipal y denunciando actos y omisiones </w:t>
      </w:r>
      <w:r w:rsidRPr="00C12C27">
        <w:rPr>
          <w:rFonts w:asciiTheme="majorHAnsi" w:hAnsiTheme="majorHAnsi"/>
          <w:sz w:val="20"/>
          <w:szCs w:val="20"/>
          <w:lang w:val="es-ES"/>
        </w:rPr>
        <w:lastRenderedPageBreak/>
        <w:t>que habrían permitido la operación irregular del confinamiento. E</w:t>
      </w:r>
      <w:r w:rsidR="001031ED" w:rsidRPr="00C12C27">
        <w:rPr>
          <w:rFonts w:asciiTheme="majorHAnsi" w:hAnsiTheme="majorHAnsi"/>
          <w:sz w:val="20"/>
          <w:szCs w:val="20"/>
          <w:lang w:val="es-ES"/>
        </w:rPr>
        <w:t>l 30 de enero de 2014 el juzgado decretó el sobreseimiento, al considerar</w:t>
      </w:r>
      <w:r w:rsidR="002F58F0" w:rsidRPr="00C12C27">
        <w:rPr>
          <w:rFonts w:asciiTheme="majorHAnsi" w:hAnsiTheme="majorHAnsi"/>
          <w:sz w:val="20"/>
          <w:szCs w:val="20"/>
          <w:lang w:val="es-ES"/>
        </w:rPr>
        <w:t>,</w:t>
      </w:r>
      <w:r w:rsidR="001031ED" w:rsidRPr="00C12C27">
        <w:rPr>
          <w:rFonts w:asciiTheme="majorHAnsi" w:hAnsiTheme="majorHAnsi"/>
          <w:sz w:val="20"/>
          <w:szCs w:val="20"/>
          <w:lang w:val="es-ES"/>
        </w:rPr>
        <w:t xml:space="preserve"> </w:t>
      </w:r>
      <w:r w:rsidR="002F58F0" w:rsidRPr="00C12C27">
        <w:rPr>
          <w:rFonts w:asciiTheme="majorHAnsi" w:hAnsiTheme="majorHAnsi"/>
          <w:sz w:val="20"/>
          <w:szCs w:val="20"/>
          <w:lang w:val="es-ES"/>
        </w:rPr>
        <w:t xml:space="preserve">entre otras razones, que la demanda fue presentada extemporáneamente, pues el peticionario había tenido conocimiento del acto impugnado desde la queja interpuesta ante la CEDH y carecía de un interés jurídico personal y directo, dado que los efectos del confinamiento de residuos correspondían a un interés colectivo </w:t>
      </w:r>
      <w:r w:rsidR="00514FEC" w:rsidRPr="00C12C27">
        <w:rPr>
          <w:rFonts w:asciiTheme="majorHAnsi" w:hAnsiTheme="majorHAnsi"/>
          <w:sz w:val="20"/>
          <w:szCs w:val="20"/>
          <w:lang w:val="es-ES"/>
        </w:rPr>
        <w:t xml:space="preserve">y </w:t>
      </w:r>
      <w:r w:rsidR="002F58F0" w:rsidRPr="00C12C27">
        <w:rPr>
          <w:rFonts w:asciiTheme="majorHAnsi" w:hAnsiTheme="majorHAnsi"/>
          <w:sz w:val="20"/>
          <w:szCs w:val="20"/>
          <w:lang w:val="es-ES"/>
        </w:rPr>
        <w:t xml:space="preserve">no podía hacerse valer individualmente a través del juicio de amparo. </w:t>
      </w:r>
      <w:r w:rsidR="001031ED" w:rsidRPr="00C12C27">
        <w:rPr>
          <w:rFonts w:asciiTheme="majorHAnsi" w:hAnsiTheme="majorHAnsi"/>
          <w:sz w:val="20"/>
          <w:szCs w:val="20"/>
          <w:lang w:val="es-ES"/>
        </w:rPr>
        <w:t xml:space="preserve">Dicha decisión fue confirmada </w:t>
      </w:r>
      <w:r w:rsidR="003429EC" w:rsidRPr="00C12C27">
        <w:rPr>
          <w:rFonts w:asciiTheme="majorHAnsi" w:hAnsiTheme="majorHAnsi"/>
          <w:sz w:val="20"/>
          <w:szCs w:val="20"/>
          <w:lang w:val="es-ES"/>
        </w:rPr>
        <w:t>en</w:t>
      </w:r>
      <w:r w:rsidR="007B4658" w:rsidRPr="00C12C27">
        <w:rPr>
          <w:rFonts w:asciiTheme="majorHAnsi" w:hAnsiTheme="majorHAnsi"/>
          <w:sz w:val="20"/>
          <w:szCs w:val="20"/>
          <w:lang w:val="es-ES"/>
        </w:rPr>
        <w:t xml:space="preserve"> el recurso de </w:t>
      </w:r>
      <w:r w:rsidR="001031ED" w:rsidRPr="00C12C27">
        <w:rPr>
          <w:rFonts w:asciiTheme="majorHAnsi" w:hAnsiTheme="majorHAnsi"/>
          <w:sz w:val="20"/>
          <w:szCs w:val="20"/>
          <w:lang w:val="es-ES"/>
        </w:rPr>
        <w:t>revisión por el Tercer Tribunal Colegiado en Materias Penal y Administrativa del Quinto Circuito</w:t>
      </w:r>
      <w:r w:rsidR="00B61D30" w:rsidRPr="00C12C27">
        <w:rPr>
          <w:rFonts w:asciiTheme="majorHAnsi" w:hAnsiTheme="majorHAnsi"/>
          <w:sz w:val="20"/>
          <w:szCs w:val="20"/>
          <w:lang w:val="es-ES"/>
        </w:rPr>
        <w:t xml:space="preserve"> el </w:t>
      </w:r>
      <w:r w:rsidR="001031ED" w:rsidRPr="00C12C27">
        <w:rPr>
          <w:rFonts w:asciiTheme="majorHAnsi" w:hAnsiTheme="majorHAnsi"/>
          <w:sz w:val="20"/>
          <w:szCs w:val="20"/>
          <w:lang w:val="es-ES"/>
        </w:rPr>
        <w:t>10 de febrero de 2015.</w:t>
      </w:r>
    </w:p>
    <w:p w14:paraId="31BEE41B" w14:textId="6D79080C" w:rsidR="004552DC" w:rsidRPr="00C12C27" w:rsidRDefault="003C322B"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E</w:t>
      </w:r>
      <w:r w:rsidR="004552DC" w:rsidRPr="00C12C27">
        <w:rPr>
          <w:rFonts w:asciiTheme="majorHAnsi" w:hAnsiTheme="majorHAnsi"/>
          <w:sz w:val="20"/>
          <w:szCs w:val="20"/>
          <w:lang w:val="es-ES"/>
        </w:rPr>
        <w:t xml:space="preserve">l peticionario sostiene que el Estado vulneró sus derechos, ya que aun después de promover los recursos administrativos y judiciales disponibles, las autoridades no emitieron un pronunciamiento de fondo sobre los riesgos ambientales denunciados. </w:t>
      </w:r>
      <w:r w:rsidR="00D27B63" w:rsidRPr="00C12C27">
        <w:rPr>
          <w:rFonts w:asciiTheme="majorHAnsi" w:hAnsiTheme="majorHAnsi"/>
          <w:sz w:val="20"/>
          <w:szCs w:val="20"/>
          <w:lang w:val="es-ES"/>
        </w:rPr>
        <w:t>Arguye</w:t>
      </w:r>
      <w:r w:rsidR="004552DC" w:rsidRPr="00C12C27">
        <w:rPr>
          <w:rFonts w:asciiTheme="majorHAnsi" w:hAnsiTheme="majorHAnsi"/>
          <w:sz w:val="20"/>
          <w:szCs w:val="20"/>
          <w:lang w:val="es-ES"/>
        </w:rPr>
        <w:t xml:space="preserve"> que esta falta de respuesta efectiva </w:t>
      </w:r>
      <w:r w:rsidR="006D365A" w:rsidRPr="00C12C27">
        <w:rPr>
          <w:rFonts w:asciiTheme="majorHAnsi" w:hAnsiTheme="majorHAnsi"/>
          <w:sz w:val="20"/>
          <w:szCs w:val="20"/>
          <w:lang w:val="es-ES"/>
        </w:rPr>
        <w:t xml:space="preserve">ha permitido </w:t>
      </w:r>
      <w:r w:rsidR="004552DC" w:rsidRPr="00C12C27">
        <w:rPr>
          <w:rFonts w:asciiTheme="majorHAnsi" w:hAnsiTheme="majorHAnsi"/>
          <w:sz w:val="20"/>
          <w:szCs w:val="20"/>
          <w:lang w:val="es-ES"/>
        </w:rPr>
        <w:t>la continuidad de los riesgos derivados del confinamiento de residuos peligrosos, afectando el derecho de los habitantes de Hermosillo a un medio ambiente sano.</w:t>
      </w:r>
      <w:r w:rsidR="00483162" w:rsidRPr="00C12C27">
        <w:rPr>
          <w:rFonts w:asciiTheme="majorHAnsi" w:hAnsiTheme="majorHAnsi"/>
          <w:sz w:val="20"/>
          <w:szCs w:val="20"/>
          <w:lang w:val="es-ES"/>
        </w:rPr>
        <w:t xml:space="preserve"> </w:t>
      </w:r>
      <w:r w:rsidR="00D04CA7" w:rsidRPr="00C12C27">
        <w:rPr>
          <w:rFonts w:asciiTheme="majorHAnsi" w:hAnsiTheme="majorHAnsi"/>
          <w:sz w:val="20"/>
          <w:szCs w:val="20"/>
          <w:lang w:val="es-ES"/>
        </w:rPr>
        <w:t>E</w:t>
      </w:r>
      <w:r w:rsidR="008E5FB0" w:rsidRPr="00C12C27">
        <w:rPr>
          <w:rFonts w:asciiTheme="majorHAnsi" w:hAnsiTheme="majorHAnsi"/>
          <w:sz w:val="20"/>
          <w:szCs w:val="20"/>
          <w:lang w:val="es-ES"/>
        </w:rPr>
        <w:t>n este punto, la CIDH aclara que l</w:t>
      </w:r>
      <w:r w:rsidR="00483162" w:rsidRPr="00C12C27">
        <w:rPr>
          <w:rFonts w:asciiTheme="majorHAnsi" w:hAnsiTheme="majorHAnsi"/>
          <w:sz w:val="20"/>
          <w:szCs w:val="20"/>
          <w:lang w:val="es-ES"/>
        </w:rPr>
        <w:t>a petición expone de manera escueta los recursos interpuestos</w:t>
      </w:r>
      <w:r w:rsidR="008E5FB0" w:rsidRPr="00C12C27">
        <w:rPr>
          <w:rFonts w:asciiTheme="majorHAnsi" w:hAnsiTheme="majorHAnsi"/>
          <w:sz w:val="20"/>
          <w:szCs w:val="20"/>
          <w:lang w:val="es-ES"/>
        </w:rPr>
        <w:t>;</w:t>
      </w:r>
      <w:r w:rsidR="00483162" w:rsidRPr="00C12C27">
        <w:rPr>
          <w:rFonts w:asciiTheme="majorHAnsi" w:hAnsiTheme="majorHAnsi"/>
          <w:sz w:val="20"/>
          <w:szCs w:val="20"/>
          <w:lang w:val="es-ES"/>
        </w:rPr>
        <w:t xml:space="preserve"> </w:t>
      </w:r>
      <w:r w:rsidR="006E7685" w:rsidRPr="00C12C27">
        <w:rPr>
          <w:rFonts w:asciiTheme="majorHAnsi" w:hAnsiTheme="majorHAnsi"/>
          <w:sz w:val="20"/>
          <w:szCs w:val="20"/>
          <w:lang w:val="es-ES"/>
        </w:rPr>
        <w:t xml:space="preserve">sin </w:t>
      </w:r>
      <w:r w:rsidR="00DF602F" w:rsidRPr="00C12C27">
        <w:rPr>
          <w:rFonts w:asciiTheme="majorHAnsi" w:hAnsiTheme="majorHAnsi"/>
          <w:sz w:val="20"/>
          <w:szCs w:val="20"/>
          <w:lang w:val="es-ES"/>
        </w:rPr>
        <w:t>embargo,</w:t>
      </w:r>
      <w:r w:rsidR="006E7685" w:rsidRPr="00C12C27">
        <w:rPr>
          <w:rFonts w:asciiTheme="majorHAnsi" w:hAnsiTheme="majorHAnsi"/>
          <w:sz w:val="20"/>
          <w:szCs w:val="20"/>
          <w:lang w:val="es-ES"/>
        </w:rPr>
        <w:t xml:space="preserve"> el Estado complementa en gran medida esta falta de información inicial</w:t>
      </w:r>
      <w:r w:rsidR="00483162" w:rsidRPr="00C12C27">
        <w:rPr>
          <w:rFonts w:asciiTheme="majorHAnsi" w:hAnsiTheme="majorHAnsi"/>
          <w:sz w:val="20"/>
          <w:szCs w:val="20"/>
          <w:lang w:val="es-ES"/>
        </w:rPr>
        <w:t>.</w:t>
      </w:r>
    </w:p>
    <w:p w14:paraId="3CF52BFA" w14:textId="3CCFE91F" w:rsidR="00AD49CC" w:rsidRPr="00C12C27" w:rsidRDefault="00AD49CC" w:rsidP="001A7906">
      <w:pPr>
        <w:spacing w:before="240" w:after="240"/>
        <w:ind w:firstLine="720"/>
        <w:jc w:val="both"/>
        <w:rPr>
          <w:rFonts w:asciiTheme="majorHAnsi" w:hAnsiTheme="majorHAnsi"/>
          <w:b/>
          <w:sz w:val="20"/>
          <w:szCs w:val="20"/>
          <w:lang w:val="es-ES"/>
        </w:rPr>
      </w:pPr>
      <w:r w:rsidRPr="00C12C27">
        <w:rPr>
          <w:rFonts w:asciiTheme="majorHAnsi" w:hAnsiTheme="majorHAnsi"/>
          <w:b/>
          <w:sz w:val="20"/>
          <w:szCs w:val="20"/>
          <w:lang w:val="es-ES"/>
        </w:rPr>
        <w:t>El Estado mexicano</w:t>
      </w:r>
    </w:p>
    <w:p w14:paraId="58CA15C3" w14:textId="41FE8F4C" w:rsidR="00320B3A" w:rsidRPr="00C12C27" w:rsidRDefault="00320B3A"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 xml:space="preserve">Por su parte, el Estado </w:t>
      </w:r>
      <w:r w:rsidR="008E5FB0" w:rsidRPr="00C12C27">
        <w:rPr>
          <w:rFonts w:asciiTheme="majorHAnsi" w:hAnsiTheme="majorHAnsi"/>
          <w:sz w:val="20"/>
          <w:szCs w:val="20"/>
          <w:lang w:val="es-ES"/>
        </w:rPr>
        <w:t>respon</w:t>
      </w:r>
      <w:r w:rsidR="007D5DCE" w:rsidRPr="00C12C27">
        <w:rPr>
          <w:rFonts w:asciiTheme="majorHAnsi" w:hAnsiTheme="majorHAnsi"/>
          <w:sz w:val="20"/>
          <w:szCs w:val="20"/>
          <w:lang w:val="es-ES"/>
        </w:rPr>
        <w:t>de</w:t>
      </w:r>
      <w:r w:rsidR="008E5FB0" w:rsidRPr="00C12C27">
        <w:rPr>
          <w:rFonts w:asciiTheme="majorHAnsi" w:hAnsiTheme="majorHAnsi"/>
          <w:sz w:val="20"/>
          <w:szCs w:val="20"/>
          <w:lang w:val="es-ES"/>
        </w:rPr>
        <w:t xml:space="preserve"> </w:t>
      </w:r>
      <w:r w:rsidRPr="00C12C27">
        <w:rPr>
          <w:rFonts w:asciiTheme="majorHAnsi" w:hAnsiTheme="majorHAnsi"/>
          <w:sz w:val="20"/>
          <w:szCs w:val="20"/>
          <w:lang w:val="es-ES"/>
        </w:rPr>
        <w:t>que el señor Domingo Gutiérrez Mendívil no agotó los recursos internos respecto de sus alegatos relativos a los artículos 8 y 25 de la Convención. Sostiene que si bien</w:t>
      </w:r>
      <w:r w:rsidR="00514FEC" w:rsidRPr="00C12C27">
        <w:rPr>
          <w:rFonts w:asciiTheme="majorHAnsi" w:hAnsiTheme="majorHAnsi"/>
          <w:sz w:val="20"/>
          <w:szCs w:val="20"/>
          <w:lang w:val="es-ES"/>
        </w:rPr>
        <w:t xml:space="preserve"> el peticionario</w:t>
      </w:r>
      <w:r w:rsidRPr="00C12C27">
        <w:rPr>
          <w:rFonts w:asciiTheme="majorHAnsi" w:hAnsiTheme="majorHAnsi"/>
          <w:sz w:val="20"/>
          <w:szCs w:val="20"/>
          <w:lang w:val="es-ES"/>
        </w:rPr>
        <w:t xml:space="preserve"> interpuso </w:t>
      </w:r>
      <w:r w:rsidR="00514FEC" w:rsidRPr="00C12C27">
        <w:rPr>
          <w:rFonts w:asciiTheme="majorHAnsi" w:hAnsiTheme="majorHAnsi"/>
          <w:sz w:val="20"/>
          <w:szCs w:val="20"/>
          <w:lang w:val="es-ES"/>
        </w:rPr>
        <w:t xml:space="preserve">un </w:t>
      </w:r>
      <w:r w:rsidRPr="00C12C27">
        <w:rPr>
          <w:rFonts w:asciiTheme="majorHAnsi" w:hAnsiTheme="majorHAnsi"/>
          <w:sz w:val="20"/>
          <w:szCs w:val="20"/>
          <w:lang w:val="es-ES"/>
        </w:rPr>
        <w:t xml:space="preserve">recurso de revisión contra el sobreseimiento del amparo indirecto, </w:t>
      </w:r>
      <w:r w:rsidR="005E64CE" w:rsidRPr="00C12C27">
        <w:rPr>
          <w:rFonts w:asciiTheme="majorHAnsi" w:hAnsiTheme="majorHAnsi"/>
          <w:sz w:val="20"/>
          <w:szCs w:val="20"/>
          <w:lang w:val="es-ES"/>
        </w:rPr>
        <w:t xml:space="preserve">no formuló </w:t>
      </w:r>
      <w:r w:rsidR="00514FEC" w:rsidRPr="00C12C27">
        <w:rPr>
          <w:rFonts w:asciiTheme="majorHAnsi" w:hAnsiTheme="majorHAnsi"/>
          <w:sz w:val="20"/>
          <w:szCs w:val="20"/>
          <w:lang w:val="es-ES"/>
        </w:rPr>
        <w:t>argumentos</w:t>
      </w:r>
      <w:r w:rsidR="005E64CE" w:rsidRPr="00C12C27">
        <w:rPr>
          <w:rFonts w:asciiTheme="majorHAnsi" w:hAnsiTheme="majorHAnsi"/>
          <w:sz w:val="20"/>
          <w:szCs w:val="20"/>
          <w:lang w:val="es-ES"/>
        </w:rPr>
        <w:t xml:space="preserve"> específicos </w:t>
      </w:r>
      <w:r w:rsidR="00372E2C" w:rsidRPr="00C12C27">
        <w:rPr>
          <w:rFonts w:asciiTheme="majorHAnsi" w:hAnsiTheme="majorHAnsi"/>
          <w:sz w:val="20"/>
          <w:szCs w:val="20"/>
          <w:lang w:val="es-ES"/>
        </w:rPr>
        <w:t xml:space="preserve">sobre la prolongación del proceso </w:t>
      </w:r>
      <w:r w:rsidR="00514FEC" w:rsidRPr="00C12C27">
        <w:rPr>
          <w:rFonts w:asciiTheme="majorHAnsi" w:hAnsiTheme="majorHAnsi"/>
          <w:sz w:val="20"/>
          <w:szCs w:val="20"/>
          <w:lang w:val="es-ES"/>
        </w:rPr>
        <w:t>ni promovió un proceso autónomo</w:t>
      </w:r>
      <w:r w:rsidRPr="00C12C27">
        <w:rPr>
          <w:rFonts w:asciiTheme="majorHAnsi" w:hAnsiTheme="majorHAnsi"/>
          <w:sz w:val="20"/>
          <w:szCs w:val="20"/>
          <w:lang w:val="es-ES"/>
        </w:rPr>
        <w:t xml:space="preserve">, lo que impidió </w:t>
      </w:r>
      <w:r w:rsidR="00514FEC" w:rsidRPr="00C12C27">
        <w:rPr>
          <w:rFonts w:asciiTheme="majorHAnsi" w:hAnsiTheme="majorHAnsi"/>
          <w:sz w:val="20"/>
          <w:szCs w:val="20"/>
          <w:lang w:val="es-ES"/>
        </w:rPr>
        <w:t>un pronunciamiento judicial interno</w:t>
      </w:r>
      <w:r w:rsidR="008E2ABA" w:rsidRPr="00C12C27">
        <w:rPr>
          <w:rStyle w:val="FootnoteReference"/>
          <w:rFonts w:asciiTheme="majorHAnsi" w:hAnsiTheme="majorHAnsi"/>
          <w:sz w:val="20"/>
          <w:szCs w:val="20"/>
          <w:lang w:val="es-ES"/>
        </w:rPr>
        <w:footnoteReference w:id="7"/>
      </w:r>
      <w:r w:rsidR="008E2ABA" w:rsidRPr="00C12C27">
        <w:rPr>
          <w:rFonts w:asciiTheme="majorHAnsi" w:hAnsiTheme="majorHAnsi"/>
          <w:sz w:val="20"/>
          <w:szCs w:val="20"/>
          <w:lang w:val="es-ES"/>
        </w:rPr>
        <w:t xml:space="preserve">. </w:t>
      </w:r>
      <w:r w:rsidR="00A10B70" w:rsidRPr="00C12C27">
        <w:rPr>
          <w:rFonts w:asciiTheme="majorHAnsi" w:hAnsiTheme="majorHAnsi"/>
          <w:sz w:val="20"/>
          <w:szCs w:val="20"/>
          <w:lang w:val="es-ES"/>
        </w:rPr>
        <w:t>Por lo que considera</w:t>
      </w:r>
      <w:r w:rsidRPr="00C12C27">
        <w:rPr>
          <w:rFonts w:asciiTheme="majorHAnsi" w:hAnsiTheme="majorHAnsi"/>
          <w:sz w:val="20"/>
          <w:szCs w:val="20"/>
          <w:lang w:val="es-ES"/>
        </w:rPr>
        <w:t xml:space="preserve"> que la petición no satisface el artículo 46.1.a) de la Convención Americana.</w:t>
      </w:r>
      <w:r w:rsidR="00CD2154" w:rsidRPr="00C12C27">
        <w:rPr>
          <w:rFonts w:asciiTheme="majorHAnsi" w:hAnsiTheme="majorHAnsi"/>
          <w:sz w:val="20"/>
          <w:szCs w:val="20"/>
          <w:lang w:val="es-ES"/>
        </w:rPr>
        <w:t xml:space="preserve"> Por otro lado, el Estado reconoce </w:t>
      </w:r>
      <w:r w:rsidR="00DF602F" w:rsidRPr="00C12C27">
        <w:rPr>
          <w:rFonts w:asciiTheme="majorHAnsi" w:hAnsiTheme="majorHAnsi"/>
          <w:sz w:val="20"/>
          <w:szCs w:val="20"/>
          <w:lang w:val="es-ES"/>
        </w:rPr>
        <w:t xml:space="preserve">expresamente </w:t>
      </w:r>
      <w:r w:rsidR="00CD2154" w:rsidRPr="00C12C27">
        <w:rPr>
          <w:rFonts w:asciiTheme="majorHAnsi" w:hAnsiTheme="majorHAnsi"/>
          <w:sz w:val="20"/>
          <w:szCs w:val="20"/>
          <w:lang w:val="es-ES"/>
        </w:rPr>
        <w:t xml:space="preserve">que </w:t>
      </w:r>
      <w:r w:rsidR="00A33513" w:rsidRPr="00C12C27">
        <w:rPr>
          <w:rFonts w:asciiTheme="majorHAnsi" w:hAnsiTheme="majorHAnsi"/>
          <w:sz w:val="20"/>
          <w:szCs w:val="20"/>
          <w:lang w:val="es-ES"/>
        </w:rPr>
        <w:t xml:space="preserve">el peticionario agotó </w:t>
      </w:r>
      <w:r w:rsidR="00CD2154" w:rsidRPr="00C12C27">
        <w:rPr>
          <w:rFonts w:asciiTheme="majorHAnsi" w:hAnsiTheme="majorHAnsi"/>
          <w:sz w:val="20"/>
          <w:szCs w:val="20"/>
          <w:lang w:val="es-ES"/>
        </w:rPr>
        <w:t xml:space="preserve">los recursos internos respecto del derecho a un medio ambiente sano, </w:t>
      </w:r>
      <w:r w:rsidR="00A33513" w:rsidRPr="00C12C27">
        <w:rPr>
          <w:rFonts w:asciiTheme="majorHAnsi" w:hAnsiTheme="majorHAnsi"/>
          <w:sz w:val="20"/>
          <w:szCs w:val="20"/>
          <w:lang w:val="es-ES"/>
        </w:rPr>
        <w:t>a través</w:t>
      </w:r>
      <w:r w:rsidR="00CD2154" w:rsidRPr="00C12C27">
        <w:rPr>
          <w:rFonts w:asciiTheme="majorHAnsi" w:hAnsiTheme="majorHAnsi"/>
          <w:sz w:val="20"/>
          <w:szCs w:val="20"/>
          <w:lang w:val="es-ES"/>
        </w:rPr>
        <w:t xml:space="preserve"> </w:t>
      </w:r>
      <w:r w:rsidR="00A33513" w:rsidRPr="00C12C27">
        <w:rPr>
          <w:rFonts w:asciiTheme="majorHAnsi" w:hAnsiTheme="majorHAnsi"/>
          <w:sz w:val="20"/>
          <w:szCs w:val="20"/>
          <w:lang w:val="es-ES"/>
        </w:rPr>
        <w:t>d</w:t>
      </w:r>
      <w:r w:rsidR="00CD2154" w:rsidRPr="00C12C27">
        <w:rPr>
          <w:rFonts w:asciiTheme="majorHAnsi" w:hAnsiTheme="majorHAnsi"/>
          <w:sz w:val="20"/>
          <w:szCs w:val="20"/>
          <w:lang w:val="es-ES"/>
        </w:rPr>
        <w:t>el amparo indirecto y las revisiones</w:t>
      </w:r>
      <w:r w:rsidR="003354F3" w:rsidRPr="00C12C27">
        <w:rPr>
          <w:rStyle w:val="FootnoteReference"/>
          <w:rFonts w:asciiTheme="majorHAnsi" w:hAnsiTheme="majorHAnsi"/>
          <w:sz w:val="20"/>
          <w:szCs w:val="20"/>
          <w:lang w:val="es-ES"/>
        </w:rPr>
        <w:footnoteReference w:id="8"/>
      </w:r>
      <w:r w:rsidR="00CD2154" w:rsidRPr="00C12C27">
        <w:rPr>
          <w:rFonts w:asciiTheme="majorHAnsi" w:hAnsiTheme="majorHAnsi"/>
          <w:sz w:val="20"/>
          <w:szCs w:val="20"/>
          <w:lang w:val="es-ES"/>
        </w:rPr>
        <w:t>.</w:t>
      </w:r>
    </w:p>
    <w:p w14:paraId="5BB1CC07" w14:textId="7565E7CA" w:rsidR="00320B3A" w:rsidRPr="00C12C27" w:rsidRDefault="00CD2154" w:rsidP="001A7906">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 xml:space="preserve">Sin perjuicio de lo anterior, </w:t>
      </w:r>
      <w:r w:rsidR="001B64D3" w:rsidRPr="00C12C27">
        <w:rPr>
          <w:rFonts w:asciiTheme="majorHAnsi" w:hAnsiTheme="majorHAnsi"/>
          <w:sz w:val="20"/>
          <w:szCs w:val="20"/>
          <w:lang w:val="es-ES"/>
        </w:rPr>
        <w:t>e</w:t>
      </w:r>
      <w:r w:rsidR="00320B3A" w:rsidRPr="00C12C27">
        <w:rPr>
          <w:rFonts w:asciiTheme="majorHAnsi" w:hAnsiTheme="majorHAnsi"/>
          <w:sz w:val="20"/>
          <w:szCs w:val="20"/>
          <w:lang w:val="es-ES"/>
        </w:rPr>
        <w:t xml:space="preserve">n cuanto a la </w:t>
      </w:r>
      <w:r w:rsidR="007D5DCE" w:rsidRPr="00C12C27">
        <w:rPr>
          <w:rFonts w:asciiTheme="majorHAnsi" w:hAnsiTheme="majorHAnsi"/>
          <w:sz w:val="20"/>
          <w:szCs w:val="20"/>
          <w:lang w:val="es-ES"/>
        </w:rPr>
        <w:t xml:space="preserve">supuesta </w:t>
      </w:r>
      <w:r w:rsidR="00320B3A" w:rsidRPr="00C12C27">
        <w:rPr>
          <w:rFonts w:asciiTheme="majorHAnsi" w:hAnsiTheme="majorHAnsi"/>
          <w:sz w:val="20"/>
          <w:szCs w:val="20"/>
          <w:lang w:val="es-ES"/>
        </w:rPr>
        <w:t xml:space="preserve">demora en la tramitación del amparo indirecto, el Estado </w:t>
      </w:r>
      <w:r w:rsidR="00980172" w:rsidRPr="00C12C27">
        <w:rPr>
          <w:rFonts w:asciiTheme="majorHAnsi" w:hAnsiTheme="majorHAnsi"/>
          <w:sz w:val="20"/>
          <w:szCs w:val="20"/>
          <w:lang w:val="es-ES"/>
        </w:rPr>
        <w:t>plantea</w:t>
      </w:r>
      <w:r w:rsidR="00320B3A" w:rsidRPr="00C12C27">
        <w:rPr>
          <w:rFonts w:asciiTheme="majorHAnsi" w:hAnsiTheme="majorHAnsi"/>
          <w:sz w:val="20"/>
          <w:szCs w:val="20"/>
          <w:lang w:val="es-ES"/>
        </w:rPr>
        <w:t xml:space="preserve"> que no es atribuible a las autoridades judiciales, sino a la actividad procesal del peticionario. Indica que el señor Gutiérrez </w:t>
      </w:r>
      <w:r w:rsidR="00DD04FE" w:rsidRPr="00C12C27">
        <w:rPr>
          <w:rFonts w:asciiTheme="majorHAnsi" w:hAnsiTheme="majorHAnsi"/>
          <w:sz w:val="20"/>
          <w:szCs w:val="20"/>
          <w:lang w:val="es-ES"/>
        </w:rPr>
        <w:t xml:space="preserve">Mendívil </w:t>
      </w:r>
      <w:r w:rsidR="00320B3A" w:rsidRPr="00C12C27">
        <w:rPr>
          <w:rFonts w:asciiTheme="majorHAnsi" w:hAnsiTheme="majorHAnsi"/>
          <w:sz w:val="20"/>
          <w:szCs w:val="20"/>
          <w:lang w:val="es-ES"/>
        </w:rPr>
        <w:t>presentó tres ampliaciones de demanda</w:t>
      </w:r>
      <w:r w:rsidR="00180819" w:rsidRPr="00C12C27">
        <w:rPr>
          <w:rFonts w:asciiTheme="majorHAnsi" w:hAnsiTheme="majorHAnsi"/>
          <w:sz w:val="20"/>
          <w:szCs w:val="20"/>
          <w:lang w:val="es-ES"/>
        </w:rPr>
        <w:t>;</w:t>
      </w:r>
      <w:r w:rsidR="00320B3A" w:rsidRPr="00C12C27">
        <w:rPr>
          <w:rFonts w:asciiTheme="majorHAnsi" w:hAnsiTheme="majorHAnsi"/>
          <w:sz w:val="20"/>
          <w:szCs w:val="20"/>
          <w:lang w:val="es-ES"/>
        </w:rPr>
        <w:t xml:space="preserve"> ofreció una pericia en ingeniería ambiental que mantuvo suspendida la audiencia constitucional por más de tres años</w:t>
      </w:r>
      <w:r w:rsidR="00180819" w:rsidRPr="00C12C27">
        <w:rPr>
          <w:rFonts w:asciiTheme="majorHAnsi" w:hAnsiTheme="majorHAnsi"/>
          <w:sz w:val="20"/>
          <w:szCs w:val="20"/>
          <w:lang w:val="es-ES"/>
        </w:rPr>
        <w:t>;</w:t>
      </w:r>
      <w:r w:rsidR="00320B3A" w:rsidRPr="00C12C27">
        <w:rPr>
          <w:rFonts w:asciiTheme="majorHAnsi" w:hAnsiTheme="majorHAnsi"/>
          <w:sz w:val="20"/>
          <w:szCs w:val="20"/>
          <w:lang w:val="es-ES"/>
        </w:rPr>
        <w:t xml:space="preserve"> e interpuso varias quejas. Señala que el juzgado dictó una primera sentencia en 2012; sin embargo, el recurso de revisión 121/2013, interpuesto por el peticionario, la revocó y ordenó la reposición del procedimiento. Reanudada la audiencia, el juzgado emitió nueva sentencia de sobreseimiento el 30 de enero de 2014, confirmada por el </w:t>
      </w:r>
      <w:r w:rsidR="00DE12B3" w:rsidRPr="00C12C27">
        <w:rPr>
          <w:rFonts w:asciiTheme="majorHAnsi" w:hAnsiTheme="majorHAnsi"/>
          <w:sz w:val="20"/>
          <w:szCs w:val="20"/>
          <w:lang w:val="es-ES"/>
        </w:rPr>
        <w:t xml:space="preserve">tribunal </w:t>
      </w:r>
      <w:r w:rsidR="00320B3A" w:rsidRPr="00C12C27">
        <w:rPr>
          <w:rFonts w:asciiTheme="majorHAnsi" w:hAnsiTheme="majorHAnsi"/>
          <w:sz w:val="20"/>
          <w:szCs w:val="20"/>
          <w:lang w:val="es-ES"/>
        </w:rPr>
        <w:t xml:space="preserve">el 10 de febrero de 2015 al resolver la revisión 687/2014. </w:t>
      </w:r>
      <w:r w:rsidR="00A10B2A" w:rsidRPr="00C12C27">
        <w:rPr>
          <w:rFonts w:asciiTheme="majorHAnsi" w:hAnsiTheme="majorHAnsi"/>
          <w:sz w:val="20"/>
          <w:szCs w:val="20"/>
          <w:lang w:val="es-ES"/>
        </w:rPr>
        <w:t xml:space="preserve">En consecuencia, el Estado </w:t>
      </w:r>
      <w:r w:rsidR="00822127" w:rsidRPr="00C12C27">
        <w:rPr>
          <w:rFonts w:asciiTheme="majorHAnsi" w:hAnsiTheme="majorHAnsi"/>
          <w:sz w:val="20"/>
          <w:szCs w:val="20"/>
          <w:lang w:val="es-ES"/>
        </w:rPr>
        <w:t>estima</w:t>
      </w:r>
      <w:r w:rsidR="00A10B2A" w:rsidRPr="00C12C27">
        <w:rPr>
          <w:rFonts w:asciiTheme="majorHAnsi" w:hAnsiTheme="majorHAnsi"/>
          <w:sz w:val="20"/>
          <w:szCs w:val="20"/>
          <w:lang w:val="es-ES"/>
        </w:rPr>
        <w:t xml:space="preserve"> que la duración del proceso obedeció a la complejidad del asunto y a la intensa actividad procesal del </w:t>
      </w:r>
      <w:r w:rsidRPr="00C12C27">
        <w:rPr>
          <w:rFonts w:asciiTheme="majorHAnsi" w:hAnsiTheme="majorHAnsi"/>
          <w:sz w:val="20"/>
          <w:szCs w:val="20"/>
          <w:lang w:val="es-ES"/>
        </w:rPr>
        <w:t>señor Domingo Gutiérrez Mendívil</w:t>
      </w:r>
      <w:r w:rsidR="00A10B2A" w:rsidRPr="00C12C27">
        <w:rPr>
          <w:rFonts w:asciiTheme="majorHAnsi" w:hAnsiTheme="majorHAnsi"/>
          <w:sz w:val="20"/>
          <w:szCs w:val="20"/>
          <w:lang w:val="es-ES"/>
        </w:rPr>
        <w:t>, por lo que no se configuraron violaciones a los artículos 8 y 25 de la Convención Americana.</w:t>
      </w:r>
    </w:p>
    <w:p w14:paraId="6F4871BA" w14:textId="311ECFD5" w:rsidR="0020370E" w:rsidRPr="00C12C27" w:rsidRDefault="0020370E"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 xml:space="preserve">Asimismo, México sostiene que </w:t>
      </w:r>
      <w:r w:rsidR="00F86833" w:rsidRPr="00C12C27">
        <w:rPr>
          <w:rFonts w:asciiTheme="majorHAnsi" w:hAnsiTheme="majorHAnsi"/>
          <w:sz w:val="20"/>
          <w:szCs w:val="20"/>
          <w:lang w:val="es-ES"/>
        </w:rPr>
        <w:t xml:space="preserve">el amparo indirecto no tuvo por objeto revisar la legalidad del uso de suelo ni determinar los riesgos ambientales del confinamiento, sino que versó sobre cuestiones procesales de legitimación e interés jurídico. </w:t>
      </w:r>
      <w:r w:rsidR="0082582B" w:rsidRPr="00C12C27">
        <w:rPr>
          <w:rFonts w:asciiTheme="majorHAnsi" w:hAnsiTheme="majorHAnsi"/>
          <w:sz w:val="20"/>
          <w:szCs w:val="20"/>
          <w:lang w:val="es-ES"/>
        </w:rPr>
        <w:t xml:space="preserve">En ese sentido, </w:t>
      </w:r>
      <w:r w:rsidR="006D365A" w:rsidRPr="00C12C27">
        <w:rPr>
          <w:rFonts w:asciiTheme="majorHAnsi" w:hAnsiTheme="majorHAnsi"/>
          <w:sz w:val="20"/>
          <w:szCs w:val="20"/>
          <w:lang w:val="es-ES"/>
        </w:rPr>
        <w:t>los tribunales</w:t>
      </w:r>
      <w:r w:rsidR="0082582B" w:rsidRPr="00C12C27">
        <w:rPr>
          <w:rFonts w:asciiTheme="majorHAnsi" w:hAnsiTheme="majorHAnsi"/>
          <w:sz w:val="20"/>
          <w:szCs w:val="20"/>
          <w:lang w:val="es-ES"/>
        </w:rPr>
        <w:t xml:space="preserve">, al conocer </w:t>
      </w:r>
      <w:r w:rsidR="006D365A" w:rsidRPr="00C12C27">
        <w:rPr>
          <w:rFonts w:asciiTheme="majorHAnsi" w:hAnsiTheme="majorHAnsi"/>
          <w:sz w:val="20"/>
          <w:szCs w:val="20"/>
          <w:lang w:val="es-ES"/>
        </w:rPr>
        <w:t xml:space="preserve">el amparo indirecto y </w:t>
      </w:r>
      <w:r w:rsidR="0082582B" w:rsidRPr="00C12C27">
        <w:rPr>
          <w:rFonts w:asciiTheme="majorHAnsi" w:hAnsiTheme="majorHAnsi"/>
          <w:sz w:val="20"/>
          <w:szCs w:val="20"/>
          <w:lang w:val="es-ES"/>
        </w:rPr>
        <w:t xml:space="preserve">su revisión, declararon improcedente la acción con base en las siguientes causales: i) falta de interés jurídico del promovente, al estimar que el reclamo se refería a un </w:t>
      </w:r>
      <w:r w:rsidR="00A33513" w:rsidRPr="00C12C27">
        <w:rPr>
          <w:rFonts w:asciiTheme="majorHAnsi" w:hAnsiTheme="majorHAnsi"/>
          <w:sz w:val="20"/>
          <w:szCs w:val="20"/>
          <w:lang w:val="es-ES"/>
        </w:rPr>
        <w:t>asunto</w:t>
      </w:r>
      <w:r w:rsidR="0082582B" w:rsidRPr="00C12C27">
        <w:rPr>
          <w:rFonts w:asciiTheme="majorHAnsi" w:hAnsiTheme="majorHAnsi"/>
          <w:sz w:val="20"/>
          <w:szCs w:val="20"/>
          <w:lang w:val="es-ES"/>
        </w:rPr>
        <w:t xml:space="preserve"> colectivo; ii) presentación extemporánea de la demanda, al haber transcurrido el plazo legal sin impugnar el acto administrativo; y iii) falta de prueba sobre la existencia de los actos reclamados</w:t>
      </w:r>
      <w:r w:rsidR="00FA424C" w:rsidRPr="00C12C27">
        <w:rPr>
          <w:rFonts w:asciiTheme="majorHAnsi" w:hAnsiTheme="majorHAnsi"/>
          <w:sz w:val="20"/>
          <w:szCs w:val="20"/>
          <w:lang w:val="es-ES"/>
        </w:rPr>
        <w:t>.</w:t>
      </w:r>
      <w:r w:rsidR="00502926" w:rsidRPr="00C12C27">
        <w:rPr>
          <w:rFonts w:asciiTheme="majorHAnsi" w:hAnsiTheme="majorHAnsi"/>
          <w:sz w:val="20"/>
          <w:szCs w:val="20"/>
          <w:lang w:val="es-ES"/>
        </w:rPr>
        <w:t xml:space="preserve"> </w:t>
      </w:r>
      <w:r w:rsidRPr="00C12C27">
        <w:rPr>
          <w:rFonts w:asciiTheme="majorHAnsi" w:hAnsiTheme="majorHAnsi"/>
          <w:sz w:val="20"/>
          <w:szCs w:val="20"/>
          <w:lang w:val="es-ES"/>
        </w:rPr>
        <w:t xml:space="preserve">En su criterio, </w:t>
      </w:r>
      <w:r w:rsidR="00CD2154" w:rsidRPr="00C12C27">
        <w:rPr>
          <w:rFonts w:asciiTheme="majorHAnsi" w:hAnsiTheme="majorHAnsi"/>
          <w:sz w:val="20"/>
          <w:szCs w:val="20"/>
          <w:lang w:val="es-ES"/>
        </w:rPr>
        <w:t xml:space="preserve">las autoridades resolvieron conforme al marco jurídico aplicable </w:t>
      </w:r>
      <w:r w:rsidRPr="00C12C27">
        <w:rPr>
          <w:rFonts w:asciiTheme="majorHAnsi" w:hAnsiTheme="majorHAnsi"/>
          <w:sz w:val="20"/>
          <w:szCs w:val="20"/>
          <w:lang w:val="es-ES"/>
        </w:rPr>
        <w:t xml:space="preserve">y </w:t>
      </w:r>
      <w:r w:rsidR="00CD2154" w:rsidRPr="00C12C27">
        <w:rPr>
          <w:rFonts w:asciiTheme="majorHAnsi" w:hAnsiTheme="majorHAnsi"/>
          <w:sz w:val="20"/>
          <w:szCs w:val="20"/>
          <w:lang w:val="es-ES"/>
        </w:rPr>
        <w:t xml:space="preserve">las decisiones </w:t>
      </w:r>
      <w:r w:rsidRPr="00C12C27">
        <w:rPr>
          <w:rFonts w:asciiTheme="majorHAnsi" w:hAnsiTheme="majorHAnsi"/>
          <w:sz w:val="20"/>
          <w:szCs w:val="20"/>
          <w:lang w:val="es-ES"/>
        </w:rPr>
        <w:t>no evidencian hechos que configuren una violación de la Convención</w:t>
      </w:r>
      <w:r w:rsidR="00A347E3" w:rsidRPr="00C12C27">
        <w:rPr>
          <w:rFonts w:asciiTheme="majorHAnsi" w:hAnsiTheme="majorHAnsi"/>
          <w:sz w:val="20"/>
          <w:szCs w:val="20"/>
          <w:lang w:val="es-ES"/>
        </w:rPr>
        <w:t>.</w:t>
      </w:r>
    </w:p>
    <w:p w14:paraId="149EEBF2" w14:textId="71CD8F12" w:rsidR="00A347E3" w:rsidRPr="00C12C27" w:rsidRDefault="00A347E3"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 xml:space="preserve">A modo de contexto, </w:t>
      </w:r>
      <w:r w:rsidR="002636C2" w:rsidRPr="00C12C27">
        <w:rPr>
          <w:rFonts w:asciiTheme="majorHAnsi" w:hAnsiTheme="majorHAnsi"/>
          <w:sz w:val="20"/>
          <w:szCs w:val="20"/>
          <w:lang w:val="es-ES"/>
        </w:rPr>
        <w:t>México</w:t>
      </w:r>
      <w:r w:rsidRPr="00C12C27">
        <w:rPr>
          <w:rFonts w:asciiTheme="majorHAnsi" w:hAnsiTheme="majorHAnsi"/>
          <w:sz w:val="20"/>
          <w:szCs w:val="20"/>
          <w:lang w:val="es-ES"/>
        </w:rPr>
        <w:t xml:space="preserve"> señala que la Norma Oficial Mexicana NOM-057-SEMARNAT-1993</w:t>
      </w:r>
      <w:r w:rsidR="00A33513" w:rsidRPr="00C12C27">
        <w:rPr>
          <w:rFonts w:asciiTheme="majorHAnsi" w:hAnsiTheme="majorHAnsi"/>
          <w:sz w:val="20"/>
          <w:szCs w:val="20"/>
          <w:lang w:val="es-ES"/>
        </w:rPr>
        <w:t xml:space="preserve"> </w:t>
      </w:r>
      <w:r w:rsidRPr="00C12C27">
        <w:rPr>
          <w:rFonts w:asciiTheme="majorHAnsi" w:hAnsiTheme="majorHAnsi"/>
          <w:sz w:val="20"/>
          <w:szCs w:val="20"/>
          <w:lang w:val="es-ES"/>
        </w:rPr>
        <w:t xml:space="preserve">establece los requisitos técnicos aplicables al diseño, construcción y operación de confinamientos controlados de residuos peligrosos, así como las condiciones especiales para la autorización del uso de suelo destinado a ese fin. </w:t>
      </w:r>
      <w:r w:rsidR="00573C29" w:rsidRPr="00C12C27">
        <w:rPr>
          <w:rFonts w:asciiTheme="majorHAnsi" w:hAnsiTheme="majorHAnsi"/>
          <w:sz w:val="20"/>
          <w:szCs w:val="20"/>
          <w:lang w:val="es-ES"/>
        </w:rPr>
        <w:t>Por lo tanto, el país</w:t>
      </w:r>
      <w:r w:rsidRPr="00C12C27">
        <w:rPr>
          <w:rFonts w:asciiTheme="majorHAnsi" w:hAnsiTheme="majorHAnsi"/>
          <w:sz w:val="20"/>
          <w:szCs w:val="20"/>
          <w:lang w:val="es-ES"/>
        </w:rPr>
        <w:t xml:space="preserve"> cuenta con un marco normativo interno que regula la materia ambiental.</w:t>
      </w:r>
    </w:p>
    <w:p w14:paraId="6485D520" w14:textId="6DCF1C76" w:rsidR="00320B3A" w:rsidRPr="00C12C27" w:rsidRDefault="00CD2154"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lastRenderedPageBreak/>
        <w:t xml:space="preserve">De este modo, </w:t>
      </w:r>
      <w:r w:rsidR="00AF12C5" w:rsidRPr="00C12C27">
        <w:rPr>
          <w:rFonts w:asciiTheme="majorHAnsi" w:hAnsiTheme="majorHAnsi"/>
          <w:sz w:val="20"/>
          <w:szCs w:val="20"/>
          <w:lang w:val="es-ES"/>
        </w:rPr>
        <w:t>el Estado concluye</w:t>
      </w:r>
      <w:r w:rsidR="00320B3A" w:rsidRPr="00C12C27">
        <w:rPr>
          <w:rFonts w:asciiTheme="majorHAnsi" w:hAnsiTheme="majorHAnsi"/>
          <w:sz w:val="20"/>
          <w:szCs w:val="20"/>
          <w:lang w:val="es-ES"/>
        </w:rPr>
        <w:t xml:space="preserve"> que las resoluciones fueron dictadas por órganos competentes y debidamente motivadas, sin arbitrariedad ni denegación de justicia, y que el expediente fue archivado el 3 de marzo de 2015. En consecuencia, sostiene que las pretensiones del peticionario buscan reabrir la valoración de hechos, pruebas y derecho interno ya examinados por la jurisdicción constitucional, lo que convertiría a la Comisión en una cuarta instancia, en contravención del principio de subsidiariedad, sin que se haya demostrado vulneración alguna de derechos.</w:t>
      </w:r>
    </w:p>
    <w:p w14:paraId="51F68C92" w14:textId="527DA814" w:rsidR="003239B8" w:rsidRPr="00C12C27" w:rsidRDefault="003239B8" w:rsidP="001A7906">
      <w:pPr>
        <w:spacing w:before="240" w:after="240"/>
        <w:ind w:firstLine="720"/>
        <w:jc w:val="both"/>
        <w:rPr>
          <w:rFonts w:asciiTheme="majorHAnsi" w:hAnsiTheme="majorHAnsi"/>
          <w:sz w:val="20"/>
          <w:szCs w:val="20"/>
          <w:lang w:val="es-ES"/>
        </w:rPr>
      </w:pPr>
      <w:r w:rsidRPr="00C12C27">
        <w:rPr>
          <w:rFonts w:asciiTheme="majorHAnsi" w:eastAsia="Cambria" w:hAnsiTheme="majorHAnsi" w:cs="Cambria"/>
          <w:b/>
          <w:bCs/>
          <w:color w:val="000000"/>
          <w:sz w:val="20"/>
          <w:szCs w:val="20"/>
          <w:u w:color="000000"/>
          <w:lang w:val="es-ES" w:eastAsia="es-ES"/>
        </w:rPr>
        <w:t>VI.</w:t>
      </w:r>
      <w:r w:rsidRPr="00C12C27">
        <w:rPr>
          <w:rFonts w:asciiTheme="majorHAnsi" w:eastAsia="Cambria" w:hAnsiTheme="majorHAnsi" w:cs="Cambria"/>
          <w:b/>
          <w:bCs/>
          <w:color w:val="000000"/>
          <w:sz w:val="20"/>
          <w:szCs w:val="20"/>
          <w:u w:color="000000"/>
          <w:lang w:val="es-ES" w:eastAsia="es-ES"/>
        </w:rPr>
        <w:tab/>
      </w:r>
      <w:r w:rsidR="004A6A54" w:rsidRPr="00C12C27">
        <w:rPr>
          <w:rFonts w:asciiTheme="majorHAnsi" w:hAnsiTheme="majorHAnsi"/>
          <w:b/>
          <w:bCs/>
          <w:sz w:val="20"/>
          <w:szCs w:val="20"/>
          <w:lang w:val="es-ES"/>
        </w:rPr>
        <w:t xml:space="preserve">ANÁLISIS DE </w:t>
      </w:r>
      <w:r w:rsidR="00C21FEF" w:rsidRPr="00C12C27">
        <w:rPr>
          <w:rFonts w:asciiTheme="majorHAnsi" w:hAnsiTheme="majorHAnsi"/>
          <w:b/>
          <w:sz w:val="20"/>
          <w:szCs w:val="20"/>
          <w:lang w:val="es-ES"/>
        </w:rPr>
        <w:t>AGOTAMIENTO DE LOS RECURSOS INTERNOS Y PLAZO DE PRESENTACIÓN</w:t>
      </w:r>
      <w:r w:rsidR="00C21FEF" w:rsidRPr="00C12C27">
        <w:rPr>
          <w:rFonts w:asciiTheme="majorHAnsi" w:eastAsia="Cambria" w:hAnsiTheme="majorHAnsi" w:cs="Cambria"/>
          <w:b/>
          <w:bCs/>
          <w:color w:val="000000"/>
          <w:sz w:val="20"/>
          <w:szCs w:val="20"/>
          <w:u w:color="000000"/>
          <w:lang w:val="es-ES" w:eastAsia="es-ES"/>
        </w:rPr>
        <w:t xml:space="preserve"> </w:t>
      </w:r>
    </w:p>
    <w:p w14:paraId="54B402F2" w14:textId="37010DC0" w:rsidR="00E27F6F" w:rsidRPr="00C12C27" w:rsidRDefault="00E95FA0" w:rsidP="001A7906">
      <w:pPr>
        <w:pStyle w:val="ListParagraph"/>
        <w:numPr>
          <w:ilvl w:val="0"/>
          <w:numId w:val="59"/>
        </w:numPr>
        <w:spacing w:before="240" w:after="240"/>
        <w:jc w:val="both"/>
        <w:rPr>
          <w:rFonts w:asciiTheme="majorHAnsi" w:eastAsia="Arial Unicode MS" w:hAnsiTheme="majorHAnsi"/>
          <w:sz w:val="20"/>
          <w:szCs w:val="20"/>
          <w:lang w:val="es-ES" w:eastAsia="en-US"/>
        </w:rPr>
      </w:pPr>
      <w:r w:rsidRPr="00C12C27">
        <w:rPr>
          <w:rFonts w:asciiTheme="majorHAnsi" w:hAnsiTheme="majorHAnsi"/>
          <w:sz w:val="20"/>
          <w:szCs w:val="20"/>
          <w:lang w:val="es-ES"/>
        </w:rPr>
        <w:t xml:space="preserve">La CIDH recuerda que, conforme a su práctica consolidada y reiterada, para identificar los recursos idóneos que debieron agotarse antes de acudir al Sistema Interamericano, el primer paso metodológico consiste en establecer el objeto específico de la petición. </w:t>
      </w:r>
      <w:r w:rsidR="00E27F6F" w:rsidRPr="00C12C27">
        <w:rPr>
          <w:rFonts w:asciiTheme="majorHAnsi" w:eastAsia="Arial Unicode MS" w:hAnsiTheme="majorHAnsi"/>
          <w:sz w:val="20"/>
          <w:szCs w:val="20"/>
          <w:lang w:val="es-ES" w:eastAsia="en-US"/>
        </w:rPr>
        <w:t xml:space="preserve">En el presente caso, la Comisión observa que el peticionario cuestiona la falta de </w:t>
      </w:r>
      <w:r w:rsidR="00CD2154" w:rsidRPr="00C12C27">
        <w:rPr>
          <w:rFonts w:asciiTheme="majorHAnsi" w:eastAsia="Arial Unicode MS" w:hAnsiTheme="majorHAnsi"/>
          <w:sz w:val="20"/>
          <w:szCs w:val="20"/>
          <w:lang w:val="es-ES" w:eastAsia="en-US"/>
        </w:rPr>
        <w:t>recursos adecuados</w:t>
      </w:r>
      <w:r w:rsidR="00E27F6F" w:rsidRPr="00C12C27">
        <w:rPr>
          <w:rFonts w:asciiTheme="majorHAnsi" w:eastAsia="Arial Unicode MS" w:hAnsiTheme="majorHAnsi"/>
          <w:sz w:val="20"/>
          <w:szCs w:val="20"/>
          <w:lang w:val="es-ES" w:eastAsia="en-US"/>
        </w:rPr>
        <w:t xml:space="preserve"> frente a riesgos ambientales derivados del confinamiento de residuos peligrosos </w:t>
      </w:r>
      <w:r w:rsidR="00CD2154" w:rsidRPr="00C12C27">
        <w:rPr>
          <w:rFonts w:asciiTheme="majorHAnsi" w:eastAsia="Arial Unicode MS" w:hAnsiTheme="majorHAnsi"/>
          <w:sz w:val="20"/>
          <w:szCs w:val="20"/>
          <w:lang w:val="es-ES" w:eastAsia="en-US"/>
        </w:rPr>
        <w:t>por una empresa privada</w:t>
      </w:r>
      <w:r w:rsidR="00E27F6F" w:rsidRPr="00C12C27">
        <w:rPr>
          <w:rFonts w:asciiTheme="majorHAnsi" w:eastAsia="Arial Unicode MS" w:hAnsiTheme="majorHAnsi"/>
          <w:sz w:val="20"/>
          <w:szCs w:val="20"/>
          <w:lang w:val="es-ES" w:eastAsia="en-US"/>
        </w:rPr>
        <w:t xml:space="preserve">, </w:t>
      </w:r>
      <w:r w:rsidR="00DF602F" w:rsidRPr="00C12C27">
        <w:rPr>
          <w:rFonts w:asciiTheme="majorHAnsi" w:eastAsia="Arial Unicode MS" w:hAnsiTheme="majorHAnsi"/>
          <w:sz w:val="20"/>
          <w:szCs w:val="20"/>
          <w:lang w:val="es-ES" w:eastAsia="en-US"/>
        </w:rPr>
        <w:t xml:space="preserve">debido a la </w:t>
      </w:r>
      <w:r w:rsidR="00E27F6F" w:rsidRPr="00C12C27">
        <w:rPr>
          <w:rFonts w:asciiTheme="majorHAnsi" w:eastAsia="Arial Unicode MS" w:hAnsiTheme="majorHAnsi"/>
          <w:sz w:val="20"/>
          <w:szCs w:val="20"/>
          <w:lang w:val="es-ES" w:eastAsia="en-US"/>
        </w:rPr>
        <w:t xml:space="preserve">ausencia de una decisión de fondo sobre los efectos de la autorización municipal y de la prolongada duración del amparo indirecto. Con base en ello, </w:t>
      </w:r>
      <w:r w:rsidR="003B2B66" w:rsidRPr="00C12C27">
        <w:rPr>
          <w:rFonts w:asciiTheme="majorHAnsi" w:eastAsia="Arial Unicode MS" w:hAnsiTheme="majorHAnsi"/>
          <w:sz w:val="20"/>
          <w:szCs w:val="20"/>
          <w:lang w:val="es-ES" w:eastAsia="en-US"/>
        </w:rPr>
        <w:t xml:space="preserve">el señor Domingo Gutiérrez Mendívil </w:t>
      </w:r>
      <w:r w:rsidR="00E27F6F" w:rsidRPr="00C12C27">
        <w:rPr>
          <w:rFonts w:asciiTheme="majorHAnsi" w:eastAsia="Arial Unicode MS" w:hAnsiTheme="majorHAnsi"/>
          <w:sz w:val="20"/>
          <w:szCs w:val="20"/>
          <w:lang w:val="es-ES" w:eastAsia="en-US"/>
        </w:rPr>
        <w:t xml:space="preserve">considera que se agotaron los recursos disponibles con la decisión del Tercer Tribunal Colegiado en Materias Penal y Administrativa del Quinto Circuito </w:t>
      </w:r>
      <w:r w:rsidR="00CA1CEA" w:rsidRPr="00C12C27">
        <w:rPr>
          <w:rFonts w:asciiTheme="majorHAnsi" w:eastAsia="Arial Unicode MS" w:hAnsiTheme="majorHAnsi"/>
          <w:sz w:val="20"/>
          <w:szCs w:val="20"/>
          <w:lang w:val="es-ES" w:eastAsia="en-US"/>
        </w:rPr>
        <w:t>el</w:t>
      </w:r>
      <w:r w:rsidR="00E27F6F" w:rsidRPr="00C12C27">
        <w:rPr>
          <w:rFonts w:asciiTheme="majorHAnsi" w:eastAsia="Arial Unicode MS" w:hAnsiTheme="majorHAnsi"/>
          <w:sz w:val="20"/>
          <w:szCs w:val="20"/>
          <w:lang w:val="es-ES" w:eastAsia="en-US"/>
        </w:rPr>
        <w:t xml:space="preserve"> 10 de febrero de 2015, que puso fin al proceso de amparo</w:t>
      </w:r>
      <w:r w:rsidR="00CD2154" w:rsidRPr="00C12C27">
        <w:rPr>
          <w:rFonts w:asciiTheme="majorHAnsi" w:eastAsia="Arial Unicode MS" w:hAnsiTheme="majorHAnsi"/>
          <w:sz w:val="20"/>
          <w:szCs w:val="20"/>
          <w:lang w:val="es-ES" w:eastAsia="en-US"/>
        </w:rPr>
        <w:t>,</w:t>
      </w:r>
      <w:r w:rsidR="00E27F6F" w:rsidRPr="00C12C27">
        <w:rPr>
          <w:rFonts w:asciiTheme="majorHAnsi" w:eastAsia="Arial Unicode MS" w:hAnsiTheme="majorHAnsi"/>
          <w:sz w:val="20"/>
          <w:szCs w:val="20"/>
          <w:lang w:val="es-ES" w:eastAsia="en-US"/>
        </w:rPr>
        <w:t xml:space="preserve"> mediante el cual se cuestionaba la legalidad de la autorización municipal y las omisiones que habrían permitido la operación irregular del confinamiento.</w:t>
      </w:r>
    </w:p>
    <w:p w14:paraId="5A1A64B0" w14:textId="0DA84407" w:rsidR="002271AE" w:rsidRPr="00C12C27" w:rsidRDefault="002271AE" w:rsidP="001A7906">
      <w:pPr>
        <w:pStyle w:val="ListParagraph"/>
        <w:numPr>
          <w:ilvl w:val="0"/>
          <w:numId w:val="59"/>
        </w:numPr>
        <w:spacing w:before="240" w:after="240"/>
        <w:jc w:val="both"/>
        <w:rPr>
          <w:rFonts w:asciiTheme="majorHAnsi" w:eastAsia="Arial Unicode MS" w:hAnsiTheme="majorHAnsi"/>
          <w:sz w:val="20"/>
          <w:szCs w:val="20"/>
          <w:lang w:val="es-ES" w:eastAsia="en-US"/>
        </w:rPr>
      </w:pPr>
      <w:r w:rsidRPr="00C12C27">
        <w:rPr>
          <w:rFonts w:asciiTheme="majorHAnsi" w:eastAsia="Arial Unicode MS" w:hAnsiTheme="majorHAnsi"/>
          <w:sz w:val="20"/>
          <w:szCs w:val="20"/>
          <w:lang w:val="es-ES" w:eastAsia="en-US"/>
        </w:rPr>
        <w:t>El Estado reconoce que en lo relativo al derecho a un medio ambiente sano, el señor Domingo Gutiérrez Mendívil agotó los recursos internos mediante la tramitación del amparo indirecto, el cual concluyó con el archivo definitivo del expediente el 3 de marzo de 2015. No obstante, sostiene que el peticionario no agotó los recursos internos respecto de sus alegatos sobre la dilación procesal en dicho proceso, dado que el recurso de revisión contra el sobreseimiento no contenía argumentos específicos al respecto ni promovió un procedimiento judicial autónomo para impugnar la demora.</w:t>
      </w:r>
    </w:p>
    <w:p w14:paraId="4494CC19" w14:textId="169480B5" w:rsidR="002416DA" w:rsidRPr="00C12C27" w:rsidRDefault="000A1175" w:rsidP="001A7906">
      <w:pPr>
        <w:pStyle w:val="ListParagraph"/>
        <w:numPr>
          <w:ilvl w:val="0"/>
          <w:numId w:val="59"/>
        </w:numPr>
        <w:spacing w:before="240" w:after="240"/>
        <w:jc w:val="both"/>
        <w:rPr>
          <w:rFonts w:asciiTheme="majorHAnsi" w:hAnsiTheme="majorHAnsi"/>
          <w:sz w:val="20"/>
          <w:szCs w:val="20"/>
          <w:lang w:val="es-ES" w:eastAsia="en-US"/>
        </w:rPr>
      </w:pPr>
      <w:r w:rsidRPr="00C12C27">
        <w:rPr>
          <w:rFonts w:asciiTheme="majorHAnsi" w:eastAsia="Arial Unicode MS" w:hAnsiTheme="majorHAnsi"/>
          <w:sz w:val="20"/>
          <w:szCs w:val="20"/>
          <w:lang w:val="es-ES" w:eastAsia="en-US"/>
        </w:rPr>
        <w:t xml:space="preserve">La Comisión observa que respecto a la inconformidad con la autorización de uso de suelo para el confinamiento y las supuestas omisiones estatales vinculadas a su funcionamiento, el señor Gutiérrez Mendívil y otros residentes interpusieron diversos recursos administrativos y judiciales: i) una queja ante la CNDH contra la autorización y operación del confinamiento; ii) quejas ante la CEDH que dieron lugar a las </w:t>
      </w:r>
      <w:r w:rsidR="0078677F" w:rsidRPr="00C12C27">
        <w:rPr>
          <w:rFonts w:asciiTheme="majorHAnsi" w:eastAsia="Arial Unicode MS" w:hAnsiTheme="majorHAnsi"/>
          <w:sz w:val="20"/>
          <w:szCs w:val="20"/>
          <w:lang w:val="es-ES" w:eastAsia="en-US"/>
        </w:rPr>
        <w:t>r</w:t>
      </w:r>
      <w:r w:rsidRPr="00C12C27">
        <w:rPr>
          <w:rFonts w:asciiTheme="majorHAnsi" w:eastAsia="Arial Unicode MS" w:hAnsiTheme="majorHAnsi"/>
          <w:sz w:val="20"/>
          <w:szCs w:val="20"/>
          <w:lang w:val="es-ES" w:eastAsia="en-US"/>
        </w:rPr>
        <w:t>ecomendaciones</w:t>
      </w:r>
      <w:r w:rsidR="00CD2154" w:rsidRPr="00C12C27">
        <w:rPr>
          <w:rFonts w:asciiTheme="majorHAnsi" w:eastAsia="Arial Unicode MS" w:hAnsiTheme="majorHAnsi"/>
          <w:sz w:val="20"/>
          <w:szCs w:val="20"/>
          <w:lang w:val="es-ES" w:eastAsia="en-US"/>
        </w:rPr>
        <w:t xml:space="preserve"> </w:t>
      </w:r>
      <w:r w:rsidR="0078677F" w:rsidRPr="00C12C27">
        <w:rPr>
          <w:rFonts w:asciiTheme="majorHAnsi" w:hAnsiTheme="majorHAnsi"/>
          <w:color w:val="auto"/>
          <w:sz w:val="20"/>
          <w:szCs w:val="20"/>
          <w:lang w:val="es-ES"/>
        </w:rPr>
        <w:t xml:space="preserve">N.º </w:t>
      </w:r>
      <w:r w:rsidRPr="00C12C27">
        <w:rPr>
          <w:rFonts w:asciiTheme="majorHAnsi" w:eastAsia="Arial Unicode MS" w:hAnsiTheme="majorHAnsi"/>
          <w:sz w:val="20"/>
          <w:szCs w:val="20"/>
          <w:lang w:val="es-ES" w:eastAsia="en-US"/>
        </w:rPr>
        <w:t xml:space="preserve">01/99 y 03/2001, así como un recurso de impugnación por su incumplimiento; iii) un amparo directo contra la decisión del </w:t>
      </w:r>
      <w:r w:rsidR="006D365A" w:rsidRPr="00C12C27">
        <w:rPr>
          <w:rFonts w:asciiTheme="majorHAnsi" w:eastAsia="Arial Unicode MS" w:hAnsiTheme="majorHAnsi"/>
          <w:sz w:val="20"/>
          <w:szCs w:val="20"/>
          <w:lang w:val="es-ES" w:eastAsia="en-US"/>
        </w:rPr>
        <w:t>tribunal de lo contencioso administrativo</w:t>
      </w:r>
      <w:r w:rsidRPr="00C12C27">
        <w:rPr>
          <w:rFonts w:asciiTheme="majorHAnsi" w:eastAsia="Arial Unicode MS" w:hAnsiTheme="majorHAnsi"/>
          <w:sz w:val="20"/>
          <w:szCs w:val="20"/>
          <w:lang w:val="es-ES" w:eastAsia="en-US"/>
        </w:rPr>
        <w:t xml:space="preserve">; y iv) un amparo indirecto contra la autorización municipal y la actuación de las autoridades ambientales, cuya revisión culminó con el archivo definitivo del expediente en 2015. De este modo, el peticionario puso en conocimiento del Estado los hechos denunciados y le brindó reiteradas oportunidades para </w:t>
      </w:r>
      <w:r w:rsidR="004D1335" w:rsidRPr="00C12C27">
        <w:rPr>
          <w:rFonts w:asciiTheme="majorHAnsi" w:eastAsia="Arial Unicode MS" w:hAnsiTheme="majorHAnsi"/>
          <w:sz w:val="20"/>
          <w:szCs w:val="20"/>
          <w:lang w:val="es-ES" w:eastAsia="en-US"/>
        </w:rPr>
        <w:t>atender</w:t>
      </w:r>
      <w:r w:rsidRPr="00C12C27">
        <w:rPr>
          <w:rFonts w:asciiTheme="majorHAnsi" w:eastAsia="Arial Unicode MS" w:hAnsiTheme="majorHAnsi"/>
          <w:sz w:val="20"/>
          <w:szCs w:val="20"/>
          <w:lang w:val="es-ES" w:eastAsia="en-US"/>
        </w:rPr>
        <w:t xml:space="preserve"> las presuntas vulneraciones. </w:t>
      </w:r>
    </w:p>
    <w:p w14:paraId="5A964241" w14:textId="785375C5" w:rsidR="000A1175" w:rsidRPr="00C12C27" w:rsidRDefault="002416DA" w:rsidP="001A7906">
      <w:pPr>
        <w:pStyle w:val="ListParagraph"/>
        <w:numPr>
          <w:ilvl w:val="0"/>
          <w:numId w:val="59"/>
        </w:numPr>
        <w:spacing w:before="240" w:after="240"/>
        <w:jc w:val="both"/>
        <w:rPr>
          <w:rFonts w:asciiTheme="majorHAnsi" w:hAnsiTheme="majorHAnsi"/>
          <w:sz w:val="20"/>
          <w:szCs w:val="20"/>
          <w:lang w:val="es-ES" w:eastAsia="en-US"/>
        </w:rPr>
      </w:pPr>
      <w:r w:rsidRPr="00C12C27">
        <w:rPr>
          <w:rFonts w:asciiTheme="majorHAnsi" w:hAnsiTheme="majorHAnsi"/>
          <w:sz w:val="20"/>
          <w:szCs w:val="20"/>
          <w:lang w:val="es-ES"/>
        </w:rPr>
        <w:t xml:space="preserve">En relación con el argumento estatal según el cual el peticionario debió impugnar la demora procesal mediante un recurso autónomo o dentro del propio amparo, el Estado no identifica con precisión cuál habría sido ese medio judicial </w:t>
      </w:r>
      <w:r w:rsidR="0078677F" w:rsidRPr="00C12C27">
        <w:rPr>
          <w:rFonts w:asciiTheme="majorHAnsi" w:hAnsiTheme="majorHAnsi"/>
          <w:sz w:val="20"/>
          <w:szCs w:val="20"/>
          <w:lang w:val="es-ES"/>
        </w:rPr>
        <w:t xml:space="preserve">adicional </w:t>
      </w:r>
      <w:r w:rsidRPr="00C12C27">
        <w:rPr>
          <w:rFonts w:asciiTheme="majorHAnsi" w:hAnsiTheme="majorHAnsi"/>
          <w:sz w:val="20"/>
          <w:szCs w:val="20"/>
          <w:lang w:val="es-ES"/>
        </w:rPr>
        <w:t xml:space="preserve">para reparar la alegada dilación, ni </w:t>
      </w:r>
      <w:r w:rsidR="0074721C" w:rsidRPr="00C12C27">
        <w:rPr>
          <w:rFonts w:asciiTheme="majorHAnsi" w:hAnsiTheme="majorHAnsi"/>
          <w:sz w:val="20"/>
          <w:szCs w:val="20"/>
          <w:lang w:val="es-ES"/>
        </w:rPr>
        <w:t>fundamenta</w:t>
      </w:r>
      <w:r w:rsidRPr="00C12C27">
        <w:rPr>
          <w:rFonts w:asciiTheme="majorHAnsi" w:hAnsiTheme="majorHAnsi"/>
          <w:sz w:val="20"/>
          <w:szCs w:val="20"/>
          <w:lang w:val="es-ES"/>
        </w:rPr>
        <w:t xml:space="preserve"> </w:t>
      </w:r>
      <w:r w:rsidR="0078677F" w:rsidRPr="00C12C27">
        <w:rPr>
          <w:rFonts w:asciiTheme="majorHAnsi" w:hAnsiTheme="majorHAnsi"/>
          <w:sz w:val="20"/>
          <w:szCs w:val="20"/>
          <w:lang w:val="es-ES"/>
        </w:rPr>
        <w:t xml:space="preserve">en qué medida el uso de un recurso encargado de revisar la legalidad de la </w:t>
      </w:r>
      <w:r w:rsidR="00726929" w:rsidRPr="00C12C27">
        <w:rPr>
          <w:rFonts w:asciiTheme="majorHAnsi" w:hAnsiTheme="majorHAnsi"/>
          <w:sz w:val="20"/>
          <w:szCs w:val="20"/>
          <w:lang w:val="es-ES"/>
        </w:rPr>
        <w:t>decisión</w:t>
      </w:r>
      <w:r w:rsidR="0078677F" w:rsidRPr="00C12C27">
        <w:rPr>
          <w:rFonts w:asciiTheme="majorHAnsi" w:hAnsiTheme="majorHAnsi"/>
          <w:sz w:val="20"/>
          <w:szCs w:val="20"/>
          <w:lang w:val="es-ES"/>
        </w:rPr>
        <w:t xml:space="preserve">, como el de </w:t>
      </w:r>
      <w:r w:rsidR="00726929" w:rsidRPr="00C12C27">
        <w:rPr>
          <w:rFonts w:asciiTheme="majorHAnsi" w:hAnsiTheme="majorHAnsi"/>
          <w:sz w:val="20"/>
          <w:szCs w:val="20"/>
          <w:lang w:val="es-ES"/>
        </w:rPr>
        <w:t>revisión</w:t>
      </w:r>
      <w:r w:rsidR="0078677F" w:rsidRPr="00C12C27">
        <w:rPr>
          <w:rFonts w:asciiTheme="majorHAnsi" w:hAnsiTheme="majorHAnsi"/>
          <w:sz w:val="20"/>
          <w:szCs w:val="20"/>
          <w:lang w:val="es-ES"/>
        </w:rPr>
        <w:t xml:space="preserve">, habría sido adecuado </w:t>
      </w:r>
      <w:r w:rsidRPr="00C12C27">
        <w:rPr>
          <w:rFonts w:asciiTheme="majorHAnsi" w:hAnsiTheme="majorHAnsi"/>
          <w:sz w:val="20"/>
          <w:szCs w:val="20"/>
          <w:lang w:val="es-ES"/>
        </w:rPr>
        <w:t>en las circunstancias del caso. Cuando se alegan irregularidades que se proyectan a lo largo de un proceso</w:t>
      </w:r>
      <w:r w:rsidR="0078677F" w:rsidRPr="00C12C27">
        <w:rPr>
          <w:rFonts w:asciiTheme="majorHAnsi" w:hAnsiTheme="majorHAnsi"/>
          <w:sz w:val="20"/>
          <w:szCs w:val="20"/>
          <w:lang w:val="es-ES"/>
        </w:rPr>
        <w:t xml:space="preserve">, </w:t>
      </w:r>
      <w:r w:rsidRPr="00C12C27">
        <w:rPr>
          <w:rFonts w:asciiTheme="majorHAnsi" w:hAnsiTheme="majorHAnsi"/>
          <w:sz w:val="20"/>
          <w:szCs w:val="20"/>
          <w:lang w:val="es-ES"/>
        </w:rPr>
        <w:t>como la duración excesiva</w:t>
      </w:r>
      <w:r w:rsidR="0078677F" w:rsidRPr="00C12C27">
        <w:rPr>
          <w:rFonts w:asciiTheme="majorHAnsi" w:hAnsiTheme="majorHAnsi"/>
          <w:sz w:val="20"/>
          <w:szCs w:val="20"/>
          <w:lang w:val="es-ES"/>
        </w:rPr>
        <w:t xml:space="preserve">, </w:t>
      </w:r>
      <w:r w:rsidRPr="00C12C27">
        <w:rPr>
          <w:rFonts w:asciiTheme="majorHAnsi" w:hAnsiTheme="majorHAnsi"/>
          <w:sz w:val="20"/>
          <w:szCs w:val="20"/>
          <w:lang w:val="es-ES"/>
        </w:rPr>
        <w:t>no se exige, en principio, interponer un recurso extraordinario o una vía adicional para cumplir con el artículo 46.1.a) de la Convención Americana</w:t>
      </w:r>
      <w:r w:rsidR="00477E12" w:rsidRPr="00C12C27">
        <w:rPr>
          <w:rFonts w:asciiTheme="majorHAnsi" w:hAnsiTheme="majorHAnsi"/>
          <w:sz w:val="20"/>
          <w:szCs w:val="20"/>
          <w:vertAlign w:val="superscript"/>
          <w:lang w:val="es-ES" w:eastAsia="en-US"/>
        </w:rPr>
        <w:footnoteReference w:id="9"/>
      </w:r>
      <w:r w:rsidR="00477E12" w:rsidRPr="00C12C27">
        <w:rPr>
          <w:rFonts w:asciiTheme="majorHAnsi" w:hAnsiTheme="majorHAnsi"/>
          <w:sz w:val="20"/>
          <w:szCs w:val="20"/>
          <w:lang w:val="es-ES" w:eastAsia="en-US"/>
        </w:rPr>
        <w:t>.</w:t>
      </w:r>
      <w:r w:rsidR="00D64085" w:rsidRPr="00C12C27">
        <w:rPr>
          <w:rFonts w:asciiTheme="majorHAnsi" w:hAnsiTheme="majorHAnsi"/>
          <w:sz w:val="20"/>
          <w:szCs w:val="20"/>
          <w:lang w:val="es-ES" w:eastAsia="en-US"/>
        </w:rPr>
        <w:t xml:space="preserve"> </w:t>
      </w:r>
      <w:r w:rsidR="00726929" w:rsidRPr="00C12C27">
        <w:rPr>
          <w:rFonts w:asciiTheme="majorHAnsi" w:hAnsiTheme="majorHAnsi"/>
          <w:sz w:val="20"/>
          <w:szCs w:val="20"/>
          <w:lang w:val="es-ES"/>
        </w:rPr>
        <w:t>Asimismo</w:t>
      </w:r>
      <w:r w:rsidR="000A1175" w:rsidRPr="00C12C27">
        <w:rPr>
          <w:rFonts w:asciiTheme="majorHAnsi" w:hAnsiTheme="majorHAnsi"/>
          <w:sz w:val="20"/>
          <w:szCs w:val="20"/>
          <w:lang w:val="es-ES"/>
        </w:rPr>
        <w:t xml:space="preserve">, la CIDH estima que la prolongación del amparo </w:t>
      </w:r>
      <w:r w:rsidR="00C72F58" w:rsidRPr="00C12C27">
        <w:rPr>
          <w:rFonts w:asciiTheme="majorHAnsi" w:hAnsiTheme="majorHAnsi"/>
          <w:sz w:val="20"/>
          <w:szCs w:val="20"/>
          <w:lang w:val="es-ES"/>
        </w:rPr>
        <w:t xml:space="preserve">no constituye un </w:t>
      </w:r>
      <w:r w:rsidR="0078677F" w:rsidRPr="00C12C27">
        <w:rPr>
          <w:rFonts w:asciiTheme="majorHAnsi" w:hAnsiTheme="majorHAnsi"/>
          <w:sz w:val="20"/>
          <w:szCs w:val="20"/>
          <w:lang w:val="es-ES"/>
        </w:rPr>
        <w:t>alegato</w:t>
      </w:r>
      <w:r w:rsidR="000A1175" w:rsidRPr="00C12C27">
        <w:rPr>
          <w:rFonts w:asciiTheme="majorHAnsi" w:hAnsiTheme="majorHAnsi"/>
          <w:sz w:val="20"/>
          <w:szCs w:val="20"/>
          <w:lang w:val="es-ES"/>
        </w:rPr>
        <w:t xml:space="preserve"> independiente, sino </w:t>
      </w:r>
      <w:r w:rsidR="00C72F58" w:rsidRPr="00C12C27">
        <w:rPr>
          <w:rFonts w:asciiTheme="majorHAnsi" w:hAnsiTheme="majorHAnsi"/>
          <w:sz w:val="20"/>
          <w:szCs w:val="20"/>
          <w:lang w:val="es-ES"/>
        </w:rPr>
        <w:t>una manifestación</w:t>
      </w:r>
      <w:r w:rsidR="000A1175" w:rsidRPr="00C12C27">
        <w:rPr>
          <w:rFonts w:asciiTheme="majorHAnsi" w:hAnsiTheme="majorHAnsi"/>
          <w:sz w:val="20"/>
          <w:szCs w:val="20"/>
          <w:lang w:val="es-ES"/>
        </w:rPr>
        <w:t xml:space="preserve"> complementaria de </w:t>
      </w:r>
      <w:r w:rsidR="00C72F58" w:rsidRPr="00C12C27">
        <w:rPr>
          <w:rFonts w:asciiTheme="majorHAnsi" w:hAnsiTheme="majorHAnsi"/>
          <w:sz w:val="20"/>
          <w:szCs w:val="20"/>
          <w:lang w:val="es-ES"/>
        </w:rPr>
        <w:t>la</w:t>
      </w:r>
      <w:r w:rsidR="000A1175" w:rsidRPr="00C12C27">
        <w:rPr>
          <w:rFonts w:asciiTheme="majorHAnsi" w:hAnsiTheme="majorHAnsi"/>
          <w:sz w:val="20"/>
          <w:szCs w:val="20"/>
          <w:lang w:val="es-ES"/>
        </w:rPr>
        <w:t xml:space="preserve"> presunta </w:t>
      </w:r>
      <w:r w:rsidR="008C0189" w:rsidRPr="00C12C27">
        <w:rPr>
          <w:rFonts w:asciiTheme="majorHAnsi" w:hAnsiTheme="majorHAnsi"/>
          <w:sz w:val="20"/>
          <w:szCs w:val="20"/>
          <w:lang w:val="es-ES"/>
        </w:rPr>
        <w:t>ausencia</w:t>
      </w:r>
      <w:r w:rsidR="000A1175" w:rsidRPr="00C12C27">
        <w:rPr>
          <w:rFonts w:asciiTheme="majorHAnsi" w:hAnsiTheme="majorHAnsi"/>
          <w:sz w:val="20"/>
          <w:szCs w:val="20"/>
          <w:lang w:val="es-ES"/>
        </w:rPr>
        <w:t xml:space="preserve"> de justicia ambiental, ya planteada internamente mediante el amparo indirecto, su revisión y las quejas que obran en el expediente. En virtud del reconocimiento estatal del agotamiento respecto del derecho a un medio ambiente sano y de las consideraciones precedentes, la Comisión concluye que se satisface el requisito del artículo 46.1.a) de la Convención.</w:t>
      </w:r>
    </w:p>
    <w:p w14:paraId="2E7892EF" w14:textId="12121402" w:rsidR="00940C2E" w:rsidRPr="00C12C27" w:rsidRDefault="00940C2E" w:rsidP="001A7906">
      <w:pPr>
        <w:pStyle w:val="ListParagraph"/>
        <w:numPr>
          <w:ilvl w:val="0"/>
          <w:numId w:val="59"/>
        </w:numPr>
        <w:spacing w:before="240" w:after="240"/>
        <w:jc w:val="both"/>
        <w:rPr>
          <w:rFonts w:asciiTheme="majorHAnsi" w:eastAsia="Arial Unicode MS" w:hAnsiTheme="majorHAnsi"/>
          <w:sz w:val="20"/>
          <w:szCs w:val="20"/>
          <w:lang w:val="es-ES" w:eastAsia="en-US"/>
        </w:rPr>
      </w:pPr>
      <w:r w:rsidRPr="00C12C27">
        <w:rPr>
          <w:rFonts w:asciiTheme="majorHAnsi" w:eastAsia="Arial Unicode MS" w:hAnsiTheme="majorHAnsi"/>
          <w:sz w:val="20"/>
          <w:szCs w:val="20"/>
          <w:lang w:val="es-ES" w:eastAsia="en-US"/>
        </w:rPr>
        <w:t xml:space="preserve">En cuanto al plazo de presentación, la Comisión observa que la decisión final en sede interna se dictó el 10 de febrero de 2015 y que la petición fue presentada el 31 de julio del mismo año, dentro del plazo </w:t>
      </w:r>
      <w:r w:rsidRPr="00C12C27">
        <w:rPr>
          <w:rFonts w:asciiTheme="majorHAnsi" w:eastAsia="Arial Unicode MS" w:hAnsiTheme="majorHAnsi"/>
          <w:sz w:val="20"/>
          <w:szCs w:val="20"/>
          <w:lang w:val="es-ES" w:eastAsia="en-US"/>
        </w:rPr>
        <w:lastRenderedPageBreak/>
        <w:t>de seis meses previsto en el artículo 46.1.b) de la Convención Americana. En consecuencia, se encuentra cumplido también este requisito de admisibilidad.</w:t>
      </w:r>
    </w:p>
    <w:p w14:paraId="673598AF" w14:textId="473A5386" w:rsidR="003239B8" w:rsidRPr="00C12C27" w:rsidRDefault="003239B8" w:rsidP="001A7906">
      <w:pPr>
        <w:pStyle w:val="ListParagraph"/>
        <w:spacing w:before="240" w:after="240"/>
        <w:ind w:left="0" w:firstLine="720"/>
        <w:jc w:val="both"/>
        <w:rPr>
          <w:rFonts w:asciiTheme="majorHAnsi" w:hAnsiTheme="majorHAnsi"/>
          <w:b/>
          <w:bCs/>
          <w:sz w:val="20"/>
          <w:szCs w:val="20"/>
          <w:lang w:val="es-ES"/>
        </w:rPr>
      </w:pPr>
      <w:r w:rsidRPr="00C12C27">
        <w:rPr>
          <w:rFonts w:asciiTheme="majorHAnsi" w:hAnsiTheme="majorHAnsi"/>
          <w:b/>
          <w:bCs/>
          <w:sz w:val="20"/>
          <w:szCs w:val="20"/>
          <w:lang w:val="es-ES"/>
        </w:rPr>
        <w:t>VII.</w:t>
      </w:r>
      <w:r w:rsidRPr="00C12C27">
        <w:rPr>
          <w:rFonts w:asciiTheme="majorHAnsi" w:hAnsiTheme="majorHAnsi"/>
          <w:b/>
          <w:bCs/>
          <w:sz w:val="20"/>
          <w:szCs w:val="20"/>
          <w:lang w:val="es-ES"/>
        </w:rPr>
        <w:tab/>
      </w:r>
      <w:r w:rsidR="004A6A54" w:rsidRPr="00C12C27">
        <w:rPr>
          <w:rFonts w:asciiTheme="majorHAnsi" w:hAnsiTheme="majorHAnsi"/>
          <w:b/>
          <w:bCs/>
          <w:sz w:val="20"/>
          <w:szCs w:val="20"/>
          <w:lang w:val="es-ES"/>
        </w:rPr>
        <w:t xml:space="preserve">ANÁLISIS DE </w:t>
      </w:r>
      <w:r w:rsidR="00C21FEF" w:rsidRPr="00C12C27">
        <w:rPr>
          <w:rFonts w:asciiTheme="majorHAnsi" w:hAnsiTheme="majorHAnsi"/>
          <w:b/>
          <w:bCs/>
          <w:sz w:val="20"/>
          <w:szCs w:val="20"/>
          <w:lang w:val="es-ES"/>
        </w:rPr>
        <w:t>CARACTERIZACIÓN DE LOS HECHOS ALEGADOS</w:t>
      </w:r>
    </w:p>
    <w:p w14:paraId="72B023A8" w14:textId="08E75F6A" w:rsidR="00B415A6" w:rsidRPr="00C12C27" w:rsidRDefault="00B415A6" w:rsidP="001A7906">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 xml:space="preserve">En el presente asunto, </w:t>
      </w:r>
      <w:r w:rsidR="00ED2646" w:rsidRPr="00C12C27">
        <w:rPr>
          <w:rFonts w:asciiTheme="majorHAnsi" w:hAnsiTheme="majorHAnsi"/>
          <w:sz w:val="20"/>
          <w:szCs w:val="20"/>
          <w:lang w:val="es-ES"/>
        </w:rPr>
        <w:t xml:space="preserve">la Comisión observa que el peticionario cuestiona esencialmente la falta de recursos judiciales idóneos y efectivos para controvertir la autorización y la operación del confinamiento de residuos peligrosos de </w:t>
      </w:r>
      <w:r w:rsidR="008C0189" w:rsidRPr="00C12C27">
        <w:rPr>
          <w:rFonts w:asciiTheme="majorHAnsi" w:hAnsiTheme="majorHAnsi"/>
          <w:sz w:val="20"/>
          <w:szCs w:val="20"/>
          <w:lang w:val="es-ES"/>
        </w:rPr>
        <w:t xml:space="preserve">Cytrar </w:t>
      </w:r>
      <w:r w:rsidR="00ED2646" w:rsidRPr="00C12C27">
        <w:rPr>
          <w:rFonts w:asciiTheme="majorHAnsi" w:hAnsiTheme="majorHAnsi"/>
          <w:sz w:val="20"/>
          <w:szCs w:val="20"/>
          <w:lang w:val="es-ES"/>
        </w:rPr>
        <w:t>S.A</w:t>
      </w:r>
      <w:r w:rsidR="008C0189" w:rsidRPr="00C12C27">
        <w:rPr>
          <w:rFonts w:asciiTheme="majorHAnsi" w:hAnsiTheme="majorHAnsi"/>
          <w:sz w:val="20"/>
          <w:szCs w:val="20"/>
          <w:lang w:val="es-ES"/>
        </w:rPr>
        <w:t>.</w:t>
      </w:r>
      <w:r w:rsidR="00F61499" w:rsidRPr="00C12C27">
        <w:rPr>
          <w:rFonts w:asciiTheme="majorHAnsi" w:hAnsiTheme="majorHAnsi"/>
          <w:sz w:val="20"/>
          <w:szCs w:val="20"/>
          <w:lang w:val="es-ES"/>
        </w:rPr>
        <w:t xml:space="preserve"> En este sentido, a su criterio, </w:t>
      </w:r>
      <w:r w:rsidR="00ED2646" w:rsidRPr="00C12C27">
        <w:rPr>
          <w:rFonts w:asciiTheme="majorHAnsi" w:hAnsiTheme="majorHAnsi"/>
          <w:sz w:val="20"/>
          <w:szCs w:val="20"/>
          <w:lang w:val="es-ES"/>
        </w:rPr>
        <w:t>la dilación del amparo indirecto y</w:t>
      </w:r>
      <w:r w:rsidR="002F4DF1" w:rsidRPr="00C12C27">
        <w:rPr>
          <w:rFonts w:asciiTheme="majorHAnsi" w:hAnsiTheme="majorHAnsi"/>
          <w:sz w:val="20"/>
          <w:szCs w:val="20"/>
          <w:lang w:val="es-ES"/>
        </w:rPr>
        <w:t xml:space="preserve"> </w:t>
      </w:r>
      <w:r w:rsidR="00ED2646" w:rsidRPr="00C12C27">
        <w:rPr>
          <w:rFonts w:asciiTheme="majorHAnsi" w:hAnsiTheme="majorHAnsi"/>
          <w:sz w:val="20"/>
          <w:szCs w:val="20"/>
          <w:lang w:val="es-ES"/>
        </w:rPr>
        <w:t>la ausencia de un pronunciamiento material sobre los riesgos denunciados serían manifestaciones de esa ineficacia y habría</w:t>
      </w:r>
      <w:r w:rsidR="00164331" w:rsidRPr="00C12C27">
        <w:rPr>
          <w:rFonts w:asciiTheme="majorHAnsi" w:hAnsiTheme="majorHAnsi"/>
          <w:sz w:val="20"/>
          <w:szCs w:val="20"/>
          <w:lang w:val="es-ES"/>
        </w:rPr>
        <w:t>n</w:t>
      </w:r>
      <w:r w:rsidR="00ED2646" w:rsidRPr="00C12C27">
        <w:rPr>
          <w:rFonts w:asciiTheme="majorHAnsi" w:hAnsiTheme="majorHAnsi"/>
          <w:sz w:val="20"/>
          <w:szCs w:val="20"/>
          <w:lang w:val="es-ES"/>
        </w:rPr>
        <w:t xml:space="preserve"> permitido la continuidad de potenciales afectaciones al derecho a un medio ambiente sano de los habitantes de la ciudad. Por su parte, el Estado </w:t>
      </w:r>
      <w:r w:rsidR="00164331" w:rsidRPr="00C12C27">
        <w:rPr>
          <w:rFonts w:asciiTheme="majorHAnsi" w:hAnsiTheme="majorHAnsi"/>
          <w:sz w:val="20"/>
          <w:szCs w:val="20"/>
          <w:lang w:val="es-ES"/>
        </w:rPr>
        <w:t xml:space="preserve">aduce </w:t>
      </w:r>
      <w:r w:rsidR="00ED2646" w:rsidRPr="00C12C27">
        <w:rPr>
          <w:rFonts w:asciiTheme="majorHAnsi" w:hAnsiTheme="majorHAnsi"/>
          <w:sz w:val="20"/>
          <w:szCs w:val="20"/>
          <w:lang w:val="es-ES"/>
        </w:rPr>
        <w:t>que la solicitud pretende convertir a la Comisión en una “cuarta instancia”; afirma además que el proceso se tramitó conforme a las normas procesales y con respeto del debido proceso y que la demora no es imputable a las autoridades judiciales, sino a la actividad procesal del propio peticionario.</w:t>
      </w:r>
    </w:p>
    <w:p w14:paraId="7541A716" w14:textId="2BD85ED7" w:rsidR="00D970C9" w:rsidRPr="00C12C27" w:rsidRDefault="00D970C9"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 xml:space="preserve">La Comisión reitera que el criterio de evaluación de la fase de admisibilidad difiere del que se utiliza para pronunciarse sobre el fondo de una petición; la CIDH debe realizar en esta etapa una evaluación </w:t>
      </w:r>
      <w:r w:rsidRPr="00C12C27">
        <w:rPr>
          <w:rFonts w:asciiTheme="majorHAnsi" w:hAnsiTheme="majorHAnsi"/>
          <w:i/>
          <w:iCs/>
          <w:sz w:val="20"/>
          <w:szCs w:val="20"/>
          <w:lang w:val="es-ES"/>
        </w:rPr>
        <w:t>prima facie</w:t>
      </w:r>
      <w:r w:rsidRPr="00C12C27">
        <w:rPr>
          <w:rFonts w:asciiTheme="majorHAnsi" w:hAnsiTheme="majorHAnsi"/>
          <w:sz w:val="20"/>
          <w:szCs w:val="20"/>
          <w:lang w:val="es-ES"/>
        </w:rPr>
        <w:t xml:space="preserve"> para determinar si la petición establece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2793127A" w14:textId="20EC2874" w:rsidR="00A720EC" w:rsidRPr="00C12C27" w:rsidRDefault="00A720EC"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 xml:space="preserve">Al respecto, la Comisión </w:t>
      </w:r>
      <w:r w:rsidR="00305CBB" w:rsidRPr="00C12C27">
        <w:rPr>
          <w:rFonts w:asciiTheme="majorHAnsi" w:hAnsiTheme="majorHAnsi"/>
          <w:sz w:val="20"/>
          <w:szCs w:val="20"/>
          <w:lang w:val="es-ES"/>
        </w:rPr>
        <w:t xml:space="preserve">destaca </w:t>
      </w:r>
      <w:r w:rsidRPr="00C12C27">
        <w:rPr>
          <w:rFonts w:asciiTheme="majorHAnsi" w:hAnsiTheme="majorHAnsi"/>
          <w:sz w:val="20"/>
          <w:szCs w:val="20"/>
          <w:lang w:val="es-ES"/>
        </w:rPr>
        <w:t>que la Corte Interamericana ha señalado que la existencia formal de un recurso judicial no basta para cumplir el artículo 25 de la Convención Americana, sino que se requiere</w:t>
      </w:r>
      <w:r w:rsidR="00E65429" w:rsidRPr="00C12C27">
        <w:rPr>
          <w:rFonts w:asciiTheme="majorHAnsi" w:hAnsiTheme="majorHAnsi"/>
          <w:sz w:val="20"/>
          <w:szCs w:val="20"/>
          <w:lang w:val="es-ES"/>
        </w:rPr>
        <w:t xml:space="preserve"> que</w:t>
      </w:r>
      <w:r w:rsidRPr="00C12C27">
        <w:rPr>
          <w:rFonts w:asciiTheme="majorHAnsi" w:hAnsiTheme="majorHAnsi"/>
          <w:sz w:val="20"/>
          <w:szCs w:val="20"/>
          <w:lang w:val="es-ES"/>
        </w:rPr>
        <w:t xml:space="preserve"> este sea realmente idóneo y eficaz para </w:t>
      </w:r>
      <w:r w:rsidR="00822127" w:rsidRPr="00C12C27">
        <w:rPr>
          <w:rFonts w:asciiTheme="majorHAnsi" w:hAnsiTheme="majorHAnsi"/>
          <w:sz w:val="20"/>
          <w:szCs w:val="20"/>
          <w:lang w:val="es-ES"/>
        </w:rPr>
        <w:t>establecer</w:t>
      </w:r>
      <w:r w:rsidRPr="00C12C27">
        <w:rPr>
          <w:rFonts w:asciiTheme="majorHAnsi" w:hAnsiTheme="majorHAnsi"/>
          <w:sz w:val="20"/>
          <w:szCs w:val="20"/>
          <w:lang w:val="es-ES"/>
        </w:rPr>
        <w:t xml:space="preserve"> si ha existido una violación de derechos humanos y para proporcionar una reparación adecuada</w:t>
      </w:r>
      <w:r w:rsidRPr="00C12C27">
        <w:rPr>
          <w:rStyle w:val="FootnoteReference"/>
          <w:rFonts w:asciiTheme="majorHAnsi" w:hAnsiTheme="majorHAnsi"/>
          <w:sz w:val="20"/>
          <w:szCs w:val="20"/>
          <w:lang w:val="es-ES"/>
        </w:rPr>
        <w:footnoteReference w:id="10"/>
      </w:r>
      <w:r w:rsidRPr="00C12C27">
        <w:rPr>
          <w:rFonts w:asciiTheme="majorHAnsi" w:hAnsiTheme="majorHAnsi"/>
          <w:sz w:val="20"/>
          <w:szCs w:val="20"/>
          <w:lang w:val="es-ES"/>
        </w:rPr>
        <w:t>. En esta línea, la Corte ha sostenido que las autoridades judiciales, como rectoras del proceso, deben dirigirlo con la debida diligencia y evitar que el formalismo procesal sacrifique la justicia y el debido proceso</w:t>
      </w:r>
      <w:r w:rsidRPr="00C12C27">
        <w:rPr>
          <w:rStyle w:val="FootnoteReference"/>
          <w:rFonts w:asciiTheme="majorHAnsi" w:hAnsiTheme="majorHAnsi"/>
          <w:sz w:val="20"/>
          <w:szCs w:val="20"/>
          <w:lang w:val="es-ES"/>
        </w:rPr>
        <w:footnoteReference w:id="11"/>
      </w:r>
      <w:r w:rsidRPr="00C12C27">
        <w:rPr>
          <w:rFonts w:asciiTheme="majorHAnsi" w:hAnsiTheme="majorHAnsi"/>
          <w:sz w:val="20"/>
          <w:szCs w:val="20"/>
          <w:lang w:val="es-ES"/>
        </w:rPr>
        <w:t>.</w:t>
      </w:r>
      <w:r w:rsidR="006B4B52" w:rsidRPr="00C12C27">
        <w:rPr>
          <w:rFonts w:asciiTheme="majorHAnsi" w:hAnsiTheme="majorHAnsi"/>
          <w:color w:val="333333"/>
          <w:sz w:val="20"/>
          <w:szCs w:val="20"/>
          <w:lang w:val="es-ES"/>
        </w:rPr>
        <w:t xml:space="preserve"> </w:t>
      </w:r>
      <w:r w:rsidRPr="00C12C27">
        <w:rPr>
          <w:rFonts w:asciiTheme="majorHAnsi" w:hAnsiTheme="majorHAnsi"/>
          <w:sz w:val="20"/>
          <w:szCs w:val="20"/>
          <w:lang w:val="es-ES"/>
        </w:rPr>
        <w:t xml:space="preserve">Este deber implica garantizar que los procedimientos sean efectivos y se desarrollen con la celeridad necesaria para evitar demoras injustificadas. En ese sentido, conforme al artículo 8.1 de la Convención Americana, la Corte ha establecido que </w:t>
      </w:r>
      <w:r w:rsidR="009E466E" w:rsidRPr="00C12C27">
        <w:rPr>
          <w:rFonts w:asciiTheme="majorHAnsi" w:hAnsiTheme="majorHAnsi"/>
          <w:sz w:val="20"/>
          <w:szCs w:val="20"/>
          <w:lang w:val="es-ES"/>
        </w:rPr>
        <w:t xml:space="preserve">una </w:t>
      </w:r>
      <w:r w:rsidRPr="00C12C27">
        <w:rPr>
          <w:rFonts w:asciiTheme="majorHAnsi" w:hAnsiTheme="majorHAnsi"/>
          <w:sz w:val="20"/>
          <w:szCs w:val="20"/>
          <w:lang w:val="es-ES"/>
        </w:rPr>
        <w:t>demora prolongada en resolver los reclamos puede constituir, por sí misma, una violación de las garantías judiciales</w:t>
      </w:r>
      <w:r w:rsidR="009E466E" w:rsidRPr="00C12C27">
        <w:rPr>
          <w:rStyle w:val="FootnoteReference"/>
          <w:rFonts w:asciiTheme="majorHAnsi" w:hAnsiTheme="majorHAnsi"/>
          <w:sz w:val="20"/>
          <w:szCs w:val="20"/>
          <w:lang w:val="es-ES"/>
        </w:rPr>
        <w:footnoteReference w:id="12"/>
      </w:r>
      <w:r w:rsidR="009E466E" w:rsidRPr="00C12C27">
        <w:rPr>
          <w:rFonts w:asciiTheme="majorHAnsi" w:hAnsiTheme="majorHAnsi"/>
          <w:sz w:val="20"/>
          <w:szCs w:val="20"/>
          <w:lang w:val="es-ES"/>
        </w:rPr>
        <w:t>.</w:t>
      </w:r>
    </w:p>
    <w:p w14:paraId="5B27FF9F" w14:textId="6EBE17D4" w:rsidR="00DE79AE" w:rsidRPr="00C12C27" w:rsidRDefault="009E466E"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Particularmente, tanto la Comisión como la Corte IDH han reconocido que el artículo 26 de la Convención Americana protege el derecho a un medio ambiente sano como un derecho autónomo</w:t>
      </w:r>
      <w:r w:rsidR="00AC2B9A" w:rsidRPr="00C12C27">
        <w:rPr>
          <w:rFonts w:asciiTheme="majorHAnsi" w:hAnsiTheme="majorHAnsi"/>
          <w:sz w:val="20"/>
          <w:szCs w:val="20"/>
          <w:lang w:val="es-ES"/>
        </w:rPr>
        <w:t xml:space="preserve"> y sus componentes, tales como bosques, ríos, mares y otros, como intereses jurídicos en sí mismos, aún en ausencia de certeza o evidencia sobre el riesgo a las personas individuales</w:t>
      </w:r>
      <w:r w:rsidR="00362C73" w:rsidRPr="00C12C27">
        <w:rPr>
          <w:rStyle w:val="FootnoteReference"/>
          <w:rFonts w:asciiTheme="majorHAnsi" w:hAnsiTheme="majorHAnsi"/>
          <w:sz w:val="20"/>
          <w:szCs w:val="20"/>
          <w:lang w:val="es-ES"/>
        </w:rPr>
        <w:footnoteReference w:id="13"/>
      </w:r>
      <w:r w:rsidR="00AC2B9A" w:rsidRPr="00C12C27">
        <w:rPr>
          <w:rFonts w:asciiTheme="majorHAnsi" w:hAnsiTheme="majorHAnsi"/>
          <w:sz w:val="20"/>
          <w:szCs w:val="20"/>
          <w:lang w:val="es-ES"/>
        </w:rPr>
        <w:t xml:space="preserve">. </w:t>
      </w:r>
      <w:r w:rsidRPr="00C12C27">
        <w:rPr>
          <w:rFonts w:asciiTheme="majorHAnsi" w:hAnsiTheme="majorHAnsi"/>
          <w:sz w:val="20"/>
          <w:szCs w:val="20"/>
          <w:lang w:val="es-ES"/>
        </w:rPr>
        <w:t xml:space="preserve">El Tribunal ha </w:t>
      </w:r>
      <w:r w:rsidR="00822127" w:rsidRPr="00C12C27">
        <w:rPr>
          <w:rFonts w:asciiTheme="majorHAnsi" w:hAnsiTheme="majorHAnsi"/>
          <w:sz w:val="20"/>
          <w:szCs w:val="20"/>
          <w:lang w:val="es-ES"/>
        </w:rPr>
        <w:t>destacado</w:t>
      </w:r>
      <w:r w:rsidR="00522582" w:rsidRPr="00C12C27">
        <w:rPr>
          <w:rFonts w:asciiTheme="majorHAnsi" w:hAnsiTheme="majorHAnsi"/>
          <w:sz w:val="20"/>
          <w:szCs w:val="20"/>
          <w:lang w:val="es-ES"/>
        </w:rPr>
        <w:t>,</w:t>
      </w:r>
      <w:r w:rsidRPr="00C12C27">
        <w:rPr>
          <w:rFonts w:asciiTheme="majorHAnsi" w:hAnsiTheme="majorHAnsi"/>
          <w:sz w:val="20"/>
          <w:szCs w:val="20"/>
          <w:lang w:val="es-ES"/>
        </w:rPr>
        <w:t xml:space="preserve"> además</w:t>
      </w:r>
      <w:r w:rsidR="00AC2B9A" w:rsidRPr="00C12C27">
        <w:rPr>
          <w:rFonts w:asciiTheme="majorHAnsi" w:hAnsiTheme="majorHAnsi"/>
          <w:sz w:val="20"/>
          <w:szCs w:val="20"/>
          <w:lang w:val="es-ES"/>
        </w:rPr>
        <w:t>,</w:t>
      </w:r>
      <w:r w:rsidRPr="00C12C27">
        <w:rPr>
          <w:rFonts w:asciiTheme="majorHAnsi" w:hAnsiTheme="majorHAnsi"/>
          <w:sz w:val="20"/>
          <w:szCs w:val="20"/>
          <w:lang w:val="es-ES"/>
        </w:rPr>
        <w:t xml:space="preserve"> que el acceso a la justicia ambiental constituye un medio indispensable para garantizar el cumplimiento de las normas ambientales y la reparación de las violaciones que deriven de su incumplimiento. Ello incluye la posibilidad de impugnar normas, decisiones, actos u omisiones de las </w:t>
      </w:r>
      <w:r w:rsidR="00C72F58" w:rsidRPr="00C12C27">
        <w:rPr>
          <w:rFonts w:asciiTheme="majorHAnsi" w:hAnsiTheme="majorHAnsi"/>
          <w:sz w:val="20"/>
          <w:szCs w:val="20"/>
          <w:lang w:val="es-ES"/>
        </w:rPr>
        <w:t>autoridades</w:t>
      </w:r>
      <w:r w:rsidRPr="00C12C27">
        <w:rPr>
          <w:rFonts w:asciiTheme="majorHAnsi" w:hAnsiTheme="majorHAnsi"/>
          <w:sz w:val="20"/>
          <w:szCs w:val="20"/>
          <w:lang w:val="es-ES"/>
        </w:rPr>
        <w:t xml:space="preserve"> que contravengan las obligaciones de derecho ambiental, mediante recursos sustanciados con arreglo al debido proceso</w:t>
      </w:r>
      <w:r w:rsidR="00362C73" w:rsidRPr="00C12C27">
        <w:rPr>
          <w:rStyle w:val="FootnoteReference"/>
          <w:rFonts w:asciiTheme="majorHAnsi" w:hAnsiTheme="majorHAnsi"/>
          <w:sz w:val="20"/>
          <w:szCs w:val="20"/>
          <w:lang w:val="es-ES"/>
        </w:rPr>
        <w:footnoteReference w:id="14"/>
      </w:r>
      <w:r w:rsidR="00362C73" w:rsidRPr="00C12C27">
        <w:rPr>
          <w:rFonts w:asciiTheme="majorHAnsi" w:hAnsiTheme="majorHAnsi"/>
          <w:sz w:val="20"/>
          <w:szCs w:val="20"/>
          <w:lang w:val="es-ES"/>
        </w:rPr>
        <w:t>.</w:t>
      </w:r>
      <w:r w:rsidRPr="00C12C27">
        <w:rPr>
          <w:rFonts w:asciiTheme="majorHAnsi" w:hAnsiTheme="majorHAnsi"/>
          <w:sz w:val="20"/>
          <w:szCs w:val="20"/>
          <w:lang w:val="es-ES"/>
        </w:rPr>
        <w:t xml:space="preserve"> En este marco, los Estados </w:t>
      </w:r>
      <w:r w:rsidRPr="00C12C27">
        <w:rPr>
          <w:rFonts w:asciiTheme="majorHAnsi" w:hAnsiTheme="majorHAnsi"/>
          <w:sz w:val="20"/>
          <w:szCs w:val="20"/>
          <w:lang w:val="es-ES"/>
        </w:rPr>
        <w:lastRenderedPageBreak/>
        <w:t>deben asegurar que dichos recursos sean accesibles, efectivos y conduzcan a una respuesta judicial fundada que permita la protección material del derecho a un medio ambiente sano</w:t>
      </w:r>
      <w:r w:rsidR="00AC2B9A" w:rsidRPr="00C12C27">
        <w:rPr>
          <w:rFonts w:asciiTheme="majorHAnsi" w:hAnsiTheme="majorHAnsi"/>
          <w:sz w:val="20"/>
          <w:szCs w:val="20"/>
          <w:lang w:val="es-ES"/>
        </w:rPr>
        <w:t xml:space="preserve">. </w:t>
      </w:r>
    </w:p>
    <w:p w14:paraId="58FE1614" w14:textId="16D8F2DB" w:rsidR="00DE79AE" w:rsidRPr="00C12C27" w:rsidRDefault="00DE79AE"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Por su parte, el Relator Especial sobre los derechos humanos y el medio ambiente de las Naciones Unidas ha señalado que el deber de los Estados de garantizar recursos efectivos frente a violaciones de derechos humanos comprende también aquellas de carácter ambiental</w:t>
      </w:r>
      <w:r w:rsidR="00362C73" w:rsidRPr="00C12C27">
        <w:rPr>
          <w:rStyle w:val="FootnoteReference"/>
          <w:rFonts w:asciiTheme="majorHAnsi" w:hAnsiTheme="majorHAnsi"/>
          <w:sz w:val="20"/>
          <w:szCs w:val="20"/>
          <w:lang w:val="es-ES"/>
        </w:rPr>
        <w:footnoteReference w:id="15"/>
      </w:r>
      <w:r w:rsidRPr="00C12C27">
        <w:rPr>
          <w:rFonts w:asciiTheme="majorHAnsi" w:hAnsiTheme="majorHAnsi"/>
          <w:sz w:val="20"/>
          <w:szCs w:val="20"/>
          <w:lang w:val="es-ES"/>
        </w:rPr>
        <w:t>. Para cumplir con este estándar, los procedimientos judiciales y administrativos deben ser imparciales, independientes y accesibles, resolver las reclamaciones con celeridad, contar con competencia técnica y recursos adecuados, prever la apelación ante un órgano superior, y culminar en decisiones vinculantes que incluyan, en su caso, indemnizaciones, restituciones u otras formas de reparación. Asimismo, dichos mecanismos deben poder activarse ante riesgos ambientales inminentes o previsibles, así como frente a violaciones pasadas o actuales, e interpretar de manera amplia la legitimación activa para garantizar el acceso a la justicia ambiental.</w:t>
      </w:r>
    </w:p>
    <w:p w14:paraId="1C3A93A3" w14:textId="021A1884" w:rsidR="00B4101C" w:rsidRPr="00C12C27" w:rsidRDefault="00B4101C"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Sin perjuicio de que</w:t>
      </w:r>
      <w:r w:rsidR="006D1ADD" w:rsidRPr="00C12C27">
        <w:rPr>
          <w:rFonts w:asciiTheme="majorHAnsi" w:hAnsiTheme="majorHAnsi"/>
          <w:sz w:val="20"/>
          <w:szCs w:val="20"/>
          <w:lang w:val="es-ES"/>
        </w:rPr>
        <w:t xml:space="preserve"> en la etapa de fondo del presente caso las partes puedan aportar elementos adicionales de carácter técnico respecto de la contaminación alegadamente producida por el confinamiento,</w:t>
      </w:r>
      <w:r w:rsidRPr="00C12C27">
        <w:rPr>
          <w:rFonts w:asciiTheme="majorHAnsi" w:hAnsiTheme="majorHAnsi"/>
          <w:sz w:val="20"/>
          <w:szCs w:val="20"/>
          <w:lang w:val="es-ES"/>
        </w:rPr>
        <w:t xml:space="preserve"> la Comisión toma nota de que los riesgos por gestión inadecuada de residuos peligrosos han sido reconocidos a nivel internacional como amenazas serias para derechos como la vida y la salud</w:t>
      </w:r>
      <w:r w:rsidRPr="00C12C27">
        <w:rPr>
          <w:rStyle w:val="FootnoteReference"/>
          <w:rFonts w:asciiTheme="majorHAnsi" w:hAnsiTheme="majorHAnsi"/>
          <w:sz w:val="20"/>
          <w:szCs w:val="20"/>
          <w:lang w:val="es-ES"/>
        </w:rPr>
        <w:footnoteReference w:id="16"/>
      </w:r>
      <w:r w:rsidRPr="00C12C27">
        <w:rPr>
          <w:rFonts w:asciiTheme="majorHAnsi" w:hAnsiTheme="majorHAnsi"/>
          <w:sz w:val="20"/>
          <w:szCs w:val="20"/>
          <w:lang w:val="es-ES"/>
        </w:rPr>
        <w:t>. Este contexto refuerza la necesidad de recursos judiciales idóneos y oportunos que permitan prevenir y remediar afectaciones ambientales.</w:t>
      </w:r>
    </w:p>
    <w:p w14:paraId="68D0DA51" w14:textId="3E2B1EF9" w:rsidR="00531F52" w:rsidRPr="00C12C27" w:rsidRDefault="00531F52"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En el caso concreto, la ausencia de u</w:t>
      </w:r>
      <w:r w:rsidR="001A7906" w:rsidRPr="00C12C27">
        <w:rPr>
          <w:rFonts w:asciiTheme="majorHAnsi" w:hAnsiTheme="majorHAnsi"/>
          <w:sz w:val="20"/>
          <w:szCs w:val="20"/>
          <w:lang w:val="es-ES"/>
        </w:rPr>
        <w:t xml:space="preserve">n pronunciamiento </w:t>
      </w:r>
      <w:r w:rsidRPr="00C12C27">
        <w:rPr>
          <w:rFonts w:asciiTheme="majorHAnsi" w:hAnsiTheme="majorHAnsi"/>
          <w:sz w:val="20"/>
          <w:szCs w:val="20"/>
          <w:lang w:val="es-ES"/>
        </w:rPr>
        <w:t>sobre los efectos ambientales del confinamiento</w:t>
      </w:r>
      <w:r w:rsidR="001A7906" w:rsidRPr="00C12C27">
        <w:rPr>
          <w:rFonts w:asciiTheme="majorHAnsi" w:hAnsiTheme="majorHAnsi"/>
          <w:sz w:val="20"/>
          <w:szCs w:val="20"/>
          <w:lang w:val="es-ES"/>
        </w:rPr>
        <w:t xml:space="preserve"> en los diversos recursos administrativos y de amparo</w:t>
      </w:r>
      <w:r w:rsidRPr="00C12C27">
        <w:rPr>
          <w:rFonts w:asciiTheme="majorHAnsi" w:hAnsiTheme="majorHAnsi"/>
          <w:sz w:val="20"/>
          <w:szCs w:val="20"/>
          <w:lang w:val="es-ES"/>
        </w:rPr>
        <w:t xml:space="preserve">, unida a la prolongación de casi </w:t>
      </w:r>
      <w:r w:rsidR="006467D5" w:rsidRPr="00C12C27">
        <w:rPr>
          <w:rFonts w:asciiTheme="majorHAnsi" w:hAnsiTheme="majorHAnsi"/>
          <w:sz w:val="20"/>
          <w:szCs w:val="20"/>
          <w:lang w:val="es-ES"/>
        </w:rPr>
        <w:t xml:space="preserve">14 </w:t>
      </w:r>
      <w:r w:rsidRPr="00C12C27">
        <w:rPr>
          <w:rFonts w:asciiTheme="majorHAnsi" w:hAnsiTheme="majorHAnsi"/>
          <w:sz w:val="20"/>
          <w:szCs w:val="20"/>
          <w:lang w:val="es-ES"/>
        </w:rPr>
        <w:t>años del amparo indirecto, podría reflejar una falta de tutela judicial efectiva y un</w:t>
      </w:r>
      <w:r w:rsidR="00AB39B1" w:rsidRPr="00C12C27">
        <w:rPr>
          <w:rFonts w:asciiTheme="majorHAnsi" w:hAnsiTheme="majorHAnsi"/>
          <w:sz w:val="20"/>
          <w:szCs w:val="20"/>
          <w:lang w:val="es-ES"/>
        </w:rPr>
        <w:t xml:space="preserve">a dilación indebida </w:t>
      </w:r>
      <w:r w:rsidRPr="00C12C27">
        <w:rPr>
          <w:rFonts w:asciiTheme="majorHAnsi" w:hAnsiTheme="majorHAnsi"/>
          <w:sz w:val="20"/>
          <w:szCs w:val="20"/>
          <w:lang w:val="es-ES"/>
        </w:rPr>
        <w:t>en la resolución de las pretensiones del peticionario. Asimismo, la interposición de múltiples recursos administrativos y judiciales, ninguno de los cuales derivó en un pronunciamiento sobre las alegadas afectaciones ambientales, podría ser un indicativo de la inexistencia de mecanismos idóneos y eficaces para obtener una evaluación técnica y jurídica de los riesgos denunciados. De corroborarse, estos elementos podrían ser incompatibles con los estándares interamericanos que exigen recursos judiciales efectivos, orientados a garantizar una respuesta de fondo frente a posibles vulneraciones de los derechos a las garantías judiciales, a la protección judicial y a un medio ambiente sano.</w:t>
      </w:r>
    </w:p>
    <w:p w14:paraId="7DDFADB9" w14:textId="175017F2" w:rsidR="001A520D" w:rsidRPr="00C12C27" w:rsidRDefault="008C5E2D"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En aten</w:t>
      </w:r>
      <w:r w:rsidR="00C25ADB" w:rsidRPr="00C12C27">
        <w:rPr>
          <w:rFonts w:asciiTheme="majorHAnsi" w:hAnsiTheme="majorHAnsi"/>
          <w:sz w:val="20"/>
          <w:szCs w:val="20"/>
          <w:lang w:val="es-ES"/>
        </w:rPr>
        <w:t>ción a estas consideraciones</w:t>
      </w:r>
      <w:r w:rsidR="002E03FA" w:rsidRPr="00C12C27">
        <w:rPr>
          <w:rFonts w:asciiTheme="majorHAnsi" w:hAnsiTheme="majorHAnsi"/>
          <w:sz w:val="20"/>
          <w:szCs w:val="20"/>
          <w:lang w:val="es-ES"/>
        </w:rPr>
        <w:t>,</w:t>
      </w:r>
      <w:r w:rsidR="00C25ADB" w:rsidRPr="00C12C27">
        <w:rPr>
          <w:rFonts w:asciiTheme="majorHAnsi" w:hAnsiTheme="majorHAnsi"/>
          <w:sz w:val="20"/>
          <w:szCs w:val="20"/>
          <w:lang w:val="es-ES"/>
        </w:rPr>
        <w:t xml:space="preserve"> y </w:t>
      </w:r>
      <w:r w:rsidRPr="00C12C27">
        <w:rPr>
          <w:rFonts w:asciiTheme="majorHAnsi" w:hAnsiTheme="majorHAnsi"/>
          <w:sz w:val="20"/>
          <w:szCs w:val="20"/>
          <w:lang w:val="es-ES"/>
        </w:rPr>
        <w:t>tras examinar los elementos de hecho y de derecho expuestos por las partes</w:t>
      </w:r>
      <w:r w:rsidR="002E03FA" w:rsidRPr="00C12C27">
        <w:rPr>
          <w:rFonts w:asciiTheme="majorHAnsi" w:hAnsiTheme="majorHAnsi"/>
          <w:sz w:val="20"/>
          <w:szCs w:val="20"/>
          <w:lang w:val="es-ES"/>
        </w:rPr>
        <w:t>,</w:t>
      </w:r>
      <w:r w:rsidRPr="00C12C27">
        <w:rPr>
          <w:rFonts w:asciiTheme="majorHAnsi" w:hAnsiTheme="majorHAnsi"/>
          <w:sz w:val="20"/>
          <w:szCs w:val="20"/>
          <w:lang w:val="es-ES"/>
        </w:rPr>
        <w:t xml:space="preserve"> la Comisión estima que </w:t>
      </w:r>
      <w:r w:rsidR="00D970C9" w:rsidRPr="00C12C27">
        <w:rPr>
          <w:rFonts w:asciiTheme="majorHAnsi" w:hAnsiTheme="majorHAnsi"/>
          <w:sz w:val="20"/>
          <w:szCs w:val="20"/>
          <w:lang w:val="es-ES"/>
        </w:rPr>
        <w:t>los alegatos del peticionario</w:t>
      </w:r>
      <w:r w:rsidRPr="00C12C27">
        <w:rPr>
          <w:rFonts w:asciiTheme="majorHAnsi" w:hAnsiTheme="majorHAnsi"/>
          <w:sz w:val="20"/>
          <w:szCs w:val="20"/>
          <w:lang w:val="es-ES"/>
        </w:rPr>
        <w:t xml:space="preserve"> no resultan manifiestamente infundad</w:t>
      </w:r>
      <w:r w:rsidR="006B6E1E" w:rsidRPr="00C12C27">
        <w:rPr>
          <w:rFonts w:asciiTheme="majorHAnsi" w:hAnsiTheme="majorHAnsi"/>
          <w:sz w:val="20"/>
          <w:szCs w:val="20"/>
          <w:lang w:val="es-ES"/>
        </w:rPr>
        <w:t>o</w:t>
      </w:r>
      <w:r w:rsidRPr="00C12C27">
        <w:rPr>
          <w:rFonts w:asciiTheme="majorHAnsi" w:hAnsiTheme="majorHAnsi"/>
          <w:sz w:val="20"/>
          <w:szCs w:val="20"/>
          <w:lang w:val="es-ES"/>
        </w:rPr>
        <w:t>s y requieren un estudio de fondo</w:t>
      </w:r>
      <w:r w:rsidR="00394073" w:rsidRPr="00C12C27">
        <w:rPr>
          <w:rFonts w:asciiTheme="majorHAnsi" w:hAnsiTheme="majorHAnsi"/>
          <w:sz w:val="20"/>
          <w:szCs w:val="20"/>
          <w:lang w:val="es-ES"/>
        </w:rPr>
        <w:t>;</w:t>
      </w:r>
      <w:r w:rsidRPr="00C12C27">
        <w:rPr>
          <w:rFonts w:asciiTheme="majorHAnsi" w:hAnsiTheme="majorHAnsi"/>
          <w:sz w:val="20"/>
          <w:szCs w:val="20"/>
          <w:lang w:val="es-ES"/>
        </w:rPr>
        <w:t xml:space="preserve"> pues los hechos </w:t>
      </w:r>
      <w:r w:rsidR="00C92178" w:rsidRPr="00C12C27">
        <w:rPr>
          <w:rFonts w:asciiTheme="majorHAnsi" w:hAnsiTheme="majorHAnsi"/>
          <w:sz w:val="20"/>
          <w:szCs w:val="20"/>
          <w:lang w:val="es-ES"/>
        </w:rPr>
        <w:t>denunciados</w:t>
      </w:r>
      <w:r w:rsidRPr="00C12C27">
        <w:rPr>
          <w:rFonts w:asciiTheme="majorHAnsi" w:hAnsiTheme="majorHAnsi"/>
          <w:sz w:val="20"/>
          <w:szCs w:val="20"/>
          <w:lang w:val="es-ES"/>
        </w:rPr>
        <w:t>, de corroborarse como ciertos</w:t>
      </w:r>
      <w:r w:rsidR="00394073" w:rsidRPr="00C12C27">
        <w:rPr>
          <w:rFonts w:asciiTheme="majorHAnsi" w:hAnsiTheme="majorHAnsi"/>
          <w:sz w:val="20"/>
          <w:szCs w:val="20"/>
          <w:lang w:val="es-ES"/>
        </w:rPr>
        <w:t>,</w:t>
      </w:r>
      <w:r w:rsidRPr="00C12C27">
        <w:rPr>
          <w:rFonts w:asciiTheme="majorHAnsi" w:hAnsiTheme="majorHAnsi"/>
          <w:sz w:val="20"/>
          <w:szCs w:val="20"/>
          <w:lang w:val="es-ES"/>
        </w:rPr>
        <w:t xml:space="preserve"> podrían caracteri</w:t>
      </w:r>
      <w:r w:rsidR="004B421C" w:rsidRPr="00C12C27">
        <w:rPr>
          <w:rFonts w:asciiTheme="majorHAnsi" w:hAnsiTheme="majorHAnsi"/>
          <w:sz w:val="20"/>
          <w:szCs w:val="20"/>
          <w:lang w:val="es-ES"/>
        </w:rPr>
        <w:t>zar violaciones a los artículos</w:t>
      </w:r>
      <w:r w:rsidR="00394073" w:rsidRPr="00C12C27">
        <w:rPr>
          <w:rFonts w:asciiTheme="majorHAnsi" w:hAnsiTheme="majorHAnsi"/>
          <w:sz w:val="20"/>
          <w:szCs w:val="20"/>
          <w:lang w:val="es-ES"/>
        </w:rPr>
        <w:t xml:space="preserve"> </w:t>
      </w:r>
      <w:r w:rsidR="00D970C9" w:rsidRPr="00C12C27">
        <w:rPr>
          <w:rFonts w:asciiTheme="majorHAnsi" w:hAnsiTheme="majorHAnsi"/>
          <w:bCs/>
          <w:sz w:val="20"/>
          <w:szCs w:val="20"/>
          <w:lang w:val="es-ES"/>
        </w:rPr>
        <w:t xml:space="preserve">8 (garantías judiciales), 25 (protección judicial) y </w:t>
      </w:r>
      <w:r w:rsidR="00D970C9" w:rsidRPr="00C12C27">
        <w:rPr>
          <w:rStyle w:val="s49"/>
          <w:rFonts w:asciiTheme="majorHAnsi" w:hAnsiTheme="majorHAnsi"/>
          <w:sz w:val="20"/>
          <w:szCs w:val="20"/>
          <w:lang w:val="es-ES"/>
        </w:rPr>
        <w:t xml:space="preserve">26 (derechos económicos, sociales, culturales y ambientales) </w:t>
      </w:r>
      <w:r w:rsidR="00D970C9" w:rsidRPr="00C12C27">
        <w:rPr>
          <w:rFonts w:asciiTheme="majorHAnsi" w:hAnsiTheme="majorHAnsi"/>
          <w:bCs/>
          <w:sz w:val="20"/>
          <w:szCs w:val="20"/>
          <w:lang w:val="es-ES"/>
        </w:rPr>
        <w:t>de la Convención Americana</w:t>
      </w:r>
      <w:r w:rsidR="00394073" w:rsidRPr="00C12C27">
        <w:rPr>
          <w:rFonts w:asciiTheme="majorHAnsi" w:hAnsiTheme="majorHAnsi"/>
          <w:sz w:val="20"/>
          <w:szCs w:val="20"/>
          <w:lang w:val="es-ES"/>
        </w:rPr>
        <w:t xml:space="preserve"> </w:t>
      </w:r>
      <w:r w:rsidR="00D970C9" w:rsidRPr="00C12C27">
        <w:rPr>
          <w:rFonts w:asciiTheme="majorHAnsi" w:hAnsiTheme="majorHAnsi"/>
          <w:bCs/>
          <w:sz w:val="20"/>
          <w:szCs w:val="20"/>
          <w:lang w:val="es-ES"/>
        </w:rPr>
        <w:t>en relación con su artículo 1.1 (obligación de respetar los derechos)</w:t>
      </w:r>
      <w:r w:rsidR="006B6E1E" w:rsidRPr="00C12C27">
        <w:rPr>
          <w:rFonts w:asciiTheme="majorHAnsi" w:hAnsiTheme="majorHAnsi"/>
          <w:bCs/>
          <w:sz w:val="20"/>
          <w:szCs w:val="20"/>
          <w:lang w:val="es-ES"/>
        </w:rPr>
        <w:t xml:space="preserve"> </w:t>
      </w:r>
      <w:r w:rsidR="00394073" w:rsidRPr="00C12C27">
        <w:rPr>
          <w:rFonts w:asciiTheme="majorHAnsi" w:hAnsiTheme="majorHAnsi"/>
          <w:sz w:val="20"/>
          <w:szCs w:val="20"/>
          <w:lang w:val="es-ES"/>
        </w:rPr>
        <w:t>en perjuicio de</w:t>
      </w:r>
      <w:r w:rsidR="00D970C9" w:rsidRPr="00C12C27">
        <w:rPr>
          <w:rFonts w:asciiTheme="majorHAnsi" w:hAnsiTheme="majorHAnsi"/>
          <w:sz w:val="20"/>
          <w:szCs w:val="20"/>
          <w:lang w:val="es-ES"/>
        </w:rPr>
        <w:t xml:space="preserve">l señor </w:t>
      </w:r>
      <w:r w:rsidR="00D970C9" w:rsidRPr="00C12C27">
        <w:rPr>
          <w:rFonts w:asciiTheme="majorHAnsi" w:hAnsiTheme="majorHAnsi"/>
          <w:bCs/>
          <w:sz w:val="20"/>
          <w:szCs w:val="20"/>
          <w:lang w:val="es-ES"/>
        </w:rPr>
        <w:t>Domingo Gutiérrez Mendívil</w:t>
      </w:r>
      <w:r w:rsidR="006D1ADD" w:rsidRPr="00C12C27">
        <w:rPr>
          <w:rFonts w:asciiTheme="majorHAnsi" w:hAnsiTheme="majorHAnsi"/>
          <w:bCs/>
          <w:sz w:val="20"/>
          <w:szCs w:val="20"/>
          <w:lang w:val="es-ES"/>
        </w:rPr>
        <w:t xml:space="preserve"> y </w:t>
      </w:r>
      <w:r w:rsidR="00DC51B0" w:rsidRPr="00C12C27">
        <w:rPr>
          <w:rFonts w:asciiTheme="majorHAnsi" w:hAnsiTheme="majorHAnsi"/>
          <w:bCs/>
          <w:sz w:val="20"/>
          <w:szCs w:val="20"/>
          <w:lang w:val="es-ES"/>
        </w:rPr>
        <w:t xml:space="preserve">los </w:t>
      </w:r>
      <w:r w:rsidR="00DC51B0" w:rsidRPr="00C12C27">
        <w:rPr>
          <w:bCs/>
          <w:sz w:val="20"/>
          <w:szCs w:val="20"/>
          <w:lang w:val="es-ES"/>
        </w:rPr>
        <w:t>habitantes de las zonas adyacentes al predio denominado “Las Víboras”, en Hermosillo</w:t>
      </w:r>
      <w:r w:rsidR="00D970C9" w:rsidRPr="00C12C27">
        <w:rPr>
          <w:rFonts w:asciiTheme="majorHAnsi" w:hAnsiTheme="majorHAnsi"/>
          <w:sz w:val="20"/>
          <w:szCs w:val="20"/>
          <w:lang w:val="es-ES"/>
        </w:rPr>
        <w:t xml:space="preserve"> </w:t>
      </w:r>
      <w:r w:rsidR="00394073" w:rsidRPr="00C12C27">
        <w:rPr>
          <w:rFonts w:asciiTheme="majorHAnsi" w:hAnsiTheme="majorHAnsi"/>
          <w:sz w:val="20"/>
          <w:szCs w:val="20"/>
          <w:lang w:val="es-ES"/>
        </w:rPr>
        <w:t xml:space="preserve">en los términos del presente informe. </w:t>
      </w:r>
      <w:r w:rsidR="004B421C" w:rsidRPr="00C12C27">
        <w:rPr>
          <w:rFonts w:asciiTheme="majorHAnsi" w:hAnsiTheme="majorHAnsi"/>
          <w:sz w:val="20"/>
          <w:szCs w:val="20"/>
          <w:lang w:val="es-ES"/>
        </w:rPr>
        <w:t xml:space="preserve"> </w:t>
      </w:r>
    </w:p>
    <w:p w14:paraId="08AAB5E0" w14:textId="2069D9B6" w:rsidR="00C50773" w:rsidRPr="00C12C27" w:rsidRDefault="00C50773" w:rsidP="001A7906">
      <w:pPr>
        <w:pStyle w:val="ListParagraph"/>
        <w:numPr>
          <w:ilvl w:val="0"/>
          <w:numId w:val="59"/>
        </w:numP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 xml:space="preserve">En relación con los alegatos relativos al artículo 11 del Protocolo de San Salvador, la Comisión nota que la competencia prevista en los términos del artículo 19.6 de dicho tratado para pronunciarse en el contexto de un caso individual se limita a los artículos 8.1.a) y 13. Respecto a los demás artículos, de conformidad con el artículo 29 de la Convención, la Comisión </w:t>
      </w:r>
      <w:r w:rsidR="00C92178" w:rsidRPr="00C12C27">
        <w:rPr>
          <w:rFonts w:asciiTheme="majorHAnsi" w:hAnsiTheme="majorHAnsi"/>
          <w:sz w:val="20"/>
          <w:szCs w:val="20"/>
          <w:lang w:val="es-ES"/>
        </w:rPr>
        <w:t xml:space="preserve">los </w:t>
      </w:r>
      <w:r w:rsidRPr="00C12C27">
        <w:rPr>
          <w:rFonts w:asciiTheme="majorHAnsi" w:hAnsiTheme="majorHAnsi"/>
          <w:sz w:val="20"/>
          <w:szCs w:val="20"/>
          <w:lang w:val="es-ES"/>
        </w:rPr>
        <w:t>puede tomar en cuenta para interpretar y aplicar la Convención Americana y otros instrumentos aplicables.</w:t>
      </w:r>
    </w:p>
    <w:p w14:paraId="579EE452" w14:textId="77777777" w:rsidR="00C018BF" w:rsidRDefault="00C018BF" w:rsidP="001A7906">
      <w:pPr>
        <w:pStyle w:val="ListParagraph"/>
        <w:spacing w:before="240" w:after="240"/>
        <w:ind w:left="0" w:firstLine="720"/>
        <w:jc w:val="both"/>
        <w:rPr>
          <w:rFonts w:asciiTheme="majorHAnsi" w:hAnsiTheme="majorHAnsi"/>
          <w:b/>
          <w:bCs/>
          <w:sz w:val="20"/>
          <w:szCs w:val="20"/>
          <w:lang w:val="es-ES"/>
        </w:rPr>
      </w:pPr>
    </w:p>
    <w:p w14:paraId="6650F8DB" w14:textId="77777777" w:rsidR="00C018BF" w:rsidRDefault="00C018BF" w:rsidP="001A7906">
      <w:pPr>
        <w:pStyle w:val="ListParagraph"/>
        <w:spacing w:before="240" w:after="240"/>
        <w:ind w:left="0" w:firstLine="720"/>
        <w:jc w:val="both"/>
        <w:rPr>
          <w:rFonts w:asciiTheme="majorHAnsi" w:hAnsiTheme="majorHAnsi"/>
          <w:b/>
          <w:bCs/>
          <w:sz w:val="20"/>
          <w:szCs w:val="20"/>
          <w:lang w:val="es-ES"/>
        </w:rPr>
      </w:pPr>
    </w:p>
    <w:p w14:paraId="445BF42E" w14:textId="05AA0365" w:rsidR="003239B8" w:rsidRPr="00C12C27" w:rsidRDefault="003239B8" w:rsidP="001A7906">
      <w:pPr>
        <w:pStyle w:val="ListParagraph"/>
        <w:spacing w:before="240" w:after="240"/>
        <w:ind w:left="0" w:firstLine="720"/>
        <w:jc w:val="both"/>
        <w:rPr>
          <w:rFonts w:asciiTheme="majorHAnsi" w:hAnsiTheme="majorHAnsi"/>
          <w:b/>
          <w:bCs/>
          <w:sz w:val="20"/>
          <w:szCs w:val="20"/>
          <w:lang w:val="es-ES"/>
        </w:rPr>
      </w:pPr>
      <w:r w:rsidRPr="00C12C27">
        <w:rPr>
          <w:rFonts w:asciiTheme="majorHAnsi" w:hAnsiTheme="majorHAnsi"/>
          <w:b/>
          <w:bCs/>
          <w:sz w:val="20"/>
          <w:szCs w:val="20"/>
          <w:lang w:val="es-ES"/>
        </w:rPr>
        <w:lastRenderedPageBreak/>
        <w:t xml:space="preserve">VIII. </w:t>
      </w:r>
      <w:r w:rsidRPr="00C12C27">
        <w:rPr>
          <w:rFonts w:asciiTheme="majorHAnsi" w:hAnsiTheme="majorHAnsi"/>
          <w:b/>
          <w:bCs/>
          <w:sz w:val="20"/>
          <w:szCs w:val="20"/>
          <w:lang w:val="es-ES"/>
        </w:rPr>
        <w:tab/>
        <w:t>DECISIÓN</w:t>
      </w:r>
    </w:p>
    <w:p w14:paraId="16B36F97" w14:textId="0FC3BD59" w:rsidR="003239B8" w:rsidRPr="00C12C27" w:rsidRDefault="003239B8" w:rsidP="001A790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Declarar admisible la presente petición en relación con</w:t>
      </w:r>
      <w:r w:rsidR="001D7F96" w:rsidRPr="00C12C27">
        <w:rPr>
          <w:rFonts w:asciiTheme="majorHAnsi" w:hAnsiTheme="majorHAnsi"/>
          <w:sz w:val="20"/>
          <w:szCs w:val="20"/>
          <w:lang w:val="es-ES"/>
        </w:rPr>
        <w:t xml:space="preserve"> </w:t>
      </w:r>
      <w:r w:rsidR="00D970C9" w:rsidRPr="00C12C27">
        <w:rPr>
          <w:rFonts w:asciiTheme="majorHAnsi" w:hAnsiTheme="majorHAnsi"/>
          <w:bCs/>
          <w:sz w:val="20"/>
          <w:szCs w:val="20"/>
          <w:lang w:val="es-ES"/>
        </w:rPr>
        <w:t xml:space="preserve">8, 25 y </w:t>
      </w:r>
      <w:r w:rsidR="00D970C9" w:rsidRPr="00C12C27">
        <w:rPr>
          <w:rStyle w:val="s49"/>
          <w:rFonts w:asciiTheme="majorHAnsi" w:hAnsiTheme="majorHAnsi"/>
          <w:color w:val="000000"/>
          <w:sz w:val="20"/>
          <w:szCs w:val="20"/>
          <w:lang w:val="es-ES"/>
        </w:rPr>
        <w:t>26 de la Convención Americana</w:t>
      </w:r>
      <w:r w:rsidR="00C018BF">
        <w:rPr>
          <w:rStyle w:val="s49"/>
          <w:rFonts w:asciiTheme="majorHAnsi" w:hAnsiTheme="majorHAnsi"/>
          <w:color w:val="000000"/>
          <w:sz w:val="20"/>
          <w:szCs w:val="20"/>
          <w:lang w:val="es-ES"/>
        </w:rPr>
        <w:t>; y</w:t>
      </w:r>
    </w:p>
    <w:p w14:paraId="00C1D3B7" w14:textId="35E10A49" w:rsidR="008D768D" w:rsidRDefault="004A6A54" w:rsidP="001A7906">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C12C27">
        <w:rPr>
          <w:rFonts w:asciiTheme="majorHAnsi" w:hAnsiTheme="majorHAnsi"/>
          <w:sz w:val="20"/>
          <w:szCs w:val="20"/>
          <w:lang w:val="es-ES"/>
        </w:rPr>
        <w:t>Notificar a las partes la presente decisión; continuar con el análisis del fondo de la cuestión</w:t>
      </w:r>
      <w:r w:rsidR="00D970C9" w:rsidRPr="00C12C27">
        <w:rPr>
          <w:rFonts w:asciiTheme="majorHAnsi" w:hAnsiTheme="majorHAnsi"/>
          <w:sz w:val="20"/>
          <w:szCs w:val="20"/>
          <w:lang w:val="es-ES"/>
        </w:rPr>
        <w:t xml:space="preserve">; </w:t>
      </w:r>
      <w:r w:rsidRPr="00C12C27">
        <w:rPr>
          <w:rFonts w:asciiTheme="majorHAnsi" w:hAnsiTheme="majorHAnsi"/>
          <w:sz w:val="20"/>
          <w:szCs w:val="20"/>
          <w:lang w:val="es-ES"/>
        </w:rPr>
        <w:t>y publicar esta decisión e incluirla en su Informe Anual a la Asamblea General de la Organización de los Estados Americanos.</w:t>
      </w:r>
    </w:p>
    <w:p w14:paraId="67750994" w14:textId="6D581FB8" w:rsidR="00C018BF" w:rsidRPr="002C2319" w:rsidRDefault="00F94346" w:rsidP="002C2319">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w:t>
      </w:r>
      <w:r w:rsidRPr="00A91B73">
        <w:rPr>
          <w:rStyle w:val="normaltextrun"/>
          <w:rFonts w:ascii="Cambria" w:hAnsi="Cambria" w:cs="Segoe UI"/>
          <w:sz w:val="20"/>
          <w:szCs w:val="20"/>
          <w:lang w:val="es-CL"/>
        </w:rPr>
        <w:t xml:space="preserve">ericana de Derechos Humanos a los </w:t>
      </w:r>
      <w:r w:rsidR="005F67FD" w:rsidRPr="00A91B73">
        <w:rPr>
          <w:rStyle w:val="normaltextrun"/>
          <w:rFonts w:ascii="Cambria" w:hAnsi="Cambria" w:cs="Segoe UI"/>
          <w:sz w:val="20"/>
          <w:szCs w:val="20"/>
          <w:lang w:val="es-CL"/>
        </w:rPr>
        <w:t>15</w:t>
      </w:r>
      <w:r w:rsidRPr="00A91B73">
        <w:rPr>
          <w:rStyle w:val="normaltextrun"/>
          <w:rFonts w:ascii="Cambria" w:hAnsi="Cambria" w:cs="Segoe UI"/>
          <w:sz w:val="20"/>
          <w:szCs w:val="20"/>
          <w:lang w:val="es-CL"/>
        </w:rPr>
        <w:t xml:space="preserve"> días del mes de </w:t>
      </w:r>
      <w:r w:rsidR="005F67FD" w:rsidRPr="00A91B73">
        <w:rPr>
          <w:rStyle w:val="normaltextrun"/>
          <w:rFonts w:ascii="Cambria" w:hAnsi="Cambria" w:cs="Segoe UI"/>
          <w:sz w:val="20"/>
          <w:szCs w:val="20"/>
          <w:lang w:val="es-CL"/>
        </w:rPr>
        <w:t>diciembre</w:t>
      </w:r>
      <w:r w:rsidRPr="00A91B73">
        <w:rPr>
          <w:rStyle w:val="normaltextrun"/>
          <w:rFonts w:ascii="Cambria" w:hAnsi="Cambria" w:cs="Segoe UI"/>
          <w:sz w:val="20"/>
          <w:szCs w:val="20"/>
          <w:lang w:val="es-CL"/>
        </w:rPr>
        <w:t xml:space="preserve"> de 20</w:t>
      </w:r>
      <w:r w:rsidR="005F67FD" w:rsidRPr="00A91B73">
        <w:rPr>
          <w:rStyle w:val="normaltextrun"/>
          <w:rFonts w:ascii="Cambria" w:hAnsi="Cambria" w:cs="Segoe UI"/>
          <w:sz w:val="20"/>
          <w:szCs w:val="20"/>
          <w:lang w:val="es-CL"/>
        </w:rPr>
        <w:t>25</w:t>
      </w:r>
      <w:r w:rsidRPr="00A91B73">
        <w:rPr>
          <w:rStyle w:val="normaltextrun"/>
          <w:rFonts w:ascii="Cambria" w:hAnsi="Cambria" w:cs="Segoe UI"/>
          <w:sz w:val="20"/>
          <w:szCs w:val="20"/>
          <w:lang w:val="es-CL"/>
        </w:rPr>
        <w:t xml:space="preserve">.  (Firmado): </w:t>
      </w:r>
      <w:r w:rsidR="004D2DA4" w:rsidRPr="00A91B73">
        <w:rPr>
          <w:rStyle w:val="normaltextrun"/>
          <w:rFonts w:ascii="Cambria" w:hAnsi="Cambria" w:cs="Segoe UI"/>
          <w:sz w:val="20"/>
          <w:szCs w:val="20"/>
          <w:lang w:val="es-CL"/>
        </w:rPr>
        <w:t>Andrea Pochak, Primera Vicepresidenta; Edgar Stuardo Ralón Orellana, Roberta Clarke y Gloria Monique de Mees</w:t>
      </w:r>
      <w:r w:rsidRPr="00A91B73">
        <w:rPr>
          <w:rStyle w:val="normaltextrun"/>
          <w:rFonts w:ascii="Cambria" w:hAnsi="Cambria" w:cs="Segoe UI"/>
          <w:sz w:val="20"/>
          <w:szCs w:val="20"/>
          <w:lang w:val="es-CL"/>
        </w:rPr>
        <w:t xml:space="preserve">, </w:t>
      </w:r>
      <w:r w:rsidR="002C2319">
        <w:rPr>
          <w:rStyle w:val="normaltextrun"/>
          <w:rFonts w:ascii="Cambria" w:hAnsi="Cambria" w:cs="Segoe UI"/>
          <w:sz w:val="20"/>
          <w:szCs w:val="20"/>
          <w:lang w:val="es-CL"/>
        </w:rPr>
        <w:t>m</w:t>
      </w:r>
      <w:r w:rsidRPr="00A91B73">
        <w:rPr>
          <w:rStyle w:val="normaltextrun"/>
          <w:rFonts w:ascii="Cambria" w:hAnsi="Cambria" w:cs="Segoe UI"/>
          <w:sz w:val="20"/>
          <w:szCs w:val="20"/>
          <w:lang w:val="es-CL"/>
        </w:rPr>
        <w:t>iembros de la Comisión.</w:t>
      </w:r>
    </w:p>
    <w:sectPr w:rsidR="00C018BF" w:rsidRPr="002C2319"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D2601" w14:textId="77777777" w:rsidR="00DE7D17" w:rsidRDefault="00DE7D17">
      <w:r>
        <w:separator/>
      </w:r>
    </w:p>
  </w:endnote>
  <w:endnote w:type="continuationSeparator" w:id="0">
    <w:p w14:paraId="4692B704" w14:textId="77777777" w:rsidR="00DE7D17" w:rsidRDefault="00DE7D17">
      <w:r>
        <w:continuationSeparator/>
      </w:r>
    </w:p>
  </w:endnote>
  <w:endnote w:type="continuationNotice" w:id="1">
    <w:p w14:paraId="31F79DCE" w14:textId="77777777" w:rsidR="00DE7D17" w:rsidRDefault="00DE7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
    <w:altName w:val="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F909" w14:textId="77777777" w:rsidR="00DE7D17" w:rsidRPr="000F35ED" w:rsidRDefault="00DE7D1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BBA96B5" w14:textId="77777777" w:rsidR="00DE7D17" w:rsidRPr="000F35ED" w:rsidRDefault="00DE7D17" w:rsidP="000F35ED">
      <w:pPr>
        <w:rPr>
          <w:rFonts w:asciiTheme="majorHAnsi" w:hAnsiTheme="majorHAnsi"/>
          <w:sz w:val="16"/>
          <w:szCs w:val="16"/>
        </w:rPr>
      </w:pPr>
      <w:r w:rsidRPr="000F35ED">
        <w:rPr>
          <w:rFonts w:asciiTheme="majorHAnsi" w:hAnsiTheme="majorHAnsi"/>
          <w:sz w:val="16"/>
          <w:szCs w:val="16"/>
        </w:rPr>
        <w:separator/>
      </w:r>
    </w:p>
    <w:p w14:paraId="5034780B" w14:textId="77777777" w:rsidR="00DE7D17" w:rsidRPr="000F35ED" w:rsidRDefault="00DE7D17"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3602690" w14:textId="77777777" w:rsidR="00DE7D17" w:rsidRPr="000F35ED" w:rsidRDefault="00DE7D17"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51F59CDB" w14:textId="77777777" w:rsidR="00AD49CC" w:rsidRPr="00425D50" w:rsidRDefault="00AD49CC" w:rsidP="001A7906">
      <w:pPr>
        <w:pStyle w:val="FootnoteText"/>
        <w:ind w:firstLine="720"/>
        <w:jc w:val="both"/>
        <w:rPr>
          <w:rFonts w:ascii="Cambria" w:hAnsi="Cambria"/>
          <w:sz w:val="16"/>
          <w:szCs w:val="16"/>
          <w:lang w:val="es-ES"/>
        </w:rPr>
      </w:pPr>
      <w:r w:rsidRPr="00425D50">
        <w:rPr>
          <w:rStyle w:val="FootnoteReference"/>
          <w:rFonts w:ascii="Cambria" w:hAnsi="Cambria"/>
          <w:sz w:val="16"/>
          <w:szCs w:val="16"/>
          <w:lang w:val="es-ES"/>
        </w:rPr>
        <w:footnoteRef/>
      </w:r>
      <w:r w:rsidRPr="00425D50">
        <w:rPr>
          <w:rFonts w:ascii="Cambria" w:hAnsi="Cambria"/>
          <w:sz w:val="16"/>
          <w:szCs w:val="16"/>
          <w:lang w:val="es-ES"/>
        </w:rPr>
        <w:t xml:space="preserve"> Conforme a lo dispuesto en el artículo 17.2.a del Reglamento de la Comisión, el Comisionado José Luis Caballero Ochoa, de nacionalidad mexicana, no participó en el debate ni en la decisión del presente asunto.</w:t>
      </w:r>
    </w:p>
  </w:footnote>
  <w:footnote w:id="3">
    <w:p w14:paraId="0891EB15" w14:textId="77777777" w:rsidR="00EE28E8" w:rsidRPr="00425D50" w:rsidRDefault="00EE28E8" w:rsidP="001A7906">
      <w:pPr>
        <w:pStyle w:val="FootnoteText"/>
        <w:ind w:firstLine="720"/>
        <w:jc w:val="both"/>
        <w:rPr>
          <w:rFonts w:ascii="Cambria" w:hAnsi="Cambria"/>
          <w:color w:val="auto"/>
          <w:sz w:val="16"/>
          <w:szCs w:val="16"/>
          <w:lang w:val="es-ES"/>
        </w:rPr>
      </w:pPr>
      <w:r w:rsidRPr="00425D50">
        <w:rPr>
          <w:rStyle w:val="FootnoteReference"/>
          <w:rFonts w:ascii="Cambria" w:hAnsi="Cambria"/>
          <w:color w:val="auto"/>
          <w:sz w:val="16"/>
          <w:szCs w:val="16"/>
          <w:lang w:val="es-ES"/>
        </w:rPr>
        <w:footnoteRef/>
      </w:r>
      <w:r w:rsidRPr="00425D50">
        <w:rPr>
          <w:rFonts w:ascii="Cambria" w:hAnsi="Cambria"/>
          <w:color w:val="auto"/>
          <w:sz w:val="16"/>
          <w:szCs w:val="16"/>
          <w:lang w:val="es-ES"/>
        </w:rPr>
        <w:t xml:space="preserve"> En adelante, “la Convención Americana” o “la Convención”.</w:t>
      </w:r>
    </w:p>
  </w:footnote>
  <w:footnote w:id="4">
    <w:p w14:paraId="1AC02719" w14:textId="77777777" w:rsidR="00EE28E8" w:rsidRPr="00425D50" w:rsidRDefault="00EE28E8" w:rsidP="001A7906">
      <w:pPr>
        <w:pStyle w:val="FootnoteText"/>
        <w:ind w:firstLine="720"/>
        <w:jc w:val="both"/>
        <w:rPr>
          <w:rFonts w:ascii="Cambria" w:hAnsi="Cambria"/>
          <w:color w:val="auto"/>
          <w:sz w:val="16"/>
          <w:szCs w:val="16"/>
          <w:lang w:val="es-ES"/>
        </w:rPr>
      </w:pPr>
      <w:r w:rsidRPr="00425D50">
        <w:rPr>
          <w:rStyle w:val="FootnoteReference"/>
          <w:rFonts w:ascii="Cambria" w:hAnsi="Cambria"/>
          <w:color w:val="auto"/>
          <w:sz w:val="16"/>
          <w:szCs w:val="16"/>
          <w:lang w:val="es-ES"/>
        </w:rPr>
        <w:footnoteRef/>
      </w:r>
      <w:r w:rsidRPr="00425D50">
        <w:rPr>
          <w:rFonts w:ascii="Cambria" w:hAnsi="Cambria"/>
          <w:color w:val="auto"/>
          <w:sz w:val="16"/>
          <w:szCs w:val="16"/>
          <w:lang w:val="es-ES"/>
        </w:rPr>
        <w:t xml:space="preserve"> En adelante, “el Protocolo de San Salvador”.</w:t>
      </w:r>
    </w:p>
  </w:footnote>
  <w:footnote w:id="5">
    <w:p w14:paraId="1AFEF3B0" w14:textId="7D00F8EE" w:rsidR="008E3BFE" w:rsidRPr="00425D50" w:rsidRDefault="008E3BFE" w:rsidP="001A7906">
      <w:pPr>
        <w:pStyle w:val="FootnoteText"/>
        <w:ind w:firstLine="720"/>
        <w:jc w:val="both"/>
        <w:rPr>
          <w:rFonts w:ascii="Cambria" w:hAnsi="Cambria"/>
          <w:sz w:val="16"/>
          <w:szCs w:val="16"/>
          <w:lang w:val="es-ES"/>
        </w:rPr>
      </w:pPr>
      <w:r w:rsidRPr="00425D50">
        <w:rPr>
          <w:rStyle w:val="FootnoteReference"/>
          <w:rFonts w:ascii="Cambria" w:hAnsi="Cambria"/>
          <w:sz w:val="16"/>
          <w:szCs w:val="16"/>
          <w:lang w:val="es-ES"/>
        </w:rPr>
        <w:footnoteRef/>
      </w:r>
      <w:r w:rsidRPr="00425D50">
        <w:rPr>
          <w:rFonts w:ascii="Cambria" w:hAnsi="Cambria"/>
          <w:sz w:val="16"/>
          <w:szCs w:val="16"/>
          <w:lang w:val="es-ES"/>
        </w:rPr>
        <w:t xml:space="preserve"> Las observaciones de cada parte fueron debidamente trasladadas a la parte contraria.</w:t>
      </w:r>
      <w:r w:rsidR="009A56CE" w:rsidRPr="00425D50">
        <w:rPr>
          <w:rFonts w:ascii="Cambria" w:hAnsi="Cambria"/>
          <w:sz w:val="16"/>
          <w:szCs w:val="16"/>
          <w:lang w:val="es-ES"/>
        </w:rPr>
        <w:t xml:space="preserve"> </w:t>
      </w:r>
    </w:p>
  </w:footnote>
  <w:footnote w:id="6">
    <w:p w14:paraId="60882B0C" w14:textId="2E2574E2" w:rsidR="00DF602F" w:rsidRPr="00425D50" w:rsidRDefault="00DF602F" w:rsidP="001A7906">
      <w:pPr>
        <w:pStyle w:val="FootnoteText"/>
        <w:ind w:firstLine="720"/>
        <w:jc w:val="both"/>
        <w:rPr>
          <w:lang w:val="es-ES_tradnl"/>
        </w:rPr>
      </w:pPr>
      <w:r w:rsidRPr="00425D50">
        <w:rPr>
          <w:rStyle w:val="FootnoteReference"/>
          <w:rFonts w:ascii="Cambria" w:hAnsi="Cambria"/>
          <w:sz w:val="16"/>
          <w:szCs w:val="16"/>
          <w:lang w:val="es-ES"/>
        </w:rPr>
        <w:footnoteRef/>
      </w:r>
      <w:r w:rsidRPr="00425D50">
        <w:rPr>
          <w:rStyle w:val="FootnoteReference"/>
          <w:rFonts w:ascii="Cambria" w:hAnsi="Cambria"/>
          <w:sz w:val="16"/>
          <w:szCs w:val="16"/>
          <w:lang w:val="es-ES"/>
        </w:rPr>
        <w:t xml:space="preserve"> </w:t>
      </w:r>
      <w:r w:rsidR="00DC51B0" w:rsidRPr="00425D50">
        <w:rPr>
          <w:rStyle w:val="FootnoteReference"/>
          <w:rFonts w:ascii="Cambria" w:hAnsi="Cambria"/>
          <w:sz w:val="16"/>
          <w:szCs w:val="16"/>
          <w:vertAlign w:val="baseline"/>
          <w:lang w:val="es-ES"/>
        </w:rPr>
        <w:t>Un confinamiento de residuos peligrosos es una instalación diseñada para </w:t>
      </w:r>
      <w:r w:rsidR="003354F3" w:rsidRPr="00425D50">
        <w:rPr>
          <w:rStyle w:val="FootnoteReference"/>
          <w:rFonts w:ascii="Cambria" w:hAnsi="Cambria"/>
          <w:sz w:val="16"/>
          <w:szCs w:val="16"/>
          <w:vertAlign w:val="baseline"/>
          <w:lang w:val="es-ES"/>
        </w:rPr>
        <w:t xml:space="preserve">desechos industriales, químicos o tóxicos que, por su naturaleza, no pueden ser reciclados ni sometidos a tratamientos convencionales. En este tipo de sitios se depositan principalmente metales pesados (plomo, mercurio, manganeso), solventes, residuos biológico-infecciosos, baterías de automóviles, </w:t>
      </w:r>
      <w:r w:rsidR="003354F3" w:rsidRPr="00425D50">
        <w:rPr>
          <w:rFonts w:ascii="Cambria" w:hAnsi="Cambria"/>
          <w:sz w:val="16"/>
          <w:szCs w:val="16"/>
          <w:lang w:val="es-ES"/>
        </w:rPr>
        <w:t>entre otros</w:t>
      </w:r>
      <w:r w:rsidR="003354F3" w:rsidRPr="00425D50">
        <w:rPr>
          <w:rStyle w:val="FootnoteReference"/>
          <w:rFonts w:ascii="Cambria" w:hAnsi="Cambria"/>
          <w:sz w:val="16"/>
          <w:szCs w:val="16"/>
          <w:vertAlign w:val="baseline"/>
          <w:lang w:val="es-ES"/>
        </w:rPr>
        <w:t>, con el objetivo de aislarlos del entorno y evitar su dispersión en el suelo, el aire o las fuentes de agua.</w:t>
      </w:r>
      <w:r w:rsidR="003354F3" w:rsidRPr="00425D50">
        <w:rPr>
          <w:rFonts w:ascii="-webkit-standard" w:hAnsi="-webkit-standard"/>
          <w:sz w:val="27"/>
          <w:szCs w:val="27"/>
          <w:lang w:val="es-ES"/>
        </w:rPr>
        <w:t xml:space="preserve"> </w:t>
      </w:r>
    </w:p>
  </w:footnote>
  <w:footnote w:id="7">
    <w:p w14:paraId="0CB93DE7" w14:textId="498167E7" w:rsidR="008E2ABA" w:rsidRPr="002929DE" w:rsidRDefault="008E2ABA" w:rsidP="001A7906">
      <w:pPr>
        <w:pStyle w:val="FootnoteText"/>
        <w:ind w:firstLine="720"/>
        <w:jc w:val="both"/>
        <w:rPr>
          <w:sz w:val="18"/>
          <w:szCs w:val="18"/>
          <w:lang w:val="es-ES"/>
        </w:rPr>
      </w:pPr>
      <w:r w:rsidRPr="00425D50">
        <w:rPr>
          <w:rStyle w:val="FootnoteReference"/>
          <w:rFonts w:ascii="Cambria" w:hAnsi="Cambria"/>
          <w:sz w:val="16"/>
          <w:szCs w:val="16"/>
          <w:lang w:val="es-ES"/>
        </w:rPr>
        <w:footnoteRef/>
      </w:r>
      <w:r w:rsidRPr="00425D50">
        <w:rPr>
          <w:rStyle w:val="FootnoteReference"/>
          <w:rFonts w:ascii="Cambria" w:hAnsi="Cambria"/>
          <w:sz w:val="16"/>
          <w:szCs w:val="16"/>
          <w:lang w:val="es-ES"/>
        </w:rPr>
        <w:t xml:space="preserve"> </w:t>
      </w:r>
      <w:r w:rsidRPr="00425D50">
        <w:rPr>
          <w:rStyle w:val="FootnoteReference"/>
          <w:rFonts w:ascii="Cambria" w:hAnsi="Cambria"/>
          <w:sz w:val="16"/>
          <w:szCs w:val="16"/>
          <w:vertAlign w:val="baseline"/>
          <w:lang w:val="es-ES"/>
        </w:rPr>
        <w:t xml:space="preserve">Respuesta del Estado mexicano, </w:t>
      </w:r>
      <w:r w:rsidRPr="00425D50">
        <w:rPr>
          <w:rStyle w:val="FootnoteReference"/>
          <w:rFonts w:ascii="Cambria" w:hAnsi="Cambria"/>
          <w:sz w:val="16"/>
          <w:szCs w:val="16"/>
          <w:vertAlign w:val="baseline"/>
          <w:lang w:val="es-ES_tradnl"/>
        </w:rPr>
        <w:t xml:space="preserve">27 de noviembre de 2023, </w:t>
      </w:r>
      <w:r w:rsidR="002929DE" w:rsidRPr="002929DE">
        <w:rPr>
          <w:rStyle w:val="FootnoteReference"/>
          <w:rFonts w:ascii="Cambria" w:hAnsi="Cambria"/>
          <w:sz w:val="16"/>
          <w:szCs w:val="16"/>
          <w:vertAlign w:val="baseline"/>
          <w:lang w:val="es-ES"/>
        </w:rPr>
        <w:t>p</w:t>
      </w:r>
      <w:r w:rsidR="002929DE" w:rsidRPr="002929DE">
        <w:rPr>
          <w:rFonts w:ascii="Cambria" w:hAnsi="Cambria"/>
          <w:sz w:val="16"/>
          <w:szCs w:val="16"/>
          <w:lang w:val="es-ES"/>
        </w:rPr>
        <w:t>árrs.</w:t>
      </w:r>
      <w:r w:rsidRPr="002929DE">
        <w:rPr>
          <w:rStyle w:val="FootnoteReference"/>
          <w:rFonts w:ascii="Cambria" w:hAnsi="Cambria"/>
          <w:sz w:val="16"/>
          <w:szCs w:val="16"/>
          <w:vertAlign w:val="baseline"/>
          <w:lang w:val="es-ES"/>
        </w:rPr>
        <w:t xml:space="preserve"> </w:t>
      </w:r>
      <w:r w:rsidR="001A7906" w:rsidRPr="002929DE">
        <w:rPr>
          <w:rStyle w:val="FootnoteReference"/>
          <w:rFonts w:ascii="Cambria" w:hAnsi="Cambria"/>
          <w:sz w:val="16"/>
          <w:szCs w:val="16"/>
          <w:vertAlign w:val="baseline"/>
          <w:lang w:val="es-ES"/>
        </w:rPr>
        <w:t>4</w:t>
      </w:r>
      <w:r w:rsidR="001A7906" w:rsidRPr="002929DE">
        <w:rPr>
          <w:rFonts w:ascii="Cambria" w:hAnsi="Cambria"/>
          <w:sz w:val="16"/>
          <w:szCs w:val="16"/>
          <w:lang w:val="es-ES"/>
        </w:rPr>
        <w:t>4</w:t>
      </w:r>
      <w:r w:rsidRPr="002929DE">
        <w:rPr>
          <w:rStyle w:val="FootnoteReference"/>
          <w:rFonts w:ascii="Cambria" w:hAnsi="Cambria"/>
          <w:sz w:val="16"/>
          <w:szCs w:val="16"/>
          <w:vertAlign w:val="baseline"/>
          <w:lang w:val="es-ES"/>
        </w:rPr>
        <w:t xml:space="preserve"> y </w:t>
      </w:r>
      <w:r w:rsidR="001A7906" w:rsidRPr="002929DE">
        <w:rPr>
          <w:rFonts w:ascii="Cambria" w:hAnsi="Cambria"/>
          <w:sz w:val="16"/>
          <w:szCs w:val="16"/>
          <w:lang w:val="es-ES"/>
        </w:rPr>
        <w:t>50</w:t>
      </w:r>
    </w:p>
  </w:footnote>
  <w:footnote w:id="8">
    <w:p w14:paraId="6380C25F" w14:textId="15D25402" w:rsidR="003354F3" w:rsidRPr="00172ADE" w:rsidRDefault="003354F3" w:rsidP="001A7906">
      <w:pPr>
        <w:pStyle w:val="FootnoteText"/>
        <w:ind w:firstLine="720"/>
        <w:jc w:val="both"/>
        <w:rPr>
          <w:sz w:val="18"/>
          <w:szCs w:val="18"/>
          <w:lang w:val="fr-CA"/>
        </w:rPr>
      </w:pPr>
      <w:r w:rsidRPr="002929DE">
        <w:rPr>
          <w:rStyle w:val="FootnoteReference"/>
          <w:rFonts w:ascii="Cambria" w:hAnsi="Cambria"/>
          <w:sz w:val="16"/>
          <w:szCs w:val="16"/>
          <w:lang w:val="es-ES"/>
        </w:rPr>
        <w:footnoteRef/>
      </w:r>
      <w:r w:rsidRPr="00172ADE">
        <w:rPr>
          <w:rStyle w:val="FootnoteReference"/>
          <w:rFonts w:ascii="Cambria" w:hAnsi="Cambria"/>
          <w:sz w:val="16"/>
          <w:szCs w:val="16"/>
          <w:lang w:val="fr-CA"/>
        </w:rPr>
        <w:t xml:space="preserve"> </w:t>
      </w:r>
      <w:r w:rsidRPr="00172ADE">
        <w:rPr>
          <w:rStyle w:val="FootnoteReference"/>
          <w:rFonts w:ascii="Cambria" w:hAnsi="Cambria"/>
          <w:sz w:val="16"/>
          <w:szCs w:val="16"/>
          <w:vertAlign w:val="baseline"/>
          <w:lang w:val="fr-CA"/>
        </w:rPr>
        <w:t>Respuesta del Estado mexicano</w:t>
      </w:r>
      <w:r w:rsidR="008E2ABA" w:rsidRPr="00172ADE">
        <w:rPr>
          <w:rStyle w:val="FootnoteReference"/>
          <w:rFonts w:ascii="Cambria" w:hAnsi="Cambria"/>
          <w:sz w:val="16"/>
          <w:szCs w:val="16"/>
          <w:vertAlign w:val="baseline"/>
          <w:lang w:val="fr-CA"/>
        </w:rPr>
        <w:t xml:space="preserve">, </w:t>
      </w:r>
      <w:r w:rsidRPr="00172ADE">
        <w:rPr>
          <w:rStyle w:val="FootnoteReference"/>
          <w:rFonts w:ascii="Cambria" w:hAnsi="Cambria"/>
          <w:sz w:val="16"/>
          <w:szCs w:val="16"/>
          <w:vertAlign w:val="baseline"/>
          <w:lang w:val="fr-CA"/>
        </w:rPr>
        <w:t xml:space="preserve">27 de noviembre de 2023, </w:t>
      </w:r>
      <w:r w:rsidR="002929DE" w:rsidRPr="00172ADE">
        <w:rPr>
          <w:rStyle w:val="FootnoteReference"/>
          <w:rFonts w:ascii="Cambria" w:hAnsi="Cambria"/>
          <w:sz w:val="16"/>
          <w:szCs w:val="16"/>
          <w:vertAlign w:val="baseline"/>
          <w:lang w:val="fr-CA"/>
        </w:rPr>
        <w:t>p</w:t>
      </w:r>
      <w:r w:rsidR="002929DE" w:rsidRPr="00172ADE">
        <w:rPr>
          <w:rFonts w:ascii="Cambria" w:hAnsi="Cambria"/>
          <w:sz w:val="16"/>
          <w:szCs w:val="16"/>
          <w:lang w:val="fr-CA"/>
        </w:rPr>
        <w:t>árrs</w:t>
      </w:r>
      <w:r w:rsidRPr="00172ADE">
        <w:rPr>
          <w:rStyle w:val="FootnoteReference"/>
          <w:rFonts w:ascii="Cambria" w:hAnsi="Cambria"/>
          <w:sz w:val="16"/>
          <w:szCs w:val="16"/>
          <w:vertAlign w:val="baseline"/>
          <w:lang w:val="fr-CA"/>
        </w:rPr>
        <w:t xml:space="preserve">. </w:t>
      </w:r>
      <w:r w:rsidR="008E2ABA" w:rsidRPr="00172ADE">
        <w:rPr>
          <w:rStyle w:val="FootnoteReference"/>
          <w:rFonts w:ascii="Cambria" w:hAnsi="Cambria"/>
          <w:sz w:val="16"/>
          <w:szCs w:val="16"/>
          <w:vertAlign w:val="baseline"/>
          <w:lang w:val="fr-CA"/>
        </w:rPr>
        <w:t xml:space="preserve">34 y </w:t>
      </w:r>
      <w:r w:rsidRPr="00172ADE">
        <w:rPr>
          <w:rStyle w:val="FootnoteReference"/>
          <w:rFonts w:ascii="Cambria" w:hAnsi="Cambria"/>
          <w:sz w:val="16"/>
          <w:szCs w:val="16"/>
          <w:vertAlign w:val="baseline"/>
          <w:lang w:val="fr-CA"/>
        </w:rPr>
        <w:t>36</w:t>
      </w:r>
      <w:r w:rsidR="008E2ABA" w:rsidRPr="00172ADE">
        <w:rPr>
          <w:rStyle w:val="FootnoteReference"/>
          <w:rFonts w:ascii="Cambria" w:hAnsi="Cambria"/>
          <w:sz w:val="16"/>
          <w:szCs w:val="16"/>
          <w:vertAlign w:val="baseline"/>
          <w:lang w:val="fr-CA"/>
        </w:rPr>
        <w:t>.</w:t>
      </w:r>
    </w:p>
  </w:footnote>
  <w:footnote w:id="9">
    <w:p w14:paraId="723F0A76" w14:textId="77777777" w:rsidR="00477E12" w:rsidRPr="00172ADE" w:rsidRDefault="00477E12" w:rsidP="001A7906">
      <w:pPr>
        <w:pStyle w:val="FootnoteText"/>
        <w:ind w:firstLine="720"/>
        <w:jc w:val="both"/>
        <w:rPr>
          <w:rFonts w:ascii="Cambria" w:eastAsia="Times New Roman" w:hAnsi="Cambria"/>
          <w:sz w:val="16"/>
          <w:szCs w:val="16"/>
          <w:bdr w:val="none" w:sz="0" w:space="0" w:color="auto"/>
          <w:lang w:val="fr-CA" w:eastAsia="es-MX"/>
        </w:rPr>
      </w:pPr>
      <w:r w:rsidRPr="00425D50">
        <w:rPr>
          <w:rStyle w:val="FootnoteReference"/>
          <w:rFonts w:ascii="Cambria" w:hAnsi="Cambria"/>
          <w:sz w:val="16"/>
          <w:szCs w:val="16"/>
          <w:lang w:val="es-ES"/>
        </w:rPr>
        <w:footnoteRef/>
      </w:r>
      <w:r w:rsidRPr="00172ADE">
        <w:rPr>
          <w:rStyle w:val="FootnoteReference"/>
          <w:rFonts w:ascii="Cambria" w:hAnsi="Cambria"/>
          <w:sz w:val="16"/>
          <w:szCs w:val="16"/>
          <w:lang w:val="fr-CA"/>
        </w:rPr>
        <w:t xml:space="preserve"> </w:t>
      </w:r>
      <w:r w:rsidRPr="00172ADE">
        <w:rPr>
          <w:rStyle w:val="FootnoteReference"/>
          <w:rFonts w:ascii="Cambria" w:hAnsi="Cambria"/>
          <w:sz w:val="16"/>
          <w:szCs w:val="16"/>
          <w:vertAlign w:val="baseline"/>
          <w:lang w:val="fr-CA"/>
        </w:rPr>
        <w:t xml:space="preserve">CIDH, Informe No. 51/03, </w:t>
      </w:r>
      <w:r w:rsidRPr="00172ADE">
        <w:rPr>
          <w:rFonts w:ascii="Cambria" w:hAnsi="Cambria"/>
          <w:sz w:val="16"/>
          <w:szCs w:val="16"/>
          <w:lang w:val="fr-CA"/>
        </w:rPr>
        <w:t>P</w:t>
      </w:r>
      <w:r w:rsidRPr="00172ADE">
        <w:rPr>
          <w:rStyle w:val="FootnoteReference"/>
          <w:rFonts w:ascii="Cambria" w:hAnsi="Cambria"/>
          <w:sz w:val="16"/>
          <w:szCs w:val="16"/>
          <w:vertAlign w:val="baseline"/>
          <w:lang w:val="fr-CA"/>
        </w:rPr>
        <w:t>etición 11</w:t>
      </w:r>
      <w:r w:rsidRPr="00172ADE">
        <w:rPr>
          <w:rFonts w:ascii="Cambria" w:hAnsi="Cambria"/>
          <w:sz w:val="16"/>
          <w:szCs w:val="16"/>
          <w:lang w:val="fr-CA"/>
        </w:rPr>
        <w:t>-</w:t>
      </w:r>
      <w:r w:rsidRPr="00172ADE">
        <w:rPr>
          <w:rStyle w:val="FootnoteReference"/>
          <w:rFonts w:ascii="Cambria" w:hAnsi="Cambria"/>
          <w:sz w:val="16"/>
          <w:szCs w:val="16"/>
          <w:vertAlign w:val="baseline"/>
          <w:lang w:val="fr-CA"/>
        </w:rPr>
        <w:t>819, Admisibilidad, Christian Daniel Domínguez Domenichetti, Argentina, 24 de octubre de 2003, párr. 45.</w:t>
      </w:r>
    </w:p>
  </w:footnote>
  <w:footnote w:id="10">
    <w:p w14:paraId="233626CC" w14:textId="249B05DF" w:rsidR="00A720EC" w:rsidRPr="00172ADE" w:rsidRDefault="00A720EC" w:rsidP="001A7906">
      <w:pPr>
        <w:pStyle w:val="FootnoteText"/>
        <w:ind w:firstLine="720"/>
        <w:jc w:val="both"/>
        <w:rPr>
          <w:sz w:val="16"/>
          <w:szCs w:val="16"/>
          <w:lang w:val="fr-CA"/>
        </w:rPr>
      </w:pPr>
      <w:r w:rsidRPr="00425D50">
        <w:rPr>
          <w:rStyle w:val="FootnoteReference"/>
          <w:rFonts w:ascii="Cambria" w:hAnsi="Cambria"/>
          <w:sz w:val="16"/>
          <w:szCs w:val="16"/>
          <w:lang w:val="es-ES"/>
        </w:rPr>
        <w:footnoteRef/>
      </w:r>
      <w:r w:rsidRPr="00172ADE">
        <w:rPr>
          <w:rStyle w:val="FootnoteReference"/>
          <w:rFonts w:ascii="Cambria" w:hAnsi="Cambria"/>
          <w:sz w:val="16"/>
          <w:szCs w:val="16"/>
          <w:lang w:val="fr-CA"/>
        </w:rPr>
        <w:t xml:space="preserve"> </w:t>
      </w:r>
      <w:r w:rsidR="00AB39B1" w:rsidRPr="00172ADE">
        <w:rPr>
          <w:rStyle w:val="FootnoteReference"/>
          <w:rFonts w:ascii="Cambria" w:hAnsi="Cambria"/>
          <w:sz w:val="16"/>
          <w:szCs w:val="16"/>
          <w:vertAlign w:val="baseline"/>
          <w:lang w:val="fr-CA"/>
        </w:rPr>
        <w:t>Corte IDH, Caso López Mendoza Vs. Venezuela, Fondo, Reparaciones y Costas, Sentencia de 1 de septiembre de 2011, Serie C No. 233, párr.</w:t>
      </w:r>
      <w:r w:rsidR="00AB39B1" w:rsidRPr="00172ADE">
        <w:rPr>
          <w:rFonts w:ascii="Cambria" w:hAnsi="Cambria"/>
          <w:sz w:val="16"/>
          <w:szCs w:val="16"/>
          <w:lang w:val="fr-CA"/>
        </w:rPr>
        <w:t xml:space="preserve"> </w:t>
      </w:r>
      <w:r w:rsidRPr="00172ADE">
        <w:rPr>
          <w:rStyle w:val="FootnoteReference"/>
          <w:rFonts w:ascii="Cambria" w:hAnsi="Cambria"/>
          <w:sz w:val="16"/>
          <w:szCs w:val="16"/>
          <w:vertAlign w:val="baseline"/>
          <w:lang w:val="fr-CA"/>
        </w:rPr>
        <w:t>184</w:t>
      </w:r>
      <w:r w:rsidR="00AB39B1" w:rsidRPr="00172ADE">
        <w:rPr>
          <w:rStyle w:val="FootnoteReference"/>
          <w:rFonts w:ascii="Cambria" w:hAnsi="Cambria"/>
          <w:sz w:val="16"/>
          <w:szCs w:val="16"/>
          <w:vertAlign w:val="baseline"/>
          <w:lang w:val="fr-CA"/>
        </w:rPr>
        <w:t>.</w:t>
      </w:r>
    </w:p>
  </w:footnote>
  <w:footnote w:id="11">
    <w:p w14:paraId="4E00AF6D" w14:textId="486677BA" w:rsidR="00A720EC" w:rsidRPr="002C2319" w:rsidRDefault="00A720EC" w:rsidP="001A7906">
      <w:pPr>
        <w:pStyle w:val="FootnoteText"/>
        <w:ind w:firstLine="720"/>
        <w:jc w:val="both"/>
        <w:rPr>
          <w:sz w:val="16"/>
          <w:szCs w:val="16"/>
          <w:lang w:val="fr-CA"/>
        </w:rPr>
      </w:pPr>
      <w:r w:rsidRPr="00425D50">
        <w:rPr>
          <w:rStyle w:val="FootnoteReference"/>
          <w:rFonts w:ascii="Cambria" w:hAnsi="Cambria"/>
          <w:sz w:val="16"/>
          <w:szCs w:val="16"/>
          <w:lang w:val="es-ES"/>
        </w:rPr>
        <w:footnoteRef/>
      </w:r>
      <w:r w:rsidRPr="002C2319">
        <w:rPr>
          <w:rStyle w:val="FootnoteReference"/>
          <w:rFonts w:ascii="Cambria" w:hAnsi="Cambria"/>
          <w:sz w:val="16"/>
          <w:szCs w:val="16"/>
          <w:lang w:val="fr-CA"/>
        </w:rPr>
        <w:t xml:space="preserve"> </w:t>
      </w:r>
      <w:r w:rsidR="00AB39B1" w:rsidRPr="002C2319">
        <w:rPr>
          <w:rStyle w:val="FootnoteReference"/>
          <w:rFonts w:ascii="Cambria" w:hAnsi="Cambria"/>
          <w:sz w:val="16"/>
          <w:szCs w:val="16"/>
          <w:vertAlign w:val="baseline"/>
          <w:lang w:val="fr-CA"/>
        </w:rPr>
        <w:t>Corte IDH, Caso Myrna Mack Chang Vs. Guatemala, Fondo, Reparaciones y Costas, Sentencia de 25 de noviembre de 2003, Serie C No. 101</w:t>
      </w:r>
      <w:r w:rsidRPr="002C2319">
        <w:rPr>
          <w:rStyle w:val="FootnoteReference"/>
          <w:rFonts w:ascii="Cambria" w:hAnsi="Cambria"/>
          <w:sz w:val="16"/>
          <w:szCs w:val="16"/>
          <w:vertAlign w:val="baseline"/>
          <w:lang w:val="fr-CA"/>
        </w:rPr>
        <w:t>, párr. 211</w:t>
      </w:r>
      <w:r w:rsidR="00AB39B1" w:rsidRPr="002C2319">
        <w:rPr>
          <w:rFonts w:ascii="Cambria" w:hAnsi="Cambria"/>
          <w:sz w:val="16"/>
          <w:szCs w:val="16"/>
          <w:lang w:val="fr-CA"/>
        </w:rPr>
        <w:t>.</w:t>
      </w:r>
    </w:p>
  </w:footnote>
  <w:footnote w:id="12">
    <w:p w14:paraId="5164F1BC" w14:textId="7BBD4BB0" w:rsidR="009E466E" w:rsidRPr="002C2319" w:rsidRDefault="009E466E" w:rsidP="001A7906">
      <w:pPr>
        <w:pStyle w:val="FootnoteText"/>
        <w:ind w:firstLine="720"/>
        <w:jc w:val="both"/>
        <w:rPr>
          <w:sz w:val="16"/>
          <w:szCs w:val="16"/>
          <w:lang w:val="fr-CA"/>
        </w:rPr>
      </w:pPr>
      <w:r w:rsidRPr="00425D50">
        <w:rPr>
          <w:rStyle w:val="FootnoteReference"/>
          <w:rFonts w:ascii="Cambria" w:hAnsi="Cambria"/>
          <w:sz w:val="16"/>
          <w:szCs w:val="16"/>
          <w:lang w:val="es-ES"/>
        </w:rPr>
        <w:footnoteRef/>
      </w:r>
      <w:r w:rsidRPr="002C2319">
        <w:rPr>
          <w:rStyle w:val="FootnoteReference"/>
          <w:rFonts w:ascii="Cambria" w:hAnsi="Cambria"/>
          <w:sz w:val="16"/>
          <w:szCs w:val="16"/>
          <w:lang w:val="fr-CA"/>
        </w:rPr>
        <w:t xml:space="preserve"> </w:t>
      </w:r>
      <w:r w:rsidR="00AB39B1" w:rsidRPr="002C2319">
        <w:rPr>
          <w:rStyle w:val="FootnoteReference"/>
          <w:rFonts w:ascii="Cambria" w:hAnsi="Cambria"/>
          <w:sz w:val="16"/>
          <w:szCs w:val="16"/>
          <w:vertAlign w:val="baseline"/>
          <w:lang w:val="fr-CA"/>
        </w:rPr>
        <w:t>Corte IDH, Caso Miembros del Sindicato Único de Trabajadores de ECASA (SUTECASA) Vs. Perú, Excepciones Preliminares, Fondo, Reparaciones y Costas, Sentencia de 6 de junio de 2024, Serie C No. 526, párr.</w:t>
      </w:r>
      <w:r w:rsidR="00AB39B1" w:rsidRPr="002C2319">
        <w:rPr>
          <w:rFonts w:ascii="Cambria" w:hAnsi="Cambria"/>
          <w:sz w:val="16"/>
          <w:szCs w:val="16"/>
          <w:lang w:val="fr-CA"/>
        </w:rPr>
        <w:t xml:space="preserve"> </w:t>
      </w:r>
      <w:r w:rsidRPr="002C2319">
        <w:rPr>
          <w:rStyle w:val="FootnoteReference"/>
          <w:rFonts w:ascii="Cambria" w:hAnsi="Cambria"/>
          <w:sz w:val="16"/>
          <w:szCs w:val="16"/>
          <w:vertAlign w:val="baseline"/>
          <w:lang w:val="fr-CA"/>
        </w:rPr>
        <w:t>144</w:t>
      </w:r>
      <w:r w:rsidR="00AB39B1" w:rsidRPr="002C2319">
        <w:rPr>
          <w:rStyle w:val="FootnoteReference"/>
          <w:rFonts w:ascii="Cambria" w:hAnsi="Cambria"/>
          <w:sz w:val="16"/>
          <w:szCs w:val="16"/>
          <w:vertAlign w:val="baseline"/>
          <w:lang w:val="fr-CA"/>
        </w:rPr>
        <w:t>.</w:t>
      </w:r>
    </w:p>
  </w:footnote>
  <w:footnote w:id="13">
    <w:p w14:paraId="0234C8E3" w14:textId="0793D336" w:rsidR="00362C73" w:rsidRPr="00425D50" w:rsidRDefault="00362C73" w:rsidP="001A7906">
      <w:pPr>
        <w:pStyle w:val="FootnoteText"/>
        <w:ind w:firstLine="720"/>
        <w:jc w:val="both"/>
        <w:rPr>
          <w:rFonts w:ascii="Helvetica" w:eastAsia="Times New Roman" w:hAnsi="Helvetica"/>
          <w:sz w:val="16"/>
          <w:szCs w:val="16"/>
          <w:bdr w:val="none" w:sz="0" w:space="0" w:color="auto"/>
          <w:lang w:val="es-ES" w:eastAsia="es-MX"/>
        </w:rPr>
      </w:pPr>
      <w:r w:rsidRPr="00425D50">
        <w:rPr>
          <w:rStyle w:val="FootnoteReference"/>
          <w:rFonts w:ascii="Cambria" w:hAnsi="Cambria"/>
          <w:sz w:val="16"/>
          <w:szCs w:val="16"/>
          <w:lang w:val="es-ES"/>
        </w:rPr>
        <w:footnoteRef/>
      </w:r>
      <w:r w:rsidRPr="00425D50">
        <w:rPr>
          <w:rStyle w:val="FootnoteReference"/>
          <w:rFonts w:ascii="Cambria" w:hAnsi="Cambria"/>
          <w:sz w:val="16"/>
          <w:szCs w:val="16"/>
          <w:lang w:val="es-ES"/>
        </w:rPr>
        <w:t xml:space="preserve"> </w:t>
      </w:r>
      <w:r w:rsidRPr="00425D50">
        <w:rPr>
          <w:rStyle w:val="FootnoteReference"/>
          <w:rFonts w:ascii="Cambria" w:hAnsi="Cambria"/>
          <w:sz w:val="16"/>
          <w:szCs w:val="16"/>
          <w:vertAlign w:val="baseline"/>
          <w:lang w:val="es-ES"/>
        </w:rPr>
        <w:t xml:space="preserve">CIDH, Informe No. 330/20, Caso 12.718, Fondo, Comunidad de La Oroya, Perú, 19 de noviembre de 2020, párr. 131; </w:t>
      </w:r>
      <w:r w:rsidR="00BB240A" w:rsidRPr="00425D50">
        <w:rPr>
          <w:rStyle w:val="FootnoteReference"/>
          <w:rFonts w:ascii="Cambria" w:hAnsi="Cambria"/>
          <w:sz w:val="16"/>
          <w:szCs w:val="16"/>
          <w:vertAlign w:val="baseline"/>
          <w:lang w:val="es-ES"/>
        </w:rPr>
        <w:t>e</w:t>
      </w:r>
      <w:r w:rsidRPr="00425D50">
        <w:rPr>
          <w:rStyle w:val="FootnoteReference"/>
          <w:rFonts w:ascii="Cambria" w:hAnsi="Cambria"/>
          <w:sz w:val="16"/>
          <w:szCs w:val="16"/>
          <w:vertAlign w:val="baseline"/>
          <w:lang w:val="es-ES"/>
        </w:rPr>
        <w:t xml:space="preserve"> Informe No. 189/20, Caso 12.569, Fondo, Comunidades Quilombolas de Alcantara, Brasil, 14 de junio de 2020, párr. 264.</w:t>
      </w:r>
    </w:p>
  </w:footnote>
  <w:footnote w:id="14">
    <w:p w14:paraId="100FA6B8" w14:textId="154990EE" w:rsidR="00362C73" w:rsidRPr="00425D50" w:rsidRDefault="00362C73" w:rsidP="001A7906">
      <w:pPr>
        <w:pStyle w:val="FootnoteText"/>
        <w:ind w:firstLine="720"/>
        <w:jc w:val="both"/>
        <w:rPr>
          <w:lang w:val="es-ES"/>
        </w:rPr>
      </w:pPr>
      <w:r w:rsidRPr="00425D50">
        <w:rPr>
          <w:rStyle w:val="FootnoteReference"/>
          <w:rFonts w:ascii="Cambria" w:hAnsi="Cambria"/>
          <w:sz w:val="16"/>
          <w:szCs w:val="16"/>
          <w:lang w:val="es-ES"/>
        </w:rPr>
        <w:footnoteRef/>
      </w:r>
      <w:r w:rsidRPr="00425D50">
        <w:rPr>
          <w:rStyle w:val="FootnoteReference"/>
          <w:rFonts w:ascii="Cambria" w:hAnsi="Cambria"/>
          <w:sz w:val="16"/>
          <w:szCs w:val="16"/>
          <w:lang w:val="es-ES"/>
        </w:rPr>
        <w:t xml:space="preserve"> </w:t>
      </w:r>
      <w:r w:rsidRPr="00425D50">
        <w:rPr>
          <w:rStyle w:val="FootnoteReference"/>
          <w:rFonts w:ascii="Cambria" w:hAnsi="Cambria"/>
          <w:sz w:val="16"/>
          <w:szCs w:val="16"/>
          <w:vertAlign w:val="baseline"/>
          <w:lang w:val="es-ES"/>
        </w:rPr>
        <w:t>Corte IDH, Medio ambiente y derechos humanos (obligaciones estatales en relación con el medio ambiente en el marco de la protección y garantía de los derechos a la vida y a la integridad personal - interpretación y alcance de los artículos 4.1 y 5.1, en relación con los artículos 1.1 y 2 de la Convención Americana sobre Derechos Humanos) Opinión Consultiva OC-23/17 de 15 de noviembre de 2017, Serie A No. 23, párrs. 234 y 237</w:t>
      </w:r>
      <w:r w:rsidRPr="00425D50">
        <w:rPr>
          <w:rFonts w:ascii="Cambria" w:hAnsi="Cambria"/>
          <w:sz w:val="16"/>
          <w:szCs w:val="16"/>
          <w:lang w:val="es-ES"/>
        </w:rPr>
        <w:t>.</w:t>
      </w:r>
    </w:p>
  </w:footnote>
  <w:footnote w:id="15">
    <w:p w14:paraId="1BE969F1" w14:textId="3BBEC49C" w:rsidR="00362C73" w:rsidRPr="002C2319" w:rsidRDefault="00362C73" w:rsidP="001A7906">
      <w:pPr>
        <w:pStyle w:val="FootnoteText"/>
        <w:ind w:firstLine="720"/>
        <w:jc w:val="both"/>
        <w:rPr>
          <w:rFonts w:eastAsia="Times New Roman"/>
          <w:sz w:val="21"/>
          <w:szCs w:val="21"/>
          <w:bdr w:val="none" w:sz="0" w:space="0" w:color="auto"/>
          <w:lang w:val="es-ES" w:eastAsia="es-MX"/>
        </w:rPr>
      </w:pPr>
      <w:r w:rsidRPr="00880562">
        <w:rPr>
          <w:rStyle w:val="FootnoteReference"/>
          <w:rFonts w:ascii="Cambria" w:hAnsi="Cambria"/>
          <w:sz w:val="16"/>
          <w:szCs w:val="16"/>
          <w:lang w:val="es-ES"/>
        </w:rPr>
        <w:footnoteRef/>
      </w:r>
      <w:r w:rsidR="002929DE" w:rsidRPr="00880562">
        <w:rPr>
          <w:rFonts w:ascii="Cambria" w:hAnsi="Cambria"/>
          <w:sz w:val="16"/>
          <w:szCs w:val="16"/>
          <w:lang w:val="es-ES"/>
        </w:rPr>
        <w:t xml:space="preserve"> </w:t>
      </w:r>
      <w:r w:rsidR="00F70C26" w:rsidRPr="00880562">
        <w:rPr>
          <w:rFonts w:ascii="Cambria" w:hAnsi="Cambria"/>
          <w:sz w:val="16"/>
          <w:szCs w:val="16"/>
          <w:lang w:val="es-ES"/>
        </w:rPr>
        <w:t>Consejo de Derechos Humanos de las Naciones Unidas, Informe del Relator Especial sobre la cuestión de las obligaciones de derechos humanos relacionadas con el disfrute de un medio ambiente sin riesgos, limpio, saludable y sostenible, John H. Knox, 24 de enero de 2018, Doc. ONU A/HRC/37/59.</w:t>
      </w:r>
    </w:p>
  </w:footnote>
  <w:footnote w:id="16">
    <w:p w14:paraId="1346BC2E" w14:textId="76B34F17" w:rsidR="00B4101C" w:rsidRPr="002C2319" w:rsidRDefault="00B4101C" w:rsidP="001A7906">
      <w:pPr>
        <w:pStyle w:val="FootnoteText"/>
        <w:ind w:firstLine="720"/>
        <w:jc w:val="both"/>
        <w:rPr>
          <w:lang w:val="es-ES"/>
        </w:rPr>
      </w:pPr>
      <w:r w:rsidRPr="00425D50">
        <w:rPr>
          <w:rStyle w:val="FootnoteReference"/>
          <w:rFonts w:ascii="Cambria" w:hAnsi="Cambria"/>
          <w:sz w:val="16"/>
          <w:szCs w:val="16"/>
          <w:lang w:val="es-ES"/>
        </w:rPr>
        <w:footnoteRef/>
      </w:r>
      <w:r w:rsidRPr="002C2319">
        <w:rPr>
          <w:rStyle w:val="FootnoteReference"/>
          <w:rFonts w:ascii="Cambria" w:hAnsi="Cambria"/>
          <w:sz w:val="16"/>
          <w:szCs w:val="16"/>
          <w:lang w:val="es-ES"/>
        </w:rPr>
        <w:t xml:space="preserve"> </w:t>
      </w:r>
      <w:r w:rsidRPr="002C2319">
        <w:rPr>
          <w:rStyle w:val="FootnoteReference"/>
          <w:rFonts w:ascii="Cambria" w:hAnsi="Cambria"/>
          <w:sz w:val="16"/>
          <w:szCs w:val="16"/>
          <w:vertAlign w:val="baseline"/>
          <w:lang w:val="es-ES"/>
        </w:rPr>
        <w:t xml:space="preserve">Consejo de Derechos Humanos, Resolución 9/1, Mandato del Relator Especial sobre los efectos nocivos para el goce de los derechos humanos del traslado y vertimiento ilícitos de productos y desechos tóxicos y peligrosos, 24 de </w:t>
      </w:r>
      <w:r w:rsidR="00F6510C" w:rsidRPr="002C2319">
        <w:rPr>
          <w:rFonts w:ascii="Cambria" w:hAnsi="Cambria"/>
          <w:sz w:val="16"/>
          <w:szCs w:val="16"/>
          <w:lang w:val="es-ES"/>
        </w:rPr>
        <w:t>s</w:t>
      </w:r>
      <w:r w:rsidRPr="002C2319">
        <w:rPr>
          <w:rStyle w:val="FootnoteReference"/>
          <w:rFonts w:ascii="Cambria" w:hAnsi="Cambria"/>
          <w:sz w:val="16"/>
          <w:szCs w:val="16"/>
          <w:vertAlign w:val="baseline"/>
          <w:lang w:val="es-ES"/>
        </w:rPr>
        <w:t>eptiembre de 2008, Doc. ONU A/HRC/RES/9/1.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0F7EF1" w:rsidP="00A50FCF">
    <w:pPr>
      <w:pStyle w:val="Header"/>
      <w:tabs>
        <w:tab w:val="clear" w:pos="4320"/>
        <w:tab w:val="clear" w:pos="8640"/>
      </w:tabs>
      <w:jc w:val="center"/>
      <w:rPr>
        <w:sz w:val="22"/>
        <w:szCs w:val="22"/>
      </w:rPr>
    </w:pPr>
    <w:r>
      <w:rPr>
        <w:noProof/>
        <w:sz w:val="22"/>
        <w:szCs w:val="22"/>
        <w:bdr w:val="nil"/>
      </w:rPr>
      <w:pict w14:anchorId="7F2B6060">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7DA46F88"/>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865711"/>
    <w:multiLevelType w:val="hybridMultilevel"/>
    <w:tmpl w:val="70C0008E"/>
    <w:lvl w:ilvl="0" w:tplc="157A5896">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129472D"/>
    <w:multiLevelType w:val="hybridMultilevel"/>
    <w:tmpl w:val="7DA46F88"/>
    <w:lvl w:ilvl="0" w:tplc="FFFFFFFF">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77022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7"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1"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6"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5"/>
  </w:num>
  <w:num w:numId="4" w16cid:durableId="2018339747">
    <w:abstractNumId w:val="22"/>
  </w:num>
  <w:num w:numId="5" w16cid:durableId="368341374">
    <w:abstractNumId w:val="49"/>
  </w:num>
  <w:num w:numId="6" w16cid:durableId="1074009954">
    <w:abstractNumId w:val="29"/>
  </w:num>
  <w:num w:numId="7" w16cid:durableId="1545016965">
    <w:abstractNumId w:val="6"/>
  </w:num>
  <w:num w:numId="8" w16cid:durableId="1165165820">
    <w:abstractNumId w:val="18"/>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6"/>
  </w:num>
  <w:num w:numId="14" w16cid:durableId="1198931784">
    <w:abstractNumId w:val="1"/>
  </w:num>
  <w:num w:numId="15" w16cid:durableId="2056192837">
    <w:abstractNumId w:val="2"/>
  </w:num>
  <w:num w:numId="16" w16cid:durableId="1680153077">
    <w:abstractNumId w:val="7"/>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4"/>
  </w:num>
  <w:num w:numId="22" w16cid:durableId="1700861223">
    <w:abstractNumId w:val="15"/>
  </w:num>
  <w:num w:numId="23" w16cid:durableId="1025131478">
    <w:abstractNumId w:val="16"/>
  </w:num>
  <w:num w:numId="24" w16cid:durableId="477890311">
    <w:abstractNumId w:val="17"/>
  </w:num>
  <w:num w:numId="25" w16cid:durableId="1967855925">
    <w:abstractNumId w:val="19"/>
  </w:num>
  <w:num w:numId="26" w16cid:durableId="998537020">
    <w:abstractNumId w:val="20"/>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8"/>
  </w:num>
  <w:num w:numId="42" w16cid:durableId="910309630">
    <w:abstractNumId w:val="50"/>
  </w:num>
  <w:num w:numId="43" w16cid:durableId="221603102">
    <w:abstractNumId w:val="51"/>
  </w:num>
  <w:num w:numId="44" w16cid:durableId="779104680">
    <w:abstractNumId w:val="53"/>
  </w:num>
  <w:num w:numId="45" w16cid:durableId="1713115894">
    <w:abstractNumId w:val="54"/>
  </w:num>
  <w:num w:numId="46" w16cid:durableId="1387951419">
    <w:abstractNumId w:val="56"/>
  </w:num>
  <w:num w:numId="47" w16cid:durableId="648510715">
    <w:abstractNumId w:val="57"/>
  </w:num>
  <w:num w:numId="48" w16cid:durableId="1806315575">
    <w:abstractNumId w:val="58"/>
  </w:num>
  <w:num w:numId="49" w16cid:durableId="1682586011">
    <w:abstractNumId w:val="59"/>
  </w:num>
  <w:num w:numId="50" w16cid:durableId="2025083079">
    <w:abstractNumId w:val="60"/>
  </w:num>
  <w:num w:numId="51" w16cid:durableId="530342504">
    <w:abstractNumId w:val="21"/>
  </w:num>
  <w:num w:numId="52" w16cid:durableId="955454438">
    <w:abstractNumId w:val="43"/>
  </w:num>
  <w:num w:numId="53" w16cid:durableId="586957926">
    <w:abstractNumId w:val="52"/>
  </w:num>
  <w:num w:numId="54" w16cid:durableId="1498381482">
    <w:abstractNumId w:val="47"/>
  </w:num>
  <w:num w:numId="55" w16cid:durableId="1930308158">
    <w:abstractNumId w:val="45"/>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52846280">
    <w:abstractNumId w:val="8"/>
  </w:num>
  <w:num w:numId="61" w16cid:durableId="1127747266">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07FE4"/>
    <w:rsid w:val="0001788C"/>
    <w:rsid w:val="00020439"/>
    <w:rsid w:val="00026831"/>
    <w:rsid w:val="00030E8E"/>
    <w:rsid w:val="000337EF"/>
    <w:rsid w:val="00040C3A"/>
    <w:rsid w:val="000419AD"/>
    <w:rsid w:val="00042D6E"/>
    <w:rsid w:val="000433C9"/>
    <w:rsid w:val="000577B0"/>
    <w:rsid w:val="000608E1"/>
    <w:rsid w:val="00066AD0"/>
    <w:rsid w:val="00071174"/>
    <w:rsid w:val="000716C5"/>
    <w:rsid w:val="00075E23"/>
    <w:rsid w:val="00076879"/>
    <w:rsid w:val="0009344A"/>
    <w:rsid w:val="000A1175"/>
    <w:rsid w:val="000A392E"/>
    <w:rsid w:val="000A423B"/>
    <w:rsid w:val="000A575F"/>
    <w:rsid w:val="000D05CB"/>
    <w:rsid w:val="000D10DB"/>
    <w:rsid w:val="000E5EB5"/>
    <w:rsid w:val="000F35ED"/>
    <w:rsid w:val="000F7EF1"/>
    <w:rsid w:val="001004FE"/>
    <w:rsid w:val="001031ED"/>
    <w:rsid w:val="00103A4F"/>
    <w:rsid w:val="001054BA"/>
    <w:rsid w:val="00106C77"/>
    <w:rsid w:val="00107131"/>
    <w:rsid w:val="0010736F"/>
    <w:rsid w:val="0011201E"/>
    <w:rsid w:val="0011215E"/>
    <w:rsid w:val="001136EB"/>
    <w:rsid w:val="00113F73"/>
    <w:rsid w:val="00121CC2"/>
    <w:rsid w:val="0012264D"/>
    <w:rsid w:val="001226EC"/>
    <w:rsid w:val="00122F1E"/>
    <w:rsid w:val="001270BD"/>
    <w:rsid w:val="00131425"/>
    <w:rsid w:val="00133EE5"/>
    <w:rsid w:val="00141217"/>
    <w:rsid w:val="00153E70"/>
    <w:rsid w:val="00154F89"/>
    <w:rsid w:val="00164331"/>
    <w:rsid w:val="00167A34"/>
    <w:rsid w:val="00172ADE"/>
    <w:rsid w:val="00175898"/>
    <w:rsid w:val="00180819"/>
    <w:rsid w:val="00181706"/>
    <w:rsid w:val="00184DC9"/>
    <w:rsid w:val="001A2F05"/>
    <w:rsid w:val="001A520D"/>
    <w:rsid w:val="001A7870"/>
    <w:rsid w:val="001A7906"/>
    <w:rsid w:val="001B3A00"/>
    <w:rsid w:val="001B471A"/>
    <w:rsid w:val="001B478B"/>
    <w:rsid w:val="001B5F4D"/>
    <w:rsid w:val="001B64D3"/>
    <w:rsid w:val="001C1B41"/>
    <w:rsid w:val="001C4065"/>
    <w:rsid w:val="001C48E7"/>
    <w:rsid w:val="001C4E8B"/>
    <w:rsid w:val="001C66B6"/>
    <w:rsid w:val="001D35B8"/>
    <w:rsid w:val="001D65EF"/>
    <w:rsid w:val="001D7F96"/>
    <w:rsid w:val="001E49E7"/>
    <w:rsid w:val="001F7201"/>
    <w:rsid w:val="0020113B"/>
    <w:rsid w:val="00201796"/>
    <w:rsid w:val="0020370E"/>
    <w:rsid w:val="00206FE6"/>
    <w:rsid w:val="00220BF0"/>
    <w:rsid w:val="002235EB"/>
    <w:rsid w:val="00223A29"/>
    <w:rsid w:val="002250A3"/>
    <w:rsid w:val="002271AE"/>
    <w:rsid w:val="00235217"/>
    <w:rsid w:val="002416DA"/>
    <w:rsid w:val="0024487B"/>
    <w:rsid w:val="00246D1F"/>
    <w:rsid w:val="00247403"/>
    <w:rsid w:val="00247542"/>
    <w:rsid w:val="00251292"/>
    <w:rsid w:val="00260886"/>
    <w:rsid w:val="002630FD"/>
    <w:rsid w:val="002636C2"/>
    <w:rsid w:val="00263B79"/>
    <w:rsid w:val="00266B61"/>
    <w:rsid w:val="0026712A"/>
    <w:rsid w:val="002704DB"/>
    <w:rsid w:val="00283733"/>
    <w:rsid w:val="002929DE"/>
    <w:rsid w:val="002A0AAE"/>
    <w:rsid w:val="002A5820"/>
    <w:rsid w:val="002A6447"/>
    <w:rsid w:val="002B0C2A"/>
    <w:rsid w:val="002C1857"/>
    <w:rsid w:val="002C2319"/>
    <w:rsid w:val="002C2BD6"/>
    <w:rsid w:val="002C5F26"/>
    <w:rsid w:val="002D1ECF"/>
    <w:rsid w:val="002D2B26"/>
    <w:rsid w:val="002D7EA2"/>
    <w:rsid w:val="002E03FA"/>
    <w:rsid w:val="002E187C"/>
    <w:rsid w:val="002F10C3"/>
    <w:rsid w:val="002F4DF1"/>
    <w:rsid w:val="002F58F0"/>
    <w:rsid w:val="002F67BD"/>
    <w:rsid w:val="00302733"/>
    <w:rsid w:val="00305835"/>
    <w:rsid w:val="00305CBB"/>
    <w:rsid w:val="00306BA4"/>
    <w:rsid w:val="00306F33"/>
    <w:rsid w:val="00314078"/>
    <w:rsid w:val="0031535D"/>
    <w:rsid w:val="003208C2"/>
    <w:rsid w:val="00320B3A"/>
    <w:rsid w:val="003239B8"/>
    <w:rsid w:val="0033169F"/>
    <w:rsid w:val="003354F3"/>
    <w:rsid w:val="003429EC"/>
    <w:rsid w:val="003442D6"/>
    <w:rsid w:val="00344977"/>
    <w:rsid w:val="0034633B"/>
    <w:rsid w:val="00346C95"/>
    <w:rsid w:val="00350B5E"/>
    <w:rsid w:val="00356185"/>
    <w:rsid w:val="00357DD9"/>
    <w:rsid w:val="00360380"/>
    <w:rsid w:val="00362C73"/>
    <w:rsid w:val="00363D36"/>
    <w:rsid w:val="00370E0E"/>
    <w:rsid w:val="00372E2C"/>
    <w:rsid w:val="0037519E"/>
    <w:rsid w:val="00377EE0"/>
    <w:rsid w:val="00383F9A"/>
    <w:rsid w:val="00386CF0"/>
    <w:rsid w:val="00394073"/>
    <w:rsid w:val="00396166"/>
    <w:rsid w:val="003A5A2B"/>
    <w:rsid w:val="003A7182"/>
    <w:rsid w:val="003B2B66"/>
    <w:rsid w:val="003B52D7"/>
    <w:rsid w:val="003B70FB"/>
    <w:rsid w:val="003C322B"/>
    <w:rsid w:val="003C4E31"/>
    <w:rsid w:val="003C676B"/>
    <w:rsid w:val="003D3566"/>
    <w:rsid w:val="003D3BC2"/>
    <w:rsid w:val="003E6CA1"/>
    <w:rsid w:val="003F5154"/>
    <w:rsid w:val="00405F9C"/>
    <w:rsid w:val="004065A8"/>
    <w:rsid w:val="00414F91"/>
    <w:rsid w:val="00416275"/>
    <w:rsid w:val="004165C2"/>
    <w:rsid w:val="004218DE"/>
    <w:rsid w:val="004241A0"/>
    <w:rsid w:val="0042553A"/>
    <w:rsid w:val="00425D50"/>
    <w:rsid w:val="004311CF"/>
    <w:rsid w:val="00441ECB"/>
    <w:rsid w:val="00445193"/>
    <w:rsid w:val="00446DB8"/>
    <w:rsid w:val="004532DE"/>
    <w:rsid w:val="004552DC"/>
    <w:rsid w:val="00462C1B"/>
    <w:rsid w:val="0046382D"/>
    <w:rsid w:val="00467B7E"/>
    <w:rsid w:val="00473BB4"/>
    <w:rsid w:val="00477592"/>
    <w:rsid w:val="00477E12"/>
    <w:rsid w:val="00483162"/>
    <w:rsid w:val="00486F1C"/>
    <w:rsid w:val="004932D2"/>
    <w:rsid w:val="0049419D"/>
    <w:rsid w:val="004A057B"/>
    <w:rsid w:val="004A0BAB"/>
    <w:rsid w:val="004A6A54"/>
    <w:rsid w:val="004B421C"/>
    <w:rsid w:val="004B4CD3"/>
    <w:rsid w:val="004C20D2"/>
    <w:rsid w:val="004C2312"/>
    <w:rsid w:val="004C4B62"/>
    <w:rsid w:val="004C54C9"/>
    <w:rsid w:val="004C6EEF"/>
    <w:rsid w:val="004C7B42"/>
    <w:rsid w:val="004D09FE"/>
    <w:rsid w:val="004D1335"/>
    <w:rsid w:val="004D2DA4"/>
    <w:rsid w:val="004D4148"/>
    <w:rsid w:val="004D4ABA"/>
    <w:rsid w:val="004D6025"/>
    <w:rsid w:val="004D6C07"/>
    <w:rsid w:val="004E2649"/>
    <w:rsid w:val="004F626F"/>
    <w:rsid w:val="00501399"/>
    <w:rsid w:val="00502926"/>
    <w:rsid w:val="005047ED"/>
    <w:rsid w:val="005056D6"/>
    <w:rsid w:val="0050633D"/>
    <w:rsid w:val="0050659F"/>
    <w:rsid w:val="00507BC4"/>
    <w:rsid w:val="005117CB"/>
    <w:rsid w:val="005124AD"/>
    <w:rsid w:val="005128E4"/>
    <w:rsid w:val="00513300"/>
    <w:rsid w:val="005133DB"/>
    <w:rsid w:val="00514504"/>
    <w:rsid w:val="00514FEC"/>
    <w:rsid w:val="00521E1F"/>
    <w:rsid w:val="00522582"/>
    <w:rsid w:val="00525560"/>
    <w:rsid w:val="005259A3"/>
    <w:rsid w:val="0052667A"/>
    <w:rsid w:val="00531F52"/>
    <w:rsid w:val="005419C4"/>
    <w:rsid w:val="00544C49"/>
    <w:rsid w:val="0054668A"/>
    <w:rsid w:val="005516A1"/>
    <w:rsid w:val="00553F2E"/>
    <w:rsid w:val="005559EF"/>
    <w:rsid w:val="00563557"/>
    <w:rsid w:val="005640F4"/>
    <w:rsid w:val="00564AC9"/>
    <w:rsid w:val="00572228"/>
    <w:rsid w:val="00573C29"/>
    <w:rsid w:val="0057402A"/>
    <w:rsid w:val="005771D0"/>
    <w:rsid w:val="00583EAC"/>
    <w:rsid w:val="00586B22"/>
    <w:rsid w:val="0059191A"/>
    <w:rsid w:val="005921FF"/>
    <w:rsid w:val="005A24ED"/>
    <w:rsid w:val="005A6D0E"/>
    <w:rsid w:val="005B1EFC"/>
    <w:rsid w:val="005B52B0"/>
    <w:rsid w:val="005B6806"/>
    <w:rsid w:val="005C4225"/>
    <w:rsid w:val="005C73C7"/>
    <w:rsid w:val="005D2E8B"/>
    <w:rsid w:val="005D5C8E"/>
    <w:rsid w:val="005E1A08"/>
    <w:rsid w:val="005E4B13"/>
    <w:rsid w:val="005E64CE"/>
    <w:rsid w:val="005F0DAD"/>
    <w:rsid w:val="005F0F33"/>
    <w:rsid w:val="005F343E"/>
    <w:rsid w:val="005F67FD"/>
    <w:rsid w:val="00600DEB"/>
    <w:rsid w:val="00605DEE"/>
    <w:rsid w:val="006173C2"/>
    <w:rsid w:val="00620B20"/>
    <w:rsid w:val="00620C5D"/>
    <w:rsid w:val="00627C9F"/>
    <w:rsid w:val="00630A18"/>
    <w:rsid w:val="006311E9"/>
    <w:rsid w:val="00632354"/>
    <w:rsid w:val="00635421"/>
    <w:rsid w:val="00642810"/>
    <w:rsid w:val="006467D5"/>
    <w:rsid w:val="00652333"/>
    <w:rsid w:val="0066746A"/>
    <w:rsid w:val="0068009E"/>
    <w:rsid w:val="00692219"/>
    <w:rsid w:val="00693BC8"/>
    <w:rsid w:val="006A17D2"/>
    <w:rsid w:val="006A5380"/>
    <w:rsid w:val="006A6C48"/>
    <w:rsid w:val="006A73E6"/>
    <w:rsid w:val="006B2D5C"/>
    <w:rsid w:val="006B4B52"/>
    <w:rsid w:val="006B5E83"/>
    <w:rsid w:val="006B6E1E"/>
    <w:rsid w:val="006B7ADD"/>
    <w:rsid w:val="006C0ECF"/>
    <w:rsid w:val="006C4EB1"/>
    <w:rsid w:val="006D05A2"/>
    <w:rsid w:val="006D1ADD"/>
    <w:rsid w:val="006D365A"/>
    <w:rsid w:val="006E0166"/>
    <w:rsid w:val="006E2FFB"/>
    <w:rsid w:val="006E7685"/>
    <w:rsid w:val="006E7B34"/>
    <w:rsid w:val="006F323D"/>
    <w:rsid w:val="006F4CDD"/>
    <w:rsid w:val="0070697F"/>
    <w:rsid w:val="007103C4"/>
    <w:rsid w:val="0072199C"/>
    <w:rsid w:val="00722C9F"/>
    <w:rsid w:val="007253B8"/>
    <w:rsid w:val="00726929"/>
    <w:rsid w:val="00735E1B"/>
    <w:rsid w:val="0073741F"/>
    <w:rsid w:val="0074721C"/>
    <w:rsid w:val="00752382"/>
    <w:rsid w:val="0076643F"/>
    <w:rsid w:val="00767F73"/>
    <w:rsid w:val="00777F63"/>
    <w:rsid w:val="00781DB0"/>
    <w:rsid w:val="0078677F"/>
    <w:rsid w:val="007912F5"/>
    <w:rsid w:val="007A5817"/>
    <w:rsid w:val="007B05C4"/>
    <w:rsid w:val="007B4658"/>
    <w:rsid w:val="007B60E9"/>
    <w:rsid w:val="007B6CC3"/>
    <w:rsid w:val="007B76D3"/>
    <w:rsid w:val="007C3334"/>
    <w:rsid w:val="007D2B98"/>
    <w:rsid w:val="007D5DCE"/>
    <w:rsid w:val="007E21BC"/>
    <w:rsid w:val="007E7C82"/>
    <w:rsid w:val="007F03BD"/>
    <w:rsid w:val="007F2AA1"/>
    <w:rsid w:val="007F588D"/>
    <w:rsid w:val="00803F1C"/>
    <w:rsid w:val="0080600E"/>
    <w:rsid w:val="00814637"/>
    <w:rsid w:val="00814688"/>
    <w:rsid w:val="00817612"/>
    <w:rsid w:val="00822127"/>
    <w:rsid w:val="0082582B"/>
    <w:rsid w:val="00831CCA"/>
    <w:rsid w:val="008338A4"/>
    <w:rsid w:val="00834D49"/>
    <w:rsid w:val="00837C45"/>
    <w:rsid w:val="0084226A"/>
    <w:rsid w:val="008437AC"/>
    <w:rsid w:val="00844730"/>
    <w:rsid w:val="008457C2"/>
    <w:rsid w:val="00850E79"/>
    <w:rsid w:val="008556A1"/>
    <w:rsid w:val="00857A82"/>
    <w:rsid w:val="00873836"/>
    <w:rsid w:val="00880562"/>
    <w:rsid w:val="00885737"/>
    <w:rsid w:val="00890650"/>
    <w:rsid w:val="008944DC"/>
    <w:rsid w:val="00897E12"/>
    <w:rsid w:val="008A6580"/>
    <w:rsid w:val="008A7E0F"/>
    <w:rsid w:val="008B12F5"/>
    <w:rsid w:val="008C0189"/>
    <w:rsid w:val="008C37B9"/>
    <w:rsid w:val="008C5E2D"/>
    <w:rsid w:val="008D1139"/>
    <w:rsid w:val="008D3149"/>
    <w:rsid w:val="008D4A3D"/>
    <w:rsid w:val="008D6BEB"/>
    <w:rsid w:val="008D768D"/>
    <w:rsid w:val="008E1481"/>
    <w:rsid w:val="008E2ABA"/>
    <w:rsid w:val="008E2B5E"/>
    <w:rsid w:val="008E2BA3"/>
    <w:rsid w:val="008E3759"/>
    <w:rsid w:val="008E3BDA"/>
    <w:rsid w:val="008E3BFE"/>
    <w:rsid w:val="008E5FB0"/>
    <w:rsid w:val="008F1912"/>
    <w:rsid w:val="008F4D95"/>
    <w:rsid w:val="0090270B"/>
    <w:rsid w:val="009041DC"/>
    <w:rsid w:val="00907335"/>
    <w:rsid w:val="00907554"/>
    <w:rsid w:val="00917B5A"/>
    <w:rsid w:val="00920A58"/>
    <w:rsid w:val="00920A8C"/>
    <w:rsid w:val="00934A2C"/>
    <w:rsid w:val="00940C2E"/>
    <w:rsid w:val="00944E03"/>
    <w:rsid w:val="00947810"/>
    <w:rsid w:val="00954563"/>
    <w:rsid w:val="009666B6"/>
    <w:rsid w:val="0096706E"/>
    <w:rsid w:val="00974491"/>
    <w:rsid w:val="00975C4E"/>
    <w:rsid w:val="00980172"/>
    <w:rsid w:val="00981FBA"/>
    <w:rsid w:val="00991DD5"/>
    <w:rsid w:val="00997BC5"/>
    <w:rsid w:val="009A4F41"/>
    <w:rsid w:val="009A56CE"/>
    <w:rsid w:val="009A7B44"/>
    <w:rsid w:val="009B381B"/>
    <w:rsid w:val="009B6C06"/>
    <w:rsid w:val="009C05E1"/>
    <w:rsid w:val="009D073A"/>
    <w:rsid w:val="009D1753"/>
    <w:rsid w:val="009D7611"/>
    <w:rsid w:val="009E0B61"/>
    <w:rsid w:val="009E2AC9"/>
    <w:rsid w:val="009E466E"/>
    <w:rsid w:val="009E53DE"/>
    <w:rsid w:val="009E7774"/>
    <w:rsid w:val="009F08AA"/>
    <w:rsid w:val="009F17E2"/>
    <w:rsid w:val="00A045F2"/>
    <w:rsid w:val="00A05356"/>
    <w:rsid w:val="00A10B2A"/>
    <w:rsid w:val="00A10B70"/>
    <w:rsid w:val="00A11212"/>
    <w:rsid w:val="00A11E44"/>
    <w:rsid w:val="00A15562"/>
    <w:rsid w:val="00A16628"/>
    <w:rsid w:val="00A17199"/>
    <w:rsid w:val="00A225AF"/>
    <w:rsid w:val="00A278FF"/>
    <w:rsid w:val="00A30100"/>
    <w:rsid w:val="00A328B3"/>
    <w:rsid w:val="00A33513"/>
    <w:rsid w:val="00A347E3"/>
    <w:rsid w:val="00A44AE4"/>
    <w:rsid w:val="00A50FCF"/>
    <w:rsid w:val="00A528D1"/>
    <w:rsid w:val="00A52A0E"/>
    <w:rsid w:val="00A53783"/>
    <w:rsid w:val="00A610CD"/>
    <w:rsid w:val="00A66270"/>
    <w:rsid w:val="00A70494"/>
    <w:rsid w:val="00A720EC"/>
    <w:rsid w:val="00A723B0"/>
    <w:rsid w:val="00A758AA"/>
    <w:rsid w:val="00A76095"/>
    <w:rsid w:val="00A91B73"/>
    <w:rsid w:val="00A96FF6"/>
    <w:rsid w:val="00AA09A2"/>
    <w:rsid w:val="00AA0B43"/>
    <w:rsid w:val="00AA72D6"/>
    <w:rsid w:val="00AA7996"/>
    <w:rsid w:val="00AB0D83"/>
    <w:rsid w:val="00AB39B1"/>
    <w:rsid w:val="00AB63A2"/>
    <w:rsid w:val="00AC0CAD"/>
    <w:rsid w:val="00AC165C"/>
    <w:rsid w:val="00AC19CB"/>
    <w:rsid w:val="00AC2B9A"/>
    <w:rsid w:val="00AC5AC6"/>
    <w:rsid w:val="00AD3E51"/>
    <w:rsid w:val="00AD49CC"/>
    <w:rsid w:val="00AD4BC5"/>
    <w:rsid w:val="00AE304C"/>
    <w:rsid w:val="00AE5488"/>
    <w:rsid w:val="00AE6F91"/>
    <w:rsid w:val="00AF12C5"/>
    <w:rsid w:val="00AF5571"/>
    <w:rsid w:val="00B02DD5"/>
    <w:rsid w:val="00B04818"/>
    <w:rsid w:val="00B06FDD"/>
    <w:rsid w:val="00B07341"/>
    <w:rsid w:val="00B13591"/>
    <w:rsid w:val="00B140ED"/>
    <w:rsid w:val="00B22207"/>
    <w:rsid w:val="00B30539"/>
    <w:rsid w:val="00B314DB"/>
    <w:rsid w:val="00B361F2"/>
    <w:rsid w:val="00B3718B"/>
    <w:rsid w:val="00B3745F"/>
    <w:rsid w:val="00B4101C"/>
    <w:rsid w:val="00B415A6"/>
    <w:rsid w:val="00B4632A"/>
    <w:rsid w:val="00B530F1"/>
    <w:rsid w:val="00B57968"/>
    <w:rsid w:val="00B61D30"/>
    <w:rsid w:val="00B64EDF"/>
    <w:rsid w:val="00B71A0C"/>
    <w:rsid w:val="00B76BE8"/>
    <w:rsid w:val="00B77C4B"/>
    <w:rsid w:val="00B875E7"/>
    <w:rsid w:val="00B93D7F"/>
    <w:rsid w:val="00BA276C"/>
    <w:rsid w:val="00BA4D63"/>
    <w:rsid w:val="00BA60E5"/>
    <w:rsid w:val="00BB019D"/>
    <w:rsid w:val="00BB240A"/>
    <w:rsid w:val="00BB306F"/>
    <w:rsid w:val="00BB394C"/>
    <w:rsid w:val="00BD0FF5"/>
    <w:rsid w:val="00BD4B89"/>
    <w:rsid w:val="00BD5922"/>
    <w:rsid w:val="00BD5B18"/>
    <w:rsid w:val="00BE5425"/>
    <w:rsid w:val="00BE61EE"/>
    <w:rsid w:val="00BF02CB"/>
    <w:rsid w:val="00BF6FD8"/>
    <w:rsid w:val="00C018BF"/>
    <w:rsid w:val="00C03680"/>
    <w:rsid w:val="00C054DF"/>
    <w:rsid w:val="00C0718C"/>
    <w:rsid w:val="00C12C27"/>
    <w:rsid w:val="00C21762"/>
    <w:rsid w:val="00C21FEF"/>
    <w:rsid w:val="00C22808"/>
    <w:rsid w:val="00C23A1B"/>
    <w:rsid w:val="00C23BA4"/>
    <w:rsid w:val="00C24543"/>
    <w:rsid w:val="00C256A2"/>
    <w:rsid w:val="00C25ADB"/>
    <w:rsid w:val="00C27B86"/>
    <w:rsid w:val="00C50773"/>
    <w:rsid w:val="00C51515"/>
    <w:rsid w:val="00C5252B"/>
    <w:rsid w:val="00C5660B"/>
    <w:rsid w:val="00C66B72"/>
    <w:rsid w:val="00C72F58"/>
    <w:rsid w:val="00C8446B"/>
    <w:rsid w:val="00C87AC4"/>
    <w:rsid w:val="00C92178"/>
    <w:rsid w:val="00C9567A"/>
    <w:rsid w:val="00CA1CEA"/>
    <w:rsid w:val="00CB212D"/>
    <w:rsid w:val="00CB2660"/>
    <w:rsid w:val="00CC0D04"/>
    <w:rsid w:val="00CC5E90"/>
    <w:rsid w:val="00CD046C"/>
    <w:rsid w:val="00CD2154"/>
    <w:rsid w:val="00CE076C"/>
    <w:rsid w:val="00CE5199"/>
    <w:rsid w:val="00CE5C2F"/>
    <w:rsid w:val="00CE66D5"/>
    <w:rsid w:val="00CE68B7"/>
    <w:rsid w:val="00CF1C9C"/>
    <w:rsid w:val="00CF637A"/>
    <w:rsid w:val="00D04CA7"/>
    <w:rsid w:val="00D059DE"/>
    <w:rsid w:val="00D05ABD"/>
    <w:rsid w:val="00D107DD"/>
    <w:rsid w:val="00D13FCE"/>
    <w:rsid w:val="00D23382"/>
    <w:rsid w:val="00D2460C"/>
    <w:rsid w:val="00D27B63"/>
    <w:rsid w:val="00D306D1"/>
    <w:rsid w:val="00D30800"/>
    <w:rsid w:val="00D34786"/>
    <w:rsid w:val="00D37789"/>
    <w:rsid w:val="00D37BFC"/>
    <w:rsid w:val="00D43AA2"/>
    <w:rsid w:val="00D47A8E"/>
    <w:rsid w:val="00D52D14"/>
    <w:rsid w:val="00D52F7C"/>
    <w:rsid w:val="00D54CBA"/>
    <w:rsid w:val="00D64085"/>
    <w:rsid w:val="00D712D3"/>
    <w:rsid w:val="00D71422"/>
    <w:rsid w:val="00D72DC6"/>
    <w:rsid w:val="00D7558D"/>
    <w:rsid w:val="00D802F3"/>
    <w:rsid w:val="00D80DD8"/>
    <w:rsid w:val="00D81D92"/>
    <w:rsid w:val="00D876F9"/>
    <w:rsid w:val="00D95F08"/>
    <w:rsid w:val="00D970C9"/>
    <w:rsid w:val="00DA2F43"/>
    <w:rsid w:val="00DA7B5F"/>
    <w:rsid w:val="00DB0456"/>
    <w:rsid w:val="00DB0625"/>
    <w:rsid w:val="00DB133E"/>
    <w:rsid w:val="00DC11E7"/>
    <w:rsid w:val="00DC24E3"/>
    <w:rsid w:val="00DC2A81"/>
    <w:rsid w:val="00DC51B0"/>
    <w:rsid w:val="00DC7023"/>
    <w:rsid w:val="00DC769A"/>
    <w:rsid w:val="00DD04FE"/>
    <w:rsid w:val="00DD310E"/>
    <w:rsid w:val="00DD3D86"/>
    <w:rsid w:val="00DD4252"/>
    <w:rsid w:val="00DD4AD2"/>
    <w:rsid w:val="00DE12B3"/>
    <w:rsid w:val="00DE2188"/>
    <w:rsid w:val="00DE2862"/>
    <w:rsid w:val="00DE6AAA"/>
    <w:rsid w:val="00DE79AE"/>
    <w:rsid w:val="00DE7D17"/>
    <w:rsid w:val="00DF1EC4"/>
    <w:rsid w:val="00DF3BBE"/>
    <w:rsid w:val="00DF5A87"/>
    <w:rsid w:val="00DF602F"/>
    <w:rsid w:val="00DF6477"/>
    <w:rsid w:val="00E0131D"/>
    <w:rsid w:val="00E027E5"/>
    <w:rsid w:val="00E032D0"/>
    <w:rsid w:val="00E0340B"/>
    <w:rsid w:val="00E04A90"/>
    <w:rsid w:val="00E0551F"/>
    <w:rsid w:val="00E14185"/>
    <w:rsid w:val="00E219C7"/>
    <w:rsid w:val="00E22043"/>
    <w:rsid w:val="00E278E3"/>
    <w:rsid w:val="00E27F6F"/>
    <w:rsid w:val="00E4118C"/>
    <w:rsid w:val="00E43157"/>
    <w:rsid w:val="00E461CE"/>
    <w:rsid w:val="00E573E4"/>
    <w:rsid w:val="00E61A9F"/>
    <w:rsid w:val="00E620F6"/>
    <w:rsid w:val="00E64C3D"/>
    <w:rsid w:val="00E65429"/>
    <w:rsid w:val="00E720CA"/>
    <w:rsid w:val="00E75E4A"/>
    <w:rsid w:val="00E76E6F"/>
    <w:rsid w:val="00E82B58"/>
    <w:rsid w:val="00E84EB5"/>
    <w:rsid w:val="00E85662"/>
    <w:rsid w:val="00E8789F"/>
    <w:rsid w:val="00E92169"/>
    <w:rsid w:val="00E95FA0"/>
    <w:rsid w:val="00E97B71"/>
    <w:rsid w:val="00E97BD5"/>
    <w:rsid w:val="00EA1B2B"/>
    <w:rsid w:val="00EA3D34"/>
    <w:rsid w:val="00EB454D"/>
    <w:rsid w:val="00EB63E6"/>
    <w:rsid w:val="00ED2646"/>
    <w:rsid w:val="00ED549D"/>
    <w:rsid w:val="00ED5E10"/>
    <w:rsid w:val="00ED76BE"/>
    <w:rsid w:val="00EE00E9"/>
    <w:rsid w:val="00EE28E8"/>
    <w:rsid w:val="00EF1AAA"/>
    <w:rsid w:val="00EF619B"/>
    <w:rsid w:val="00F00B55"/>
    <w:rsid w:val="00F02AD1"/>
    <w:rsid w:val="00F253CC"/>
    <w:rsid w:val="00F3041C"/>
    <w:rsid w:val="00F331EE"/>
    <w:rsid w:val="00F367B9"/>
    <w:rsid w:val="00F37106"/>
    <w:rsid w:val="00F37B56"/>
    <w:rsid w:val="00F44E25"/>
    <w:rsid w:val="00F519CF"/>
    <w:rsid w:val="00F51F5D"/>
    <w:rsid w:val="00F56BA5"/>
    <w:rsid w:val="00F56ECB"/>
    <w:rsid w:val="00F60E22"/>
    <w:rsid w:val="00F61499"/>
    <w:rsid w:val="00F61F35"/>
    <w:rsid w:val="00F6510C"/>
    <w:rsid w:val="00F70C26"/>
    <w:rsid w:val="00F81395"/>
    <w:rsid w:val="00F81BB8"/>
    <w:rsid w:val="00F86833"/>
    <w:rsid w:val="00F90C64"/>
    <w:rsid w:val="00F917D1"/>
    <w:rsid w:val="00F94346"/>
    <w:rsid w:val="00F9653B"/>
    <w:rsid w:val="00FA424C"/>
    <w:rsid w:val="00FB62CF"/>
    <w:rsid w:val="00FC55B5"/>
    <w:rsid w:val="00FC5BF7"/>
    <w:rsid w:val="00FD3C3B"/>
    <w:rsid w:val="00FD5EBF"/>
    <w:rsid w:val="00FE07DD"/>
    <w:rsid w:val="00FE495B"/>
    <w:rsid w:val="00FE5A3B"/>
    <w:rsid w:val="00FE6B45"/>
    <w:rsid w:val="00FF1C15"/>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Char2">
    <w:name w:val="Char2"/>
    <w:basedOn w:val="Normal"/>
    <w:link w:val="FootnoteReference"/>
    <w:rsid w:val="00AD49C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s49">
    <w:name w:val="s49"/>
    <w:basedOn w:val="DefaultParagraphFont"/>
    <w:rsid w:val="00EE28E8"/>
  </w:style>
  <w:style w:type="character" w:customStyle="1" w:styleId="s58">
    <w:name w:val="s58"/>
    <w:basedOn w:val="DefaultParagraphFont"/>
    <w:rsid w:val="0050659F"/>
  </w:style>
  <w:style w:type="character" w:customStyle="1" w:styleId="apple-converted-space">
    <w:name w:val="apple-converted-space"/>
    <w:basedOn w:val="DefaultParagraphFont"/>
    <w:rsid w:val="0050659F"/>
  </w:style>
  <w:style w:type="paragraph" w:customStyle="1" w:styleId="p1">
    <w:name w:val="p1"/>
    <w:basedOn w:val="Normal"/>
    <w:rsid w:val="00E97BD5"/>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5"/>
      <w:szCs w:val="15"/>
      <w:bdr w:val="none" w:sz="0" w:space="0" w:color="auto"/>
      <w:lang w:val="es-EC" w:eastAsia="es-MX"/>
    </w:rPr>
  </w:style>
  <w:style w:type="character" w:styleId="Strong">
    <w:name w:val="Strong"/>
    <w:basedOn w:val="DefaultParagraphFont"/>
    <w:uiPriority w:val="22"/>
    <w:qFormat/>
    <w:rsid w:val="00F367B9"/>
    <w:rPr>
      <w:b/>
      <w:bCs/>
    </w:rPr>
  </w:style>
  <w:style w:type="paragraph" w:customStyle="1" w:styleId="p2">
    <w:name w:val="p2"/>
    <w:basedOn w:val="Normal"/>
    <w:rsid w:val="004A0BAB"/>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7"/>
      <w:szCs w:val="17"/>
      <w:bdr w:val="none" w:sz="0" w:space="0" w:color="auto"/>
      <w:lang w:val="es-EC" w:eastAsia="es-MX"/>
    </w:rPr>
  </w:style>
  <w:style w:type="paragraph" w:customStyle="1" w:styleId="p3">
    <w:name w:val="p3"/>
    <w:basedOn w:val="Normal"/>
    <w:rsid w:val="004A0BAB"/>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8"/>
      <w:szCs w:val="18"/>
      <w:bdr w:val="none" w:sz="0" w:space="0" w:color="auto"/>
      <w:lang w:val="es-EC" w:eastAsia="es-MX"/>
    </w:rPr>
  </w:style>
  <w:style w:type="paragraph" w:customStyle="1" w:styleId="p4">
    <w:name w:val="p4"/>
    <w:basedOn w:val="Normal"/>
    <w:rsid w:val="004A0BAB"/>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8"/>
      <w:szCs w:val="18"/>
      <w:bdr w:val="none" w:sz="0" w:space="0" w:color="auto"/>
      <w:lang w:val="es-EC" w:eastAsia="es-MX"/>
    </w:rPr>
  </w:style>
  <w:style w:type="paragraph" w:customStyle="1" w:styleId="p5">
    <w:name w:val="p5"/>
    <w:basedOn w:val="Normal"/>
    <w:rsid w:val="004A0BAB"/>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7"/>
      <w:szCs w:val="17"/>
      <w:bdr w:val="none" w:sz="0" w:space="0" w:color="auto"/>
      <w:lang w:val="es-EC" w:eastAsia="es-MX"/>
    </w:rPr>
  </w:style>
  <w:style w:type="paragraph" w:customStyle="1" w:styleId="p6">
    <w:name w:val="p6"/>
    <w:basedOn w:val="Normal"/>
    <w:rsid w:val="004A0BAB"/>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6"/>
      <w:szCs w:val="16"/>
      <w:bdr w:val="none" w:sz="0" w:space="0" w:color="auto"/>
      <w:lang w:val="es-EC" w:eastAsia="es-MX"/>
    </w:rPr>
  </w:style>
  <w:style w:type="paragraph" w:customStyle="1" w:styleId="p7">
    <w:name w:val="p7"/>
    <w:basedOn w:val="Normal"/>
    <w:rsid w:val="004A0BAB"/>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7"/>
      <w:szCs w:val="17"/>
      <w:bdr w:val="none" w:sz="0" w:space="0" w:color="auto"/>
      <w:lang w:val="es-EC" w:eastAsia="es-MX"/>
    </w:rPr>
  </w:style>
  <w:style w:type="paragraph" w:customStyle="1" w:styleId="p8">
    <w:name w:val="p8"/>
    <w:basedOn w:val="Normal"/>
    <w:rsid w:val="004A0BAB"/>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8"/>
      <w:szCs w:val="18"/>
      <w:bdr w:val="none" w:sz="0" w:space="0" w:color="auto"/>
      <w:lang w:val="es-EC" w:eastAsia="es-MX"/>
    </w:rPr>
  </w:style>
  <w:style w:type="paragraph" w:customStyle="1" w:styleId="p9">
    <w:name w:val="p9"/>
    <w:basedOn w:val="Normal"/>
    <w:rsid w:val="004A0BAB"/>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8"/>
      <w:szCs w:val="18"/>
      <w:bdr w:val="none" w:sz="0" w:space="0" w:color="auto"/>
      <w:lang w:val="es-EC" w:eastAsia="es-MX"/>
    </w:rPr>
  </w:style>
  <w:style w:type="character" w:customStyle="1" w:styleId="s1">
    <w:name w:val="s1"/>
    <w:basedOn w:val="DefaultParagraphFont"/>
    <w:rsid w:val="004A0BAB"/>
    <w:rPr>
      <w:rFonts w:ascii="Times" w:hAnsi="Times" w:hint="default"/>
      <w:sz w:val="19"/>
      <w:szCs w:val="19"/>
    </w:rPr>
  </w:style>
  <w:style w:type="character" w:customStyle="1" w:styleId="s2">
    <w:name w:val="s2"/>
    <w:basedOn w:val="DefaultParagraphFont"/>
    <w:rsid w:val="004A0BAB"/>
    <w:rPr>
      <w:rFonts w:ascii="Times" w:hAnsi="Times" w:hint="default"/>
      <w:sz w:val="18"/>
      <w:szCs w:val="18"/>
    </w:rPr>
  </w:style>
  <w:style w:type="character" w:customStyle="1" w:styleId="s3">
    <w:name w:val="s3"/>
    <w:basedOn w:val="DefaultParagraphFont"/>
    <w:rsid w:val="004A0BAB"/>
    <w:rPr>
      <w:rFonts w:ascii="Times" w:hAnsi="Times" w:hint="default"/>
      <w:sz w:val="18"/>
      <w:szCs w:val="18"/>
    </w:rPr>
  </w:style>
  <w:style w:type="character" w:customStyle="1" w:styleId="s4">
    <w:name w:val="s4"/>
    <w:basedOn w:val="DefaultParagraphFont"/>
    <w:rsid w:val="004A0BAB"/>
    <w:rPr>
      <w:rFonts w:ascii="Times" w:hAnsi="Times" w:hint="default"/>
      <w:sz w:val="18"/>
      <w:szCs w:val="18"/>
    </w:rPr>
  </w:style>
  <w:style w:type="character" w:customStyle="1" w:styleId="s5">
    <w:name w:val="s5"/>
    <w:basedOn w:val="DefaultParagraphFont"/>
    <w:rsid w:val="004A0BAB"/>
    <w:rPr>
      <w:rFonts w:ascii="Times" w:hAnsi="Times" w:hint="default"/>
      <w:sz w:val="17"/>
      <w:szCs w:val="17"/>
    </w:rPr>
  </w:style>
  <w:style w:type="character" w:customStyle="1" w:styleId="s6">
    <w:name w:val="s6"/>
    <w:basedOn w:val="DefaultParagraphFont"/>
    <w:rsid w:val="004A0BAB"/>
    <w:rPr>
      <w:rFonts w:ascii="Times" w:hAnsi="Times" w:hint="default"/>
      <w:sz w:val="18"/>
      <w:szCs w:val="18"/>
    </w:rPr>
  </w:style>
  <w:style w:type="character" w:customStyle="1" w:styleId="s7">
    <w:name w:val="s7"/>
    <w:basedOn w:val="DefaultParagraphFont"/>
    <w:rsid w:val="004A0BAB"/>
    <w:rPr>
      <w:rFonts w:ascii="Times" w:hAnsi="Times" w:hint="default"/>
      <w:sz w:val="17"/>
      <w:szCs w:val="17"/>
    </w:rPr>
  </w:style>
  <w:style w:type="character" w:customStyle="1" w:styleId="s8">
    <w:name w:val="s8"/>
    <w:basedOn w:val="DefaultParagraphFont"/>
    <w:rsid w:val="004A0BAB"/>
    <w:rPr>
      <w:rFonts w:ascii="Times" w:hAnsi="Times" w:hint="default"/>
      <w:sz w:val="17"/>
      <w:szCs w:val="17"/>
    </w:rPr>
  </w:style>
  <w:style w:type="character" w:customStyle="1" w:styleId="s9">
    <w:name w:val="s9"/>
    <w:basedOn w:val="DefaultParagraphFont"/>
    <w:rsid w:val="004A0BAB"/>
    <w:rPr>
      <w:rFonts w:ascii="Times" w:hAnsi="Times" w:hint="default"/>
      <w:sz w:val="16"/>
      <w:szCs w:val="16"/>
    </w:rPr>
  </w:style>
  <w:style w:type="character" w:customStyle="1" w:styleId="s10">
    <w:name w:val="s10"/>
    <w:basedOn w:val="DefaultParagraphFont"/>
    <w:rsid w:val="004A0BAB"/>
    <w:rPr>
      <w:rFonts w:ascii="Times" w:hAnsi="Times" w:hint="default"/>
      <w:sz w:val="18"/>
      <w:szCs w:val="18"/>
    </w:rPr>
  </w:style>
  <w:style w:type="character" w:customStyle="1" w:styleId="s11">
    <w:name w:val="s11"/>
    <w:basedOn w:val="DefaultParagraphFont"/>
    <w:rsid w:val="004A0BAB"/>
    <w:rPr>
      <w:rFonts w:ascii="Times" w:hAnsi="Times" w:hint="default"/>
      <w:sz w:val="18"/>
      <w:szCs w:val="18"/>
    </w:rPr>
  </w:style>
  <w:style w:type="character" w:customStyle="1" w:styleId="s12">
    <w:name w:val="s12"/>
    <w:basedOn w:val="DefaultParagraphFont"/>
    <w:rsid w:val="004A0BAB"/>
    <w:rPr>
      <w:rFonts w:ascii="Times" w:hAnsi="Times" w:hint="default"/>
      <w:sz w:val="19"/>
      <w:szCs w:val="19"/>
    </w:rPr>
  </w:style>
  <w:style w:type="character" w:customStyle="1" w:styleId="s13">
    <w:name w:val="s13"/>
    <w:basedOn w:val="DefaultParagraphFont"/>
    <w:rsid w:val="004A0BAB"/>
    <w:rPr>
      <w:rFonts w:ascii="Times" w:hAnsi="Times" w:hint="default"/>
      <w:sz w:val="19"/>
      <w:szCs w:val="19"/>
    </w:rPr>
  </w:style>
  <w:style w:type="character" w:customStyle="1" w:styleId="s14">
    <w:name w:val="s14"/>
    <w:basedOn w:val="DefaultParagraphFont"/>
    <w:rsid w:val="004A0BAB"/>
    <w:rPr>
      <w:rFonts w:ascii="Times" w:hAnsi="Times" w:hint="default"/>
      <w:sz w:val="18"/>
      <w:szCs w:val="18"/>
    </w:rPr>
  </w:style>
  <w:style w:type="character" w:customStyle="1" w:styleId="s15">
    <w:name w:val="s15"/>
    <w:basedOn w:val="DefaultParagraphFont"/>
    <w:rsid w:val="004A0BAB"/>
    <w:rPr>
      <w:rFonts w:ascii="Times" w:hAnsi="Times" w:hint="default"/>
      <w:sz w:val="17"/>
      <w:szCs w:val="17"/>
    </w:rPr>
  </w:style>
  <w:style w:type="character" w:customStyle="1" w:styleId="s16">
    <w:name w:val="s16"/>
    <w:basedOn w:val="DefaultParagraphFont"/>
    <w:rsid w:val="004A0BAB"/>
    <w:rPr>
      <w:rFonts w:ascii="Times" w:hAnsi="Times" w:hint="default"/>
      <w:sz w:val="17"/>
      <w:szCs w:val="17"/>
    </w:rPr>
  </w:style>
  <w:style w:type="character" w:customStyle="1" w:styleId="s17">
    <w:name w:val="s17"/>
    <w:basedOn w:val="DefaultParagraphFont"/>
    <w:rsid w:val="004A0BAB"/>
    <w:rPr>
      <w:rFonts w:ascii="Times" w:hAnsi="Times" w:hint="default"/>
      <w:sz w:val="16"/>
      <w:szCs w:val="16"/>
    </w:rPr>
  </w:style>
  <w:style w:type="character" w:customStyle="1" w:styleId="s18">
    <w:name w:val="s18"/>
    <w:basedOn w:val="DefaultParagraphFont"/>
    <w:rsid w:val="004A0BAB"/>
    <w:rPr>
      <w:rFonts w:ascii="Times" w:hAnsi="Times" w:hint="default"/>
      <w:sz w:val="16"/>
      <w:szCs w:val="16"/>
    </w:rPr>
  </w:style>
  <w:style w:type="character" w:customStyle="1" w:styleId="s19">
    <w:name w:val="s19"/>
    <w:basedOn w:val="DefaultParagraphFont"/>
    <w:rsid w:val="004A0BAB"/>
    <w:rPr>
      <w:rFonts w:ascii="Times" w:hAnsi="Times" w:hint="default"/>
      <w:sz w:val="15"/>
      <w:szCs w:val="15"/>
    </w:rPr>
  </w:style>
  <w:style w:type="character" w:customStyle="1" w:styleId="s20">
    <w:name w:val="s20"/>
    <w:basedOn w:val="DefaultParagraphFont"/>
    <w:rsid w:val="004A0BAB"/>
    <w:rPr>
      <w:rFonts w:ascii="Times" w:hAnsi="Times" w:hint="default"/>
      <w:sz w:val="17"/>
      <w:szCs w:val="17"/>
    </w:rPr>
  </w:style>
  <w:style w:type="character" w:customStyle="1" w:styleId="s21">
    <w:name w:val="s21"/>
    <w:basedOn w:val="DefaultParagraphFont"/>
    <w:rsid w:val="004A0BAB"/>
    <w:rPr>
      <w:rFonts w:ascii="Times" w:hAnsi="Times" w:hint="default"/>
      <w:sz w:val="17"/>
      <w:szCs w:val="17"/>
    </w:rPr>
  </w:style>
  <w:style w:type="character" w:customStyle="1" w:styleId="s22">
    <w:name w:val="s22"/>
    <w:basedOn w:val="DefaultParagraphFont"/>
    <w:rsid w:val="004A0BAB"/>
    <w:rPr>
      <w:rFonts w:ascii="Times" w:hAnsi="Times" w:hint="default"/>
      <w:sz w:val="16"/>
      <w:szCs w:val="16"/>
    </w:rPr>
  </w:style>
  <w:style w:type="character" w:customStyle="1" w:styleId="s23">
    <w:name w:val="s23"/>
    <w:basedOn w:val="DefaultParagraphFont"/>
    <w:rsid w:val="004A0BAB"/>
    <w:rPr>
      <w:rFonts w:ascii="Times" w:hAnsi="Times" w:hint="default"/>
      <w:sz w:val="19"/>
      <w:szCs w:val="19"/>
    </w:rPr>
  </w:style>
  <w:style w:type="character" w:customStyle="1" w:styleId="s24">
    <w:name w:val="s24"/>
    <w:basedOn w:val="DefaultParagraphFont"/>
    <w:rsid w:val="004A0BAB"/>
    <w:rPr>
      <w:rFonts w:ascii="Times" w:hAnsi="Times" w:hint="default"/>
      <w:sz w:val="16"/>
      <w:szCs w:val="16"/>
    </w:rPr>
  </w:style>
  <w:style w:type="paragraph" w:styleId="CommentText">
    <w:name w:val="annotation text"/>
    <w:basedOn w:val="Normal"/>
    <w:link w:val="CommentTextChar"/>
    <w:uiPriority w:val="99"/>
    <w:unhideWhenUsed/>
    <w:rsid w:val="00E61A9F"/>
    <w:rPr>
      <w:sz w:val="20"/>
      <w:szCs w:val="20"/>
    </w:rPr>
  </w:style>
  <w:style w:type="character" w:customStyle="1" w:styleId="CommentTextChar">
    <w:name w:val="Comment Text Char"/>
    <w:basedOn w:val="DefaultParagraphFont"/>
    <w:link w:val="CommentText"/>
    <w:uiPriority w:val="99"/>
    <w:rsid w:val="00E61A9F"/>
    <w:rPr>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E61A9F"/>
    <w:rPr>
      <w:rFonts w:ascii="Cambria" w:eastAsia="Cambria" w:hAnsi="Cambria" w:cs="Cambria"/>
      <w:color w:val="000000"/>
      <w:sz w:val="24"/>
      <w:szCs w:val="24"/>
      <w:u w:color="000000"/>
      <w:lang w:val="en-US"/>
    </w:rPr>
  </w:style>
  <w:style w:type="paragraph" w:styleId="CommentSubject">
    <w:name w:val="annotation subject"/>
    <w:basedOn w:val="CommentText"/>
    <w:next w:val="CommentText"/>
    <w:link w:val="CommentSubjectChar"/>
    <w:uiPriority w:val="99"/>
    <w:semiHidden/>
    <w:unhideWhenUsed/>
    <w:rsid w:val="00572228"/>
    <w:rPr>
      <w:b/>
      <w:bCs/>
    </w:rPr>
  </w:style>
  <w:style w:type="character" w:customStyle="1" w:styleId="CommentSubjectChar">
    <w:name w:val="Comment Subject Char"/>
    <w:basedOn w:val="CommentTextChar"/>
    <w:link w:val="CommentSubject"/>
    <w:uiPriority w:val="99"/>
    <w:semiHidden/>
    <w:rsid w:val="00572228"/>
    <w:rPr>
      <w:b/>
      <w:bCs/>
      <w:lang w:val="en-US" w:eastAsia="en-US"/>
    </w:rPr>
  </w:style>
  <w:style w:type="paragraph" w:styleId="NormalWeb">
    <w:name w:val="Normal (Web)"/>
    <w:basedOn w:val="Normal"/>
    <w:uiPriority w:val="99"/>
    <w:unhideWhenUsed/>
    <w:rsid w:val="00A10B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MX"/>
    </w:rPr>
  </w:style>
  <w:style w:type="character" w:styleId="Emphasis">
    <w:name w:val="Emphasis"/>
    <w:basedOn w:val="DefaultParagraphFont"/>
    <w:uiPriority w:val="20"/>
    <w:qFormat/>
    <w:rsid w:val="005C73C7"/>
    <w:rPr>
      <w:i/>
      <w:iCs/>
    </w:rPr>
  </w:style>
  <w:style w:type="paragraph" w:styleId="Revision">
    <w:name w:val="Revision"/>
    <w:hidden/>
    <w:uiPriority w:val="99"/>
    <w:semiHidden/>
    <w:rsid w:val="00066A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F943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F94346"/>
  </w:style>
  <w:style w:type="character" w:customStyle="1" w:styleId="eop">
    <w:name w:val="eop"/>
    <w:basedOn w:val="DefaultParagraphFont"/>
    <w:rsid w:val="00F94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BDDEAA6B15DD44A9DF83FA0526847C"/>
        <w:category>
          <w:name w:val="General"/>
          <w:gallery w:val="placeholder"/>
        </w:category>
        <w:types>
          <w:type w:val="bbPlcHdr"/>
        </w:types>
        <w:behaviors>
          <w:behavior w:val="content"/>
        </w:behaviors>
        <w:guid w:val="{6C07E4ED-CA15-6D4E-A7D5-0145A581E6B0}"/>
      </w:docPartPr>
      <w:docPartBody>
        <w:p w:rsidR="00794FE7" w:rsidRDefault="00020724" w:rsidP="00020724">
          <w:pPr>
            <w:pStyle w:val="A1BDDEAA6B15DD44A9DF83FA0526847C"/>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
    <w:altName w:val="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0724"/>
    <w:rsid w:val="00042D6E"/>
    <w:rsid w:val="0014117D"/>
    <w:rsid w:val="001B3262"/>
    <w:rsid w:val="001D35B8"/>
    <w:rsid w:val="00200821"/>
    <w:rsid w:val="00206FE6"/>
    <w:rsid w:val="0025245B"/>
    <w:rsid w:val="0029601A"/>
    <w:rsid w:val="002A3923"/>
    <w:rsid w:val="002D348A"/>
    <w:rsid w:val="002E15C9"/>
    <w:rsid w:val="0034633B"/>
    <w:rsid w:val="00373BAF"/>
    <w:rsid w:val="00394049"/>
    <w:rsid w:val="003B0C71"/>
    <w:rsid w:val="003C4E31"/>
    <w:rsid w:val="004B5BBB"/>
    <w:rsid w:val="004F2DF8"/>
    <w:rsid w:val="00517E2A"/>
    <w:rsid w:val="005D0717"/>
    <w:rsid w:val="006D3128"/>
    <w:rsid w:val="006F24A1"/>
    <w:rsid w:val="007636FA"/>
    <w:rsid w:val="00781DB0"/>
    <w:rsid w:val="00794FE7"/>
    <w:rsid w:val="008548AD"/>
    <w:rsid w:val="00875B8A"/>
    <w:rsid w:val="008953BC"/>
    <w:rsid w:val="008D1139"/>
    <w:rsid w:val="009A261B"/>
    <w:rsid w:val="00A44AE4"/>
    <w:rsid w:val="00A51C1A"/>
    <w:rsid w:val="00AA2E17"/>
    <w:rsid w:val="00AC15A4"/>
    <w:rsid w:val="00AD4BC5"/>
    <w:rsid w:val="00B0274D"/>
    <w:rsid w:val="00B0336C"/>
    <w:rsid w:val="00B2708B"/>
    <w:rsid w:val="00B611F4"/>
    <w:rsid w:val="00B77C4B"/>
    <w:rsid w:val="00BB2C4B"/>
    <w:rsid w:val="00C0718C"/>
    <w:rsid w:val="00C23A1B"/>
    <w:rsid w:val="00C418AA"/>
    <w:rsid w:val="00C5252B"/>
    <w:rsid w:val="00CE68B7"/>
    <w:rsid w:val="00D241E9"/>
    <w:rsid w:val="00D7750D"/>
    <w:rsid w:val="00D808B4"/>
    <w:rsid w:val="00DD310E"/>
    <w:rsid w:val="00DF5FB9"/>
    <w:rsid w:val="00E0131D"/>
    <w:rsid w:val="00E027E5"/>
    <w:rsid w:val="00F00D2F"/>
    <w:rsid w:val="00F128DF"/>
    <w:rsid w:val="00F62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724"/>
    <w:rPr>
      <w:color w:val="808080"/>
    </w:rPr>
  </w:style>
  <w:style w:type="paragraph" w:customStyle="1" w:styleId="A1BDDEAA6B15DD44A9DF83FA0526847C">
    <w:name w:val="A1BDDEAA6B15DD44A9DF83FA0526847C"/>
    <w:rsid w:val="00020724"/>
    <w:pPr>
      <w:spacing w:after="160" w:line="278" w:lineRule="auto"/>
    </w:pPr>
    <w:rPr>
      <w:kern w:val="2"/>
      <w:sz w:val="24"/>
      <w:szCs w:val="24"/>
      <w:lang w:val="es-EC" w:eastAsia="es-MX"/>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77ED23F6-1115-4C80-80B3-9BAAF23420A7}">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A7627DBA-BFA5-445C-A8BC-6EF325B5DE43}">
  <ds:schemaRefs>
    <ds:schemaRef ds:uri="http://schemas.microsoft.com/sharepoint/v3/contenttype/forms"/>
  </ds:schemaRefs>
</ds:datastoreItem>
</file>

<file path=customXml/itemProps4.xml><?xml version="1.0" encoding="utf-8"?>
<ds:datastoreItem xmlns:ds="http://schemas.openxmlformats.org/officeDocument/2006/customXml" ds:itemID="{6CA5D6AD-5779-4821-B5DA-01E62CD34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3515</Words>
  <Characters>20039</Characters>
  <Application>Microsoft Office Word</Application>
  <DocSecurity>0</DocSecurity>
  <Lines>166</Lines>
  <Paragraphs>47</Paragraphs>
  <ScaleCrop>false</ScaleCrop>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2026-01-29T14:12:00Z</dcterms:created>
  <dcterms:modified xsi:type="dcterms:W3CDTF">2026-01-29T14:12:00Z</dcterms:modified>
</cp:coreProperties>
</file>