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A61799" w:rsidRDefault="00D306D1" w:rsidP="00627C9F">
      <w:pPr>
        <w:jc w:val="both"/>
        <w:rPr>
          <w:rFonts w:asciiTheme="majorHAnsi" w:hAnsiTheme="majorHAnsi" w:cs="Univers"/>
          <w:b/>
          <w:bCs/>
          <w:sz w:val="22"/>
          <w:szCs w:val="22"/>
          <w:lang w:val="es-ES"/>
        </w:rPr>
      </w:pPr>
      <w:r w:rsidRPr="00A61799">
        <w:rPr>
          <w:rFonts w:asciiTheme="majorHAnsi" w:hAnsiTheme="majorHAnsi"/>
          <w:noProof/>
          <w:sz w:val="22"/>
          <w:szCs w:val="22"/>
          <w:lang w:val="es-ES"/>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46620"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A61799">
        <w:rPr>
          <w:rFonts w:asciiTheme="majorHAnsi" w:hAnsiTheme="majorHAnsi"/>
          <w:noProof/>
          <w:sz w:val="22"/>
          <w:szCs w:val="22"/>
          <w:lang w:val="es-ES"/>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A61799">
        <w:rPr>
          <w:rFonts w:asciiTheme="majorHAnsi" w:hAnsiTheme="majorHAnsi" w:cs="Univers"/>
          <w:b/>
          <w:bCs/>
          <w:sz w:val="22"/>
          <w:szCs w:val="22"/>
          <w:lang w:val="es-ES"/>
        </w:rPr>
        <w:t xml:space="preserve"> </w:t>
      </w:r>
    </w:p>
    <w:p w14:paraId="751BC92D" w14:textId="77777777" w:rsidR="00040C3A" w:rsidRPr="00A61799"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A61799"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A61799" w:rsidRDefault="005128E4" w:rsidP="00040C3A">
      <w:pPr>
        <w:tabs>
          <w:tab w:val="center" w:pos="5400"/>
        </w:tabs>
        <w:suppressAutoHyphens/>
        <w:rPr>
          <w:rFonts w:asciiTheme="majorHAnsi" w:hAnsiTheme="majorHAnsi"/>
          <w:sz w:val="22"/>
          <w:szCs w:val="22"/>
          <w:lang w:val="es-ES"/>
        </w:rPr>
      </w:pPr>
    </w:p>
    <w:p w14:paraId="7F51F08B" w14:textId="77777777" w:rsidR="005128E4" w:rsidRPr="00A61799" w:rsidRDefault="005128E4" w:rsidP="00040C3A">
      <w:pPr>
        <w:tabs>
          <w:tab w:val="center" w:pos="5400"/>
        </w:tabs>
        <w:suppressAutoHyphens/>
        <w:rPr>
          <w:rFonts w:asciiTheme="majorHAnsi" w:hAnsiTheme="majorHAnsi"/>
          <w:sz w:val="22"/>
          <w:szCs w:val="22"/>
          <w:lang w:val="es-ES"/>
        </w:rPr>
      </w:pPr>
    </w:p>
    <w:p w14:paraId="058606A7" w14:textId="77777777" w:rsidR="005128E4" w:rsidRPr="00A61799" w:rsidRDefault="005128E4" w:rsidP="00040C3A">
      <w:pPr>
        <w:tabs>
          <w:tab w:val="center" w:pos="5400"/>
        </w:tabs>
        <w:suppressAutoHyphens/>
        <w:rPr>
          <w:rFonts w:asciiTheme="majorHAnsi" w:hAnsiTheme="majorHAnsi"/>
          <w:sz w:val="22"/>
          <w:szCs w:val="22"/>
          <w:lang w:val="es-ES"/>
        </w:rPr>
      </w:pPr>
    </w:p>
    <w:p w14:paraId="01B9D56A" w14:textId="77777777" w:rsidR="00040C3A" w:rsidRPr="00A61799"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A61799"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A61799"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A61799"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A61799"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A61799" w:rsidRDefault="003D3BC2" w:rsidP="00040C3A">
      <w:pPr>
        <w:tabs>
          <w:tab w:val="center" w:pos="5400"/>
        </w:tabs>
        <w:suppressAutoHyphens/>
        <w:jc w:val="center"/>
        <w:rPr>
          <w:rFonts w:asciiTheme="majorHAnsi" w:hAnsiTheme="majorHAnsi"/>
          <w:sz w:val="22"/>
          <w:szCs w:val="22"/>
          <w:lang w:val="es-ES"/>
        </w:rPr>
      </w:pPr>
      <w:r w:rsidRPr="00A61799">
        <w:rPr>
          <w:rFonts w:asciiTheme="majorHAnsi" w:hAnsiTheme="majorHAnsi"/>
          <w:noProof/>
          <w:sz w:val="22"/>
          <w:szCs w:val="22"/>
          <w:lang w:val="es-ES"/>
        </w:rPr>
        <mc:AlternateContent>
          <mc:Choice Requires="wps">
            <w:drawing>
              <wp:anchor distT="0" distB="0" distL="114300" distR="114300" simplePos="0" relativeHeight="251658241" behindDoc="0" locked="0" layoutInCell="1" allowOverlap="1" wp14:anchorId="65C56D75" wp14:editId="63B07DDD">
                <wp:simplePos x="0" y="0"/>
                <wp:positionH relativeFrom="column">
                  <wp:posOffset>1352550</wp:posOffset>
                </wp:positionH>
                <wp:positionV relativeFrom="paragraph">
                  <wp:posOffset>107315</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52D71E3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B0DA7">
                              <w:rPr>
                                <w:rFonts w:asciiTheme="majorHAnsi" w:hAnsiTheme="majorHAnsi" w:cs="Arial"/>
                                <w:b/>
                                <w:bCs/>
                                <w:color w:val="0D0D0D" w:themeColor="text1" w:themeTint="F2"/>
                                <w:sz w:val="36"/>
                                <w:szCs w:val="22"/>
                                <w:lang w:val="es-ES_tradnl"/>
                              </w:rPr>
                              <w:t>300</w:t>
                            </w:r>
                            <w:r w:rsidR="007B05C4">
                              <w:rPr>
                                <w:rFonts w:asciiTheme="majorHAnsi" w:hAnsiTheme="majorHAnsi" w:cs="Arial"/>
                                <w:b/>
                                <w:bCs/>
                                <w:color w:val="0D0D0D" w:themeColor="text1" w:themeTint="F2"/>
                                <w:sz w:val="36"/>
                                <w:szCs w:val="22"/>
                                <w:lang w:val="es-ES_tradnl"/>
                              </w:rPr>
                              <w:t>/</w:t>
                            </w:r>
                            <w:r w:rsidR="00812F67">
                              <w:rPr>
                                <w:rFonts w:asciiTheme="majorHAnsi" w:hAnsiTheme="majorHAnsi" w:cs="Arial"/>
                                <w:b/>
                                <w:bCs/>
                                <w:color w:val="0D0D0D" w:themeColor="text1" w:themeTint="F2"/>
                                <w:sz w:val="36"/>
                                <w:szCs w:val="22"/>
                                <w:lang w:val="es-ES_tradnl"/>
                              </w:rPr>
                              <w:t>25</w:t>
                            </w:r>
                          </w:p>
                          <w:p w14:paraId="45F30ECA" w14:textId="7E6AF4A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812F67">
                              <w:rPr>
                                <w:rFonts w:asciiTheme="majorHAnsi" w:hAnsiTheme="majorHAnsi" w:cs="Arial"/>
                                <w:b/>
                                <w:color w:val="0D0D0D" w:themeColor="text1" w:themeTint="F2"/>
                                <w:sz w:val="36"/>
                                <w:szCs w:val="22"/>
                                <w:lang w:val="es-ES_tradnl"/>
                              </w:rPr>
                              <w:t>1286-15</w:t>
                            </w:r>
                            <w:r w:rsidR="00246D1F" w:rsidRPr="004E2649">
                              <w:rPr>
                                <w:rFonts w:asciiTheme="majorHAnsi" w:hAnsiTheme="majorHAnsi" w:cs="Arial"/>
                                <w:b/>
                                <w:color w:val="0D0D0D" w:themeColor="text1" w:themeTint="F2"/>
                                <w:sz w:val="36"/>
                                <w:szCs w:val="22"/>
                                <w:lang w:val="es-ES_tradnl"/>
                              </w:rPr>
                              <w:t xml:space="preserve"> </w:t>
                            </w:r>
                          </w:p>
                          <w:p w14:paraId="188B4303" w14:textId="1C72546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1246CCB1" w14:textId="77777777" w:rsidR="00D151E2" w:rsidRPr="00C32E65" w:rsidRDefault="00D151E2" w:rsidP="00D151E2">
                            <w:pPr>
                              <w:spacing w:line="276" w:lineRule="auto"/>
                              <w:rPr>
                                <w:rFonts w:asciiTheme="majorHAnsi" w:hAnsiTheme="majorHAnsi" w:cs="Arial"/>
                                <w:color w:val="0D0D0D" w:themeColor="text1" w:themeTint="F2"/>
                                <w:szCs w:val="22"/>
                                <w:lang w:val="es-ES_tradnl"/>
                              </w:rPr>
                            </w:pPr>
                            <w:r w:rsidRPr="00C32E65">
                              <w:rPr>
                                <w:rFonts w:asciiTheme="majorHAnsi" w:hAnsiTheme="majorHAnsi" w:cs="Arial"/>
                                <w:color w:val="0D0D0D" w:themeColor="text1" w:themeTint="F2"/>
                                <w:szCs w:val="22"/>
                                <w:lang w:val="es-ES_tradnl"/>
                              </w:rPr>
                              <w:t>TOMÁS ALBERTO GONZÁLEZ FEUILLEBOIS</w:t>
                            </w:r>
                          </w:p>
                          <w:p w14:paraId="0B9F7D22" w14:textId="54F26B33" w:rsidR="005B52B0" w:rsidRPr="00D151E2" w:rsidRDefault="00D151E2" w:rsidP="00D151E2">
                            <w:pPr>
                              <w:rPr>
                                <w:color w:val="0D0D0D" w:themeColor="text1" w:themeTint="F2"/>
                                <w:lang w:val="es-PE"/>
                              </w:rPr>
                            </w:pPr>
                            <w:r w:rsidRPr="00C32E65">
                              <w:rPr>
                                <w:rFonts w:asciiTheme="majorHAnsi" w:hAnsiTheme="majorHAnsi" w:cs="Arial"/>
                                <w:color w:val="0D0D0D" w:themeColor="text1" w:themeTint="F2"/>
                                <w:szCs w:val="22"/>
                                <w:lang w:val="es-PE"/>
                              </w:rPr>
                              <w:t>PANAMÁ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2.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BP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" filled="f" stroked="f" strokeweight=".5pt">
                <v:textbox>
                  <w:txbxContent>
                    <w:p w14:paraId="7D7328D9" w14:textId="52D71E36"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EB0DA7">
                        <w:rPr>
                          <w:rFonts w:asciiTheme="majorHAnsi" w:hAnsiTheme="majorHAnsi" w:cs="Arial"/>
                          <w:b/>
                          <w:bCs/>
                          <w:color w:val="0D0D0D" w:themeColor="text1" w:themeTint="F2"/>
                          <w:sz w:val="36"/>
                          <w:szCs w:val="22"/>
                          <w:lang w:val="es-ES_tradnl"/>
                        </w:rPr>
                        <w:t>300</w:t>
                      </w:r>
                      <w:r w:rsidR="007B05C4">
                        <w:rPr>
                          <w:rFonts w:asciiTheme="majorHAnsi" w:hAnsiTheme="majorHAnsi" w:cs="Arial"/>
                          <w:b/>
                          <w:bCs/>
                          <w:color w:val="0D0D0D" w:themeColor="text1" w:themeTint="F2"/>
                          <w:sz w:val="36"/>
                          <w:szCs w:val="22"/>
                          <w:lang w:val="es-ES_tradnl"/>
                        </w:rPr>
                        <w:t>/</w:t>
                      </w:r>
                      <w:r w:rsidR="00812F67">
                        <w:rPr>
                          <w:rFonts w:asciiTheme="majorHAnsi" w:hAnsiTheme="majorHAnsi" w:cs="Arial"/>
                          <w:b/>
                          <w:bCs/>
                          <w:color w:val="0D0D0D" w:themeColor="text1" w:themeTint="F2"/>
                          <w:sz w:val="36"/>
                          <w:szCs w:val="22"/>
                          <w:lang w:val="es-ES_tradnl"/>
                        </w:rPr>
                        <w:t>25</w:t>
                      </w:r>
                    </w:p>
                    <w:p w14:paraId="45F30ECA" w14:textId="7E6AF4A2"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812F67">
                        <w:rPr>
                          <w:rFonts w:asciiTheme="majorHAnsi" w:hAnsiTheme="majorHAnsi" w:cs="Arial"/>
                          <w:b/>
                          <w:color w:val="0D0D0D" w:themeColor="text1" w:themeTint="F2"/>
                          <w:sz w:val="36"/>
                          <w:szCs w:val="22"/>
                          <w:lang w:val="es-ES_tradnl"/>
                        </w:rPr>
                        <w:t>1286-15</w:t>
                      </w:r>
                      <w:r w:rsidR="00246D1F" w:rsidRPr="004E2649">
                        <w:rPr>
                          <w:rFonts w:asciiTheme="majorHAnsi" w:hAnsiTheme="majorHAnsi" w:cs="Arial"/>
                          <w:b/>
                          <w:color w:val="0D0D0D" w:themeColor="text1" w:themeTint="F2"/>
                          <w:sz w:val="36"/>
                          <w:szCs w:val="22"/>
                          <w:lang w:val="es-ES_tradnl"/>
                        </w:rPr>
                        <w:t xml:space="preserve"> </w:t>
                      </w:r>
                    </w:p>
                    <w:p w14:paraId="188B4303" w14:textId="1C725461"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1246CCB1" w14:textId="77777777" w:rsidR="00D151E2" w:rsidRPr="00C32E65" w:rsidRDefault="00D151E2" w:rsidP="00D151E2">
                      <w:pPr>
                        <w:spacing w:line="276" w:lineRule="auto"/>
                        <w:rPr>
                          <w:rFonts w:asciiTheme="majorHAnsi" w:hAnsiTheme="majorHAnsi" w:cs="Arial"/>
                          <w:color w:val="0D0D0D" w:themeColor="text1" w:themeTint="F2"/>
                          <w:szCs w:val="22"/>
                          <w:lang w:val="es-ES_tradnl"/>
                        </w:rPr>
                      </w:pPr>
                      <w:r w:rsidRPr="00C32E65">
                        <w:rPr>
                          <w:rFonts w:asciiTheme="majorHAnsi" w:hAnsiTheme="majorHAnsi" w:cs="Arial"/>
                          <w:color w:val="0D0D0D" w:themeColor="text1" w:themeTint="F2"/>
                          <w:szCs w:val="22"/>
                          <w:lang w:val="es-ES_tradnl"/>
                        </w:rPr>
                        <w:t>TOMÁS ALBERTO GONZÁLEZ FEUILLEBOIS</w:t>
                      </w:r>
                    </w:p>
                    <w:p w14:paraId="0B9F7D22" w14:textId="54F26B33" w:rsidR="005B52B0" w:rsidRPr="00D151E2" w:rsidRDefault="00D151E2" w:rsidP="00D151E2">
                      <w:pPr>
                        <w:rPr>
                          <w:color w:val="0D0D0D" w:themeColor="text1" w:themeTint="F2"/>
                          <w:lang w:val="es-PE"/>
                        </w:rPr>
                      </w:pPr>
                      <w:r w:rsidRPr="00C32E65">
                        <w:rPr>
                          <w:rFonts w:asciiTheme="majorHAnsi" w:hAnsiTheme="majorHAnsi" w:cs="Arial"/>
                          <w:color w:val="0D0D0D" w:themeColor="text1" w:themeTint="F2"/>
                          <w:szCs w:val="22"/>
                          <w:lang w:val="es-PE"/>
                        </w:rPr>
                        <w:t>PANAMÁ</w:t>
                      </w:r>
                    </w:p>
                  </w:txbxContent>
                </v:textbox>
              </v:shape>
            </w:pict>
          </mc:Fallback>
        </mc:AlternateContent>
      </w:r>
      <w:r w:rsidR="004E2649" w:rsidRPr="00A61799">
        <w:rPr>
          <w:rFonts w:asciiTheme="majorHAnsi" w:hAnsiTheme="majorHAnsi"/>
          <w:noProof/>
          <w:sz w:val="22"/>
          <w:szCs w:val="22"/>
          <w:lang w:val="es-ES"/>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608528C7" w:rsidR="00627C9F" w:rsidRPr="006E1EFA" w:rsidRDefault="00834D49" w:rsidP="007A5817">
                            <w:pPr>
                              <w:spacing w:line="276" w:lineRule="auto"/>
                              <w:jc w:val="right"/>
                              <w:rPr>
                                <w:rFonts w:asciiTheme="minorHAnsi" w:hAnsiTheme="minorHAnsi"/>
                                <w:color w:val="FFFFFF" w:themeColor="background1"/>
                                <w:sz w:val="22"/>
                                <w:lang w:val="es-ES"/>
                              </w:rPr>
                            </w:pPr>
                            <w:r w:rsidRPr="006E1EFA">
                              <w:rPr>
                                <w:rFonts w:asciiTheme="minorHAnsi" w:hAnsiTheme="minorHAnsi"/>
                                <w:color w:val="FFFFFF" w:themeColor="background1"/>
                                <w:sz w:val="22"/>
                                <w:lang w:val="es-ES"/>
                              </w:rPr>
                              <w:t>OEA/Ser.L/V/II</w:t>
                            </w:r>
                          </w:p>
                          <w:p w14:paraId="71D2D5D2" w14:textId="4A69589B" w:rsidR="00627C9F" w:rsidRPr="006E1EFA" w:rsidRDefault="00627C9F" w:rsidP="007A5817">
                            <w:pPr>
                              <w:spacing w:line="276" w:lineRule="auto"/>
                              <w:jc w:val="right"/>
                              <w:rPr>
                                <w:rFonts w:asciiTheme="minorHAnsi" w:hAnsiTheme="minorHAnsi"/>
                                <w:color w:val="FFFFFF" w:themeColor="background1"/>
                                <w:sz w:val="22"/>
                                <w:lang w:val="es-ES"/>
                              </w:rPr>
                            </w:pPr>
                            <w:r w:rsidRPr="006E1EFA">
                              <w:rPr>
                                <w:rFonts w:asciiTheme="minorHAnsi" w:hAnsiTheme="minorHAnsi"/>
                                <w:color w:val="FFFFFF" w:themeColor="background1"/>
                                <w:sz w:val="22"/>
                                <w:lang w:val="es-ES"/>
                              </w:rPr>
                              <w:t xml:space="preserve">Doc. </w:t>
                            </w:r>
                            <w:r w:rsidR="00DA60D8" w:rsidRPr="006E1EFA">
                              <w:rPr>
                                <w:rFonts w:asciiTheme="minorHAnsi" w:hAnsiTheme="minorHAnsi"/>
                                <w:color w:val="FFFFFF" w:themeColor="background1"/>
                                <w:sz w:val="22"/>
                                <w:lang w:val="es-ES"/>
                              </w:rPr>
                              <w:t>315</w:t>
                            </w:r>
                          </w:p>
                          <w:p w14:paraId="4061DBBD" w14:textId="486DFF0B" w:rsidR="00627C9F" w:rsidRPr="00C25ADB" w:rsidRDefault="00EB0DA7"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627C9F" w:rsidRPr="00C25ADB">
                              <w:rPr>
                                <w:rFonts w:asciiTheme="minorHAnsi" w:hAnsiTheme="minorHAnsi"/>
                                <w:color w:val="FFFFFF" w:themeColor="background1"/>
                                <w:sz w:val="22"/>
                                <w:lang w:val="es-PA"/>
                              </w:rPr>
                              <w:t xml:space="preserve"> </w:t>
                            </w:r>
                            <w:r w:rsidR="000E4407">
                              <w:rPr>
                                <w:rFonts w:asciiTheme="minorHAnsi" w:hAnsiTheme="minorHAnsi"/>
                                <w:color w:val="FFFFFF" w:themeColor="background1"/>
                                <w:sz w:val="22"/>
                                <w:lang w:val="es-PA"/>
                              </w:rPr>
                              <w:t>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608528C7" w:rsidR="00627C9F" w:rsidRPr="006E1EFA" w:rsidRDefault="00834D49" w:rsidP="007A5817">
                      <w:pPr>
                        <w:spacing w:line="276" w:lineRule="auto"/>
                        <w:jc w:val="right"/>
                        <w:rPr>
                          <w:rFonts w:asciiTheme="minorHAnsi" w:hAnsiTheme="minorHAnsi"/>
                          <w:color w:val="FFFFFF" w:themeColor="background1"/>
                          <w:sz w:val="22"/>
                          <w:lang w:val="es-ES"/>
                        </w:rPr>
                      </w:pPr>
                      <w:r w:rsidRPr="006E1EFA">
                        <w:rPr>
                          <w:rFonts w:asciiTheme="minorHAnsi" w:hAnsiTheme="minorHAnsi"/>
                          <w:color w:val="FFFFFF" w:themeColor="background1"/>
                          <w:sz w:val="22"/>
                          <w:lang w:val="es-ES"/>
                        </w:rPr>
                        <w:t>OEA/Ser.L/V/II</w:t>
                      </w:r>
                    </w:p>
                    <w:p w14:paraId="71D2D5D2" w14:textId="4A69589B" w:rsidR="00627C9F" w:rsidRPr="006E1EFA" w:rsidRDefault="00627C9F" w:rsidP="007A5817">
                      <w:pPr>
                        <w:spacing w:line="276" w:lineRule="auto"/>
                        <w:jc w:val="right"/>
                        <w:rPr>
                          <w:rFonts w:asciiTheme="minorHAnsi" w:hAnsiTheme="minorHAnsi"/>
                          <w:color w:val="FFFFFF" w:themeColor="background1"/>
                          <w:sz w:val="22"/>
                          <w:lang w:val="es-ES"/>
                        </w:rPr>
                      </w:pPr>
                      <w:r w:rsidRPr="006E1EFA">
                        <w:rPr>
                          <w:rFonts w:asciiTheme="minorHAnsi" w:hAnsiTheme="minorHAnsi"/>
                          <w:color w:val="FFFFFF" w:themeColor="background1"/>
                          <w:sz w:val="22"/>
                          <w:lang w:val="es-ES"/>
                        </w:rPr>
                        <w:t xml:space="preserve">Doc. </w:t>
                      </w:r>
                      <w:r w:rsidR="00DA60D8" w:rsidRPr="006E1EFA">
                        <w:rPr>
                          <w:rFonts w:asciiTheme="minorHAnsi" w:hAnsiTheme="minorHAnsi"/>
                          <w:color w:val="FFFFFF" w:themeColor="background1"/>
                          <w:sz w:val="22"/>
                          <w:lang w:val="es-ES"/>
                        </w:rPr>
                        <w:t>315</w:t>
                      </w:r>
                    </w:p>
                    <w:p w14:paraId="4061DBBD" w14:textId="486DFF0B" w:rsidR="00627C9F" w:rsidRPr="00C25ADB" w:rsidRDefault="00EB0DA7"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27 diciembre</w:t>
                      </w:r>
                      <w:r w:rsidR="00627C9F" w:rsidRPr="00C25ADB">
                        <w:rPr>
                          <w:rFonts w:asciiTheme="minorHAnsi" w:hAnsiTheme="minorHAnsi"/>
                          <w:color w:val="FFFFFF" w:themeColor="background1"/>
                          <w:sz w:val="22"/>
                          <w:lang w:val="es-PA"/>
                        </w:rPr>
                        <w:t xml:space="preserve"> </w:t>
                      </w:r>
                      <w:r w:rsidR="000E4407">
                        <w:rPr>
                          <w:rFonts w:asciiTheme="minorHAnsi" w:hAnsiTheme="minorHAnsi"/>
                          <w:color w:val="FFFFFF" w:themeColor="background1"/>
                          <w:sz w:val="22"/>
                          <w:lang w:val="es-PA"/>
                        </w:rPr>
                        <w:t>2025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A61799"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A61799"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A61799"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A61799"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A61799"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A61799"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A61799" w:rsidRDefault="0090270B" w:rsidP="00040C3A">
      <w:pPr>
        <w:tabs>
          <w:tab w:val="center" w:pos="5400"/>
        </w:tabs>
        <w:suppressAutoHyphens/>
        <w:jc w:val="center"/>
        <w:rPr>
          <w:rFonts w:asciiTheme="majorHAnsi" w:hAnsiTheme="majorHAnsi"/>
          <w:sz w:val="18"/>
          <w:szCs w:val="22"/>
          <w:lang w:val="es-ES"/>
        </w:rPr>
      </w:pPr>
      <w:r w:rsidRPr="00A61799">
        <w:rPr>
          <w:rFonts w:asciiTheme="majorHAnsi" w:hAnsiTheme="majorHAnsi"/>
          <w:noProof/>
          <w:sz w:val="22"/>
          <w:szCs w:val="22"/>
          <w:lang w:val="es-ES"/>
        </w:rPr>
        <mc:AlternateContent>
          <mc:Choice Requires="wps">
            <w:drawing>
              <wp:anchor distT="0" distB="0" distL="114300" distR="114300" simplePos="0" relativeHeight="251658242"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0F5C6" w14:textId="32E1B543" w:rsidR="00D151E2" w:rsidRPr="00D151E2" w:rsidRDefault="00D151E2" w:rsidP="00D151E2">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B0DA7">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EB0DA7">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EB0DA7">
                              <w:rPr>
                                <w:rFonts w:asciiTheme="majorHAnsi" w:hAnsiTheme="majorHAnsi"/>
                                <w:color w:val="0D0D0D" w:themeColor="text1" w:themeTint="F2"/>
                                <w:sz w:val="18"/>
                                <w:szCs w:val="22"/>
                                <w:lang w:val="es-ES"/>
                              </w:rPr>
                              <w:t>.</w:t>
                            </w: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01A0F5C6" w14:textId="32E1B543" w:rsidR="00D151E2" w:rsidRPr="00D151E2" w:rsidRDefault="00D151E2" w:rsidP="00D151E2">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EB0DA7">
                        <w:rPr>
                          <w:rFonts w:asciiTheme="majorHAnsi" w:hAnsiTheme="majorHAnsi"/>
                          <w:color w:val="0D0D0D" w:themeColor="text1" w:themeTint="F2"/>
                          <w:sz w:val="18"/>
                          <w:szCs w:val="22"/>
                          <w:lang w:val="es-ES"/>
                        </w:rPr>
                        <w:t>27</w:t>
                      </w:r>
                      <w:r w:rsidRPr="00890650">
                        <w:rPr>
                          <w:rFonts w:asciiTheme="majorHAnsi" w:hAnsiTheme="majorHAnsi"/>
                          <w:color w:val="0D0D0D" w:themeColor="text1" w:themeTint="F2"/>
                          <w:sz w:val="18"/>
                          <w:szCs w:val="22"/>
                          <w:lang w:val="es-ES"/>
                        </w:rPr>
                        <w:t xml:space="preserve"> de </w:t>
                      </w:r>
                      <w:r w:rsidR="00EB0DA7">
                        <w:rPr>
                          <w:rFonts w:asciiTheme="majorHAnsi" w:hAnsiTheme="majorHAnsi"/>
                          <w:color w:val="0D0D0D" w:themeColor="text1" w:themeTint="F2"/>
                          <w:sz w:val="18"/>
                          <w:szCs w:val="22"/>
                          <w:lang w:val="es-ES"/>
                        </w:rPr>
                        <w:t>diciembre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EB0DA7">
                        <w:rPr>
                          <w:rFonts w:asciiTheme="majorHAnsi" w:hAnsiTheme="majorHAnsi"/>
                          <w:color w:val="0D0D0D" w:themeColor="text1" w:themeTint="F2"/>
                          <w:sz w:val="18"/>
                          <w:szCs w:val="22"/>
                          <w:lang w:val="es-ES"/>
                        </w:rPr>
                        <w:t>.</w:t>
                      </w: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5EDC5EE2"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4730F205" w14:textId="77777777" w:rsidR="00A50FCF" w:rsidRPr="00A61799" w:rsidRDefault="0090270B" w:rsidP="00040C3A">
      <w:pPr>
        <w:tabs>
          <w:tab w:val="center" w:pos="5400"/>
        </w:tabs>
        <w:suppressAutoHyphens/>
        <w:jc w:val="center"/>
        <w:rPr>
          <w:rFonts w:asciiTheme="majorHAnsi" w:hAnsiTheme="majorHAnsi"/>
          <w:sz w:val="18"/>
          <w:szCs w:val="22"/>
          <w:lang w:val="es-ES"/>
        </w:rPr>
      </w:pPr>
      <w:r w:rsidRPr="00A61799">
        <w:rPr>
          <w:rFonts w:asciiTheme="majorHAnsi" w:hAnsiTheme="majorHAnsi"/>
          <w:noProof/>
          <w:sz w:val="18"/>
          <w:szCs w:val="22"/>
          <w:lang w:val="es-ES"/>
        </w:rPr>
        <mc:AlternateContent>
          <mc:Choice Requires="wps">
            <w:drawing>
              <wp:anchor distT="0" distB="0" distL="114300" distR="114300" simplePos="0" relativeHeight="251658245"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2D0432" w14:textId="77777777" w:rsidR="007279F8" w:rsidRDefault="00D151E2"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11460" w:rsidRPr="00D11460">
                              <w:rPr>
                                <w:rFonts w:asciiTheme="majorHAnsi" w:hAnsiTheme="majorHAnsi"/>
                                <w:color w:val="595959" w:themeColor="text1" w:themeTint="A6"/>
                                <w:sz w:val="18"/>
                                <w:szCs w:val="18"/>
                                <w:lang w:val="pt-BR"/>
                              </w:rPr>
                              <w:t>300</w:t>
                            </w:r>
                            <w:r w:rsidRPr="00D11460">
                              <w:rPr>
                                <w:rFonts w:asciiTheme="majorHAnsi" w:hAnsiTheme="majorHAnsi"/>
                                <w:color w:val="595959" w:themeColor="text1" w:themeTint="A6"/>
                                <w:sz w:val="18"/>
                                <w:szCs w:val="18"/>
                                <w:lang w:val="pt-BR"/>
                              </w:rPr>
                              <w:t>/</w:t>
                            </w:r>
                            <w:r w:rsidR="00D11460" w:rsidRPr="00D11460">
                              <w:rPr>
                                <w:rFonts w:asciiTheme="majorHAnsi" w:hAnsiTheme="majorHAnsi"/>
                                <w:color w:val="595959" w:themeColor="text1" w:themeTint="A6"/>
                                <w:sz w:val="18"/>
                                <w:szCs w:val="18"/>
                                <w:lang w:val="pt-BR"/>
                              </w:rPr>
                              <w:t>25</w:t>
                            </w:r>
                            <w:r w:rsidRPr="00D11460">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1286-15.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7FD77785" w14:textId="197FB8A7" w:rsidR="00113F73" w:rsidRPr="007B05C4" w:rsidRDefault="00D151E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Tomas Alberto González Feuillebois</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Panamá</w:t>
                            </w:r>
                            <w:r w:rsidRPr="00890650">
                              <w:rPr>
                                <w:rFonts w:asciiTheme="majorHAnsi" w:hAnsiTheme="majorHAnsi"/>
                                <w:color w:val="595959" w:themeColor="text1" w:themeTint="A6"/>
                                <w:sz w:val="18"/>
                                <w:szCs w:val="18"/>
                                <w:lang w:val="es-ES_tradnl"/>
                              </w:rPr>
                              <w:t xml:space="preserve">. </w:t>
                            </w:r>
                            <w:r w:rsidR="007279F8">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B2D0432" w14:textId="77777777" w:rsidR="007279F8" w:rsidRDefault="00D151E2"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D11460" w:rsidRPr="00D11460">
                        <w:rPr>
                          <w:rFonts w:asciiTheme="majorHAnsi" w:hAnsiTheme="majorHAnsi"/>
                          <w:color w:val="595959" w:themeColor="text1" w:themeTint="A6"/>
                          <w:sz w:val="18"/>
                          <w:szCs w:val="18"/>
                          <w:lang w:val="pt-BR"/>
                        </w:rPr>
                        <w:t>300</w:t>
                      </w:r>
                      <w:r w:rsidRPr="00D11460">
                        <w:rPr>
                          <w:rFonts w:asciiTheme="majorHAnsi" w:hAnsiTheme="majorHAnsi"/>
                          <w:color w:val="595959" w:themeColor="text1" w:themeTint="A6"/>
                          <w:sz w:val="18"/>
                          <w:szCs w:val="18"/>
                          <w:lang w:val="pt-BR"/>
                        </w:rPr>
                        <w:t>/</w:t>
                      </w:r>
                      <w:r w:rsidR="00D11460" w:rsidRPr="00D11460">
                        <w:rPr>
                          <w:rFonts w:asciiTheme="majorHAnsi" w:hAnsiTheme="majorHAnsi"/>
                          <w:color w:val="595959" w:themeColor="text1" w:themeTint="A6"/>
                          <w:sz w:val="18"/>
                          <w:szCs w:val="18"/>
                          <w:lang w:val="pt-BR"/>
                        </w:rPr>
                        <w:t>25</w:t>
                      </w:r>
                      <w:r w:rsidRPr="00D11460">
                        <w:rPr>
                          <w:rFonts w:asciiTheme="majorHAnsi" w:hAnsiTheme="majorHAnsi"/>
                          <w:color w:val="595959" w:themeColor="text1" w:themeTint="A6"/>
                          <w:sz w:val="18"/>
                          <w:szCs w:val="18"/>
                          <w:lang w:val="pt-BR"/>
                        </w:rPr>
                        <w:t xml:space="preserve">. </w:t>
                      </w:r>
                      <w:r>
                        <w:rPr>
                          <w:rFonts w:asciiTheme="majorHAnsi" w:hAnsiTheme="majorHAnsi"/>
                          <w:color w:val="595959" w:themeColor="text1" w:themeTint="A6"/>
                          <w:sz w:val="18"/>
                          <w:szCs w:val="18"/>
                          <w:lang w:val="es-ES_tradnl"/>
                        </w:rPr>
                        <w:t>Petici</w:t>
                      </w:r>
                      <w:r>
                        <w:rPr>
                          <w:rFonts w:asciiTheme="majorHAnsi" w:hAnsiTheme="majorHAnsi"/>
                          <w:color w:val="595959" w:themeColor="text1" w:themeTint="A6"/>
                          <w:sz w:val="18"/>
                          <w:szCs w:val="18"/>
                          <w:lang w:val="es-ES"/>
                        </w:rPr>
                        <w:t xml:space="preserve">ón 1286-15. </w:t>
                      </w:r>
                      <w:r>
                        <w:rPr>
                          <w:rFonts w:asciiTheme="majorHAnsi" w:hAnsiTheme="majorHAnsi"/>
                          <w:color w:val="595959" w:themeColor="text1" w:themeTint="A6"/>
                          <w:sz w:val="18"/>
                          <w:szCs w:val="18"/>
                          <w:lang w:val="es-ES_tradnl"/>
                        </w:rPr>
                        <w:t>Admisibilidad</w:t>
                      </w:r>
                      <w:r w:rsidRPr="00890650">
                        <w:rPr>
                          <w:rFonts w:asciiTheme="majorHAnsi" w:hAnsiTheme="majorHAnsi"/>
                          <w:color w:val="595959" w:themeColor="text1" w:themeTint="A6"/>
                          <w:sz w:val="18"/>
                          <w:szCs w:val="18"/>
                          <w:lang w:val="es-ES_tradnl"/>
                        </w:rPr>
                        <w:t xml:space="preserve">. </w:t>
                      </w:r>
                    </w:p>
                    <w:p w14:paraId="7FD77785" w14:textId="197FB8A7" w:rsidR="00113F73" w:rsidRPr="007B05C4" w:rsidRDefault="00D151E2"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Tomas Alberto González Feuillebois</w:t>
                      </w:r>
                      <w:r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Panamá</w:t>
                      </w:r>
                      <w:r w:rsidRPr="00890650">
                        <w:rPr>
                          <w:rFonts w:asciiTheme="majorHAnsi" w:hAnsiTheme="majorHAnsi"/>
                          <w:color w:val="595959" w:themeColor="text1" w:themeTint="A6"/>
                          <w:sz w:val="18"/>
                          <w:szCs w:val="18"/>
                          <w:lang w:val="es-ES_tradnl"/>
                        </w:rPr>
                        <w:t xml:space="preserve">. </w:t>
                      </w:r>
                      <w:r w:rsidR="007279F8">
                        <w:rPr>
                          <w:rFonts w:asciiTheme="majorHAnsi" w:hAnsiTheme="majorHAnsi"/>
                          <w:color w:val="595959" w:themeColor="text1" w:themeTint="A6"/>
                          <w:sz w:val="18"/>
                          <w:szCs w:val="18"/>
                          <w:lang w:val="es-ES"/>
                        </w:rPr>
                        <w:t>27 de diciembre de 2025</w:t>
                      </w:r>
                      <w:r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A61799" w:rsidRDefault="00A50FCF" w:rsidP="00040C3A">
      <w:pPr>
        <w:tabs>
          <w:tab w:val="center" w:pos="5400"/>
        </w:tabs>
        <w:suppressAutoHyphens/>
        <w:jc w:val="center"/>
        <w:rPr>
          <w:rFonts w:asciiTheme="majorHAnsi" w:hAnsiTheme="majorHAnsi"/>
          <w:sz w:val="18"/>
          <w:szCs w:val="22"/>
          <w:lang w:val="es-ES"/>
        </w:rPr>
      </w:pPr>
    </w:p>
    <w:p w14:paraId="0C9396CC" w14:textId="77777777" w:rsidR="0090270B" w:rsidRPr="00A61799" w:rsidRDefault="00D306D1" w:rsidP="005516A1">
      <w:pPr>
        <w:tabs>
          <w:tab w:val="center" w:pos="5400"/>
        </w:tabs>
        <w:suppressAutoHyphens/>
        <w:jc w:val="center"/>
        <w:rPr>
          <w:rFonts w:asciiTheme="majorHAnsi" w:hAnsiTheme="majorHAnsi"/>
          <w:b/>
          <w:sz w:val="20"/>
          <w:lang w:val="es-ES"/>
        </w:rPr>
      </w:pPr>
      <w:r w:rsidRPr="00A61799">
        <w:rPr>
          <w:rFonts w:asciiTheme="majorHAnsi" w:hAnsiTheme="majorHAnsi"/>
          <w:noProof/>
          <w:sz w:val="18"/>
          <w:szCs w:val="22"/>
          <w:lang w:val="es-ES"/>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62D4CB40" w:rsidR="00D72DC6" w:rsidRPr="00D72DC6" w:rsidRDefault="00A36F7C" w:rsidP="00F02AD1">
                            <w:pPr>
                              <w:rPr>
                                <w:color w:val="FFFFFF" w:themeColor="background1"/>
                                <w14:textFill>
                                  <w14:noFill/>
                                </w14:textFill>
                              </w:rPr>
                            </w:pPr>
                            <w:r>
                              <w:rPr>
                                <w:noProof/>
                                <w:color w:val="FFFFFF" w:themeColor="background1"/>
                              </w:rPr>
                              <w:drawing>
                                <wp:inline distT="0" distB="0" distL="0" distR="0" wp14:anchorId="1886442C" wp14:editId="71F2115E">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62D4CB40" w:rsidR="00D72DC6" w:rsidRPr="00D72DC6" w:rsidRDefault="00A36F7C" w:rsidP="00F02AD1">
                      <w:pPr>
                        <w:rPr>
                          <w:color w:val="FFFFFF" w:themeColor="background1"/>
                          <w14:textFill>
                            <w14:noFill/>
                          </w14:textFill>
                        </w:rPr>
                      </w:pPr>
                      <w:r>
                        <w:rPr>
                          <w:noProof/>
                          <w:color w:val="FFFFFF" w:themeColor="background1"/>
                        </w:rPr>
                        <w:drawing>
                          <wp:inline distT="0" distB="0" distL="0" distR="0" wp14:anchorId="1886442C" wp14:editId="71F2115E">
                            <wp:extent cx="1216325" cy="469265"/>
                            <wp:effectExtent l="0" t="0" r="317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2"/>
                                    <a:srcRect r="33328"/>
                                    <a:stretch>
                                      <a:fillRect/>
                                    </a:stretch>
                                  </pic:blipFill>
                                  <pic:spPr bwMode="auto">
                                    <a:xfrm>
                                      <a:off x="0" y="0"/>
                                      <a:ext cx="1216325" cy="469265"/>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A61799">
        <w:rPr>
          <w:rFonts w:asciiTheme="majorHAnsi" w:hAnsiTheme="majorHAnsi"/>
          <w:noProof/>
          <w:sz w:val="22"/>
          <w:szCs w:val="22"/>
          <w:lang w:val="es-ES"/>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A61799" w:rsidRDefault="004A6A54" w:rsidP="005516A1">
      <w:pPr>
        <w:tabs>
          <w:tab w:val="center" w:pos="5400"/>
        </w:tabs>
        <w:suppressAutoHyphens/>
        <w:jc w:val="center"/>
        <w:rPr>
          <w:rFonts w:asciiTheme="majorHAnsi" w:hAnsiTheme="majorHAnsi"/>
          <w:b/>
          <w:sz w:val="20"/>
          <w:lang w:val="es-ES"/>
        </w:rPr>
        <w:sectPr w:rsidR="0070697F" w:rsidRPr="00A61799"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A61799">
        <w:rPr>
          <w:rFonts w:asciiTheme="majorHAnsi" w:hAnsiTheme="majorHAnsi"/>
          <w:b/>
          <w:sz w:val="20"/>
          <w:lang w:val="es-ES"/>
        </w:rPr>
        <w:tab/>
      </w:r>
    </w:p>
    <w:p w14:paraId="2786EE58" w14:textId="77777777" w:rsidR="003239B8" w:rsidRPr="00A61799" w:rsidRDefault="003239B8" w:rsidP="004A6A54">
      <w:pPr>
        <w:spacing w:after="240"/>
        <w:ind w:firstLine="720"/>
        <w:jc w:val="both"/>
        <w:rPr>
          <w:rFonts w:asciiTheme="majorHAnsi" w:hAnsiTheme="majorHAnsi"/>
          <w:b/>
          <w:bCs/>
          <w:sz w:val="20"/>
          <w:szCs w:val="20"/>
          <w:lang w:val="es-ES"/>
        </w:rPr>
      </w:pPr>
      <w:r w:rsidRPr="00A61799">
        <w:rPr>
          <w:rFonts w:asciiTheme="majorHAnsi" w:hAnsiTheme="majorHAnsi"/>
          <w:b/>
          <w:bCs/>
          <w:sz w:val="20"/>
          <w:szCs w:val="20"/>
          <w:lang w:val="es-ES"/>
        </w:rPr>
        <w:lastRenderedPageBreak/>
        <w:t>I.</w:t>
      </w:r>
      <w:r w:rsidRPr="00A61799">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D151E2" w:rsidRPr="00A61799"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42DC7F03" w:rsidR="00D151E2" w:rsidRPr="00A61799" w:rsidRDefault="00D151E2"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Parte peticionaria:</w:t>
            </w:r>
          </w:p>
        </w:tc>
        <w:tc>
          <w:tcPr>
            <w:tcW w:w="5647" w:type="dxa"/>
            <w:vAlign w:val="center"/>
          </w:tcPr>
          <w:p w14:paraId="07DAAE2E" w14:textId="20016345" w:rsidR="00D151E2" w:rsidRPr="00A61799" w:rsidRDefault="00D151E2" w:rsidP="00D151E2">
            <w:pPr>
              <w:jc w:val="both"/>
              <w:rPr>
                <w:rFonts w:ascii="Cambria" w:hAnsi="Cambria"/>
                <w:bCs/>
                <w:sz w:val="20"/>
                <w:szCs w:val="20"/>
                <w:lang w:val="es-ES"/>
              </w:rPr>
            </w:pPr>
            <w:r w:rsidRPr="00A61799">
              <w:rPr>
                <w:rFonts w:ascii="Cambria" w:hAnsi="Cambria"/>
                <w:bCs/>
                <w:sz w:val="20"/>
                <w:szCs w:val="20"/>
                <w:lang w:val="es-ES"/>
              </w:rPr>
              <w:t>Tomás Alberto González Feuillebois</w:t>
            </w:r>
          </w:p>
        </w:tc>
      </w:tr>
      <w:tr w:rsidR="00D151E2" w:rsidRPr="00A61799"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62AE3D38" w:rsidR="00D151E2" w:rsidRPr="00A61799" w:rsidRDefault="00DD79C6" w:rsidP="00D151E2">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97E0D2135C90D7438D4AC6608AC6BB72"/>
                </w:placeholder>
                <w:dropDownList>
                  <w:listItem w:value="Choose an item."/>
                  <w:listItem w:displayText="Presunta víctima" w:value="Presunta víctima"/>
                  <w:listItem w:displayText="Presuntas víctimas" w:value="Presuntas víctimas"/>
                </w:dropDownList>
              </w:sdtPr>
              <w:sdtEndPr/>
              <w:sdtContent>
                <w:r w:rsidR="00D151E2" w:rsidRPr="00A61799">
                  <w:rPr>
                    <w:rFonts w:ascii="Cambria" w:hAnsi="Cambria"/>
                    <w:b/>
                    <w:bCs/>
                    <w:color w:val="FFFFFF" w:themeColor="background1"/>
                    <w:sz w:val="20"/>
                    <w:szCs w:val="20"/>
                    <w:lang w:val="es-ES"/>
                  </w:rPr>
                  <w:t>Presunta víctima</w:t>
                </w:r>
              </w:sdtContent>
            </w:sdt>
            <w:r w:rsidR="00D151E2" w:rsidRPr="00A61799">
              <w:rPr>
                <w:rFonts w:ascii="Cambria" w:hAnsi="Cambria"/>
                <w:b/>
                <w:bCs/>
                <w:color w:val="FFFFFF" w:themeColor="background1"/>
                <w:sz w:val="20"/>
                <w:szCs w:val="20"/>
                <w:lang w:val="es-ES"/>
              </w:rPr>
              <w:t>:</w:t>
            </w:r>
          </w:p>
        </w:tc>
        <w:tc>
          <w:tcPr>
            <w:tcW w:w="5647" w:type="dxa"/>
            <w:vAlign w:val="center"/>
          </w:tcPr>
          <w:p w14:paraId="143D44A8" w14:textId="2AEE33ED" w:rsidR="00D151E2" w:rsidRPr="00A61799" w:rsidRDefault="00D151E2" w:rsidP="00D151E2">
            <w:pPr>
              <w:jc w:val="both"/>
              <w:rPr>
                <w:rFonts w:ascii="Cambria" w:hAnsi="Cambria"/>
                <w:bCs/>
                <w:sz w:val="20"/>
                <w:szCs w:val="20"/>
                <w:lang w:val="es-ES"/>
              </w:rPr>
            </w:pPr>
            <w:r w:rsidRPr="00A61799">
              <w:rPr>
                <w:rFonts w:ascii="Cambria" w:hAnsi="Cambria"/>
                <w:bCs/>
                <w:sz w:val="20"/>
                <w:szCs w:val="20"/>
                <w:lang w:val="es-ES"/>
              </w:rPr>
              <w:t>Tomás Alberto González Feuillebois</w:t>
            </w:r>
          </w:p>
        </w:tc>
      </w:tr>
      <w:tr w:rsidR="00D151E2" w:rsidRPr="00A61799"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46E1A0FF" w:rsidR="00D151E2" w:rsidRPr="00A61799" w:rsidRDefault="00D151E2"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Estado denunciado:</w:t>
            </w:r>
          </w:p>
        </w:tc>
        <w:tc>
          <w:tcPr>
            <w:tcW w:w="5647" w:type="dxa"/>
            <w:vAlign w:val="center"/>
          </w:tcPr>
          <w:p w14:paraId="5D0EC05D" w14:textId="2DC52DCD" w:rsidR="00D151E2" w:rsidRPr="00A61799" w:rsidRDefault="00D151E2" w:rsidP="00D151E2">
            <w:pPr>
              <w:jc w:val="both"/>
              <w:rPr>
                <w:rFonts w:ascii="Cambria" w:hAnsi="Cambria"/>
                <w:bCs/>
                <w:sz w:val="20"/>
                <w:szCs w:val="20"/>
                <w:lang w:val="es-ES"/>
              </w:rPr>
            </w:pPr>
            <w:r w:rsidRPr="00A61799">
              <w:rPr>
                <w:rFonts w:ascii="Cambria" w:hAnsi="Cambria"/>
                <w:bCs/>
                <w:sz w:val="20"/>
                <w:szCs w:val="20"/>
                <w:lang w:val="es-ES"/>
              </w:rPr>
              <w:t>Panamá</w:t>
            </w:r>
          </w:p>
        </w:tc>
      </w:tr>
      <w:tr w:rsidR="00D151E2" w:rsidRPr="006E1EFA"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0429CA31" w:rsidR="00D151E2" w:rsidRPr="00A61799" w:rsidRDefault="00D151E2"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Derechos invocados:</w:t>
            </w:r>
          </w:p>
        </w:tc>
        <w:tc>
          <w:tcPr>
            <w:tcW w:w="5647" w:type="dxa"/>
            <w:vAlign w:val="center"/>
          </w:tcPr>
          <w:p w14:paraId="52B28392" w14:textId="523E5EBE" w:rsidR="00D151E2" w:rsidRPr="00A61799" w:rsidRDefault="00D151E2" w:rsidP="00D151E2">
            <w:pPr>
              <w:jc w:val="both"/>
              <w:rPr>
                <w:rFonts w:ascii="Cambria" w:hAnsi="Cambria"/>
                <w:bCs/>
                <w:sz w:val="20"/>
                <w:szCs w:val="20"/>
                <w:lang w:val="es-ES"/>
              </w:rPr>
            </w:pPr>
            <w:r w:rsidRPr="00A61799">
              <w:rPr>
                <w:rFonts w:ascii="Cambria" w:eastAsia="Cambria" w:hAnsi="Cambria" w:cs="Cambria"/>
                <w:sz w:val="20"/>
                <w:szCs w:val="20"/>
                <w:lang w:val="es-ES"/>
              </w:rPr>
              <w:t>Artículos 9 (principio de legalidad y de retroactividad) de la Convención Americana sobre Derechos Humanos</w:t>
            </w:r>
            <w:r w:rsidRPr="00A61799">
              <w:rPr>
                <w:rFonts w:ascii="Cambria" w:eastAsia="Cambria" w:hAnsi="Cambria" w:cs="Cambria"/>
                <w:sz w:val="20"/>
                <w:szCs w:val="20"/>
                <w:vertAlign w:val="superscript"/>
                <w:lang w:val="es-ES"/>
              </w:rPr>
              <w:footnoteReference w:id="2"/>
            </w:r>
          </w:p>
        </w:tc>
      </w:tr>
    </w:tbl>
    <w:p w14:paraId="176FB213" w14:textId="77777777" w:rsidR="003239B8" w:rsidRPr="00A61799" w:rsidRDefault="003239B8" w:rsidP="003239B8">
      <w:pPr>
        <w:spacing w:before="240" w:after="240"/>
        <w:ind w:firstLine="720"/>
        <w:jc w:val="both"/>
        <w:rPr>
          <w:rFonts w:asciiTheme="majorHAnsi" w:hAnsiTheme="majorHAnsi"/>
          <w:b/>
          <w:bCs/>
          <w:sz w:val="20"/>
          <w:szCs w:val="20"/>
          <w:lang w:val="es-ES"/>
        </w:rPr>
      </w:pPr>
      <w:r w:rsidRPr="00A61799">
        <w:rPr>
          <w:rFonts w:asciiTheme="majorHAnsi" w:hAnsiTheme="majorHAnsi"/>
          <w:b/>
          <w:bCs/>
          <w:sz w:val="20"/>
          <w:szCs w:val="20"/>
          <w:lang w:val="es-ES"/>
        </w:rPr>
        <w:t>II.</w:t>
      </w:r>
      <w:r w:rsidRPr="00A61799">
        <w:rPr>
          <w:rFonts w:asciiTheme="majorHAnsi" w:hAnsiTheme="majorHAnsi"/>
          <w:b/>
          <w:bCs/>
          <w:sz w:val="20"/>
          <w:szCs w:val="20"/>
          <w:lang w:val="es-ES"/>
        </w:rPr>
        <w:tab/>
        <w:t>TRÁMITE ANTE LA CIDH</w:t>
      </w:r>
      <w:r w:rsidR="008E3BFE" w:rsidRPr="00A61799">
        <w:rPr>
          <w:rStyle w:val="FootnoteReference"/>
          <w:rFonts w:ascii="Cambria" w:hAnsi="Cambria"/>
          <w:b/>
          <w:sz w:val="20"/>
          <w:szCs w:val="20"/>
          <w:lang w:val="es-ES"/>
        </w:rPr>
        <w:footnoteReference w:id="3"/>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E0198E" w:rsidRPr="00A61799" w14:paraId="1D831514" w14:textId="77777777" w:rsidTr="00E0198E">
        <w:tc>
          <w:tcPr>
            <w:tcW w:w="3600" w:type="dxa"/>
            <w:tcBorders>
              <w:top w:val="single" w:sz="6" w:space="0" w:color="auto"/>
              <w:bottom w:val="single" w:sz="6" w:space="0" w:color="auto"/>
            </w:tcBorders>
            <w:shd w:val="clear" w:color="auto" w:fill="386294"/>
            <w:vAlign w:val="center"/>
          </w:tcPr>
          <w:p w14:paraId="330F2ED0"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Presentación de la petición:</w:t>
            </w:r>
          </w:p>
        </w:tc>
        <w:tc>
          <w:tcPr>
            <w:tcW w:w="5647" w:type="dxa"/>
            <w:vAlign w:val="center"/>
          </w:tcPr>
          <w:p w14:paraId="5E8D7C4D" w14:textId="7372D3CF"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21 de agosto de 2015</w:t>
            </w:r>
          </w:p>
        </w:tc>
      </w:tr>
      <w:tr w:rsidR="00E0198E" w:rsidRPr="00A61799" w14:paraId="54F62341" w14:textId="77777777" w:rsidTr="00E0198E">
        <w:tc>
          <w:tcPr>
            <w:tcW w:w="3600" w:type="dxa"/>
            <w:tcBorders>
              <w:top w:val="single" w:sz="6" w:space="0" w:color="auto"/>
              <w:bottom w:val="single" w:sz="6" w:space="0" w:color="auto"/>
            </w:tcBorders>
            <w:shd w:val="clear" w:color="auto" w:fill="386294"/>
            <w:vAlign w:val="center"/>
          </w:tcPr>
          <w:p w14:paraId="48CC6F04"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Información adicional recibida durante la etapa de estudio:</w:t>
            </w:r>
          </w:p>
        </w:tc>
        <w:tc>
          <w:tcPr>
            <w:tcW w:w="5647" w:type="dxa"/>
            <w:vAlign w:val="center"/>
          </w:tcPr>
          <w:p w14:paraId="4AC0692D" w14:textId="17349507"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9 de septiembre de 2015</w:t>
            </w:r>
          </w:p>
        </w:tc>
      </w:tr>
      <w:tr w:rsidR="00E0198E" w:rsidRPr="00A61799" w14:paraId="6A9025D9" w14:textId="77777777" w:rsidTr="00E0198E">
        <w:tc>
          <w:tcPr>
            <w:tcW w:w="3600" w:type="dxa"/>
            <w:tcBorders>
              <w:top w:val="single" w:sz="6" w:space="0" w:color="auto"/>
              <w:bottom w:val="single" w:sz="6" w:space="0" w:color="auto"/>
            </w:tcBorders>
            <w:shd w:val="clear" w:color="auto" w:fill="386294"/>
            <w:vAlign w:val="center"/>
          </w:tcPr>
          <w:p w14:paraId="01B3581F"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color w:val="FFFFFF" w:themeColor="background1"/>
                <w:sz w:val="20"/>
                <w:szCs w:val="20"/>
                <w:lang w:val="es-ES"/>
              </w:rPr>
              <w:t>Notificación de la petición al Estado:</w:t>
            </w:r>
          </w:p>
        </w:tc>
        <w:tc>
          <w:tcPr>
            <w:tcW w:w="5647" w:type="dxa"/>
            <w:vAlign w:val="center"/>
          </w:tcPr>
          <w:p w14:paraId="727E87E5" w14:textId="5745E583"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12 de agosto de 2019</w:t>
            </w:r>
          </w:p>
        </w:tc>
      </w:tr>
      <w:tr w:rsidR="00E0198E" w:rsidRPr="00A61799" w14:paraId="1EC979C3" w14:textId="77777777" w:rsidTr="00E0198E">
        <w:tc>
          <w:tcPr>
            <w:tcW w:w="3600" w:type="dxa"/>
            <w:tcBorders>
              <w:top w:val="single" w:sz="6" w:space="0" w:color="auto"/>
              <w:bottom w:val="single" w:sz="6" w:space="0" w:color="auto"/>
            </w:tcBorders>
            <w:shd w:val="clear" w:color="auto" w:fill="386294"/>
            <w:vAlign w:val="center"/>
          </w:tcPr>
          <w:p w14:paraId="3708E507"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color w:val="FFFFFF" w:themeColor="background1"/>
                <w:sz w:val="20"/>
                <w:szCs w:val="20"/>
                <w:lang w:val="es-ES"/>
              </w:rPr>
              <w:t>Primera respuesta del Estado:</w:t>
            </w:r>
          </w:p>
        </w:tc>
        <w:tc>
          <w:tcPr>
            <w:tcW w:w="5647" w:type="dxa"/>
            <w:vAlign w:val="center"/>
          </w:tcPr>
          <w:p w14:paraId="08D12664" w14:textId="2F82C6BB"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22 de noviembre de 2019</w:t>
            </w:r>
          </w:p>
        </w:tc>
      </w:tr>
      <w:tr w:rsidR="00E0198E" w:rsidRPr="006E1EFA" w14:paraId="1253D75C" w14:textId="77777777" w:rsidTr="00E0198E">
        <w:tc>
          <w:tcPr>
            <w:tcW w:w="3600" w:type="dxa"/>
            <w:tcBorders>
              <w:top w:val="single" w:sz="6" w:space="0" w:color="auto"/>
              <w:bottom w:val="single" w:sz="6" w:space="0" w:color="auto"/>
            </w:tcBorders>
            <w:shd w:val="clear" w:color="auto" w:fill="386294"/>
            <w:vAlign w:val="center"/>
          </w:tcPr>
          <w:p w14:paraId="3250F3E6"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Observaciones adicionales de la parte peticionaria:</w:t>
            </w:r>
          </w:p>
        </w:tc>
        <w:tc>
          <w:tcPr>
            <w:tcW w:w="5647" w:type="dxa"/>
            <w:vAlign w:val="center"/>
          </w:tcPr>
          <w:p w14:paraId="401FD202" w14:textId="470EBC3D"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23 de junio de 2020, 22 de julio de 2020 y 19 de marzo de 2025</w:t>
            </w:r>
          </w:p>
        </w:tc>
      </w:tr>
      <w:tr w:rsidR="00E0198E" w:rsidRPr="00A61799" w14:paraId="30D2D9CB" w14:textId="77777777" w:rsidTr="00E0198E">
        <w:tc>
          <w:tcPr>
            <w:tcW w:w="3600" w:type="dxa"/>
            <w:tcBorders>
              <w:top w:val="single" w:sz="6" w:space="0" w:color="auto"/>
              <w:bottom w:val="single" w:sz="6" w:space="0" w:color="auto"/>
            </w:tcBorders>
            <w:shd w:val="clear" w:color="auto" w:fill="386294"/>
            <w:vAlign w:val="center"/>
          </w:tcPr>
          <w:p w14:paraId="35799C78"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Observaciones adicionales del Estado:</w:t>
            </w:r>
          </w:p>
        </w:tc>
        <w:tc>
          <w:tcPr>
            <w:tcW w:w="5647" w:type="dxa"/>
            <w:vAlign w:val="center"/>
          </w:tcPr>
          <w:p w14:paraId="662ECC62" w14:textId="1B5854DE"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 xml:space="preserve">15 de septiembre de 2020 </w:t>
            </w:r>
          </w:p>
        </w:tc>
      </w:tr>
      <w:tr w:rsidR="00E0198E" w:rsidRPr="00A61799" w14:paraId="0F2C6E3B" w14:textId="77777777" w:rsidTr="00E0198E">
        <w:tc>
          <w:tcPr>
            <w:tcW w:w="3600" w:type="dxa"/>
            <w:tcBorders>
              <w:top w:val="single" w:sz="6" w:space="0" w:color="auto"/>
              <w:bottom w:val="single" w:sz="6" w:space="0" w:color="auto"/>
            </w:tcBorders>
            <w:shd w:val="clear" w:color="auto" w:fill="386294"/>
            <w:vAlign w:val="center"/>
          </w:tcPr>
          <w:p w14:paraId="23F9FF77"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Advertencia sobre posible archivo:</w:t>
            </w:r>
          </w:p>
        </w:tc>
        <w:tc>
          <w:tcPr>
            <w:tcW w:w="5647" w:type="dxa"/>
            <w:vAlign w:val="center"/>
          </w:tcPr>
          <w:p w14:paraId="0794DD4B" w14:textId="26BC80EC"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6 de diciembre de 2023</w:t>
            </w:r>
          </w:p>
        </w:tc>
      </w:tr>
      <w:tr w:rsidR="00E0198E" w:rsidRPr="00A61799" w14:paraId="1EC61DBE" w14:textId="77777777" w:rsidTr="00E0198E">
        <w:tc>
          <w:tcPr>
            <w:tcW w:w="3600" w:type="dxa"/>
            <w:tcBorders>
              <w:top w:val="single" w:sz="6" w:space="0" w:color="auto"/>
              <w:bottom w:val="single" w:sz="6" w:space="0" w:color="auto"/>
            </w:tcBorders>
            <w:shd w:val="clear" w:color="auto" w:fill="386294"/>
            <w:vAlign w:val="center"/>
          </w:tcPr>
          <w:p w14:paraId="368D8721"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Respuesta de la parte peticionaria ante advertencia de posible archivo:</w:t>
            </w:r>
          </w:p>
        </w:tc>
        <w:tc>
          <w:tcPr>
            <w:tcW w:w="5647" w:type="dxa"/>
            <w:vAlign w:val="center"/>
          </w:tcPr>
          <w:p w14:paraId="3E9C3ED8" w14:textId="28AAA106"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29 de diciembre de 2023</w:t>
            </w:r>
          </w:p>
        </w:tc>
      </w:tr>
    </w:tbl>
    <w:p w14:paraId="0FC6E9E8" w14:textId="77777777" w:rsidR="003239B8" w:rsidRPr="00A61799" w:rsidRDefault="003239B8" w:rsidP="003239B8">
      <w:pPr>
        <w:spacing w:before="240" w:after="240"/>
        <w:ind w:firstLine="720"/>
        <w:jc w:val="both"/>
        <w:rPr>
          <w:rFonts w:asciiTheme="majorHAnsi" w:hAnsiTheme="majorHAnsi"/>
          <w:b/>
          <w:bCs/>
          <w:sz w:val="20"/>
          <w:szCs w:val="20"/>
          <w:lang w:val="es-ES"/>
        </w:rPr>
      </w:pPr>
      <w:r w:rsidRPr="00A61799">
        <w:rPr>
          <w:rFonts w:asciiTheme="majorHAnsi" w:hAnsiTheme="majorHAnsi"/>
          <w:b/>
          <w:bCs/>
          <w:sz w:val="20"/>
          <w:szCs w:val="20"/>
          <w:lang w:val="es-ES"/>
        </w:rPr>
        <w:t xml:space="preserve">III. </w:t>
      </w:r>
      <w:r w:rsidRPr="00A61799">
        <w:rPr>
          <w:rFonts w:asciiTheme="majorHAnsi" w:hAnsiTheme="majorHAnsi"/>
          <w:b/>
          <w:bCs/>
          <w:sz w:val="20"/>
          <w:szCs w:val="20"/>
          <w:lang w:val="es-ES"/>
        </w:rPr>
        <w:tab/>
        <w:t>COMPETENCIA</w:t>
      </w:r>
      <w:r w:rsidR="00EE00E9" w:rsidRPr="00A61799">
        <w:rPr>
          <w:rFonts w:asciiTheme="majorHAnsi" w:hAnsiTheme="majorHAnsi"/>
          <w:b/>
          <w:bCs/>
          <w:sz w:val="20"/>
          <w:szCs w:val="20"/>
          <w:lang w:val="es-ES"/>
        </w:rPr>
        <w:t xml:space="preserve"> </w:t>
      </w:r>
    </w:p>
    <w:tbl>
      <w:tblPr>
        <w:tblStyle w:val="TableGrid"/>
        <w:tblW w:w="9242" w:type="dxa"/>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E0198E" w:rsidRPr="00A61799" w14:paraId="7D299FC7" w14:textId="77777777" w:rsidTr="00E0198E">
        <w:trPr>
          <w:cantSplit/>
        </w:trPr>
        <w:tc>
          <w:tcPr>
            <w:tcW w:w="3567" w:type="dxa"/>
            <w:tcBorders>
              <w:top w:val="single" w:sz="4" w:space="0" w:color="auto"/>
              <w:bottom w:val="single" w:sz="6" w:space="0" w:color="auto"/>
            </w:tcBorders>
            <w:shd w:val="clear" w:color="auto" w:fill="386294"/>
            <w:vAlign w:val="center"/>
          </w:tcPr>
          <w:p w14:paraId="5D0830E9" w14:textId="77777777" w:rsidR="00E0198E" w:rsidRPr="00A61799" w:rsidRDefault="00E0198E" w:rsidP="00D151E2">
            <w:pPr>
              <w:jc w:val="center"/>
              <w:rPr>
                <w:rFonts w:ascii="Cambria" w:hAnsi="Cambria"/>
                <w:b/>
                <w:bCs/>
                <w:i/>
                <w:color w:val="FFFFFF" w:themeColor="background1"/>
                <w:sz w:val="20"/>
                <w:szCs w:val="20"/>
                <w:lang w:val="es-ES"/>
              </w:rPr>
            </w:pPr>
            <w:r w:rsidRPr="00A61799">
              <w:rPr>
                <w:rFonts w:ascii="Cambria" w:hAnsi="Cambria"/>
                <w:b/>
                <w:bCs/>
                <w:color w:val="FFFFFF" w:themeColor="background1"/>
                <w:sz w:val="20"/>
                <w:szCs w:val="20"/>
                <w:lang w:val="es-ES"/>
              </w:rPr>
              <w:t>Competencia</w:t>
            </w:r>
            <w:r w:rsidRPr="00A61799">
              <w:rPr>
                <w:rFonts w:ascii="Cambria" w:hAnsi="Cambria"/>
                <w:b/>
                <w:bCs/>
                <w:i/>
                <w:color w:val="FFFFFF" w:themeColor="background1"/>
                <w:sz w:val="20"/>
                <w:szCs w:val="20"/>
                <w:lang w:val="es-ES"/>
              </w:rPr>
              <w:t xml:space="preserve"> Ratione personae:</w:t>
            </w:r>
          </w:p>
        </w:tc>
        <w:tc>
          <w:tcPr>
            <w:tcW w:w="5675" w:type="dxa"/>
            <w:vAlign w:val="center"/>
          </w:tcPr>
          <w:p w14:paraId="26256ACB" w14:textId="1E2C9435" w:rsidR="00E0198E" w:rsidRPr="00A61799" w:rsidRDefault="00E0198E" w:rsidP="00D151E2">
            <w:pPr>
              <w:rPr>
                <w:rFonts w:ascii="Cambria" w:hAnsi="Cambria"/>
                <w:bCs/>
                <w:sz w:val="20"/>
                <w:szCs w:val="20"/>
                <w:lang w:val="es-ES"/>
              </w:rPr>
            </w:pPr>
            <w:r w:rsidRPr="00A61799">
              <w:rPr>
                <w:rFonts w:ascii="Cambria" w:hAnsi="Cambria"/>
                <w:bCs/>
                <w:sz w:val="20"/>
                <w:szCs w:val="20"/>
                <w:lang w:val="es-ES"/>
              </w:rPr>
              <w:t>Sí</w:t>
            </w:r>
          </w:p>
        </w:tc>
      </w:tr>
      <w:tr w:rsidR="00E0198E" w:rsidRPr="00A61799" w14:paraId="54503A4F" w14:textId="77777777" w:rsidTr="00E0198E">
        <w:trPr>
          <w:cantSplit/>
        </w:trPr>
        <w:tc>
          <w:tcPr>
            <w:tcW w:w="3567" w:type="dxa"/>
            <w:tcBorders>
              <w:top w:val="single" w:sz="6" w:space="0" w:color="auto"/>
              <w:bottom w:val="single" w:sz="6" w:space="0" w:color="auto"/>
            </w:tcBorders>
            <w:shd w:val="clear" w:color="auto" w:fill="386294"/>
            <w:vAlign w:val="center"/>
          </w:tcPr>
          <w:p w14:paraId="40E3A1EF"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Competencia</w:t>
            </w:r>
            <w:r w:rsidRPr="00A61799">
              <w:rPr>
                <w:rFonts w:ascii="Cambria" w:hAnsi="Cambria"/>
                <w:b/>
                <w:bCs/>
                <w:i/>
                <w:color w:val="FFFFFF" w:themeColor="background1"/>
                <w:sz w:val="20"/>
                <w:szCs w:val="20"/>
                <w:lang w:val="es-ES"/>
              </w:rPr>
              <w:t xml:space="preserve"> Ratione loci</w:t>
            </w:r>
            <w:r w:rsidRPr="00A61799">
              <w:rPr>
                <w:rFonts w:ascii="Cambria" w:hAnsi="Cambria"/>
                <w:b/>
                <w:bCs/>
                <w:color w:val="FFFFFF" w:themeColor="background1"/>
                <w:sz w:val="20"/>
                <w:szCs w:val="20"/>
                <w:lang w:val="es-ES"/>
              </w:rPr>
              <w:t>:</w:t>
            </w:r>
          </w:p>
        </w:tc>
        <w:tc>
          <w:tcPr>
            <w:tcW w:w="5675" w:type="dxa"/>
            <w:vAlign w:val="center"/>
          </w:tcPr>
          <w:p w14:paraId="0C644222" w14:textId="2F3E76AB" w:rsidR="00E0198E" w:rsidRPr="00A61799" w:rsidRDefault="00E0198E" w:rsidP="00D151E2">
            <w:pPr>
              <w:rPr>
                <w:rFonts w:ascii="Cambria" w:hAnsi="Cambria"/>
                <w:bCs/>
                <w:sz w:val="20"/>
                <w:szCs w:val="20"/>
                <w:lang w:val="es-ES"/>
              </w:rPr>
            </w:pPr>
            <w:r w:rsidRPr="00A61799">
              <w:rPr>
                <w:rFonts w:ascii="Cambria" w:hAnsi="Cambria"/>
                <w:bCs/>
                <w:sz w:val="20"/>
                <w:szCs w:val="20"/>
                <w:lang w:val="es-ES"/>
              </w:rPr>
              <w:t>Sí</w:t>
            </w:r>
          </w:p>
        </w:tc>
      </w:tr>
      <w:tr w:rsidR="00E0198E" w:rsidRPr="00A61799" w14:paraId="6618D96A" w14:textId="77777777" w:rsidTr="00E0198E">
        <w:trPr>
          <w:cantSplit/>
        </w:trPr>
        <w:tc>
          <w:tcPr>
            <w:tcW w:w="3567" w:type="dxa"/>
            <w:tcBorders>
              <w:top w:val="single" w:sz="6" w:space="0" w:color="auto"/>
              <w:bottom w:val="single" w:sz="6" w:space="0" w:color="auto"/>
            </w:tcBorders>
            <w:shd w:val="clear" w:color="auto" w:fill="386294"/>
            <w:vAlign w:val="center"/>
          </w:tcPr>
          <w:p w14:paraId="24D9CAA2"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Competencia</w:t>
            </w:r>
            <w:r w:rsidRPr="00A61799">
              <w:rPr>
                <w:rFonts w:ascii="Cambria" w:hAnsi="Cambria"/>
                <w:b/>
                <w:bCs/>
                <w:i/>
                <w:color w:val="FFFFFF" w:themeColor="background1"/>
                <w:sz w:val="20"/>
                <w:szCs w:val="20"/>
                <w:lang w:val="es-ES"/>
              </w:rPr>
              <w:t xml:space="preserve"> Ratione temporis</w:t>
            </w:r>
            <w:r w:rsidRPr="00A61799">
              <w:rPr>
                <w:rFonts w:ascii="Cambria" w:hAnsi="Cambria"/>
                <w:b/>
                <w:bCs/>
                <w:color w:val="FFFFFF" w:themeColor="background1"/>
                <w:sz w:val="20"/>
                <w:szCs w:val="20"/>
                <w:lang w:val="es-ES"/>
              </w:rPr>
              <w:t>:</w:t>
            </w:r>
          </w:p>
        </w:tc>
        <w:tc>
          <w:tcPr>
            <w:tcW w:w="5675" w:type="dxa"/>
            <w:vAlign w:val="center"/>
          </w:tcPr>
          <w:p w14:paraId="118EFF42" w14:textId="0A5B478E" w:rsidR="00E0198E" w:rsidRPr="00A61799" w:rsidRDefault="00E0198E" w:rsidP="00D151E2">
            <w:pPr>
              <w:rPr>
                <w:rFonts w:ascii="Cambria" w:hAnsi="Cambria"/>
                <w:bCs/>
                <w:sz w:val="20"/>
                <w:szCs w:val="20"/>
                <w:lang w:val="es-ES"/>
              </w:rPr>
            </w:pPr>
            <w:r w:rsidRPr="00A61799">
              <w:rPr>
                <w:rFonts w:ascii="Cambria" w:hAnsi="Cambria"/>
                <w:bCs/>
                <w:sz w:val="20"/>
                <w:szCs w:val="20"/>
                <w:lang w:val="es-ES"/>
              </w:rPr>
              <w:t>Sí</w:t>
            </w:r>
          </w:p>
        </w:tc>
      </w:tr>
      <w:tr w:rsidR="00E0198E" w:rsidRPr="006E1EFA" w14:paraId="34C2A0A9" w14:textId="77777777" w:rsidTr="00E0198E">
        <w:trPr>
          <w:cantSplit/>
        </w:trPr>
        <w:tc>
          <w:tcPr>
            <w:tcW w:w="3567" w:type="dxa"/>
            <w:tcBorders>
              <w:top w:val="single" w:sz="6" w:space="0" w:color="auto"/>
              <w:bottom w:val="single" w:sz="6" w:space="0" w:color="auto"/>
            </w:tcBorders>
            <w:shd w:val="clear" w:color="auto" w:fill="386294"/>
            <w:vAlign w:val="center"/>
          </w:tcPr>
          <w:p w14:paraId="6259AE31" w14:textId="77777777" w:rsidR="00E0198E" w:rsidRPr="00A61799" w:rsidRDefault="00E0198E"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Competencia</w:t>
            </w:r>
            <w:r w:rsidRPr="00A61799">
              <w:rPr>
                <w:rFonts w:ascii="Cambria" w:hAnsi="Cambria"/>
                <w:b/>
                <w:bCs/>
                <w:i/>
                <w:color w:val="FFFFFF" w:themeColor="background1"/>
                <w:sz w:val="20"/>
                <w:szCs w:val="20"/>
                <w:lang w:val="es-ES"/>
              </w:rPr>
              <w:t xml:space="preserve"> Ratione materiae</w:t>
            </w:r>
            <w:r w:rsidRPr="00A61799">
              <w:rPr>
                <w:rFonts w:ascii="Cambria" w:hAnsi="Cambria"/>
                <w:b/>
                <w:bCs/>
                <w:color w:val="FFFFFF" w:themeColor="background1"/>
                <w:sz w:val="20"/>
                <w:szCs w:val="20"/>
                <w:lang w:val="es-ES"/>
              </w:rPr>
              <w:t>:</w:t>
            </w:r>
          </w:p>
        </w:tc>
        <w:tc>
          <w:tcPr>
            <w:tcW w:w="5675" w:type="dxa"/>
            <w:vAlign w:val="center"/>
          </w:tcPr>
          <w:p w14:paraId="67F8D4D0" w14:textId="6AD4C65C" w:rsidR="00E0198E" w:rsidRPr="00A61799" w:rsidRDefault="00E0198E" w:rsidP="00D151E2">
            <w:pPr>
              <w:jc w:val="both"/>
              <w:rPr>
                <w:rFonts w:ascii="Cambria" w:hAnsi="Cambria"/>
                <w:bCs/>
                <w:sz w:val="20"/>
                <w:szCs w:val="20"/>
                <w:lang w:val="es-ES"/>
              </w:rPr>
            </w:pPr>
            <w:r w:rsidRPr="00A61799">
              <w:rPr>
                <w:rFonts w:ascii="Cambria" w:hAnsi="Cambria"/>
                <w:bCs/>
                <w:sz w:val="20"/>
                <w:szCs w:val="20"/>
                <w:lang w:val="es-ES"/>
              </w:rPr>
              <w:t>Sí, Convención Americana (depósito del instrumento de ratificación realizado el 22 de junio de 1978)</w:t>
            </w:r>
          </w:p>
        </w:tc>
      </w:tr>
    </w:tbl>
    <w:p w14:paraId="299A3868" w14:textId="3372DACD" w:rsidR="003239B8" w:rsidRPr="00A61799" w:rsidRDefault="003239B8" w:rsidP="003239B8">
      <w:pPr>
        <w:spacing w:before="240" w:after="240"/>
        <w:ind w:firstLine="720"/>
        <w:jc w:val="both"/>
        <w:rPr>
          <w:rFonts w:asciiTheme="majorHAnsi" w:hAnsiTheme="majorHAnsi"/>
          <w:b/>
          <w:bCs/>
          <w:sz w:val="20"/>
          <w:szCs w:val="20"/>
          <w:lang w:val="es-ES"/>
        </w:rPr>
      </w:pPr>
      <w:r w:rsidRPr="00A61799">
        <w:rPr>
          <w:rFonts w:asciiTheme="majorHAnsi" w:hAnsiTheme="majorHAnsi"/>
          <w:b/>
          <w:bCs/>
          <w:sz w:val="20"/>
          <w:szCs w:val="20"/>
          <w:lang w:val="es-ES"/>
        </w:rPr>
        <w:t xml:space="preserve">IV. </w:t>
      </w:r>
      <w:r w:rsidRPr="00A61799">
        <w:rPr>
          <w:rFonts w:asciiTheme="majorHAnsi" w:hAnsiTheme="majorHAnsi"/>
          <w:b/>
          <w:bCs/>
          <w:sz w:val="20"/>
          <w:szCs w:val="20"/>
          <w:lang w:val="es-ES"/>
        </w:rPr>
        <w:tab/>
      </w:r>
      <w:r w:rsidR="00EE00E9" w:rsidRPr="00A61799">
        <w:rPr>
          <w:rFonts w:asciiTheme="majorHAnsi" w:hAnsiTheme="majorHAnsi"/>
          <w:b/>
          <w:bCs/>
          <w:sz w:val="20"/>
          <w:szCs w:val="20"/>
          <w:lang w:val="es-ES"/>
        </w:rPr>
        <w:t>DUPLICACIÓN</w:t>
      </w:r>
      <w:r w:rsidR="00EE00E9" w:rsidRPr="00A61799">
        <w:rPr>
          <w:rFonts w:asciiTheme="majorHAnsi" w:hAnsiTheme="majorHAnsi"/>
          <w:b/>
          <w:bCs/>
          <w:color w:val="FFFFFF" w:themeColor="background1"/>
          <w:sz w:val="20"/>
          <w:szCs w:val="20"/>
          <w:lang w:val="es-ES"/>
        </w:rPr>
        <w:t xml:space="preserve"> </w:t>
      </w:r>
      <w:r w:rsidR="00EE00E9" w:rsidRPr="00A61799">
        <w:rPr>
          <w:rFonts w:asciiTheme="majorHAnsi" w:hAnsiTheme="majorHAnsi"/>
          <w:b/>
          <w:bCs/>
          <w:sz w:val="20"/>
          <w:szCs w:val="20"/>
          <w:lang w:val="es-ES"/>
        </w:rPr>
        <w:t>DE PROCEDIMIENTOS Y COSA JUZGADA</w:t>
      </w:r>
      <w:r w:rsidR="00EE00E9" w:rsidRPr="00A61799">
        <w:rPr>
          <w:rFonts w:asciiTheme="majorHAnsi" w:hAnsiTheme="majorHAnsi"/>
          <w:b/>
          <w:bCs/>
          <w:i/>
          <w:sz w:val="20"/>
          <w:szCs w:val="20"/>
          <w:lang w:val="es-ES"/>
        </w:rPr>
        <w:t xml:space="preserve"> </w:t>
      </w:r>
      <w:r w:rsidR="00EE00E9" w:rsidRPr="00A61799">
        <w:rPr>
          <w:rFonts w:asciiTheme="majorHAnsi" w:hAnsiTheme="majorHAnsi"/>
          <w:b/>
          <w:bCs/>
          <w:sz w:val="20"/>
          <w:szCs w:val="20"/>
          <w:lang w:val="es-ES"/>
        </w:rPr>
        <w:t>INTERNACIONAL,</w:t>
      </w:r>
      <w:r w:rsidR="00D151E2" w:rsidRPr="00A61799">
        <w:rPr>
          <w:rFonts w:asciiTheme="majorHAnsi" w:hAnsiTheme="majorHAnsi"/>
          <w:b/>
          <w:bCs/>
          <w:sz w:val="20"/>
          <w:szCs w:val="20"/>
          <w:lang w:val="es-ES"/>
        </w:rPr>
        <w:t xml:space="preserve"> </w:t>
      </w:r>
      <w:r w:rsidRPr="00A61799">
        <w:rPr>
          <w:rFonts w:asciiTheme="majorHAnsi" w:hAnsiTheme="majorHAnsi"/>
          <w:b/>
          <w:bCs/>
          <w:sz w:val="20"/>
          <w:szCs w:val="20"/>
          <w:lang w:val="es-ES"/>
        </w:rPr>
        <w:t xml:space="preserve">CARACTERIZACIÓN, </w:t>
      </w:r>
      <w:r w:rsidRPr="00A61799">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3"/>
        <w:gridCol w:w="5679"/>
      </w:tblGrid>
      <w:tr w:rsidR="00EE00E9" w:rsidRPr="00A61799" w14:paraId="161C8568" w14:textId="77777777" w:rsidTr="00D151E2">
        <w:trPr>
          <w:cantSplit/>
        </w:trPr>
        <w:tc>
          <w:tcPr>
            <w:tcW w:w="3563" w:type="dxa"/>
            <w:tcBorders>
              <w:top w:val="single" w:sz="4" w:space="0" w:color="auto"/>
              <w:bottom w:val="single" w:sz="6" w:space="0" w:color="auto"/>
            </w:tcBorders>
            <w:shd w:val="clear" w:color="auto" w:fill="386294"/>
            <w:vAlign w:val="center"/>
          </w:tcPr>
          <w:p w14:paraId="1C72AC6C" w14:textId="77777777" w:rsidR="00EE00E9" w:rsidRPr="00A61799" w:rsidRDefault="00EE00E9" w:rsidP="008D2290">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Duplicación de procedimientos y cosa juzgada internacional:</w:t>
            </w:r>
          </w:p>
        </w:tc>
        <w:tc>
          <w:tcPr>
            <w:tcW w:w="5679" w:type="dxa"/>
            <w:vAlign w:val="center"/>
          </w:tcPr>
          <w:p w14:paraId="764D7F60" w14:textId="448A8755" w:rsidR="00EE00E9" w:rsidRPr="00A61799" w:rsidRDefault="00D151E2" w:rsidP="008D2290">
            <w:pPr>
              <w:jc w:val="both"/>
              <w:rPr>
                <w:rFonts w:ascii="Cambria" w:hAnsi="Cambria"/>
                <w:bCs/>
                <w:sz w:val="20"/>
                <w:szCs w:val="20"/>
                <w:lang w:val="es-ES"/>
              </w:rPr>
            </w:pPr>
            <w:r w:rsidRPr="00A61799">
              <w:rPr>
                <w:rFonts w:ascii="Cambria" w:hAnsi="Cambria"/>
                <w:bCs/>
                <w:sz w:val="20"/>
                <w:szCs w:val="20"/>
                <w:lang w:val="es-ES"/>
              </w:rPr>
              <w:t>No</w:t>
            </w:r>
          </w:p>
        </w:tc>
      </w:tr>
      <w:tr w:rsidR="003239B8" w:rsidRPr="006E1EFA" w14:paraId="3ED57BF3" w14:textId="77777777" w:rsidTr="00D151E2">
        <w:trPr>
          <w:cantSplit/>
        </w:trPr>
        <w:tc>
          <w:tcPr>
            <w:tcW w:w="3563" w:type="dxa"/>
            <w:tcBorders>
              <w:top w:val="single" w:sz="4" w:space="0" w:color="auto"/>
              <w:bottom w:val="single" w:sz="6" w:space="0" w:color="auto"/>
            </w:tcBorders>
            <w:shd w:val="clear" w:color="auto" w:fill="386294"/>
            <w:vAlign w:val="center"/>
          </w:tcPr>
          <w:p w14:paraId="5F36A040" w14:textId="77777777" w:rsidR="003239B8" w:rsidRPr="00A61799" w:rsidRDefault="003239B8" w:rsidP="008D2290">
            <w:pPr>
              <w:jc w:val="center"/>
              <w:rPr>
                <w:rFonts w:ascii="Cambria" w:hAnsi="Cambria"/>
                <w:b/>
                <w:bCs/>
                <w:i/>
                <w:color w:val="FFFFFF" w:themeColor="background1"/>
                <w:sz w:val="20"/>
                <w:szCs w:val="20"/>
                <w:lang w:val="es-ES"/>
              </w:rPr>
            </w:pPr>
            <w:r w:rsidRPr="00A61799">
              <w:rPr>
                <w:rFonts w:ascii="Cambria" w:hAnsi="Cambria"/>
                <w:b/>
                <w:bCs/>
                <w:color w:val="FFFFFF" w:themeColor="background1"/>
                <w:sz w:val="20"/>
                <w:szCs w:val="20"/>
                <w:lang w:val="es-ES"/>
              </w:rPr>
              <w:t>Derechos declarados admisibles</w:t>
            </w:r>
            <w:r w:rsidRPr="00A61799">
              <w:rPr>
                <w:rFonts w:ascii="Cambria" w:hAnsi="Cambria"/>
                <w:b/>
                <w:bCs/>
                <w:i/>
                <w:color w:val="FFFFFF" w:themeColor="background1"/>
                <w:sz w:val="20"/>
                <w:szCs w:val="20"/>
                <w:lang w:val="es-ES"/>
              </w:rPr>
              <w:t>:</w:t>
            </w:r>
          </w:p>
        </w:tc>
        <w:tc>
          <w:tcPr>
            <w:tcW w:w="5679" w:type="dxa"/>
            <w:vAlign w:val="center"/>
          </w:tcPr>
          <w:p w14:paraId="4DAE9D4D" w14:textId="652CF3D4" w:rsidR="003239B8" w:rsidRPr="00A61799" w:rsidRDefault="00D151E2" w:rsidP="008D2290">
            <w:pPr>
              <w:jc w:val="both"/>
              <w:rPr>
                <w:rFonts w:ascii="Cambria" w:hAnsi="Cambria"/>
                <w:bCs/>
                <w:sz w:val="20"/>
                <w:szCs w:val="20"/>
                <w:highlight w:val="yellow"/>
                <w:lang w:val="es-ES"/>
              </w:rPr>
            </w:pPr>
            <w:r w:rsidRPr="00A61799">
              <w:rPr>
                <w:rFonts w:ascii="Cambria" w:eastAsia="Cambria" w:hAnsi="Cambria" w:cs="Cambria"/>
                <w:sz w:val="20"/>
                <w:szCs w:val="20"/>
                <w:lang w:val="es-ES"/>
              </w:rPr>
              <w:t xml:space="preserve">Artículos </w:t>
            </w:r>
            <w:r w:rsidR="005D2539" w:rsidRPr="00A61799">
              <w:rPr>
                <w:rFonts w:ascii="Cambria" w:eastAsia="Cambria" w:hAnsi="Cambria" w:cs="Cambria"/>
                <w:sz w:val="20"/>
                <w:szCs w:val="20"/>
                <w:lang w:val="es-ES"/>
              </w:rPr>
              <w:t xml:space="preserve">8 (garantías judiciales), </w:t>
            </w:r>
            <w:r w:rsidRPr="00A61799">
              <w:rPr>
                <w:rFonts w:ascii="Cambria" w:eastAsia="Cambria" w:hAnsi="Cambria" w:cs="Cambria"/>
                <w:sz w:val="20"/>
                <w:szCs w:val="20"/>
                <w:lang w:val="es-ES"/>
              </w:rPr>
              <w:t>9 (principio de legalidad y de retroactividad)</w:t>
            </w:r>
            <w:r w:rsidR="005D2539" w:rsidRPr="00A61799">
              <w:rPr>
                <w:rFonts w:ascii="Cambria" w:eastAsia="Cambria" w:hAnsi="Cambria" w:cs="Cambria"/>
                <w:sz w:val="20"/>
                <w:szCs w:val="20"/>
                <w:lang w:val="es-ES"/>
              </w:rPr>
              <w:t>, 23 (derechos políticos)</w:t>
            </w:r>
            <w:r w:rsidR="00BA7495" w:rsidRPr="00A61799">
              <w:rPr>
                <w:rFonts w:ascii="Cambria" w:eastAsia="Cambria" w:hAnsi="Cambria" w:cs="Cambria"/>
                <w:sz w:val="20"/>
                <w:szCs w:val="20"/>
                <w:lang w:val="es-ES"/>
              </w:rPr>
              <w:t xml:space="preserve">, </w:t>
            </w:r>
            <w:r w:rsidR="005D2539" w:rsidRPr="00A61799">
              <w:rPr>
                <w:rFonts w:ascii="Cambria" w:eastAsia="Cambria" w:hAnsi="Cambria" w:cs="Cambria"/>
                <w:sz w:val="20"/>
                <w:szCs w:val="20"/>
                <w:lang w:val="es-ES"/>
              </w:rPr>
              <w:t>25 (protección judicial)</w:t>
            </w:r>
            <w:r w:rsidR="00BA7495" w:rsidRPr="00A61799">
              <w:rPr>
                <w:rFonts w:ascii="Cambria" w:eastAsia="Cambria" w:hAnsi="Cambria" w:cs="Cambria"/>
                <w:sz w:val="20"/>
                <w:szCs w:val="20"/>
                <w:lang w:val="es-ES"/>
              </w:rPr>
              <w:t xml:space="preserve"> y 26 (derechos económicos, sociales y culturales)</w:t>
            </w:r>
            <w:r w:rsidRPr="00A61799">
              <w:rPr>
                <w:rFonts w:ascii="Cambria" w:eastAsia="Cambria" w:hAnsi="Cambria" w:cs="Cambria"/>
                <w:sz w:val="20"/>
                <w:szCs w:val="20"/>
                <w:lang w:val="es-ES"/>
              </w:rPr>
              <w:t xml:space="preserve"> de la Convención Americana</w:t>
            </w:r>
            <w:r w:rsidR="00140702" w:rsidRPr="00A61799">
              <w:rPr>
                <w:rFonts w:ascii="Cambria" w:eastAsia="Cambria" w:hAnsi="Cambria" w:cs="Cambria"/>
                <w:sz w:val="20"/>
                <w:szCs w:val="20"/>
                <w:lang w:val="es-ES"/>
              </w:rPr>
              <w:t>, en relación con su artículo 1.1 (obligación de respetar y garantizar los derechos)</w:t>
            </w:r>
          </w:p>
        </w:tc>
      </w:tr>
      <w:tr w:rsidR="00D151E2" w:rsidRPr="006E1EFA" w14:paraId="5702249F" w14:textId="77777777" w:rsidTr="00D151E2">
        <w:trPr>
          <w:cantSplit/>
        </w:trPr>
        <w:tc>
          <w:tcPr>
            <w:tcW w:w="3563" w:type="dxa"/>
            <w:tcBorders>
              <w:top w:val="single" w:sz="6" w:space="0" w:color="auto"/>
              <w:bottom w:val="single" w:sz="6" w:space="0" w:color="auto"/>
            </w:tcBorders>
            <w:shd w:val="clear" w:color="auto" w:fill="386294"/>
            <w:vAlign w:val="center"/>
          </w:tcPr>
          <w:p w14:paraId="1F00DF1D" w14:textId="77777777" w:rsidR="00D151E2" w:rsidRPr="00A61799" w:rsidRDefault="00D151E2"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Agotamiento de recursos internos o procedencia de una excepción:</w:t>
            </w:r>
          </w:p>
        </w:tc>
        <w:tc>
          <w:tcPr>
            <w:tcW w:w="5679" w:type="dxa"/>
            <w:vAlign w:val="center"/>
          </w:tcPr>
          <w:p w14:paraId="7F7C1A19" w14:textId="1329DAB2" w:rsidR="00D151E2" w:rsidRPr="00A61799" w:rsidRDefault="00D151E2" w:rsidP="00D151E2">
            <w:pPr>
              <w:rPr>
                <w:rFonts w:ascii="Cambria" w:hAnsi="Cambria"/>
                <w:bCs/>
                <w:sz w:val="20"/>
                <w:szCs w:val="20"/>
                <w:lang w:val="es-ES"/>
              </w:rPr>
            </w:pPr>
            <w:r w:rsidRPr="00A61799">
              <w:rPr>
                <w:rFonts w:ascii="Cambria" w:hAnsi="Cambria"/>
                <w:bCs/>
                <w:sz w:val="20"/>
                <w:szCs w:val="20"/>
                <w:lang w:val="es-ES"/>
              </w:rPr>
              <w:t>Sí, en los términos de la sección VI</w:t>
            </w:r>
          </w:p>
        </w:tc>
      </w:tr>
      <w:tr w:rsidR="00D151E2" w:rsidRPr="006E1EFA" w14:paraId="7A101B89" w14:textId="77777777" w:rsidTr="00D151E2">
        <w:trPr>
          <w:cantSplit/>
        </w:trPr>
        <w:tc>
          <w:tcPr>
            <w:tcW w:w="3563" w:type="dxa"/>
            <w:tcBorders>
              <w:top w:val="single" w:sz="6" w:space="0" w:color="auto"/>
              <w:bottom w:val="single" w:sz="6" w:space="0" w:color="auto"/>
            </w:tcBorders>
            <w:shd w:val="clear" w:color="auto" w:fill="386294"/>
            <w:vAlign w:val="center"/>
          </w:tcPr>
          <w:p w14:paraId="0843C533" w14:textId="77777777" w:rsidR="00D151E2" w:rsidRPr="00A61799" w:rsidRDefault="00D151E2" w:rsidP="00D151E2">
            <w:pPr>
              <w:jc w:val="center"/>
              <w:rPr>
                <w:rFonts w:ascii="Cambria" w:hAnsi="Cambria"/>
                <w:b/>
                <w:bCs/>
                <w:color w:val="FFFFFF" w:themeColor="background1"/>
                <w:sz w:val="20"/>
                <w:szCs w:val="20"/>
                <w:lang w:val="es-ES"/>
              </w:rPr>
            </w:pPr>
            <w:r w:rsidRPr="00A61799">
              <w:rPr>
                <w:rFonts w:ascii="Cambria" w:hAnsi="Cambria"/>
                <w:b/>
                <w:bCs/>
                <w:color w:val="FFFFFF" w:themeColor="background1"/>
                <w:sz w:val="20"/>
                <w:szCs w:val="20"/>
                <w:lang w:val="es-ES"/>
              </w:rPr>
              <w:t>Presentación dentro de plazo:</w:t>
            </w:r>
          </w:p>
        </w:tc>
        <w:tc>
          <w:tcPr>
            <w:tcW w:w="5679" w:type="dxa"/>
            <w:vAlign w:val="center"/>
          </w:tcPr>
          <w:p w14:paraId="2AF0FC69" w14:textId="68CA3C9C" w:rsidR="00D151E2" w:rsidRPr="00A61799" w:rsidRDefault="00D151E2" w:rsidP="00D151E2">
            <w:pPr>
              <w:rPr>
                <w:rFonts w:ascii="Cambria" w:hAnsi="Cambria"/>
                <w:bCs/>
                <w:sz w:val="20"/>
                <w:szCs w:val="20"/>
                <w:lang w:val="es-ES"/>
              </w:rPr>
            </w:pPr>
            <w:r w:rsidRPr="00A61799">
              <w:rPr>
                <w:rFonts w:ascii="Cambria" w:hAnsi="Cambria"/>
                <w:bCs/>
                <w:sz w:val="20"/>
                <w:szCs w:val="20"/>
                <w:lang w:val="es-ES"/>
              </w:rPr>
              <w:t>Sí, en los términos de la sección VI</w:t>
            </w:r>
          </w:p>
        </w:tc>
      </w:tr>
    </w:tbl>
    <w:p w14:paraId="56FD5D57" w14:textId="252B1FD5" w:rsidR="003239B8" w:rsidRPr="00DC65BB" w:rsidRDefault="00223A29" w:rsidP="00DC65BB">
      <w:pPr>
        <w:spacing w:before="240" w:after="240"/>
        <w:ind w:firstLine="720"/>
        <w:jc w:val="both"/>
        <w:rPr>
          <w:rFonts w:asciiTheme="majorHAnsi" w:hAnsiTheme="majorHAnsi"/>
          <w:b/>
          <w:sz w:val="20"/>
          <w:szCs w:val="20"/>
          <w:lang w:val="es-ES"/>
        </w:rPr>
      </w:pPr>
      <w:r w:rsidRPr="00DC65BB">
        <w:rPr>
          <w:rFonts w:asciiTheme="majorHAnsi" w:hAnsiTheme="majorHAnsi"/>
          <w:b/>
          <w:sz w:val="20"/>
          <w:szCs w:val="20"/>
          <w:lang w:val="es-ES"/>
        </w:rPr>
        <w:t xml:space="preserve">V. </w:t>
      </w:r>
      <w:r w:rsidRPr="00DC65BB">
        <w:rPr>
          <w:rFonts w:asciiTheme="majorHAnsi" w:hAnsiTheme="majorHAnsi"/>
          <w:b/>
          <w:sz w:val="20"/>
          <w:szCs w:val="20"/>
          <w:lang w:val="es-ES"/>
        </w:rPr>
        <w:tab/>
      </w:r>
      <w:r w:rsidR="004241A0" w:rsidRPr="00DC65BB">
        <w:rPr>
          <w:rFonts w:asciiTheme="majorHAnsi" w:hAnsiTheme="majorHAnsi"/>
          <w:b/>
          <w:sz w:val="20"/>
          <w:szCs w:val="20"/>
          <w:lang w:val="es-ES"/>
        </w:rPr>
        <w:t>POSICIÓN DE LAS PARTES</w:t>
      </w:r>
      <w:r w:rsidR="003239B8" w:rsidRPr="00DC65BB">
        <w:rPr>
          <w:rFonts w:asciiTheme="majorHAnsi" w:hAnsiTheme="majorHAnsi"/>
          <w:b/>
          <w:sz w:val="20"/>
          <w:szCs w:val="20"/>
          <w:lang w:val="es-ES"/>
        </w:rPr>
        <w:t xml:space="preserve"> </w:t>
      </w:r>
    </w:p>
    <w:p w14:paraId="55C65325" w14:textId="0A748BCC" w:rsidR="00D151E2" w:rsidRPr="00DC65BB" w:rsidRDefault="00D151E2" w:rsidP="00DC65BB">
      <w:pPr>
        <w:spacing w:before="240" w:after="240"/>
        <w:ind w:firstLine="720"/>
        <w:jc w:val="both"/>
        <w:rPr>
          <w:rFonts w:asciiTheme="majorHAnsi" w:hAnsiTheme="majorHAnsi"/>
          <w:b/>
          <w:sz w:val="20"/>
          <w:szCs w:val="20"/>
          <w:lang w:val="es-ES"/>
        </w:rPr>
      </w:pPr>
      <w:r w:rsidRPr="00DC65BB">
        <w:rPr>
          <w:rFonts w:asciiTheme="majorHAnsi" w:hAnsiTheme="majorHAnsi"/>
          <w:b/>
          <w:sz w:val="20"/>
          <w:szCs w:val="20"/>
          <w:lang w:val="es-ES"/>
        </w:rPr>
        <w:t>La parte peticionaria</w:t>
      </w:r>
    </w:p>
    <w:p w14:paraId="557C4B77" w14:textId="460098D1" w:rsidR="0003191E" w:rsidRPr="00DC65BB" w:rsidRDefault="0003191E"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El señor Tomás González Feuillebois, en calidad de peticionario y presunta víctima, alega que el Estado vulneró sus derechos al destituirlo como juez ejecutor del Juzgado Tercero de la Dirección de Ingresos </w:t>
      </w:r>
      <w:r w:rsidRPr="00DC65BB">
        <w:rPr>
          <w:rFonts w:asciiTheme="majorHAnsi" w:hAnsiTheme="majorHAnsi"/>
          <w:sz w:val="20"/>
          <w:szCs w:val="20"/>
          <w:lang w:val="es-ES"/>
        </w:rPr>
        <w:lastRenderedPageBreak/>
        <w:t>de la Caja de Seguro Social, mediante la aplicación extensiva de una causal disciplinaria y la omisión de la prescripción prevista en la normativa interna.</w:t>
      </w:r>
    </w:p>
    <w:p w14:paraId="480E45A6" w14:textId="1C74E87D" w:rsidR="002D5EFB" w:rsidRPr="00DC65BB" w:rsidRDefault="002D5EFB" w:rsidP="00DC65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DC65BB">
        <w:rPr>
          <w:rFonts w:asciiTheme="majorHAnsi" w:hAnsiTheme="majorHAnsi"/>
          <w:i/>
          <w:iCs/>
          <w:sz w:val="20"/>
          <w:szCs w:val="20"/>
          <w:lang w:val="es-ES"/>
        </w:rPr>
        <w:t>Sobre el cobro coactivo</w:t>
      </w:r>
      <w:r w:rsidR="00D2082A" w:rsidRPr="00DC65BB">
        <w:rPr>
          <w:rFonts w:asciiTheme="majorHAnsi" w:hAnsiTheme="majorHAnsi"/>
          <w:i/>
          <w:iCs/>
          <w:sz w:val="20"/>
          <w:szCs w:val="20"/>
          <w:lang w:val="es-ES"/>
        </w:rPr>
        <w:t xml:space="preserve"> de la CSS</w:t>
      </w:r>
      <w:r w:rsidR="00206D37" w:rsidRPr="00DC65BB">
        <w:rPr>
          <w:rFonts w:asciiTheme="majorHAnsi" w:hAnsiTheme="majorHAnsi"/>
          <w:i/>
          <w:iCs/>
          <w:sz w:val="20"/>
          <w:szCs w:val="20"/>
          <w:lang w:val="es-ES"/>
        </w:rPr>
        <w:t xml:space="preserve"> </w:t>
      </w:r>
    </w:p>
    <w:p w14:paraId="3D1AD0D2" w14:textId="08C2FD41" w:rsidR="006D2655" w:rsidRPr="00D9036E" w:rsidRDefault="0003191E"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De acuerdo con los anexos aportados, en el marco de un caso relativo a un accidente laboral y al incumplimiento del pago patronal del seguro de riesgos, </w:t>
      </w:r>
      <w:r w:rsidR="003378FE" w:rsidRPr="00DC65BB">
        <w:rPr>
          <w:rFonts w:asciiTheme="majorHAnsi" w:hAnsiTheme="majorHAnsi"/>
          <w:sz w:val="20"/>
          <w:szCs w:val="20"/>
          <w:lang w:val="es-ES"/>
        </w:rPr>
        <w:t xml:space="preserve">el 25 de septiembre de 2001 la </w:t>
      </w:r>
      <w:r w:rsidR="00052387" w:rsidRPr="00DC65BB">
        <w:rPr>
          <w:rFonts w:asciiTheme="majorHAnsi" w:hAnsiTheme="majorHAnsi"/>
          <w:sz w:val="20"/>
          <w:szCs w:val="20"/>
          <w:lang w:val="es-ES"/>
        </w:rPr>
        <w:t xml:space="preserve">Caja de </w:t>
      </w:r>
      <w:r w:rsidR="00052387" w:rsidRPr="00D9036E">
        <w:rPr>
          <w:rFonts w:asciiTheme="majorHAnsi" w:hAnsiTheme="majorHAnsi"/>
          <w:sz w:val="20"/>
          <w:szCs w:val="20"/>
          <w:lang w:val="es-ES"/>
        </w:rPr>
        <w:t xml:space="preserve">Seguro Social (en adelante, CSS) </w:t>
      </w:r>
      <w:r w:rsidR="003378FE" w:rsidRPr="00D9036E">
        <w:rPr>
          <w:rFonts w:asciiTheme="majorHAnsi" w:hAnsiTheme="majorHAnsi"/>
          <w:sz w:val="20"/>
          <w:szCs w:val="20"/>
          <w:lang w:val="es-ES"/>
        </w:rPr>
        <w:t xml:space="preserve">dictó la Resolución 778-01-D.G., mediante la cual condenó a </w:t>
      </w:r>
      <w:r w:rsidR="00B8058C" w:rsidRPr="00D9036E">
        <w:rPr>
          <w:rFonts w:asciiTheme="majorHAnsi" w:hAnsiTheme="majorHAnsi"/>
          <w:sz w:val="20"/>
          <w:szCs w:val="20"/>
          <w:lang w:val="es-ES"/>
        </w:rPr>
        <w:t>la</w:t>
      </w:r>
      <w:r w:rsidR="003378FE" w:rsidRPr="00D9036E">
        <w:rPr>
          <w:rFonts w:asciiTheme="majorHAnsi" w:hAnsiTheme="majorHAnsi"/>
          <w:sz w:val="20"/>
          <w:szCs w:val="20"/>
          <w:lang w:val="es-ES"/>
        </w:rPr>
        <w:t xml:space="preserve"> empresa a</w:t>
      </w:r>
      <w:r w:rsidR="00604A97" w:rsidRPr="00D9036E">
        <w:rPr>
          <w:rFonts w:asciiTheme="majorHAnsi" w:hAnsiTheme="majorHAnsi"/>
          <w:sz w:val="20"/>
          <w:szCs w:val="20"/>
          <w:lang w:val="es-ES"/>
        </w:rPr>
        <w:t xml:space="preserve">l pago de </w:t>
      </w:r>
      <w:r w:rsidR="00087A56" w:rsidRPr="00D9036E">
        <w:rPr>
          <w:rFonts w:asciiTheme="majorHAnsi" w:hAnsiTheme="majorHAnsi"/>
          <w:sz w:val="20"/>
          <w:szCs w:val="20"/>
          <w:lang w:val="es-ES"/>
        </w:rPr>
        <w:t>USD</w:t>
      </w:r>
      <w:r w:rsidR="00B8058C" w:rsidRPr="00D9036E">
        <w:rPr>
          <w:rFonts w:asciiTheme="majorHAnsi" w:hAnsiTheme="majorHAnsi"/>
          <w:sz w:val="20"/>
          <w:szCs w:val="20"/>
          <w:lang w:val="es-ES"/>
        </w:rPr>
        <w:t>.</w:t>
      </w:r>
      <w:r w:rsidR="00604A97" w:rsidRPr="00D9036E">
        <w:rPr>
          <w:rFonts w:asciiTheme="majorHAnsi" w:hAnsiTheme="majorHAnsi"/>
          <w:sz w:val="20"/>
          <w:szCs w:val="20"/>
          <w:lang w:val="es-ES"/>
        </w:rPr>
        <w:t xml:space="preserve"> 242</w:t>
      </w:r>
      <w:r w:rsidR="005A6476">
        <w:rPr>
          <w:rFonts w:asciiTheme="majorHAnsi" w:hAnsiTheme="majorHAnsi"/>
          <w:sz w:val="20"/>
          <w:szCs w:val="20"/>
          <w:lang w:val="es-ES"/>
        </w:rPr>
        <w:t>.</w:t>
      </w:r>
      <w:r w:rsidR="00604A97" w:rsidRPr="00D9036E">
        <w:rPr>
          <w:rFonts w:asciiTheme="majorHAnsi" w:hAnsiTheme="majorHAnsi"/>
          <w:sz w:val="20"/>
          <w:szCs w:val="20"/>
          <w:lang w:val="es-ES"/>
        </w:rPr>
        <w:t>212</w:t>
      </w:r>
      <w:r w:rsidR="005A6476">
        <w:rPr>
          <w:rFonts w:asciiTheme="majorHAnsi" w:hAnsiTheme="majorHAnsi"/>
          <w:sz w:val="20"/>
          <w:szCs w:val="20"/>
          <w:lang w:val="es-ES"/>
        </w:rPr>
        <w:t>,</w:t>
      </w:r>
      <w:r w:rsidR="00A66E7B" w:rsidRPr="00D9036E">
        <w:rPr>
          <w:rFonts w:asciiTheme="majorHAnsi" w:hAnsiTheme="majorHAnsi"/>
          <w:sz w:val="20"/>
          <w:szCs w:val="20"/>
          <w:lang w:val="es-ES"/>
        </w:rPr>
        <w:t>00</w:t>
      </w:r>
      <w:r w:rsidR="00604A97" w:rsidRPr="00D9036E">
        <w:rPr>
          <w:rFonts w:asciiTheme="majorHAnsi" w:hAnsiTheme="majorHAnsi"/>
          <w:sz w:val="20"/>
          <w:szCs w:val="20"/>
          <w:lang w:val="es-ES"/>
        </w:rPr>
        <w:t xml:space="preserve"> en concepto de prestaciones de riesgo profesional a favor de</w:t>
      </w:r>
      <w:r w:rsidR="009443D3">
        <w:rPr>
          <w:rFonts w:asciiTheme="majorHAnsi" w:hAnsiTheme="majorHAnsi"/>
          <w:sz w:val="20"/>
          <w:szCs w:val="20"/>
          <w:lang w:val="es-ES"/>
        </w:rPr>
        <w:t xml:space="preserve"> un</w:t>
      </w:r>
      <w:r w:rsidR="00604A97" w:rsidRPr="00D9036E">
        <w:rPr>
          <w:rFonts w:asciiTheme="majorHAnsi" w:hAnsiTheme="majorHAnsi"/>
          <w:sz w:val="20"/>
          <w:szCs w:val="20"/>
          <w:lang w:val="es-ES"/>
        </w:rPr>
        <w:t xml:space="preserve"> trabajador lesionado</w:t>
      </w:r>
      <w:r w:rsidR="003378FE" w:rsidRPr="00D9036E">
        <w:rPr>
          <w:rFonts w:asciiTheme="majorHAnsi" w:hAnsiTheme="majorHAnsi"/>
          <w:sz w:val="20"/>
          <w:szCs w:val="20"/>
          <w:lang w:val="es-ES"/>
        </w:rPr>
        <w:t xml:space="preserve"> y el</w:t>
      </w:r>
      <w:r w:rsidR="00604A97" w:rsidRPr="00D9036E">
        <w:rPr>
          <w:rFonts w:asciiTheme="majorHAnsi" w:hAnsiTheme="majorHAnsi"/>
          <w:sz w:val="20"/>
          <w:szCs w:val="20"/>
          <w:lang w:val="es-ES"/>
        </w:rPr>
        <w:t xml:space="preserve"> reintegro a la CSS de las atenciones médicas proporcionadas. La decisión fue confirmada por el director general y </w:t>
      </w:r>
      <w:r w:rsidR="009C07C6" w:rsidRPr="00D9036E">
        <w:rPr>
          <w:rFonts w:asciiTheme="majorHAnsi" w:hAnsiTheme="majorHAnsi"/>
          <w:sz w:val="20"/>
          <w:szCs w:val="20"/>
          <w:lang w:val="es-ES"/>
        </w:rPr>
        <w:t>después</w:t>
      </w:r>
      <w:r w:rsidR="00604A97" w:rsidRPr="00D9036E">
        <w:rPr>
          <w:rFonts w:asciiTheme="majorHAnsi" w:hAnsiTheme="majorHAnsi"/>
          <w:sz w:val="20"/>
          <w:szCs w:val="20"/>
          <w:lang w:val="es-ES"/>
        </w:rPr>
        <w:t xml:space="preserve"> por la junta directiva de la CSS, por lo que se remitió a la jurisdicción coactiva para su ejecución.</w:t>
      </w:r>
      <w:r w:rsidR="006D2655" w:rsidRPr="00D9036E">
        <w:rPr>
          <w:rFonts w:asciiTheme="majorHAnsi" w:hAnsiTheme="majorHAnsi"/>
          <w:sz w:val="20"/>
          <w:szCs w:val="20"/>
          <w:lang w:val="es-ES"/>
        </w:rPr>
        <w:t xml:space="preserve"> </w:t>
      </w:r>
      <w:r w:rsidR="00A2577F" w:rsidRPr="00D9036E">
        <w:rPr>
          <w:rFonts w:asciiTheme="majorHAnsi" w:hAnsiTheme="majorHAnsi"/>
          <w:sz w:val="20"/>
          <w:szCs w:val="20"/>
          <w:lang w:val="es-ES"/>
        </w:rPr>
        <w:t xml:space="preserve">El proceso ejecutivo inició bajo la conducción de un juez distinto a la presunta víctima, quien </w:t>
      </w:r>
      <w:r w:rsidR="00956205" w:rsidRPr="00D9036E">
        <w:rPr>
          <w:rFonts w:asciiTheme="majorHAnsi" w:hAnsiTheme="majorHAnsi"/>
          <w:sz w:val="20"/>
          <w:szCs w:val="20"/>
          <w:lang w:val="es-ES"/>
        </w:rPr>
        <w:t>el</w:t>
      </w:r>
      <w:r w:rsidR="00A2577F" w:rsidRPr="00D9036E">
        <w:rPr>
          <w:rFonts w:asciiTheme="majorHAnsi" w:hAnsiTheme="majorHAnsi"/>
          <w:sz w:val="20"/>
          <w:szCs w:val="20"/>
          <w:lang w:val="es-ES"/>
        </w:rPr>
        <w:t xml:space="preserve"> 7 de julio de 2004 ordenó </w:t>
      </w:r>
      <w:r w:rsidR="00B8058C" w:rsidRPr="00D9036E">
        <w:rPr>
          <w:rFonts w:asciiTheme="majorHAnsi" w:hAnsiTheme="majorHAnsi"/>
          <w:sz w:val="20"/>
          <w:szCs w:val="20"/>
          <w:lang w:val="es-ES"/>
        </w:rPr>
        <w:t>medidas de embargo a</w:t>
      </w:r>
      <w:r w:rsidR="00A2577F" w:rsidRPr="00D9036E">
        <w:rPr>
          <w:rFonts w:asciiTheme="majorHAnsi" w:hAnsiTheme="majorHAnsi"/>
          <w:sz w:val="20"/>
          <w:szCs w:val="20"/>
          <w:lang w:val="es-ES"/>
        </w:rPr>
        <w:t xml:space="preserve"> la empresa </w:t>
      </w:r>
      <w:r w:rsidR="00324669" w:rsidRPr="00D9036E">
        <w:rPr>
          <w:rFonts w:asciiTheme="majorHAnsi" w:hAnsiTheme="majorHAnsi"/>
          <w:sz w:val="20"/>
          <w:szCs w:val="20"/>
          <w:lang w:val="es-ES"/>
        </w:rPr>
        <w:t>para</w:t>
      </w:r>
      <w:r w:rsidR="00A2577F" w:rsidRPr="00D9036E">
        <w:rPr>
          <w:rFonts w:asciiTheme="majorHAnsi" w:hAnsiTheme="majorHAnsi"/>
          <w:sz w:val="20"/>
          <w:szCs w:val="20"/>
          <w:lang w:val="es-ES"/>
        </w:rPr>
        <w:t xml:space="preserve"> cubrir la totalidad de la condena administrativa. </w:t>
      </w:r>
    </w:p>
    <w:p w14:paraId="4B6F8759" w14:textId="5C636A5A" w:rsidR="007F06A0" w:rsidRPr="00D9036E" w:rsidRDefault="00B8058C"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color w:val="000000"/>
          <w:sz w:val="20"/>
          <w:szCs w:val="20"/>
          <w:lang w:val="es-ES" w:eastAsia="es-MX"/>
        </w:rPr>
      </w:pPr>
      <w:r w:rsidRPr="00D9036E">
        <w:rPr>
          <w:rFonts w:asciiTheme="majorHAnsi" w:hAnsiTheme="majorHAnsi"/>
          <w:sz w:val="20"/>
          <w:szCs w:val="20"/>
          <w:lang w:val="es-ES"/>
        </w:rPr>
        <w:t>Posteriormente, el 29 de marzo de 2005</w:t>
      </w:r>
      <w:r w:rsidR="001B3B00">
        <w:rPr>
          <w:rFonts w:asciiTheme="majorHAnsi" w:hAnsiTheme="majorHAnsi"/>
          <w:sz w:val="20"/>
          <w:szCs w:val="20"/>
          <w:lang w:val="es-ES"/>
        </w:rPr>
        <w:t>,</w:t>
      </w:r>
      <w:r w:rsidRPr="00D9036E">
        <w:rPr>
          <w:rFonts w:asciiTheme="majorHAnsi" w:hAnsiTheme="majorHAnsi"/>
          <w:sz w:val="20"/>
          <w:szCs w:val="20"/>
          <w:lang w:val="es-ES"/>
        </w:rPr>
        <w:t xml:space="preserve"> el señor Tomás González Feuillebois </w:t>
      </w:r>
      <w:r w:rsidR="001029DE" w:rsidRPr="00D9036E">
        <w:rPr>
          <w:rFonts w:asciiTheme="majorHAnsi" w:hAnsiTheme="majorHAnsi"/>
          <w:sz w:val="20"/>
          <w:szCs w:val="20"/>
          <w:lang w:val="es-ES"/>
        </w:rPr>
        <w:t>asumió el</w:t>
      </w:r>
      <w:r w:rsidRPr="00D9036E">
        <w:rPr>
          <w:rFonts w:asciiTheme="majorHAnsi" w:hAnsiTheme="majorHAnsi"/>
          <w:sz w:val="20"/>
          <w:szCs w:val="20"/>
          <w:lang w:val="es-ES"/>
        </w:rPr>
        <w:t xml:space="preserve"> caso y dictó el Auto 437-2005, mediante el cual </w:t>
      </w:r>
      <w:r w:rsidR="00944BF8" w:rsidRPr="00D9036E">
        <w:rPr>
          <w:rFonts w:asciiTheme="majorHAnsi" w:hAnsiTheme="majorHAnsi"/>
          <w:sz w:val="20"/>
          <w:szCs w:val="20"/>
          <w:lang w:val="es-ES"/>
        </w:rPr>
        <w:t>decidió</w:t>
      </w:r>
      <w:r w:rsidRPr="00D9036E">
        <w:rPr>
          <w:rFonts w:asciiTheme="majorHAnsi" w:hAnsiTheme="majorHAnsi"/>
          <w:sz w:val="20"/>
          <w:szCs w:val="20"/>
          <w:lang w:val="es-ES"/>
        </w:rPr>
        <w:t xml:space="preserve"> abstenerse de ejecutar en sede coactiva las prestaciones por riesgo profesional reconocidas a favor del trabajador</w:t>
      </w:r>
      <w:r w:rsidR="008151FC" w:rsidRPr="00D9036E">
        <w:rPr>
          <w:rFonts w:asciiTheme="majorHAnsi" w:hAnsiTheme="majorHAnsi"/>
          <w:sz w:val="20"/>
          <w:szCs w:val="20"/>
          <w:lang w:val="es-ES"/>
        </w:rPr>
        <w:t>,</w:t>
      </w:r>
      <w:r w:rsidRPr="00D9036E">
        <w:rPr>
          <w:rFonts w:asciiTheme="majorHAnsi" w:hAnsiTheme="majorHAnsi"/>
          <w:sz w:val="20"/>
          <w:szCs w:val="20"/>
          <w:lang w:val="es-ES"/>
        </w:rPr>
        <w:t xml:space="preserve"> y continuar la ejecución únicamente por </w:t>
      </w:r>
      <w:r w:rsidR="00A35EF9">
        <w:rPr>
          <w:rFonts w:asciiTheme="majorHAnsi" w:hAnsiTheme="majorHAnsi"/>
          <w:sz w:val="20"/>
          <w:szCs w:val="20"/>
          <w:lang w:val="es-ES"/>
        </w:rPr>
        <w:t>12</w:t>
      </w:r>
      <w:r w:rsidR="00A35EF9" w:rsidRPr="00D9036E">
        <w:rPr>
          <w:rFonts w:asciiTheme="majorHAnsi" w:hAnsiTheme="majorHAnsi"/>
          <w:sz w:val="20"/>
          <w:szCs w:val="20"/>
          <w:lang w:val="es-ES"/>
        </w:rPr>
        <w:t xml:space="preserve"> </w:t>
      </w:r>
      <w:r w:rsidR="00767D37" w:rsidRPr="00D9036E">
        <w:rPr>
          <w:rFonts w:asciiTheme="majorHAnsi" w:hAnsiTheme="majorHAnsi"/>
          <w:sz w:val="20"/>
          <w:szCs w:val="20"/>
          <w:lang w:val="es-ES"/>
        </w:rPr>
        <w:t>dólares de los Estados Unidos de América</w:t>
      </w:r>
      <w:r w:rsidRPr="00D9036E">
        <w:rPr>
          <w:rFonts w:asciiTheme="majorHAnsi" w:hAnsiTheme="majorHAnsi"/>
          <w:sz w:val="20"/>
          <w:szCs w:val="20"/>
          <w:lang w:val="es-ES"/>
        </w:rPr>
        <w:t xml:space="preserve">, correspondientes al gasto médico adeudado </w:t>
      </w:r>
      <w:r w:rsidR="00944BF8" w:rsidRPr="00D9036E">
        <w:rPr>
          <w:rFonts w:asciiTheme="majorHAnsi" w:hAnsiTheme="majorHAnsi"/>
          <w:sz w:val="20"/>
          <w:szCs w:val="20"/>
          <w:lang w:val="es-ES"/>
        </w:rPr>
        <w:t xml:space="preserve">por la empresa </w:t>
      </w:r>
      <w:r w:rsidRPr="00D9036E">
        <w:rPr>
          <w:rFonts w:asciiTheme="majorHAnsi" w:hAnsiTheme="majorHAnsi"/>
          <w:sz w:val="20"/>
          <w:szCs w:val="20"/>
          <w:lang w:val="es-ES"/>
        </w:rPr>
        <w:t>a la CSS. La presunta víctima aduce que dicha decisión se basó en que</w:t>
      </w:r>
      <w:r w:rsidR="00A35EF9">
        <w:rPr>
          <w:rFonts w:asciiTheme="majorHAnsi" w:hAnsiTheme="majorHAnsi"/>
          <w:sz w:val="20"/>
          <w:szCs w:val="20"/>
          <w:lang w:val="es-ES"/>
        </w:rPr>
        <w:t>,</w:t>
      </w:r>
      <w:r w:rsidRPr="00D9036E">
        <w:rPr>
          <w:rFonts w:asciiTheme="majorHAnsi" w:hAnsiTheme="majorHAnsi"/>
          <w:sz w:val="20"/>
          <w:szCs w:val="20"/>
          <w:lang w:val="es-ES"/>
        </w:rPr>
        <w:t xml:space="preserve"> si bien el Decreto de Gabinete Nº 68 podría interpretarse como habilitante de la jurisdicción coactiva, una lectura sistemática con el Código de Trabajo (norma posterior y especial) determina</w:t>
      </w:r>
      <w:r w:rsidR="00BB7EF6">
        <w:rPr>
          <w:rFonts w:asciiTheme="majorHAnsi" w:hAnsiTheme="majorHAnsi"/>
          <w:sz w:val="20"/>
          <w:szCs w:val="20"/>
          <w:lang w:val="es-ES"/>
        </w:rPr>
        <w:t>ba</w:t>
      </w:r>
      <w:r w:rsidRPr="00D9036E">
        <w:rPr>
          <w:rFonts w:asciiTheme="majorHAnsi" w:hAnsiTheme="majorHAnsi"/>
          <w:sz w:val="20"/>
          <w:szCs w:val="20"/>
          <w:lang w:val="es-ES"/>
        </w:rPr>
        <w:t xml:space="preserve"> que la competencia para reclamar las prestaciones por riesgo profesional correspond</w:t>
      </w:r>
      <w:r w:rsidR="00BB7EF6">
        <w:rPr>
          <w:rFonts w:asciiTheme="majorHAnsi" w:hAnsiTheme="majorHAnsi"/>
          <w:sz w:val="20"/>
          <w:szCs w:val="20"/>
          <w:lang w:val="es-ES"/>
        </w:rPr>
        <w:t>ía</w:t>
      </w:r>
      <w:r w:rsidRPr="00D9036E">
        <w:rPr>
          <w:rFonts w:asciiTheme="majorHAnsi" w:hAnsiTheme="majorHAnsi"/>
          <w:sz w:val="20"/>
          <w:szCs w:val="20"/>
          <w:lang w:val="es-ES"/>
        </w:rPr>
        <w:t xml:space="preserve"> a la jurisdicción laboral, </w:t>
      </w:r>
      <w:r w:rsidR="005A753F" w:rsidRPr="00D9036E">
        <w:rPr>
          <w:rFonts w:asciiTheme="majorHAnsi" w:hAnsiTheme="majorHAnsi"/>
          <w:sz w:val="20"/>
          <w:szCs w:val="20"/>
          <w:lang w:val="es-ES"/>
        </w:rPr>
        <w:t>limitando</w:t>
      </w:r>
      <w:r w:rsidRPr="00D9036E">
        <w:rPr>
          <w:rFonts w:asciiTheme="majorHAnsi" w:hAnsiTheme="majorHAnsi"/>
          <w:sz w:val="20"/>
          <w:szCs w:val="20"/>
          <w:lang w:val="es-ES"/>
        </w:rPr>
        <w:t xml:space="preserve"> la coactiva de la CSS a créditos propios. En consecuencia, </w:t>
      </w:r>
      <w:r w:rsidR="00BB7EF6">
        <w:rPr>
          <w:rFonts w:asciiTheme="majorHAnsi" w:hAnsiTheme="majorHAnsi"/>
          <w:sz w:val="20"/>
          <w:szCs w:val="20"/>
          <w:lang w:val="es-ES"/>
        </w:rPr>
        <w:t>el juez</w:t>
      </w:r>
      <w:r w:rsidR="001C1190">
        <w:rPr>
          <w:rFonts w:asciiTheme="majorHAnsi" w:hAnsiTheme="majorHAnsi"/>
          <w:sz w:val="20"/>
          <w:szCs w:val="20"/>
          <w:lang w:val="es-ES"/>
        </w:rPr>
        <w:t xml:space="preserve"> Feuillebois </w:t>
      </w:r>
      <w:r w:rsidRPr="00D9036E">
        <w:rPr>
          <w:rFonts w:asciiTheme="majorHAnsi" w:hAnsiTheme="majorHAnsi"/>
          <w:sz w:val="20"/>
          <w:szCs w:val="20"/>
          <w:lang w:val="es-ES"/>
        </w:rPr>
        <w:t xml:space="preserve">declaró de oficio su incompetencia y circunscribió la ejecución al único rubro exigible a favor de la CSS, relativo a las atenciones médicas. Afirma, además, que </w:t>
      </w:r>
      <w:r w:rsidR="00944BF8" w:rsidRPr="00D9036E">
        <w:rPr>
          <w:rFonts w:asciiTheme="majorHAnsi" w:hAnsiTheme="majorHAnsi"/>
          <w:sz w:val="20"/>
          <w:szCs w:val="20"/>
          <w:lang w:val="es-ES"/>
        </w:rPr>
        <w:t>este criterio se encontraba respaldado por precedentes uniformes</w:t>
      </w:r>
      <w:r w:rsidRPr="00D9036E">
        <w:rPr>
          <w:rFonts w:asciiTheme="majorHAnsi" w:hAnsiTheme="majorHAnsi"/>
          <w:sz w:val="20"/>
          <w:szCs w:val="20"/>
          <w:lang w:val="es-ES"/>
        </w:rPr>
        <w:t xml:space="preserve"> de la Sala Tercera de lo Contencioso Administrativo de la Corte Suprema de Justicia.</w:t>
      </w:r>
    </w:p>
    <w:p w14:paraId="6EC6C2F3" w14:textId="5FA756DD" w:rsidR="007F06A0" w:rsidRPr="00DC65BB" w:rsidRDefault="007F06A0"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color w:val="000000"/>
          <w:sz w:val="20"/>
          <w:szCs w:val="20"/>
          <w:lang w:val="es-ES" w:eastAsia="es-MX"/>
        </w:rPr>
      </w:pPr>
      <w:r w:rsidRPr="00D9036E">
        <w:rPr>
          <w:rFonts w:asciiTheme="majorHAnsi" w:hAnsiTheme="majorHAnsi"/>
          <w:sz w:val="20"/>
          <w:szCs w:val="20"/>
          <w:lang w:val="es-ES"/>
        </w:rPr>
        <w:t>A modo de contexto, la presunta víctima explica que</w:t>
      </w:r>
      <w:r w:rsidR="00637FBB" w:rsidRPr="00D9036E">
        <w:rPr>
          <w:rFonts w:asciiTheme="majorHAnsi" w:hAnsiTheme="majorHAnsi"/>
          <w:sz w:val="20"/>
          <w:szCs w:val="20"/>
          <w:lang w:val="es-ES"/>
        </w:rPr>
        <w:t xml:space="preserve"> se </w:t>
      </w:r>
      <w:r w:rsidR="001C1190">
        <w:rPr>
          <w:rFonts w:asciiTheme="majorHAnsi" w:hAnsiTheme="majorHAnsi"/>
          <w:sz w:val="20"/>
          <w:szCs w:val="20"/>
          <w:lang w:val="es-ES"/>
        </w:rPr>
        <w:t xml:space="preserve">había dictado </w:t>
      </w:r>
      <w:r w:rsidRPr="00D9036E">
        <w:rPr>
          <w:rFonts w:asciiTheme="majorHAnsi" w:hAnsiTheme="majorHAnsi"/>
          <w:sz w:val="20"/>
          <w:szCs w:val="20"/>
          <w:lang w:val="es-ES"/>
        </w:rPr>
        <w:t>la Ley Nº 51 de 27 de diciembre de 2005</w:t>
      </w:r>
      <w:r w:rsidR="00C850B0" w:rsidRPr="00D9036E">
        <w:rPr>
          <w:rFonts w:asciiTheme="majorHAnsi" w:hAnsiTheme="majorHAnsi"/>
          <w:sz w:val="20"/>
          <w:szCs w:val="20"/>
          <w:lang w:val="es-ES"/>
        </w:rPr>
        <w:t xml:space="preserve">, </w:t>
      </w:r>
      <w:r w:rsidR="00087A56" w:rsidRPr="00D9036E">
        <w:rPr>
          <w:rFonts w:asciiTheme="majorHAnsi" w:hAnsiTheme="majorHAnsi"/>
          <w:sz w:val="20"/>
          <w:szCs w:val="20"/>
          <w:lang w:val="es-ES"/>
        </w:rPr>
        <w:t>emit</w:t>
      </w:r>
      <w:r w:rsidR="00A001E0">
        <w:rPr>
          <w:rFonts w:asciiTheme="majorHAnsi" w:hAnsiTheme="majorHAnsi"/>
          <w:sz w:val="20"/>
          <w:szCs w:val="20"/>
          <w:lang w:val="es-ES"/>
        </w:rPr>
        <w:t>ida</w:t>
      </w:r>
      <w:r w:rsidR="00637FBB" w:rsidRPr="00D9036E">
        <w:rPr>
          <w:rFonts w:asciiTheme="majorHAnsi" w:hAnsiTheme="majorHAnsi"/>
          <w:sz w:val="20"/>
          <w:szCs w:val="20"/>
          <w:lang w:val="es-ES"/>
        </w:rPr>
        <w:t xml:space="preserve"> con posterioridad a los hechos,</w:t>
      </w:r>
      <w:r w:rsidRPr="00D9036E">
        <w:rPr>
          <w:rFonts w:asciiTheme="majorHAnsi" w:hAnsiTheme="majorHAnsi"/>
          <w:sz w:val="20"/>
          <w:szCs w:val="20"/>
          <w:lang w:val="es-ES"/>
        </w:rPr>
        <w:t xml:space="preserve"> </w:t>
      </w:r>
      <w:r w:rsidR="00A001E0">
        <w:rPr>
          <w:rFonts w:asciiTheme="majorHAnsi" w:hAnsiTheme="majorHAnsi"/>
          <w:sz w:val="20"/>
          <w:szCs w:val="20"/>
          <w:lang w:val="es-ES"/>
        </w:rPr>
        <w:t xml:space="preserve">que </w:t>
      </w:r>
      <w:r w:rsidR="00C850B0" w:rsidRPr="00D9036E">
        <w:rPr>
          <w:rFonts w:asciiTheme="majorHAnsi" w:hAnsiTheme="majorHAnsi"/>
          <w:sz w:val="20"/>
          <w:szCs w:val="20"/>
          <w:lang w:val="es-ES"/>
        </w:rPr>
        <w:t>habilitó</w:t>
      </w:r>
      <w:r w:rsidRPr="00D9036E">
        <w:rPr>
          <w:rFonts w:asciiTheme="majorHAnsi" w:hAnsiTheme="majorHAnsi"/>
          <w:sz w:val="20"/>
          <w:szCs w:val="20"/>
          <w:lang w:val="es-ES"/>
        </w:rPr>
        <w:t xml:space="preserve"> a la CSS a cobrar coactivamente al empleador las sumas vinculadas a prestaciones por riesgo profesional cuando por incumplimiento patronal la CSS no pudiera otorgarlas al trabajador. Precisa, sin embargo, que esos párrafos </w:t>
      </w:r>
      <w:r w:rsidR="00C850B0" w:rsidRPr="00D9036E">
        <w:rPr>
          <w:rFonts w:asciiTheme="majorHAnsi" w:hAnsiTheme="majorHAnsi"/>
          <w:sz w:val="20"/>
          <w:szCs w:val="20"/>
          <w:lang w:val="es-ES"/>
        </w:rPr>
        <w:t xml:space="preserve">de la ley </w:t>
      </w:r>
      <w:r w:rsidRPr="00D9036E">
        <w:rPr>
          <w:rFonts w:asciiTheme="majorHAnsi" w:hAnsiTheme="majorHAnsi"/>
          <w:sz w:val="20"/>
          <w:szCs w:val="20"/>
          <w:lang w:val="es-ES"/>
        </w:rPr>
        <w:t>fueron declarados inconstitucionales</w:t>
      </w:r>
      <w:r w:rsidRPr="00DC65BB">
        <w:rPr>
          <w:rFonts w:asciiTheme="majorHAnsi" w:hAnsiTheme="majorHAnsi"/>
          <w:sz w:val="20"/>
          <w:szCs w:val="20"/>
          <w:lang w:val="es-ES"/>
        </w:rPr>
        <w:t xml:space="preserve"> por el Pleno de la Corte Suprema de Justicia el 25 de marzo de 2015, al considerar que tales reclamaciones correspond</w:t>
      </w:r>
      <w:r w:rsidR="00B250A0">
        <w:rPr>
          <w:rFonts w:asciiTheme="majorHAnsi" w:hAnsiTheme="majorHAnsi"/>
          <w:sz w:val="20"/>
          <w:szCs w:val="20"/>
          <w:lang w:val="es-ES"/>
        </w:rPr>
        <w:t>ía</w:t>
      </w:r>
      <w:r w:rsidRPr="00DC65BB">
        <w:rPr>
          <w:rFonts w:asciiTheme="majorHAnsi" w:hAnsiTheme="majorHAnsi"/>
          <w:sz w:val="20"/>
          <w:szCs w:val="20"/>
          <w:lang w:val="es-ES"/>
        </w:rPr>
        <w:t xml:space="preserve">n a la jurisdicción laboral y no </w:t>
      </w:r>
      <w:r w:rsidR="00B250A0">
        <w:rPr>
          <w:rFonts w:asciiTheme="majorHAnsi" w:hAnsiTheme="majorHAnsi"/>
          <w:sz w:val="20"/>
          <w:szCs w:val="20"/>
          <w:lang w:val="es-ES"/>
        </w:rPr>
        <w:t>podían</w:t>
      </w:r>
      <w:r w:rsidR="00B250A0" w:rsidRPr="00DC65BB">
        <w:rPr>
          <w:rFonts w:asciiTheme="majorHAnsi" w:hAnsiTheme="majorHAnsi"/>
          <w:sz w:val="20"/>
          <w:szCs w:val="20"/>
          <w:lang w:val="es-ES"/>
        </w:rPr>
        <w:t xml:space="preserve"> </w:t>
      </w:r>
      <w:r w:rsidRPr="00DC65BB">
        <w:rPr>
          <w:rFonts w:asciiTheme="majorHAnsi" w:hAnsiTheme="majorHAnsi"/>
          <w:sz w:val="20"/>
          <w:szCs w:val="20"/>
          <w:lang w:val="es-ES"/>
        </w:rPr>
        <w:t>sustanciarse en sede coactiva.</w:t>
      </w:r>
    </w:p>
    <w:p w14:paraId="071F3EAC" w14:textId="753CCB76" w:rsidR="002B5F92" w:rsidRPr="00DC65BB" w:rsidRDefault="00D2082A" w:rsidP="00DC65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DC65BB">
        <w:rPr>
          <w:rFonts w:asciiTheme="majorHAnsi" w:hAnsiTheme="majorHAnsi"/>
          <w:i/>
          <w:iCs/>
          <w:sz w:val="20"/>
          <w:szCs w:val="20"/>
          <w:lang w:val="es-ES"/>
        </w:rPr>
        <w:t>Acerca</w:t>
      </w:r>
      <w:r w:rsidR="002B5F92" w:rsidRPr="00DC65BB">
        <w:rPr>
          <w:rFonts w:asciiTheme="majorHAnsi" w:hAnsiTheme="majorHAnsi"/>
          <w:i/>
          <w:iCs/>
          <w:sz w:val="20"/>
          <w:szCs w:val="20"/>
          <w:lang w:val="es-ES"/>
        </w:rPr>
        <w:t xml:space="preserve"> </w:t>
      </w:r>
      <w:r w:rsidRPr="00DC65BB">
        <w:rPr>
          <w:rFonts w:asciiTheme="majorHAnsi" w:hAnsiTheme="majorHAnsi"/>
          <w:i/>
          <w:iCs/>
          <w:sz w:val="20"/>
          <w:szCs w:val="20"/>
          <w:lang w:val="es-ES"/>
        </w:rPr>
        <w:t>d</w:t>
      </w:r>
      <w:r w:rsidR="002B5F92" w:rsidRPr="00DC65BB">
        <w:rPr>
          <w:rFonts w:asciiTheme="majorHAnsi" w:hAnsiTheme="majorHAnsi"/>
          <w:i/>
          <w:iCs/>
          <w:sz w:val="20"/>
          <w:szCs w:val="20"/>
          <w:lang w:val="es-ES"/>
        </w:rPr>
        <w:t>el proceso de destitución</w:t>
      </w:r>
      <w:r w:rsidR="003C62B2" w:rsidRPr="00DC65BB">
        <w:rPr>
          <w:rFonts w:asciiTheme="majorHAnsi" w:hAnsiTheme="majorHAnsi"/>
          <w:i/>
          <w:iCs/>
          <w:sz w:val="20"/>
          <w:szCs w:val="20"/>
          <w:lang w:val="es-ES"/>
        </w:rPr>
        <w:t xml:space="preserve"> </w:t>
      </w:r>
    </w:p>
    <w:p w14:paraId="2B58F161" w14:textId="1894AA9C" w:rsidR="00C70FE9" w:rsidRPr="00DC65BB" w:rsidRDefault="000F40FA"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En este contexto</w:t>
      </w:r>
      <w:r w:rsidR="001F3663" w:rsidRPr="00DC65BB">
        <w:rPr>
          <w:rFonts w:asciiTheme="majorHAnsi" w:hAnsiTheme="majorHAnsi"/>
          <w:sz w:val="20"/>
          <w:szCs w:val="20"/>
          <w:lang w:val="es-ES"/>
        </w:rPr>
        <w:t xml:space="preserve">, </w:t>
      </w:r>
      <w:r w:rsidR="00BA77D0" w:rsidRPr="00DC65BB">
        <w:rPr>
          <w:rFonts w:asciiTheme="majorHAnsi" w:hAnsiTheme="majorHAnsi"/>
          <w:sz w:val="20"/>
          <w:szCs w:val="20"/>
          <w:lang w:val="es-ES"/>
        </w:rPr>
        <w:t xml:space="preserve">el 21 de marzo de 2006 </w:t>
      </w:r>
      <w:r w:rsidR="001F3663" w:rsidRPr="00DC65BB">
        <w:rPr>
          <w:rFonts w:asciiTheme="majorHAnsi" w:hAnsiTheme="majorHAnsi"/>
          <w:sz w:val="20"/>
          <w:szCs w:val="20"/>
          <w:lang w:val="es-ES"/>
        </w:rPr>
        <w:t xml:space="preserve">el trabajador </w:t>
      </w:r>
      <w:r w:rsidR="00BA77D0" w:rsidRPr="00DC65BB">
        <w:rPr>
          <w:rFonts w:asciiTheme="majorHAnsi" w:hAnsiTheme="majorHAnsi"/>
          <w:sz w:val="20"/>
          <w:szCs w:val="20"/>
          <w:lang w:val="es-ES"/>
        </w:rPr>
        <w:t>presentó una queja administrativa en contra</w:t>
      </w:r>
      <w:r w:rsidR="007D720C" w:rsidRPr="00DC65BB">
        <w:rPr>
          <w:rFonts w:asciiTheme="majorHAnsi" w:hAnsiTheme="majorHAnsi"/>
          <w:sz w:val="20"/>
          <w:szCs w:val="20"/>
          <w:lang w:val="es-ES"/>
        </w:rPr>
        <w:t xml:space="preserve"> del peticionario</w:t>
      </w:r>
      <w:r w:rsidR="0031476C" w:rsidRPr="00DC65BB">
        <w:rPr>
          <w:rFonts w:asciiTheme="majorHAnsi" w:hAnsiTheme="majorHAnsi"/>
          <w:sz w:val="20"/>
          <w:szCs w:val="20"/>
          <w:lang w:val="es-ES"/>
        </w:rPr>
        <w:t>;</w:t>
      </w:r>
      <w:r w:rsidR="007D720C" w:rsidRPr="00DC65BB">
        <w:rPr>
          <w:rFonts w:asciiTheme="majorHAnsi" w:hAnsiTheme="majorHAnsi"/>
          <w:sz w:val="20"/>
          <w:szCs w:val="20"/>
          <w:lang w:val="es-ES"/>
        </w:rPr>
        <w:t xml:space="preserve"> el</w:t>
      </w:r>
      <w:r w:rsidR="00BA77D0" w:rsidRPr="00DC65BB">
        <w:rPr>
          <w:rFonts w:asciiTheme="majorHAnsi" w:hAnsiTheme="majorHAnsi"/>
          <w:sz w:val="20"/>
          <w:szCs w:val="20"/>
          <w:lang w:val="es-ES"/>
        </w:rPr>
        <w:t xml:space="preserve"> </w:t>
      </w:r>
      <w:r w:rsidR="007F06A0" w:rsidRPr="00DC65BB">
        <w:rPr>
          <w:rFonts w:asciiTheme="majorHAnsi" w:hAnsiTheme="majorHAnsi"/>
          <w:sz w:val="20"/>
          <w:szCs w:val="20"/>
          <w:lang w:val="es-ES"/>
        </w:rPr>
        <w:t xml:space="preserve">24 de mayo de 2006 el </w:t>
      </w:r>
      <w:r w:rsidR="005A753F" w:rsidRPr="00DC65BB">
        <w:rPr>
          <w:rFonts w:asciiTheme="majorHAnsi" w:hAnsiTheme="majorHAnsi"/>
          <w:sz w:val="20"/>
          <w:szCs w:val="20"/>
          <w:lang w:val="es-ES"/>
        </w:rPr>
        <w:t>director general</w:t>
      </w:r>
      <w:r w:rsidR="001F3663" w:rsidRPr="00DC65BB">
        <w:rPr>
          <w:rFonts w:asciiTheme="majorHAnsi" w:hAnsiTheme="majorHAnsi"/>
          <w:sz w:val="20"/>
          <w:szCs w:val="20"/>
          <w:lang w:val="es-ES"/>
        </w:rPr>
        <w:t xml:space="preserve"> de la </w:t>
      </w:r>
      <w:r w:rsidR="00BA77D0" w:rsidRPr="00DC65BB">
        <w:rPr>
          <w:rFonts w:asciiTheme="majorHAnsi" w:hAnsiTheme="majorHAnsi"/>
          <w:sz w:val="20"/>
          <w:szCs w:val="20"/>
          <w:lang w:val="es-ES"/>
        </w:rPr>
        <w:t>CSS</w:t>
      </w:r>
      <w:r w:rsidR="007D720C" w:rsidRPr="00DC65BB">
        <w:rPr>
          <w:rFonts w:asciiTheme="majorHAnsi" w:hAnsiTheme="majorHAnsi"/>
          <w:sz w:val="20"/>
          <w:szCs w:val="20"/>
          <w:lang w:val="es-ES"/>
        </w:rPr>
        <w:t xml:space="preserve"> la</w:t>
      </w:r>
      <w:r w:rsidR="00BA77D0" w:rsidRPr="00DC65BB">
        <w:rPr>
          <w:rFonts w:asciiTheme="majorHAnsi" w:hAnsiTheme="majorHAnsi"/>
          <w:sz w:val="20"/>
          <w:szCs w:val="20"/>
          <w:lang w:val="es-ES"/>
        </w:rPr>
        <w:t xml:space="preserve"> admitió y ordenó la apertura de una investigación administrativa. Posteriormente, </w:t>
      </w:r>
      <w:r w:rsidR="001F3663" w:rsidRPr="00DC65BB">
        <w:rPr>
          <w:rFonts w:asciiTheme="majorHAnsi" w:hAnsiTheme="majorHAnsi"/>
          <w:sz w:val="20"/>
          <w:szCs w:val="20"/>
          <w:lang w:val="es-ES"/>
        </w:rPr>
        <w:t>el</w:t>
      </w:r>
      <w:r w:rsidR="00BA77D0" w:rsidRPr="00DC65BB">
        <w:rPr>
          <w:rFonts w:asciiTheme="majorHAnsi" w:hAnsiTheme="majorHAnsi"/>
          <w:sz w:val="20"/>
          <w:szCs w:val="20"/>
          <w:lang w:val="es-ES"/>
        </w:rPr>
        <w:t xml:space="preserve"> 2 de febrero de 2007 el </w:t>
      </w:r>
      <w:r w:rsidR="001F3663" w:rsidRPr="00DC65BB">
        <w:rPr>
          <w:rFonts w:asciiTheme="majorHAnsi" w:hAnsiTheme="majorHAnsi"/>
          <w:sz w:val="20"/>
          <w:szCs w:val="20"/>
          <w:lang w:val="es-ES"/>
        </w:rPr>
        <w:t xml:space="preserve">director </w:t>
      </w:r>
      <w:r w:rsidR="00BA77D0" w:rsidRPr="00DC65BB">
        <w:rPr>
          <w:rFonts w:asciiTheme="majorHAnsi" w:hAnsiTheme="majorHAnsi"/>
          <w:sz w:val="20"/>
          <w:szCs w:val="20"/>
          <w:lang w:val="es-ES"/>
        </w:rPr>
        <w:t xml:space="preserve">decretó su destitución </w:t>
      </w:r>
      <w:r w:rsidR="005A753F" w:rsidRPr="00DC65BB">
        <w:rPr>
          <w:rFonts w:asciiTheme="majorHAnsi" w:hAnsiTheme="majorHAnsi"/>
          <w:sz w:val="20"/>
          <w:szCs w:val="20"/>
          <w:lang w:val="es-ES"/>
        </w:rPr>
        <w:t>con base en</w:t>
      </w:r>
      <w:r w:rsidR="00BA77D0" w:rsidRPr="00DC65BB">
        <w:rPr>
          <w:rFonts w:asciiTheme="majorHAnsi" w:hAnsiTheme="majorHAnsi"/>
          <w:sz w:val="20"/>
          <w:szCs w:val="20"/>
          <w:lang w:val="es-ES"/>
        </w:rPr>
        <w:t xml:space="preserve"> el artículo 116, numeral 18, del Reglamento Interno de Personal de la CSS, relativ</w:t>
      </w:r>
      <w:r w:rsidR="00AC1028" w:rsidRPr="00DC65BB">
        <w:rPr>
          <w:rFonts w:asciiTheme="majorHAnsi" w:hAnsiTheme="majorHAnsi"/>
          <w:sz w:val="20"/>
          <w:szCs w:val="20"/>
          <w:lang w:val="es-ES"/>
        </w:rPr>
        <w:t>o</w:t>
      </w:r>
      <w:r w:rsidR="00BA77D0" w:rsidRPr="00DC65BB">
        <w:rPr>
          <w:rFonts w:asciiTheme="majorHAnsi" w:hAnsiTheme="majorHAnsi"/>
          <w:sz w:val="20"/>
          <w:szCs w:val="20"/>
          <w:lang w:val="es-ES"/>
        </w:rPr>
        <w:t xml:space="preserve"> a </w:t>
      </w:r>
      <w:r w:rsidR="00BA77D0" w:rsidRPr="00DC65BB">
        <w:rPr>
          <w:rFonts w:asciiTheme="majorHAnsi" w:hAnsiTheme="majorHAnsi"/>
          <w:i/>
          <w:iCs/>
          <w:sz w:val="20"/>
          <w:szCs w:val="20"/>
          <w:lang w:val="es-ES"/>
        </w:rPr>
        <w:t>“</w:t>
      </w:r>
      <w:r w:rsidR="00D6512B" w:rsidRPr="00DC65BB">
        <w:rPr>
          <w:rFonts w:asciiTheme="majorHAnsi" w:hAnsiTheme="majorHAnsi"/>
          <w:i/>
          <w:iCs/>
          <w:sz w:val="20"/>
          <w:szCs w:val="20"/>
          <w:lang w:val="es-ES"/>
        </w:rPr>
        <w:t xml:space="preserve">[…] </w:t>
      </w:r>
      <w:r w:rsidR="00BA77D0" w:rsidRPr="00DC65BB">
        <w:rPr>
          <w:rFonts w:asciiTheme="majorHAnsi" w:hAnsiTheme="majorHAnsi"/>
          <w:i/>
          <w:iCs/>
          <w:sz w:val="20"/>
          <w:szCs w:val="20"/>
          <w:lang w:val="es-ES"/>
        </w:rPr>
        <w:t xml:space="preserve">desobedecer los fallos judiciales, los laudos arbitrales y las decisiones administrativas </w:t>
      </w:r>
      <w:r w:rsidR="00D6512B" w:rsidRPr="00DC65BB">
        <w:rPr>
          <w:rFonts w:asciiTheme="majorHAnsi" w:hAnsiTheme="majorHAnsi"/>
          <w:i/>
          <w:iCs/>
          <w:sz w:val="20"/>
          <w:szCs w:val="20"/>
          <w:lang w:val="es-ES"/>
        </w:rPr>
        <w:t>[…]</w:t>
      </w:r>
      <w:r w:rsidR="00BA77D0" w:rsidRPr="00DC65BB">
        <w:rPr>
          <w:rFonts w:asciiTheme="majorHAnsi" w:hAnsiTheme="majorHAnsi"/>
          <w:i/>
          <w:iCs/>
          <w:sz w:val="20"/>
          <w:szCs w:val="20"/>
          <w:lang w:val="es-ES"/>
        </w:rPr>
        <w:t>”</w:t>
      </w:r>
      <w:r w:rsidR="00DF72A5" w:rsidRPr="00DC65BB">
        <w:rPr>
          <w:rFonts w:asciiTheme="majorHAnsi" w:hAnsiTheme="majorHAnsi"/>
          <w:sz w:val="20"/>
          <w:szCs w:val="20"/>
          <w:lang w:val="es-ES"/>
        </w:rPr>
        <w:t>.</w:t>
      </w:r>
      <w:r w:rsidR="00BA77D0" w:rsidRPr="00DC65BB">
        <w:rPr>
          <w:rFonts w:asciiTheme="majorHAnsi" w:hAnsiTheme="majorHAnsi"/>
          <w:sz w:val="20"/>
          <w:szCs w:val="20"/>
          <w:lang w:val="es-ES"/>
        </w:rPr>
        <w:t xml:space="preserve"> </w:t>
      </w:r>
      <w:r w:rsidR="005D1394" w:rsidRPr="00DC65BB">
        <w:rPr>
          <w:rFonts w:asciiTheme="majorHAnsi" w:hAnsiTheme="majorHAnsi"/>
          <w:sz w:val="20"/>
          <w:szCs w:val="20"/>
          <w:lang w:val="es-ES"/>
        </w:rPr>
        <w:t>La presunta víctima</w:t>
      </w:r>
      <w:r w:rsidR="00C70FE9" w:rsidRPr="00DC65BB">
        <w:rPr>
          <w:rFonts w:asciiTheme="majorHAnsi" w:hAnsiTheme="majorHAnsi"/>
          <w:sz w:val="20"/>
          <w:szCs w:val="20"/>
          <w:lang w:val="es-ES"/>
        </w:rPr>
        <w:t xml:space="preserve"> </w:t>
      </w:r>
      <w:r w:rsidR="00D06965" w:rsidRPr="00DC65BB">
        <w:rPr>
          <w:rFonts w:asciiTheme="majorHAnsi" w:hAnsiTheme="majorHAnsi"/>
          <w:sz w:val="20"/>
          <w:szCs w:val="20"/>
          <w:lang w:val="es-ES"/>
        </w:rPr>
        <w:t>apeló</w:t>
      </w:r>
      <w:r w:rsidR="00C70FE9" w:rsidRPr="00DC65BB">
        <w:rPr>
          <w:rFonts w:asciiTheme="majorHAnsi" w:hAnsiTheme="majorHAnsi"/>
          <w:sz w:val="20"/>
          <w:szCs w:val="20"/>
          <w:lang w:val="es-ES"/>
        </w:rPr>
        <w:t xml:space="preserve"> ante la Junta Directiva de la CSS que confirmó su destitución el 8 de noviembre de 2007.</w:t>
      </w:r>
    </w:p>
    <w:p w14:paraId="4D8D49BD" w14:textId="1D3F5F5B" w:rsidR="00637FBB" w:rsidRPr="00DC65BB" w:rsidRDefault="00D06965"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El peticionario s</w:t>
      </w:r>
      <w:r w:rsidR="00A61799" w:rsidRPr="00DC65BB">
        <w:rPr>
          <w:rFonts w:asciiTheme="majorHAnsi" w:hAnsiTheme="majorHAnsi"/>
          <w:sz w:val="20"/>
          <w:szCs w:val="20"/>
          <w:lang w:val="es-ES"/>
        </w:rPr>
        <w:t>ostiene que la causal disciplinaria fue aplicada indebidamente, pues la sanción se habría sustentado en un análisis jurídico presuntamente elaborado por personal no jurídico. Afirma que su actuación no constituyó desobediencia, sino el cumplimiento de deberes procesales propios del cargo de juez ejecutor, como sanear de oficio, declarar la falta de competencia cuando procediera y prevenir nulidades procesales.</w:t>
      </w:r>
    </w:p>
    <w:p w14:paraId="7AFE910B" w14:textId="1B31DF1E" w:rsidR="00637FBB" w:rsidRPr="00DC65BB" w:rsidRDefault="00996961"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Asimismo, alega que el Cuadro de Aplicación de Sanciones del Reglamento Interno de Personal establece que “</w:t>
      </w:r>
      <w:r w:rsidRPr="00DC65BB">
        <w:rPr>
          <w:rFonts w:asciiTheme="majorHAnsi" w:hAnsiTheme="majorHAnsi"/>
          <w:i/>
          <w:iCs/>
          <w:sz w:val="20"/>
          <w:szCs w:val="20"/>
          <w:lang w:val="es-ES"/>
        </w:rPr>
        <w:t xml:space="preserve">las faltas </w:t>
      </w:r>
      <w:r w:rsidRPr="00DC65BB">
        <w:rPr>
          <w:rFonts w:asciiTheme="majorHAnsi" w:hAnsiTheme="majorHAnsi"/>
          <w:sz w:val="20"/>
          <w:szCs w:val="20"/>
          <w:lang w:val="es-ES"/>
        </w:rPr>
        <w:t>[…]</w:t>
      </w:r>
      <w:r w:rsidRPr="00DC65BB">
        <w:rPr>
          <w:rFonts w:asciiTheme="majorHAnsi" w:hAnsiTheme="majorHAnsi"/>
          <w:i/>
          <w:iCs/>
          <w:sz w:val="20"/>
          <w:szCs w:val="20"/>
          <w:lang w:val="es-ES"/>
        </w:rPr>
        <w:t xml:space="preserve"> serán aplicadas dentro del período de doce (12) meses contados a partir de la comisión </w:t>
      </w:r>
      <w:r w:rsidR="005A753F" w:rsidRPr="00DC65BB">
        <w:rPr>
          <w:rFonts w:asciiTheme="majorHAnsi" w:hAnsiTheme="majorHAnsi"/>
          <w:sz w:val="20"/>
          <w:szCs w:val="20"/>
          <w:lang w:val="es-ES"/>
        </w:rPr>
        <w:t>[de la falta]</w:t>
      </w:r>
      <w:r w:rsidRPr="00DC65BB">
        <w:rPr>
          <w:rFonts w:asciiTheme="majorHAnsi" w:hAnsiTheme="majorHAnsi"/>
          <w:i/>
          <w:iCs/>
          <w:sz w:val="20"/>
          <w:szCs w:val="20"/>
          <w:lang w:val="es-ES"/>
        </w:rPr>
        <w:t>, por primera vez, previa investigación de la Dirección de Personal</w:t>
      </w:r>
      <w:r w:rsidRPr="00DC65BB">
        <w:rPr>
          <w:rFonts w:asciiTheme="majorHAnsi" w:hAnsiTheme="majorHAnsi"/>
          <w:sz w:val="20"/>
          <w:szCs w:val="20"/>
          <w:lang w:val="es-ES"/>
        </w:rPr>
        <w:t xml:space="preserve">”. </w:t>
      </w:r>
      <w:r w:rsidR="00637FBB" w:rsidRPr="00DC65BB">
        <w:rPr>
          <w:rFonts w:asciiTheme="majorHAnsi" w:hAnsiTheme="majorHAnsi"/>
          <w:sz w:val="20"/>
          <w:szCs w:val="20"/>
          <w:lang w:val="es-ES"/>
        </w:rPr>
        <w:t xml:space="preserve">Indica que la supuesta falta se materializó con el Auto 437-2005 de 29 de marzo de 2005, mientras que la admisión de la queja (24 de mayo de 2006) y la destitución (2 de febrero de 2007) se produjeron cuando ya habían transcurrido </w:t>
      </w:r>
      <w:r w:rsidR="00637FBB" w:rsidRPr="00DC65BB">
        <w:rPr>
          <w:rFonts w:asciiTheme="majorHAnsi" w:hAnsiTheme="majorHAnsi"/>
          <w:sz w:val="20"/>
          <w:szCs w:val="20"/>
          <w:lang w:val="es-ES"/>
        </w:rPr>
        <w:lastRenderedPageBreak/>
        <w:t xml:space="preserve">aproximadamente </w:t>
      </w:r>
      <w:r w:rsidR="0095649D" w:rsidRPr="00DC65BB">
        <w:rPr>
          <w:rFonts w:asciiTheme="majorHAnsi" w:hAnsiTheme="majorHAnsi"/>
          <w:sz w:val="20"/>
          <w:szCs w:val="20"/>
          <w:lang w:val="es-ES"/>
        </w:rPr>
        <w:t>13</w:t>
      </w:r>
      <w:r w:rsidR="00637FBB" w:rsidRPr="00DC65BB">
        <w:rPr>
          <w:rFonts w:asciiTheme="majorHAnsi" w:hAnsiTheme="majorHAnsi"/>
          <w:sz w:val="20"/>
          <w:szCs w:val="20"/>
          <w:lang w:val="es-ES"/>
        </w:rPr>
        <w:t xml:space="preserve"> y </w:t>
      </w:r>
      <w:r w:rsidR="0095649D" w:rsidRPr="00DC65BB">
        <w:rPr>
          <w:rFonts w:asciiTheme="majorHAnsi" w:hAnsiTheme="majorHAnsi"/>
          <w:sz w:val="20"/>
          <w:szCs w:val="20"/>
          <w:lang w:val="es-ES"/>
        </w:rPr>
        <w:t>22</w:t>
      </w:r>
      <w:r w:rsidR="00637FBB" w:rsidRPr="00DC65BB">
        <w:rPr>
          <w:rFonts w:asciiTheme="majorHAnsi" w:hAnsiTheme="majorHAnsi"/>
          <w:sz w:val="20"/>
          <w:szCs w:val="20"/>
          <w:lang w:val="es-ES"/>
        </w:rPr>
        <w:t xml:space="preserve"> meses desde la comisión de la falta, respectivamente, por lo que la potestad sancionadora se encontraba prescrita.</w:t>
      </w:r>
    </w:p>
    <w:p w14:paraId="676D52D6" w14:textId="2AEDAC7A" w:rsidR="00D2082A" w:rsidRPr="00DC65BB" w:rsidRDefault="00D2082A" w:rsidP="00DC65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i/>
          <w:iCs/>
          <w:sz w:val="20"/>
          <w:szCs w:val="20"/>
          <w:lang w:val="es-ES"/>
        </w:rPr>
      </w:pPr>
      <w:r w:rsidRPr="00DC65BB">
        <w:rPr>
          <w:rFonts w:asciiTheme="majorHAnsi" w:hAnsiTheme="majorHAnsi"/>
          <w:i/>
          <w:iCs/>
          <w:sz w:val="20"/>
          <w:szCs w:val="20"/>
          <w:lang w:val="es-ES"/>
        </w:rPr>
        <w:t>Sobre los recursos de impugnación interpuestos por la presunta víctima</w:t>
      </w:r>
    </w:p>
    <w:p w14:paraId="45F10A0E" w14:textId="437FBC6D" w:rsidR="00A04060" w:rsidRPr="00DC65BB" w:rsidRDefault="00116913"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Contra ambas </w:t>
      </w:r>
      <w:r w:rsidRPr="00D9036E">
        <w:rPr>
          <w:rFonts w:asciiTheme="majorHAnsi" w:hAnsiTheme="majorHAnsi"/>
          <w:sz w:val="20"/>
          <w:szCs w:val="20"/>
          <w:lang w:val="es-ES"/>
        </w:rPr>
        <w:t xml:space="preserve">resoluciones, </w:t>
      </w:r>
      <w:r w:rsidR="005D1394" w:rsidRPr="00D9036E">
        <w:rPr>
          <w:rFonts w:asciiTheme="majorHAnsi" w:hAnsiTheme="majorHAnsi"/>
          <w:sz w:val="20"/>
          <w:szCs w:val="20"/>
          <w:lang w:val="es-ES"/>
        </w:rPr>
        <w:t xml:space="preserve">el 7 de marzo de 2008 </w:t>
      </w:r>
      <w:r w:rsidR="00C850B0" w:rsidRPr="00D9036E">
        <w:rPr>
          <w:rFonts w:asciiTheme="majorHAnsi" w:hAnsiTheme="majorHAnsi"/>
          <w:sz w:val="20"/>
          <w:szCs w:val="20"/>
          <w:lang w:val="es-ES"/>
        </w:rPr>
        <w:t xml:space="preserve">la presunta víctima </w:t>
      </w:r>
      <w:r w:rsidRPr="00D9036E">
        <w:rPr>
          <w:rFonts w:asciiTheme="majorHAnsi" w:hAnsiTheme="majorHAnsi"/>
          <w:sz w:val="20"/>
          <w:szCs w:val="20"/>
          <w:lang w:val="es-ES"/>
        </w:rPr>
        <w:t xml:space="preserve">interpuso </w:t>
      </w:r>
      <w:r w:rsidR="005D1394" w:rsidRPr="00D9036E">
        <w:rPr>
          <w:rFonts w:asciiTheme="majorHAnsi" w:hAnsiTheme="majorHAnsi"/>
          <w:sz w:val="20"/>
          <w:szCs w:val="20"/>
          <w:lang w:val="es-ES"/>
        </w:rPr>
        <w:t xml:space="preserve">una </w:t>
      </w:r>
      <w:r w:rsidRPr="00D9036E">
        <w:rPr>
          <w:rFonts w:asciiTheme="majorHAnsi" w:hAnsiTheme="majorHAnsi"/>
          <w:sz w:val="20"/>
          <w:szCs w:val="20"/>
          <w:lang w:val="es-ES"/>
        </w:rPr>
        <w:t xml:space="preserve">demanda contencioso-administrativa de plena jurisdicción ante la Sala Tercera de lo Contencioso Administrativo de la Corte Suprema de Justicia, solicitando </w:t>
      </w:r>
      <w:r w:rsidR="00944BF8" w:rsidRPr="00D9036E">
        <w:rPr>
          <w:rFonts w:asciiTheme="majorHAnsi" w:hAnsiTheme="majorHAnsi"/>
          <w:sz w:val="20"/>
          <w:szCs w:val="20"/>
          <w:lang w:val="es-ES"/>
        </w:rPr>
        <w:t>la</w:t>
      </w:r>
      <w:r w:rsidRPr="00D9036E">
        <w:rPr>
          <w:rFonts w:asciiTheme="majorHAnsi" w:hAnsiTheme="majorHAnsi"/>
          <w:sz w:val="20"/>
          <w:szCs w:val="20"/>
          <w:lang w:val="es-ES"/>
        </w:rPr>
        <w:t xml:space="preserve"> nulidad</w:t>
      </w:r>
      <w:r w:rsidR="00767D37" w:rsidRPr="00D9036E">
        <w:rPr>
          <w:rFonts w:asciiTheme="majorHAnsi" w:hAnsiTheme="majorHAnsi"/>
          <w:sz w:val="20"/>
          <w:szCs w:val="20"/>
          <w:lang w:val="es-ES"/>
        </w:rPr>
        <w:t xml:space="preserve"> de la resolución que lo destituye</w:t>
      </w:r>
      <w:r w:rsidRPr="00D9036E">
        <w:rPr>
          <w:rFonts w:asciiTheme="majorHAnsi" w:hAnsiTheme="majorHAnsi"/>
          <w:sz w:val="20"/>
          <w:szCs w:val="20"/>
          <w:lang w:val="es-ES"/>
        </w:rPr>
        <w:t xml:space="preserve">, </w:t>
      </w:r>
      <w:r w:rsidR="007B11DE" w:rsidRPr="00D9036E">
        <w:rPr>
          <w:rFonts w:asciiTheme="majorHAnsi" w:hAnsiTheme="majorHAnsi"/>
          <w:sz w:val="20"/>
          <w:szCs w:val="20"/>
          <w:lang w:val="es-ES"/>
        </w:rPr>
        <w:t>su</w:t>
      </w:r>
      <w:r w:rsidRPr="00D9036E">
        <w:rPr>
          <w:rFonts w:asciiTheme="majorHAnsi" w:hAnsiTheme="majorHAnsi"/>
          <w:sz w:val="20"/>
          <w:szCs w:val="20"/>
          <w:lang w:val="es-ES"/>
        </w:rPr>
        <w:t xml:space="preserve"> reintegro y el pago </w:t>
      </w:r>
      <w:r w:rsidR="00944BF8" w:rsidRPr="00D9036E">
        <w:rPr>
          <w:rFonts w:asciiTheme="majorHAnsi" w:hAnsiTheme="majorHAnsi"/>
          <w:sz w:val="20"/>
          <w:szCs w:val="20"/>
          <w:lang w:val="es-ES"/>
        </w:rPr>
        <w:t xml:space="preserve">de </w:t>
      </w:r>
      <w:r w:rsidR="00883B15" w:rsidRPr="00D9036E">
        <w:rPr>
          <w:rFonts w:asciiTheme="majorHAnsi" w:hAnsiTheme="majorHAnsi"/>
          <w:sz w:val="20"/>
          <w:szCs w:val="20"/>
          <w:lang w:val="es-ES"/>
        </w:rPr>
        <w:t>las</w:t>
      </w:r>
      <w:r w:rsidRPr="00D9036E">
        <w:rPr>
          <w:rFonts w:asciiTheme="majorHAnsi" w:hAnsiTheme="majorHAnsi"/>
          <w:sz w:val="20"/>
          <w:szCs w:val="20"/>
          <w:lang w:val="es-ES"/>
        </w:rPr>
        <w:t xml:space="preserve"> prestaciones dejad</w:t>
      </w:r>
      <w:r w:rsidR="00883B15" w:rsidRPr="00D9036E">
        <w:rPr>
          <w:rFonts w:asciiTheme="majorHAnsi" w:hAnsiTheme="majorHAnsi"/>
          <w:sz w:val="20"/>
          <w:szCs w:val="20"/>
          <w:lang w:val="es-ES"/>
        </w:rPr>
        <w:t>a</w:t>
      </w:r>
      <w:r w:rsidRPr="00D9036E">
        <w:rPr>
          <w:rFonts w:asciiTheme="majorHAnsi" w:hAnsiTheme="majorHAnsi"/>
          <w:sz w:val="20"/>
          <w:szCs w:val="20"/>
          <w:lang w:val="es-ES"/>
        </w:rPr>
        <w:t xml:space="preserve">s de percibir. </w:t>
      </w:r>
      <w:r w:rsidR="00FD74B8" w:rsidRPr="00D9036E">
        <w:rPr>
          <w:rFonts w:asciiTheme="majorHAnsi" w:hAnsiTheme="majorHAnsi"/>
          <w:sz w:val="20"/>
          <w:szCs w:val="20"/>
          <w:lang w:val="es-ES"/>
        </w:rPr>
        <w:t>Sin embargo, e</w:t>
      </w:r>
      <w:r w:rsidRPr="00D9036E">
        <w:rPr>
          <w:rFonts w:asciiTheme="majorHAnsi" w:hAnsiTheme="majorHAnsi"/>
          <w:sz w:val="20"/>
          <w:szCs w:val="20"/>
          <w:lang w:val="es-ES"/>
        </w:rPr>
        <w:t xml:space="preserve">l 20 de febrero de 2015 la Sala Tercera declaró que la resolución impugnada “no es ilegal”, </w:t>
      </w:r>
      <w:r w:rsidR="00A04060" w:rsidRPr="00D9036E">
        <w:rPr>
          <w:rFonts w:asciiTheme="majorHAnsi" w:hAnsiTheme="majorHAnsi"/>
          <w:sz w:val="20"/>
          <w:szCs w:val="20"/>
          <w:lang w:val="es-ES"/>
        </w:rPr>
        <w:t>al considerar</w:t>
      </w:r>
      <w:r w:rsidR="007B11DE" w:rsidRPr="00D9036E">
        <w:rPr>
          <w:rFonts w:asciiTheme="majorHAnsi" w:hAnsiTheme="majorHAnsi"/>
          <w:sz w:val="20"/>
          <w:szCs w:val="20"/>
          <w:lang w:val="es-ES"/>
        </w:rPr>
        <w:t xml:space="preserve"> que: i)</w:t>
      </w:r>
      <w:r w:rsidR="00A04060" w:rsidRPr="00D9036E">
        <w:rPr>
          <w:rFonts w:asciiTheme="majorHAnsi" w:hAnsiTheme="majorHAnsi"/>
          <w:sz w:val="20"/>
          <w:szCs w:val="20"/>
          <w:lang w:val="es-ES"/>
        </w:rPr>
        <w:t xml:space="preserve"> la causal disciplinaria se encontraba comprobada</w:t>
      </w:r>
      <w:r w:rsidR="00475B3D" w:rsidRPr="00D9036E">
        <w:rPr>
          <w:rFonts w:asciiTheme="majorHAnsi" w:hAnsiTheme="majorHAnsi"/>
          <w:sz w:val="20"/>
          <w:szCs w:val="20"/>
          <w:lang w:val="es-ES"/>
        </w:rPr>
        <w:t xml:space="preserve">, </w:t>
      </w:r>
      <w:r w:rsidR="00A04060" w:rsidRPr="00D9036E">
        <w:rPr>
          <w:rFonts w:asciiTheme="majorHAnsi" w:hAnsiTheme="majorHAnsi"/>
          <w:sz w:val="20"/>
          <w:szCs w:val="20"/>
          <w:lang w:val="es-ES"/>
        </w:rPr>
        <w:t>pues el funcionario había limitado el monto de una condena firme</w:t>
      </w:r>
      <w:r w:rsidR="007B11DE" w:rsidRPr="00D9036E">
        <w:rPr>
          <w:rFonts w:asciiTheme="majorHAnsi" w:hAnsiTheme="majorHAnsi"/>
          <w:sz w:val="20"/>
          <w:szCs w:val="20"/>
          <w:lang w:val="es-ES"/>
        </w:rPr>
        <w:t xml:space="preserve">; </w:t>
      </w:r>
      <w:r w:rsidR="00A04060" w:rsidRPr="00D9036E">
        <w:rPr>
          <w:rFonts w:asciiTheme="majorHAnsi" w:hAnsiTheme="majorHAnsi"/>
          <w:sz w:val="20"/>
          <w:szCs w:val="20"/>
          <w:lang w:val="es-ES"/>
        </w:rPr>
        <w:t>y</w:t>
      </w:r>
      <w:r w:rsidR="007B11DE" w:rsidRPr="00DC65BB">
        <w:rPr>
          <w:rFonts w:asciiTheme="majorHAnsi" w:hAnsiTheme="majorHAnsi"/>
          <w:sz w:val="20"/>
          <w:szCs w:val="20"/>
          <w:lang w:val="es-ES"/>
        </w:rPr>
        <w:t xml:space="preserve"> ii)</w:t>
      </w:r>
      <w:r w:rsidR="00A04060" w:rsidRPr="00DC65BB">
        <w:rPr>
          <w:rFonts w:asciiTheme="majorHAnsi" w:hAnsiTheme="majorHAnsi"/>
          <w:sz w:val="20"/>
          <w:szCs w:val="20"/>
          <w:lang w:val="es-ES"/>
        </w:rPr>
        <w:t xml:space="preserve"> </w:t>
      </w:r>
      <w:r w:rsidR="007B11DE" w:rsidRPr="00DC65BB">
        <w:rPr>
          <w:rFonts w:asciiTheme="majorHAnsi" w:hAnsiTheme="majorHAnsi"/>
          <w:sz w:val="20"/>
          <w:szCs w:val="20"/>
          <w:lang w:val="es-ES"/>
        </w:rPr>
        <w:t xml:space="preserve">el plazo de la </w:t>
      </w:r>
      <w:r w:rsidR="00A04060" w:rsidRPr="00DC65BB">
        <w:rPr>
          <w:rFonts w:asciiTheme="majorHAnsi" w:hAnsiTheme="majorHAnsi"/>
          <w:sz w:val="20"/>
          <w:szCs w:val="20"/>
          <w:lang w:val="es-ES"/>
        </w:rPr>
        <w:t xml:space="preserve">prescripción </w:t>
      </w:r>
      <w:r w:rsidR="007B11DE" w:rsidRPr="00DC65BB">
        <w:rPr>
          <w:rFonts w:asciiTheme="majorHAnsi" w:hAnsiTheme="majorHAnsi"/>
          <w:sz w:val="20"/>
          <w:szCs w:val="20"/>
          <w:lang w:val="es-ES"/>
        </w:rPr>
        <w:t xml:space="preserve">debía contabilizarse </w:t>
      </w:r>
      <w:r w:rsidR="00A04060" w:rsidRPr="00DC65BB">
        <w:rPr>
          <w:rFonts w:asciiTheme="majorHAnsi" w:hAnsiTheme="majorHAnsi"/>
          <w:sz w:val="20"/>
          <w:szCs w:val="20"/>
          <w:lang w:val="es-ES"/>
        </w:rPr>
        <w:t>desde que la autoridad nominadora conoció la falta (21 de marzo de 2006) hasta la imposición de la sanción (2 de febrero de 2007).</w:t>
      </w:r>
    </w:p>
    <w:p w14:paraId="3279FA89" w14:textId="1C11FBA5" w:rsidR="00D640B2" w:rsidRPr="00DC65BB" w:rsidRDefault="00D640B2"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La presunta víctima cuestiona que la </w:t>
      </w:r>
      <w:r w:rsidR="00807D16">
        <w:rPr>
          <w:rFonts w:asciiTheme="majorHAnsi" w:hAnsiTheme="majorHAnsi"/>
          <w:sz w:val="20"/>
          <w:szCs w:val="20"/>
          <w:lang w:val="es-ES"/>
        </w:rPr>
        <w:t>S</w:t>
      </w:r>
      <w:r w:rsidRPr="00DC65BB">
        <w:rPr>
          <w:rFonts w:asciiTheme="majorHAnsi" w:hAnsiTheme="majorHAnsi"/>
          <w:sz w:val="20"/>
          <w:szCs w:val="20"/>
          <w:lang w:val="es-ES"/>
        </w:rPr>
        <w:t xml:space="preserve">ala </w:t>
      </w:r>
      <w:r w:rsidR="00F80343">
        <w:rPr>
          <w:rFonts w:asciiTheme="majorHAnsi" w:hAnsiTheme="majorHAnsi"/>
          <w:sz w:val="20"/>
          <w:szCs w:val="20"/>
          <w:lang w:val="es-ES"/>
        </w:rPr>
        <w:t>T</w:t>
      </w:r>
      <w:r w:rsidRPr="00DC65BB">
        <w:rPr>
          <w:rFonts w:asciiTheme="majorHAnsi" w:hAnsiTheme="majorHAnsi"/>
          <w:sz w:val="20"/>
          <w:szCs w:val="20"/>
          <w:lang w:val="es-ES"/>
        </w:rPr>
        <w:t>ercera</w:t>
      </w:r>
      <w:r w:rsidR="007B11DE" w:rsidRPr="00DC65BB">
        <w:rPr>
          <w:rFonts w:asciiTheme="majorHAnsi" w:hAnsiTheme="majorHAnsi"/>
          <w:sz w:val="20"/>
          <w:szCs w:val="20"/>
          <w:lang w:val="es-ES"/>
        </w:rPr>
        <w:t xml:space="preserve"> se limitó a dar por acreditada la causal disciplinaria sin analizar la competencia coa</w:t>
      </w:r>
      <w:r w:rsidR="00767D37" w:rsidRPr="00DC65BB">
        <w:rPr>
          <w:rFonts w:asciiTheme="majorHAnsi" w:hAnsiTheme="majorHAnsi"/>
          <w:sz w:val="20"/>
          <w:szCs w:val="20"/>
          <w:lang w:val="es-ES"/>
        </w:rPr>
        <w:t>c</w:t>
      </w:r>
      <w:r w:rsidR="007B11DE" w:rsidRPr="00DC65BB">
        <w:rPr>
          <w:rFonts w:asciiTheme="majorHAnsi" w:hAnsiTheme="majorHAnsi"/>
          <w:sz w:val="20"/>
          <w:szCs w:val="20"/>
          <w:lang w:val="es-ES"/>
        </w:rPr>
        <w:t>tiva de la CSS</w:t>
      </w:r>
      <w:r w:rsidRPr="00DC65BB">
        <w:rPr>
          <w:rFonts w:asciiTheme="majorHAnsi" w:hAnsiTheme="majorHAnsi"/>
          <w:sz w:val="20"/>
          <w:szCs w:val="20"/>
          <w:lang w:val="es-ES"/>
        </w:rPr>
        <w:t xml:space="preserve">, </w:t>
      </w:r>
      <w:r w:rsidR="00A04060" w:rsidRPr="00DC65BB">
        <w:rPr>
          <w:rFonts w:asciiTheme="majorHAnsi" w:hAnsiTheme="majorHAnsi"/>
          <w:sz w:val="20"/>
          <w:szCs w:val="20"/>
          <w:lang w:val="es-ES"/>
        </w:rPr>
        <w:t xml:space="preserve">cuestión que </w:t>
      </w:r>
      <w:r w:rsidR="007B11DE" w:rsidRPr="00DC65BB">
        <w:rPr>
          <w:rFonts w:asciiTheme="majorHAnsi" w:hAnsiTheme="majorHAnsi"/>
          <w:sz w:val="20"/>
          <w:szCs w:val="20"/>
          <w:lang w:val="es-ES"/>
        </w:rPr>
        <w:t>considera</w:t>
      </w:r>
      <w:r w:rsidR="00A04060" w:rsidRPr="00DC65BB">
        <w:rPr>
          <w:rFonts w:asciiTheme="majorHAnsi" w:hAnsiTheme="majorHAnsi"/>
          <w:sz w:val="20"/>
          <w:szCs w:val="20"/>
          <w:lang w:val="es-ES"/>
        </w:rPr>
        <w:t xml:space="preserve"> determinante para establecer si podía configurarse o no la desobediencia</w:t>
      </w:r>
      <w:r w:rsidRPr="00DC65BB">
        <w:rPr>
          <w:rFonts w:asciiTheme="majorHAnsi" w:hAnsiTheme="majorHAnsi"/>
          <w:sz w:val="20"/>
          <w:szCs w:val="20"/>
          <w:lang w:val="es-ES"/>
        </w:rPr>
        <w:t xml:space="preserve">; y </w:t>
      </w:r>
      <w:r w:rsidR="00AE3B28" w:rsidRPr="00DC65BB">
        <w:rPr>
          <w:rFonts w:asciiTheme="majorHAnsi" w:hAnsiTheme="majorHAnsi"/>
          <w:sz w:val="20"/>
          <w:szCs w:val="20"/>
          <w:lang w:val="es-ES"/>
        </w:rPr>
        <w:t>calculó</w:t>
      </w:r>
      <w:r w:rsidRPr="00DC65BB">
        <w:rPr>
          <w:rFonts w:asciiTheme="majorHAnsi" w:hAnsiTheme="majorHAnsi"/>
          <w:sz w:val="20"/>
          <w:szCs w:val="20"/>
          <w:lang w:val="es-ES"/>
        </w:rPr>
        <w:t xml:space="preserve"> el plazo disciplinario en forma contraria al </w:t>
      </w:r>
      <w:r w:rsidR="00AE3B28" w:rsidRPr="00DC65BB">
        <w:rPr>
          <w:rFonts w:asciiTheme="majorHAnsi" w:hAnsiTheme="majorHAnsi"/>
          <w:sz w:val="20"/>
          <w:szCs w:val="20"/>
          <w:lang w:val="es-ES"/>
        </w:rPr>
        <w:t>cuadro de sanciones de la CSS</w:t>
      </w:r>
      <w:r w:rsidRPr="00DC65BB">
        <w:rPr>
          <w:rFonts w:asciiTheme="majorHAnsi" w:hAnsiTheme="majorHAnsi"/>
          <w:sz w:val="20"/>
          <w:szCs w:val="20"/>
          <w:lang w:val="es-ES"/>
        </w:rPr>
        <w:t xml:space="preserve">, que fija el cómputo “a partir de la comisión de la falta”, afectando </w:t>
      </w:r>
      <w:r w:rsidR="00A5080D" w:rsidRPr="00DC65BB">
        <w:rPr>
          <w:rFonts w:asciiTheme="majorHAnsi" w:hAnsiTheme="majorHAnsi"/>
          <w:sz w:val="20"/>
          <w:szCs w:val="20"/>
          <w:lang w:val="es-ES"/>
        </w:rPr>
        <w:t xml:space="preserve">así </w:t>
      </w:r>
      <w:r w:rsidRPr="00DC65BB">
        <w:rPr>
          <w:rFonts w:asciiTheme="majorHAnsi" w:hAnsiTheme="majorHAnsi"/>
          <w:sz w:val="20"/>
          <w:szCs w:val="20"/>
          <w:lang w:val="es-ES"/>
        </w:rPr>
        <w:t>el principio de legalidad.</w:t>
      </w:r>
    </w:p>
    <w:p w14:paraId="7E2B8A97" w14:textId="5F21E5CE" w:rsidR="00996961" w:rsidRPr="00DC65BB" w:rsidRDefault="00996961" w:rsidP="00DC65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sz w:val="20"/>
          <w:szCs w:val="20"/>
          <w:lang w:val="es-ES"/>
        </w:rPr>
      </w:pPr>
      <w:r w:rsidRPr="00DC65BB">
        <w:rPr>
          <w:rFonts w:asciiTheme="majorHAnsi" w:hAnsiTheme="majorHAnsi"/>
          <w:i/>
          <w:iCs/>
          <w:sz w:val="20"/>
          <w:szCs w:val="20"/>
          <w:lang w:val="es-ES"/>
        </w:rPr>
        <w:t>Consideraciones finales</w:t>
      </w:r>
    </w:p>
    <w:p w14:paraId="7D26E515" w14:textId="78EF997E" w:rsidR="00AB12B3" w:rsidRPr="00DC65BB" w:rsidRDefault="00A04060"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Con base en los hechos expuestos, </w:t>
      </w:r>
      <w:r w:rsidR="001E3868" w:rsidRPr="00DC65BB">
        <w:rPr>
          <w:rFonts w:asciiTheme="majorHAnsi" w:hAnsiTheme="majorHAnsi"/>
          <w:sz w:val="20"/>
          <w:szCs w:val="20"/>
          <w:lang w:val="es-ES"/>
        </w:rPr>
        <w:t>el Sr. González Feuillebois</w:t>
      </w:r>
      <w:r w:rsidR="00AB12B3" w:rsidRPr="00DC65BB">
        <w:rPr>
          <w:rFonts w:asciiTheme="majorHAnsi" w:hAnsiTheme="majorHAnsi"/>
          <w:sz w:val="20"/>
          <w:szCs w:val="20"/>
          <w:lang w:val="es-ES"/>
        </w:rPr>
        <w:t xml:space="preserve"> </w:t>
      </w:r>
      <w:r w:rsidR="001E3868" w:rsidRPr="00DC65BB">
        <w:rPr>
          <w:rFonts w:asciiTheme="majorHAnsi" w:hAnsiTheme="majorHAnsi"/>
          <w:sz w:val="20"/>
          <w:szCs w:val="20"/>
          <w:lang w:val="es-ES"/>
        </w:rPr>
        <w:t>plan</w:t>
      </w:r>
      <w:r w:rsidR="00F80343">
        <w:rPr>
          <w:rFonts w:asciiTheme="majorHAnsi" w:hAnsiTheme="majorHAnsi"/>
          <w:sz w:val="20"/>
          <w:szCs w:val="20"/>
          <w:lang w:val="es-ES"/>
        </w:rPr>
        <w:t>t</w:t>
      </w:r>
      <w:r w:rsidR="001E3868" w:rsidRPr="00DC65BB">
        <w:rPr>
          <w:rFonts w:asciiTheme="majorHAnsi" w:hAnsiTheme="majorHAnsi"/>
          <w:sz w:val="20"/>
          <w:szCs w:val="20"/>
          <w:lang w:val="es-ES"/>
        </w:rPr>
        <w:t>ea</w:t>
      </w:r>
      <w:r w:rsidR="00AB12B3" w:rsidRPr="00DC65BB">
        <w:rPr>
          <w:rFonts w:asciiTheme="majorHAnsi" w:hAnsiTheme="majorHAnsi"/>
          <w:sz w:val="20"/>
          <w:szCs w:val="20"/>
          <w:lang w:val="es-ES"/>
        </w:rPr>
        <w:t xml:space="preserve"> que la destitución y su confirmación judicial vulneraron los principios de legalidad y de no retroactividad al: i) aplicar la causal disciplinaria de desobediencia a una actuación que constituía el ejercicio de deberes procesales; ii) sustituir el plazo de prescripción legal por un cómputo desde el conocimiento de la autoridad; y iii) desconocer la línea jurisprudencial que asigna a la jurisdicción laboral la</w:t>
      </w:r>
      <w:r w:rsidR="00944BF8" w:rsidRPr="00DC65BB">
        <w:rPr>
          <w:rFonts w:asciiTheme="majorHAnsi" w:hAnsiTheme="majorHAnsi"/>
          <w:sz w:val="20"/>
          <w:szCs w:val="20"/>
          <w:lang w:val="es-ES"/>
        </w:rPr>
        <w:t xml:space="preserve"> competencia para la</w:t>
      </w:r>
      <w:r w:rsidR="00AB12B3" w:rsidRPr="00DC65BB">
        <w:rPr>
          <w:rFonts w:asciiTheme="majorHAnsi" w:hAnsiTheme="majorHAnsi"/>
          <w:sz w:val="20"/>
          <w:szCs w:val="20"/>
          <w:lang w:val="es-ES"/>
        </w:rPr>
        <w:t xml:space="preserve"> reclamación de prestaciones de riesgo profesional, limitando la coactiva de la CSS a créditos propios.</w:t>
      </w:r>
    </w:p>
    <w:p w14:paraId="60D6BB27" w14:textId="512B173A" w:rsidR="00391655" w:rsidRPr="00DC65BB" w:rsidRDefault="00391655" w:rsidP="00DC65B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sz w:val="20"/>
          <w:szCs w:val="20"/>
          <w:lang w:val="es-ES"/>
        </w:rPr>
      </w:pPr>
      <w:r w:rsidRPr="00DC65BB">
        <w:rPr>
          <w:rFonts w:asciiTheme="majorHAnsi" w:hAnsiTheme="majorHAnsi"/>
          <w:b/>
          <w:sz w:val="20"/>
          <w:szCs w:val="20"/>
          <w:lang w:val="es-ES"/>
        </w:rPr>
        <w:t>El Estado panameño</w:t>
      </w:r>
    </w:p>
    <w:p w14:paraId="4B038373" w14:textId="2E8C3A3A" w:rsidR="00391655" w:rsidRPr="00DC65BB" w:rsidRDefault="00391655"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El Estado replica que los hechos expuestos no caracterizan </w:t>
      </w:r>
      <w:r w:rsidRPr="003C1FDB">
        <w:rPr>
          <w:rFonts w:asciiTheme="majorHAnsi" w:hAnsiTheme="majorHAnsi"/>
          <w:i/>
          <w:iCs/>
          <w:sz w:val="20"/>
          <w:szCs w:val="20"/>
          <w:lang w:val="es-ES"/>
        </w:rPr>
        <w:t>prima facie</w:t>
      </w:r>
      <w:r w:rsidRPr="00DC65BB">
        <w:rPr>
          <w:rFonts w:asciiTheme="majorHAnsi" w:hAnsiTheme="majorHAnsi"/>
          <w:sz w:val="20"/>
          <w:szCs w:val="20"/>
          <w:lang w:val="es-ES"/>
        </w:rPr>
        <w:t xml:space="preserve"> una posible violación de los derechos invocados, por lo que la petición resulta inadmisible conforme al artículo 47.b) de</w:t>
      </w:r>
      <w:r w:rsidR="000E0D54" w:rsidRPr="00DC65BB">
        <w:rPr>
          <w:rFonts w:asciiTheme="majorHAnsi" w:hAnsiTheme="majorHAnsi"/>
          <w:sz w:val="20"/>
          <w:szCs w:val="20"/>
          <w:lang w:val="es-ES"/>
        </w:rPr>
        <w:t xml:space="preserve"> la Convención Americana</w:t>
      </w:r>
      <w:r w:rsidRPr="00DC65BB">
        <w:rPr>
          <w:rFonts w:asciiTheme="majorHAnsi" w:hAnsiTheme="majorHAnsi"/>
          <w:sz w:val="20"/>
          <w:szCs w:val="20"/>
          <w:lang w:val="es-ES"/>
        </w:rPr>
        <w:t>.</w:t>
      </w:r>
      <w:r w:rsidR="008A585F" w:rsidRPr="00DC65BB">
        <w:rPr>
          <w:rFonts w:asciiTheme="majorHAnsi" w:hAnsiTheme="majorHAnsi"/>
          <w:sz w:val="20"/>
          <w:szCs w:val="20"/>
          <w:lang w:val="es-ES"/>
        </w:rPr>
        <w:t xml:space="preserve"> </w:t>
      </w:r>
      <w:r w:rsidR="00AB12B3" w:rsidRPr="00DC65BB">
        <w:rPr>
          <w:rFonts w:asciiTheme="majorHAnsi" w:hAnsiTheme="majorHAnsi"/>
          <w:sz w:val="20"/>
          <w:szCs w:val="20"/>
          <w:lang w:val="es-ES"/>
        </w:rPr>
        <w:t xml:space="preserve">Afirma que la CSS y las autoridades judiciales actuaron </w:t>
      </w:r>
      <w:r w:rsidR="007E1EE1">
        <w:rPr>
          <w:rFonts w:asciiTheme="majorHAnsi" w:hAnsiTheme="majorHAnsi"/>
          <w:sz w:val="20"/>
          <w:szCs w:val="20"/>
          <w:lang w:val="es-ES"/>
        </w:rPr>
        <w:t>de acuerdo con</w:t>
      </w:r>
      <w:r w:rsidR="007E1EE1" w:rsidRPr="00DC65BB">
        <w:rPr>
          <w:rFonts w:asciiTheme="majorHAnsi" w:hAnsiTheme="majorHAnsi"/>
          <w:sz w:val="20"/>
          <w:szCs w:val="20"/>
          <w:lang w:val="es-ES"/>
        </w:rPr>
        <w:t xml:space="preserve"> </w:t>
      </w:r>
      <w:r w:rsidR="007E1EE1">
        <w:rPr>
          <w:rFonts w:asciiTheme="majorHAnsi" w:hAnsiTheme="majorHAnsi"/>
          <w:sz w:val="20"/>
          <w:szCs w:val="20"/>
          <w:lang w:val="es-ES"/>
        </w:rPr>
        <w:t>e</w:t>
      </w:r>
      <w:r w:rsidR="00AB12B3" w:rsidRPr="00DC65BB">
        <w:rPr>
          <w:rFonts w:asciiTheme="majorHAnsi" w:hAnsiTheme="majorHAnsi"/>
          <w:sz w:val="20"/>
          <w:szCs w:val="20"/>
          <w:lang w:val="es-ES"/>
        </w:rPr>
        <w:t xml:space="preserve">l ordenamiento jurídico interno, se respetó el principio de legalidad y el </w:t>
      </w:r>
      <w:r w:rsidR="00C21AD3" w:rsidRPr="00DC65BB">
        <w:rPr>
          <w:rFonts w:asciiTheme="majorHAnsi" w:hAnsiTheme="majorHAnsi"/>
          <w:sz w:val="20"/>
          <w:szCs w:val="20"/>
          <w:lang w:val="es-ES"/>
        </w:rPr>
        <w:t xml:space="preserve">señor Tomás González Feuillebois </w:t>
      </w:r>
      <w:r w:rsidR="00AB12B3" w:rsidRPr="00DC65BB">
        <w:rPr>
          <w:rFonts w:asciiTheme="majorHAnsi" w:hAnsiTheme="majorHAnsi"/>
          <w:sz w:val="20"/>
          <w:szCs w:val="20"/>
          <w:lang w:val="es-ES"/>
        </w:rPr>
        <w:t>contó con recursos efectivos y con garantías del debido proceso.</w:t>
      </w:r>
    </w:p>
    <w:p w14:paraId="190F8CAA" w14:textId="7C3BEEC3" w:rsidR="00AB1AA7" w:rsidRPr="00DC65BB" w:rsidRDefault="00AB1AA7"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Respecto de los alegatos sobre el principio de legalidad y de no retroactividad, </w:t>
      </w:r>
      <w:r w:rsidR="00C21AD3" w:rsidRPr="00DC65BB">
        <w:rPr>
          <w:rFonts w:asciiTheme="majorHAnsi" w:hAnsiTheme="majorHAnsi"/>
          <w:sz w:val="20"/>
          <w:szCs w:val="20"/>
          <w:lang w:val="es-ES"/>
        </w:rPr>
        <w:t xml:space="preserve">Panamá </w:t>
      </w:r>
      <w:r w:rsidR="00157C9F" w:rsidRPr="00DC65BB">
        <w:rPr>
          <w:rFonts w:asciiTheme="majorHAnsi" w:hAnsiTheme="majorHAnsi"/>
          <w:sz w:val="20"/>
          <w:szCs w:val="20"/>
          <w:lang w:val="es-ES"/>
        </w:rPr>
        <w:t>indica</w:t>
      </w:r>
      <w:r w:rsidRPr="00DC65BB">
        <w:rPr>
          <w:rFonts w:asciiTheme="majorHAnsi" w:hAnsiTheme="majorHAnsi"/>
          <w:sz w:val="20"/>
          <w:szCs w:val="20"/>
          <w:lang w:val="es-ES"/>
        </w:rPr>
        <w:t xml:space="preserve"> que la causal disciplinaria aplicada estaba prevista de manera clara y previa en el reglamento interno. Sostiene que el señor González Feuillebois alteró el alcance de la condena firme dictada en la Resolución 778-01-D.G.</w:t>
      </w:r>
      <w:r w:rsidR="00D06521">
        <w:rPr>
          <w:rFonts w:asciiTheme="majorHAnsi" w:hAnsiTheme="majorHAnsi"/>
          <w:sz w:val="20"/>
          <w:szCs w:val="20"/>
          <w:lang w:val="es-ES"/>
        </w:rPr>
        <w:t>,</w:t>
      </w:r>
      <w:r w:rsidRPr="00DC65BB">
        <w:rPr>
          <w:rFonts w:asciiTheme="majorHAnsi" w:hAnsiTheme="majorHAnsi"/>
          <w:sz w:val="20"/>
          <w:szCs w:val="20"/>
          <w:lang w:val="es-ES"/>
        </w:rPr>
        <w:t xml:space="preserve"> al limitar su ejecución y abstenerse de hacer efectivo el monto reconocido a favor del trabajador, cuando su función era ejecutar íntegramente lo decidido y no reinterpretar su contenido. En consecuencia, considera que la sanción guardó una relación razonable con la gravedad de la conducta atribuida.</w:t>
      </w:r>
    </w:p>
    <w:p w14:paraId="445A6B3E" w14:textId="685FF216" w:rsidR="00391655" w:rsidRPr="00DC65BB" w:rsidRDefault="00CD7277"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Asimismo, </w:t>
      </w:r>
      <w:r w:rsidR="00E0723D" w:rsidRPr="00DC65BB">
        <w:rPr>
          <w:rFonts w:asciiTheme="majorHAnsi" w:hAnsiTheme="majorHAnsi"/>
          <w:sz w:val="20"/>
          <w:szCs w:val="20"/>
          <w:lang w:val="es-ES"/>
        </w:rPr>
        <w:t>aduce</w:t>
      </w:r>
      <w:r w:rsidRPr="00DC65BB">
        <w:rPr>
          <w:rFonts w:asciiTheme="majorHAnsi" w:hAnsiTheme="majorHAnsi"/>
          <w:sz w:val="20"/>
          <w:szCs w:val="20"/>
          <w:lang w:val="es-ES"/>
        </w:rPr>
        <w:t xml:space="preserve"> que</w:t>
      </w:r>
      <w:r w:rsidR="00E0723D" w:rsidRPr="00DC65BB">
        <w:rPr>
          <w:rFonts w:asciiTheme="majorHAnsi" w:hAnsiTheme="majorHAnsi"/>
          <w:sz w:val="20"/>
          <w:szCs w:val="20"/>
          <w:lang w:val="es-ES"/>
        </w:rPr>
        <w:t xml:space="preserve"> si bien</w:t>
      </w:r>
      <w:r w:rsidR="00391655" w:rsidRPr="00DC65BB">
        <w:rPr>
          <w:rFonts w:asciiTheme="majorHAnsi" w:hAnsiTheme="majorHAnsi"/>
          <w:sz w:val="20"/>
          <w:szCs w:val="20"/>
          <w:lang w:val="es-ES"/>
        </w:rPr>
        <w:t xml:space="preserve"> en el momento de los hechos existían criterios divergentes en la propia </w:t>
      </w:r>
      <w:r w:rsidR="00D06521">
        <w:rPr>
          <w:rFonts w:asciiTheme="majorHAnsi" w:hAnsiTheme="majorHAnsi"/>
          <w:sz w:val="20"/>
          <w:szCs w:val="20"/>
          <w:lang w:val="es-ES"/>
        </w:rPr>
        <w:t>S</w:t>
      </w:r>
      <w:r w:rsidR="00E0723D" w:rsidRPr="00DC65BB">
        <w:rPr>
          <w:rFonts w:asciiTheme="majorHAnsi" w:hAnsiTheme="majorHAnsi"/>
          <w:sz w:val="20"/>
          <w:szCs w:val="20"/>
          <w:lang w:val="es-ES"/>
        </w:rPr>
        <w:t xml:space="preserve">ala </w:t>
      </w:r>
      <w:r w:rsidR="00D06521">
        <w:rPr>
          <w:rFonts w:asciiTheme="majorHAnsi" w:hAnsiTheme="majorHAnsi"/>
          <w:sz w:val="20"/>
          <w:szCs w:val="20"/>
          <w:lang w:val="es-ES"/>
        </w:rPr>
        <w:t>T</w:t>
      </w:r>
      <w:r w:rsidR="00E0723D" w:rsidRPr="00DC65BB">
        <w:rPr>
          <w:rFonts w:asciiTheme="majorHAnsi" w:hAnsiTheme="majorHAnsi"/>
          <w:sz w:val="20"/>
          <w:szCs w:val="20"/>
          <w:lang w:val="es-ES"/>
        </w:rPr>
        <w:t xml:space="preserve">ercera </w:t>
      </w:r>
      <w:r w:rsidR="00391655" w:rsidRPr="00DC65BB">
        <w:rPr>
          <w:rFonts w:asciiTheme="majorHAnsi" w:hAnsiTheme="majorHAnsi"/>
          <w:sz w:val="20"/>
          <w:szCs w:val="20"/>
          <w:lang w:val="es-ES"/>
        </w:rPr>
        <w:t xml:space="preserve">sobre la competencia </w:t>
      </w:r>
      <w:r w:rsidR="00AB1AA7" w:rsidRPr="00DC65BB">
        <w:rPr>
          <w:rFonts w:asciiTheme="majorHAnsi" w:hAnsiTheme="majorHAnsi"/>
          <w:sz w:val="20"/>
          <w:szCs w:val="20"/>
          <w:lang w:val="es-ES"/>
        </w:rPr>
        <w:t xml:space="preserve">coactiva </w:t>
      </w:r>
      <w:r w:rsidR="00391655" w:rsidRPr="00DC65BB">
        <w:rPr>
          <w:rFonts w:asciiTheme="majorHAnsi" w:hAnsiTheme="majorHAnsi"/>
          <w:sz w:val="20"/>
          <w:szCs w:val="20"/>
          <w:lang w:val="es-ES"/>
        </w:rPr>
        <w:t>de la CSS</w:t>
      </w:r>
      <w:r w:rsidR="00AB1AA7" w:rsidRPr="00DC65BB">
        <w:rPr>
          <w:rFonts w:asciiTheme="majorHAnsi" w:hAnsiTheme="majorHAnsi"/>
          <w:sz w:val="20"/>
          <w:szCs w:val="20"/>
          <w:lang w:val="es-ES"/>
        </w:rPr>
        <w:t>,</w:t>
      </w:r>
      <w:r w:rsidR="00391655" w:rsidRPr="00DC65BB">
        <w:rPr>
          <w:rFonts w:asciiTheme="majorHAnsi" w:hAnsiTheme="majorHAnsi"/>
          <w:sz w:val="20"/>
          <w:szCs w:val="20"/>
          <w:lang w:val="es-ES"/>
        </w:rPr>
        <w:t xml:space="preserve"> ello no autorizaba al juez ejecutor a desconocer una condena ejecutoriada ni a dejar sin efecto medidas de embargo previamente dispuestas</w:t>
      </w:r>
      <w:r w:rsidR="00D06521">
        <w:rPr>
          <w:rFonts w:asciiTheme="majorHAnsi" w:hAnsiTheme="majorHAnsi"/>
          <w:sz w:val="20"/>
          <w:szCs w:val="20"/>
          <w:lang w:val="es-ES"/>
        </w:rPr>
        <w:t>;</w:t>
      </w:r>
      <w:r w:rsidR="00391655" w:rsidRPr="00DC65BB">
        <w:rPr>
          <w:rFonts w:asciiTheme="majorHAnsi" w:hAnsiTheme="majorHAnsi"/>
          <w:sz w:val="20"/>
          <w:szCs w:val="20"/>
          <w:lang w:val="es-ES"/>
        </w:rPr>
        <w:t xml:space="preserve"> ya que cualquier revisión del criterio correspondía a los órganos jurisdiccionales competentes.</w:t>
      </w:r>
      <w:r w:rsidR="00E653A2" w:rsidRPr="00DC65BB">
        <w:rPr>
          <w:rFonts w:asciiTheme="majorHAnsi" w:hAnsiTheme="majorHAnsi"/>
          <w:sz w:val="20"/>
          <w:szCs w:val="20"/>
          <w:lang w:val="es-ES"/>
        </w:rPr>
        <w:t xml:space="preserve"> </w:t>
      </w:r>
      <w:r w:rsidR="0025479E" w:rsidRPr="00DC65BB">
        <w:rPr>
          <w:rFonts w:asciiTheme="majorHAnsi" w:hAnsiTheme="majorHAnsi"/>
          <w:sz w:val="20"/>
          <w:szCs w:val="20"/>
          <w:lang w:val="es-ES"/>
        </w:rPr>
        <w:t>Además,</w:t>
      </w:r>
      <w:r w:rsidR="00E653A2" w:rsidRPr="00DC65BB">
        <w:rPr>
          <w:rFonts w:asciiTheme="majorHAnsi" w:hAnsiTheme="majorHAnsi"/>
          <w:sz w:val="20"/>
          <w:szCs w:val="20"/>
          <w:lang w:val="es-ES"/>
        </w:rPr>
        <w:t xml:space="preserve"> el fallo</w:t>
      </w:r>
      <w:r w:rsidR="00944BF8" w:rsidRPr="00DC65BB">
        <w:rPr>
          <w:rFonts w:asciiTheme="majorHAnsi" w:hAnsiTheme="majorHAnsi"/>
          <w:sz w:val="20"/>
          <w:szCs w:val="20"/>
          <w:lang w:val="es-ES"/>
        </w:rPr>
        <w:t xml:space="preserve"> posterior</w:t>
      </w:r>
      <w:r w:rsidR="00E653A2" w:rsidRPr="00DC65BB">
        <w:rPr>
          <w:rFonts w:asciiTheme="majorHAnsi" w:hAnsiTheme="majorHAnsi"/>
          <w:sz w:val="20"/>
          <w:szCs w:val="20"/>
          <w:lang w:val="es-ES"/>
        </w:rPr>
        <w:t xml:space="preserve"> del Pleno de la Corte Suprema de Justicia</w:t>
      </w:r>
      <w:r w:rsidR="00E0723D" w:rsidRPr="00DC65BB">
        <w:rPr>
          <w:rFonts w:asciiTheme="majorHAnsi" w:hAnsiTheme="majorHAnsi"/>
          <w:sz w:val="20"/>
          <w:szCs w:val="20"/>
          <w:lang w:val="es-ES"/>
        </w:rPr>
        <w:t xml:space="preserve">, </w:t>
      </w:r>
      <w:r w:rsidR="00E653A2" w:rsidRPr="00DC65BB">
        <w:rPr>
          <w:rFonts w:asciiTheme="majorHAnsi" w:hAnsiTheme="majorHAnsi"/>
          <w:sz w:val="20"/>
          <w:szCs w:val="20"/>
          <w:lang w:val="es-ES"/>
        </w:rPr>
        <w:t>que declaró la inconstitucionalidad de ciertas disposiciones relativas a la competencia coactiva de la CSS</w:t>
      </w:r>
      <w:r w:rsidR="00E0723D" w:rsidRPr="00DC65BB">
        <w:rPr>
          <w:rFonts w:asciiTheme="majorHAnsi" w:hAnsiTheme="majorHAnsi"/>
          <w:sz w:val="20"/>
          <w:szCs w:val="20"/>
          <w:lang w:val="es-ES"/>
        </w:rPr>
        <w:t>,</w:t>
      </w:r>
      <w:r w:rsidR="00E653A2" w:rsidRPr="00DC65BB">
        <w:rPr>
          <w:rFonts w:asciiTheme="majorHAnsi" w:hAnsiTheme="majorHAnsi"/>
          <w:sz w:val="20"/>
          <w:szCs w:val="20"/>
          <w:lang w:val="es-ES"/>
        </w:rPr>
        <w:t xml:space="preserve"> no </w:t>
      </w:r>
      <w:r w:rsidR="0058517F">
        <w:rPr>
          <w:rFonts w:asciiTheme="majorHAnsi" w:hAnsiTheme="majorHAnsi"/>
          <w:sz w:val="20"/>
          <w:szCs w:val="20"/>
          <w:lang w:val="es-ES"/>
        </w:rPr>
        <w:t>tuvo</w:t>
      </w:r>
      <w:r w:rsidR="0058517F" w:rsidRPr="00DC65BB">
        <w:rPr>
          <w:rFonts w:asciiTheme="majorHAnsi" w:hAnsiTheme="majorHAnsi"/>
          <w:sz w:val="20"/>
          <w:szCs w:val="20"/>
          <w:lang w:val="es-ES"/>
        </w:rPr>
        <w:t xml:space="preserve"> </w:t>
      </w:r>
      <w:r w:rsidR="00E653A2" w:rsidRPr="00DC65BB">
        <w:rPr>
          <w:rFonts w:asciiTheme="majorHAnsi" w:hAnsiTheme="majorHAnsi"/>
          <w:sz w:val="20"/>
          <w:szCs w:val="20"/>
          <w:lang w:val="es-ES"/>
        </w:rPr>
        <w:t xml:space="preserve">efectos sobre la legalidad de la sanción impuesta al </w:t>
      </w:r>
      <w:r w:rsidR="00FF19AA" w:rsidRPr="00DC65BB">
        <w:rPr>
          <w:rFonts w:asciiTheme="majorHAnsi" w:hAnsiTheme="majorHAnsi"/>
          <w:sz w:val="20"/>
          <w:szCs w:val="20"/>
          <w:lang w:val="es-ES"/>
        </w:rPr>
        <w:t>peticionario</w:t>
      </w:r>
      <w:r w:rsidR="00E653A2" w:rsidRPr="00DC65BB">
        <w:rPr>
          <w:rFonts w:asciiTheme="majorHAnsi" w:hAnsiTheme="majorHAnsi"/>
          <w:sz w:val="20"/>
          <w:szCs w:val="20"/>
          <w:lang w:val="es-ES"/>
        </w:rPr>
        <w:t xml:space="preserve"> ni implic</w:t>
      </w:r>
      <w:r w:rsidR="0058517F">
        <w:rPr>
          <w:rFonts w:asciiTheme="majorHAnsi" w:hAnsiTheme="majorHAnsi"/>
          <w:sz w:val="20"/>
          <w:szCs w:val="20"/>
          <w:lang w:val="es-ES"/>
        </w:rPr>
        <w:t>ó</w:t>
      </w:r>
      <w:r w:rsidR="00E653A2" w:rsidRPr="00DC65BB">
        <w:rPr>
          <w:rFonts w:asciiTheme="majorHAnsi" w:hAnsiTheme="majorHAnsi"/>
          <w:sz w:val="20"/>
          <w:szCs w:val="20"/>
          <w:lang w:val="es-ES"/>
        </w:rPr>
        <w:t xml:space="preserve"> por sí mismo una violación de la Convención Americana.</w:t>
      </w:r>
    </w:p>
    <w:p w14:paraId="0D13E8C5" w14:textId="320AF953" w:rsidR="00C21AD3" w:rsidRPr="00DC65BB" w:rsidRDefault="00FF19AA"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Con</w:t>
      </w:r>
      <w:r w:rsidR="00391655" w:rsidRPr="00DC65BB">
        <w:rPr>
          <w:rFonts w:asciiTheme="majorHAnsi" w:hAnsiTheme="majorHAnsi"/>
          <w:sz w:val="20"/>
          <w:szCs w:val="20"/>
          <w:lang w:val="es-ES"/>
        </w:rPr>
        <w:t xml:space="preserve"> relación </w:t>
      </w:r>
      <w:r w:rsidRPr="00DC65BB">
        <w:rPr>
          <w:rFonts w:asciiTheme="majorHAnsi" w:hAnsiTheme="majorHAnsi"/>
          <w:sz w:val="20"/>
          <w:szCs w:val="20"/>
          <w:lang w:val="es-ES"/>
        </w:rPr>
        <w:t>a</w:t>
      </w:r>
      <w:r w:rsidR="00391655" w:rsidRPr="00DC65BB">
        <w:rPr>
          <w:rFonts w:asciiTheme="majorHAnsi" w:hAnsiTheme="majorHAnsi"/>
          <w:sz w:val="20"/>
          <w:szCs w:val="20"/>
          <w:lang w:val="es-ES"/>
        </w:rPr>
        <w:t xml:space="preserve"> la </w:t>
      </w:r>
      <w:r w:rsidR="00987B22" w:rsidRPr="00DC65BB">
        <w:rPr>
          <w:rFonts w:asciiTheme="majorHAnsi" w:hAnsiTheme="majorHAnsi"/>
          <w:sz w:val="20"/>
          <w:szCs w:val="20"/>
          <w:lang w:val="es-ES"/>
        </w:rPr>
        <w:t xml:space="preserve">alegada </w:t>
      </w:r>
      <w:r w:rsidR="00391655" w:rsidRPr="00DC65BB">
        <w:rPr>
          <w:rFonts w:asciiTheme="majorHAnsi" w:hAnsiTheme="majorHAnsi"/>
          <w:sz w:val="20"/>
          <w:szCs w:val="20"/>
          <w:lang w:val="es-ES"/>
        </w:rPr>
        <w:t xml:space="preserve">prescripción de la potestad disciplinaria, </w:t>
      </w:r>
      <w:r w:rsidR="001C70BF" w:rsidRPr="00DC65BB">
        <w:rPr>
          <w:rFonts w:asciiTheme="majorHAnsi" w:hAnsiTheme="majorHAnsi"/>
          <w:sz w:val="20"/>
          <w:szCs w:val="20"/>
          <w:lang w:val="es-ES"/>
        </w:rPr>
        <w:t>el Estado</w:t>
      </w:r>
      <w:r w:rsidR="00391655" w:rsidRPr="00DC65BB">
        <w:rPr>
          <w:rFonts w:asciiTheme="majorHAnsi" w:hAnsiTheme="majorHAnsi"/>
          <w:sz w:val="20"/>
          <w:szCs w:val="20"/>
          <w:lang w:val="es-ES"/>
        </w:rPr>
        <w:t xml:space="preserve"> </w:t>
      </w:r>
      <w:r w:rsidR="00157C9F" w:rsidRPr="00DC65BB">
        <w:rPr>
          <w:rFonts w:asciiTheme="majorHAnsi" w:hAnsiTheme="majorHAnsi"/>
          <w:sz w:val="20"/>
          <w:szCs w:val="20"/>
          <w:lang w:val="es-ES"/>
        </w:rPr>
        <w:t>plantea</w:t>
      </w:r>
      <w:r w:rsidR="00391655" w:rsidRPr="00DC65BB">
        <w:rPr>
          <w:rFonts w:asciiTheme="majorHAnsi" w:hAnsiTheme="majorHAnsi"/>
          <w:sz w:val="20"/>
          <w:szCs w:val="20"/>
          <w:lang w:val="es-ES"/>
        </w:rPr>
        <w:t xml:space="preserve"> que el cuadro de sanciones de la CSS establece un plazo de </w:t>
      </w:r>
      <w:r w:rsidR="0058517F">
        <w:rPr>
          <w:rFonts w:asciiTheme="majorHAnsi" w:hAnsiTheme="majorHAnsi"/>
          <w:sz w:val="20"/>
          <w:szCs w:val="20"/>
          <w:lang w:val="es-ES"/>
        </w:rPr>
        <w:t>12</w:t>
      </w:r>
      <w:r w:rsidR="0058517F" w:rsidRPr="00DC65BB">
        <w:rPr>
          <w:rFonts w:asciiTheme="majorHAnsi" w:hAnsiTheme="majorHAnsi"/>
          <w:sz w:val="20"/>
          <w:szCs w:val="20"/>
          <w:lang w:val="es-ES"/>
        </w:rPr>
        <w:t xml:space="preserve"> </w:t>
      </w:r>
      <w:r w:rsidR="00391655" w:rsidRPr="00DC65BB">
        <w:rPr>
          <w:rFonts w:asciiTheme="majorHAnsi" w:hAnsiTheme="majorHAnsi"/>
          <w:sz w:val="20"/>
          <w:szCs w:val="20"/>
          <w:lang w:val="es-ES"/>
        </w:rPr>
        <w:t>meses para la imposición de sanciones</w:t>
      </w:r>
      <w:r w:rsidR="00987B22" w:rsidRPr="00DC65BB">
        <w:rPr>
          <w:rFonts w:asciiTheme="majorHAnsi" w:hAnsiTheme="majorHAnsi"/>
          <w:sz w:val="20"/>
          <w:szCs w:val="20"/>
          <w:lang w:val="es-ES"/>
        </w:rPr>
        <w:t xml:space="preserve"> y</w:t>
      </w:r>
      <w:r w:rsidR="00391655" w:rsidRPr="00DC65BB">
        <w:rPr>
          <w:rFonts w:asciiTheme="majorHAnsi" w:hAnsiTheme="majorHAnsi"/>
          <w:sz w:val="20"/>
          <w:szCs w:val="20"/>
          <w:lang w:val="es-ES"/>
        </w:rPr>
        <w:t xml:space="preserve"> que en el caso </w:t>
      </w:r>
      <w:r w:rsidR="008A585F" w:rsidRPr="00DC65BB">
        <w:rPr>
          <w:rFonts w:asciiTheme="majorHAnsi" w:hAnsiTheme="majorHAnsi"/>
          <w:sz w:val="20"/>
          <w:szCs w:val="20"/>
          <w:lang w:val="es-ES"/>
        </w:rPr>
        <w:t xml:space="preserve">concreto </w:t>
      </w:r>
      <w:r w:rsidR="00391655" w:rsidRPr="00DC65BB">
        <w:rPr>
          <w:rFonts w:asciiTheme="majorHAnsi" w:hAnsiTheme="majorHAnsi"/>
          <w:sz w:val="20"/>
          <w:szCs w:val="20"/>
          <w:lang w:val="es-ES"/>
        </w:rPr>
        <w:t xml:space="preserve">fue respetado. Indica que </w:t>
      </w:r>
      <w:r w:rsidR="00987B22" w:rsidRPr="00DC65BB">
        <w:rPr>
          <w:rFonts w:asciiTheme="majorHAnsi" w:hAnsiTheme="majorHAnsi"/>
          <w:sz w:val="20"/>
          <w:szCs w:val="20"/>
          <w:lang w:val="es-ES"/>
        </w:rPr>
        <w:t xml:space="preserve">dicho término debe computarse desde el momento en que la autoridad </w:t>
      </w:r>
      <w:r w:rsidR="00987B22" w:rsidRPr="00DC65BB">
        <w:rPr>
          <w:rFonts w:asciiTheme="majorHAnsi" w:hAnsiTheme="majorHAnsi"/>
          <w:sz w:val="20"/>
          <w:szCs w:val="20"/>
          <w:lang w:val="es-ES"/>
        </w:rPr>
        <w:lastRenderedPageBreak/>
        <w:t>sancionadora toma conocimiento de la falta hasta la imposición de la medida, y no estrictamente desde la comisión del hecho</w:t>
      </w:r>
      <w:r w:rsidR="00F56176">
        <w:rPr>
          <w:rFonts w:asciiTheme="majorHAnsi" w:hAnsiTheme="majorHAnsi"/>
          <w:sz w:val="20"/>
          <w:szCs w:val="20"/>
          <w:lang w:val="es-ES"/>
        </w:rPr>
        <w:t>;</w:t>
      </w:r>
      <w:r w:rsidR="00391655" w:rsidRPr="00DC65BB">
        <w:rPr>
          <w:rFonts w:asciiTheme="majorHAnsi" w:hAnsiTheme="majorHAnsi"/>
          <w:sz w:val="20"/>
          <w:szCs w:val="20"/>
          <w:lang w:val="es-ES"/>
        </w:rPr>
        <w:t xml:space="preserve"> por lo que no operó la prescripción alegada por la presunta víctima. Destaca que la </w:t>
      </w:r>
      <w:r w:rsidR="00F56176">
        <w:rPr>
          <w:rFonts w:asciiTheme="majorHAnsi" w:hAnsiTheme="majorHAnsi"/>
          <w:sz w:val="20"/>
          <w:szCs w:val="20"/>
          <w:lang w:val="es-ES"/>
        </w:rPr>
        <w:t>S</w:t>
      </w:r>
      <w:r w:rsidR="00E0723D" w:rsidRPr="00DC65BB">
        <w:rPr>
          <w:rFonts w:asciiTheme="majorHAnsi" w:hAnsiTheme="majorHAnsi"/>
          <w:sz w:val="20"/>
          <w:szCs w:val="20"/>
          <w:lang w:val="es-ES"/>
        </w:rPr>
        <w:t xml:space="preserve">ala </w:t>
      </w:r>
      <w:r w:rsidR="00F56176">
        <w:rPr>
          <w:rFonts w:asciiTheme="majorHAnsi" w:hAnsiTheme="majorHAnsi"/>
          <w:sz w:val="20"/>
          <w:szCs w:val="20"/>
          <w:lang w:val="es-ES"/>
        </w:rPr>
        <w:t>T</w:t>
      </w:r>
      <w:r w:rsidR="00E0723D" w:rsidRPr="00DC65BB">
        <w:rPr>
          <w:rFonts w:asciiTheme="majorHAnsi" w:hAnsiTheme="majorHAnsi"/>
          <w:sz w:val="20"/>
          <w:szCs w:val="20"/>
          <w:lang w:val="es-ES"/>
        </w:rPr>
        <w:t>ercera, al</w:t>
      </w:r>
      <w:r w:rsidR="00391655" w:rsidRPr="00DC65BB">
        <w:rPr>
          <w:rFonts w:asciiTheme="majorHAnsi" w:hAnsiTheme="majorHAnsi"/>
          <w:sz w:val="20"/>
          <w:szCs w:val="20"/>
          <w:lang w:val="es-ES"/>
        </w:rPr>
        <w:t xml:space="preserve"> resolver la demanda contencioso-administrativa de plena jurisdicción</w:t>
      </w:r>
      <w:r w:rsidR="00C21AD3" w:rsidRPr="00DC65BB">
        <w:rPr>
          <w:rFonts w:asciiTheme="majorHAnsi" w:hAnsiTheme="majorHAnsi"/>
          <w:sz w:val="20"/>
          <w:szCs w:val="20"/>
          <w:lang w:val="es-ES"/>
        </w:rPr>
        <w:t>,</w:t>
      </w:r>
      <w:r w:rsidR="00391655" w:rsidRPr="00DC65BB">
        <w:rPr>
          <w:rFonts w:asciiTheme="majorHAnsi" w:hAnsiTheme="majorHAnsi"/>
          <w:sz w:val="20"/>
          <w:szCs w:val="20"/>
          <w:lang w:val="es-ES"/>
        </w:rPr>
        <w:t xml:space="preserve"> examinó expresamente este punto y concluyó que la resolución de destitución “no es ilegal”</w:t>
      </w:r>
      <w:r w:rsidR="00E0723D" w:rsidRPr="00DC65BB">
        <w:rPr>
          <w:rFonts w:asciiTheme="majorHAnsi" w:hAnsiTheme="majorHAnsi"/>
          <w:sz w:val="20"/>
          <w:szCs w:val="20"/>
          <w:lang w:val="es-ES"/>
        </w:rPr>
        <w:t>.</w:t>
      </w:r>
    </w:p>
    <w:p w14:paraId="72049B98" w14:textId="7DE7FBFF" w:rsidR="00C21AD3" w:rsidRPr="00DC65BB" w:rsidRDefault="00C21AD3"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Finalmente, el Estado afirma que al señor Tomás González Feuillebois se le garantizó el derecho de defensa, incluido ser oído en sus descargos, presentar pruebas y recurrir las decisiones mediante los recursos administrativos y judiciales pertinentes. </w:t>
      </w:r>
      <w:r w:rsidR="00157C9F" w:rsidRPr="00DC65BB">
        <w:rPr>
          <w:rFonts w:asciiTheme="majorHAnsi" w:hAnsiTheme="majorHAnsi"/>
          <w:sz w:val="20"/>
          <w:szCs w:val="20"/>
          <w:lang w:val="es-ES"/>
        </w:rPr>
        <w:t>Alega</w:t>
      </w:r>
      <w:r w:rsidRPr="00DC65BB">
        <w:rPr>
          <w:rFonts w:asciiTheme="majorHAnsi" w:hAnsiTheme="majorHAnsi"/>
          <w:sz w:val="20"/>
          <w:szCs w:val="20"/>
          <w:lang w:val="es-ES"/>
        </w:rPr>
        <w:t xml:space="preserve"> que los planteamientos de la presunta víctima se limitan a expresar su desacuerdo con la valoración de los hechos y del derecho interno realizada por las autoridades disciplinarias y por la Sala Tercera de lo Contencioso Administrativo, lo que</w:t>
      </w:r>
      <w:r w:rsidR="00157C9F" w:rsidRPr="00DC65BB">
        <w:rPr>
          <w:rFonts w:asciiTheme="majorHAnsi" w:hAnsiTheme="majorHAnsi"/>
          <w:sz w:val="20"/>
          <w:szCs w:val="20"/>
          <w:lang w:val="es-ES"/>
        </w:rPr>
        <w:t xml:space="preserve"> </w:t>
      </w:r>
      <w:r w:rsidR="00944BF8" w:rsidRPr="00DC65BB">
        <w:rPr>
          <w:rFonts w:asciiTheme="majorHAnsi" w:hAnsiTheme="majorHAnsi"/>
          <w:sz w:val="20"/>
          <w:szCs w:val="20"/>
          <w:lang w:val="es-ES"/>
        </w:rPr>
        <w:t>a juicio del Estado equivaldría a</w:t>
      </w:r>
      <w:r w:rsidRPr="00DC65BB">
        <w:rPr>
          <w:rFonts w:asciiTheme="majorHAnsi" w:hAnsiTheme="majorHAnsi"/>
          <w:sz w:val="20"/>
          <w:szCs w:val="20"/>
          <w:lang w:val="es-ES"/>
        </w:rPr>
        <w:t xml:space="preserve"> convertir a la Comisión en una </w:t>
      </w:r>
      <w:r w:rsidR="00AE3B28" w:rsidRPr="00DC65BB">
        <w:rPr>
          <w:rFonts w:asciiTheme="majorHAnsi" w:hAnsiTheme="majorHAnsi"/>
          <w:sz w:val="20"/>
          <w:szCs w:val="20"/>
          <w:lang w:val="es-ES"/>
        </w:rPr>
        <w:t>“</w:t>
      </w:r>
      <w:r w:rsidRPr="00DC65BB">
        <w:rPr>
          <w:rFonts w:asciiTheme="majorHAnsi" w:hAnsiTheme="majorHAnsi"/>
          <w:sz w:val="20"/>
          <w:szCs w:val="20"/>
          <w:lang w:val="es-ES"/>
        </w:rPr>
        <w:t>cuarta instancia</w:t>
      </w:r>
      <w:r w:rsidR="00AE3B28" w:rsidRPr="00DC65BB">
        <w:rPr>
          <w:rFonts w:asciiTheme="majorHAnsi" w:hAnsiTheme="majorHAnsi"/>
          <w:sz w:val="20"/>
          <w:szCs w:val="20"/>
          <w:lang w:val="es-ES"/>
        </w:rPr>
        <w:t>”</w:t>
      </w:r>
      <w:r w:rsidRPr="00DC65BB">
        <w:rPr>
          <w:rFonts w:asciiTheme="majorHAnsi" w:hAnsiTheme="majorHAnsi"/>
          <w:sz w:val="20"/>
          <w:szCs w:val="20"/>
          <w:lang w:val="es-ES"/>
        </w:rPr>
        <w:t xml:space="preserve"> para revisar la sentencia interna. </w:t>
      </w:r>
    </w:p>
    <w:p w14:paraId="51F68C92" w14:textId="59036348" w:rsidR="003239B8" w:rsidRPr="00DC65BB" w:rsidRDefault="003239B8" w:rsidP="00DC65BB">
      <w:pPr>
        <w:spacing w:before="240" w:after="240"/>
        <w:ind w:firstLine="720"/>
        <w:jc w:val="both"/>
        <w:rPr>
          <w:rFonts w:asciiTheme="majorHAnsi" w:hAnsiTheme="majorHAnsi"/>
          <w:sz w:val="20"/>
          <w:szCs w:val="20"/>
          <w:lang w:val="es-ES"/>
        </w:rPr>
      </w:pPr>
      <w:r w:rsidRPr="00DC65BB">
        <w:rPr>
          <w:rFonts w:asciiTheme="majorHAnsi" w:eastAsia="Cambria" w:hAnsiTheme="majorHAnsi" w:cs="Cambria"/>
          <w:b/>
          <w:bCs/>
          <w:color w:val="000000"/>
          <w:sz w:val="20"/>
          <w:szCs w:val="20"/>
          <w:u w:color="000000"/>
          <w:lang w:val="es-ES" w:eastAsia="es-ES"/>
        </w:rPr>
        <w:t>VI.</w:t>
      </w:r>
      <w:r w:rsidRPr="00DC65BB">
        <w:rPr>
          <w:rFonts w:asciiTheme="majorHAnsi" w:eastAsia="Cambria" w:hAnsiTheme="majorHAnsi" w:cs="Cambria"/>
          <w:b/>
          <w:bCs/>
          <w:color w:val="000000"/>
          <w:sz w:val="20"/>
          <w:szCs w:val="20"/>
          <w:u w:color="000000"/>
          <w:lang w:val="es-ES" w:eastAsia="es-ES"/>
        </w:rPr>
        <w:tab/>
      </w:r>
      <w:r w:rsidR="004A6A54" w:rsidRPr="00DC65BB">
        <w:rPr>
          <w:rFonts w:asciiTheme="majorHAnsi" w:hAnsiTheme="majorHAnsi"/>
          <w:b/>
          <w:bCs/>
          <w:sz w:val="20"/>
          <w:szCs w:val="20"/>
          <w:lang w:val="es-ES"/>
        </w:rPr>
        <w:t xml:space="preserve">ANÁLISIS DE </w:t>
      </w:r>
      <w:r w:rsidR="00C21FEF" w:rsidRPr="00DC65BB">
        <w:rPr>
          <w:rFonts w:asciiTheme="majorHAnsi" w:hAnsiTheme="majorHAnsi"/>
          <w:b/>
          <w:sz w:val="20"/>
          <w:szCs w:val="20"/>
          <w:lang w:val="es-ES"/>
        </w:rPr>
        <w:t>AGOTAMIENTO DE LOS RECURSOS INTERNOS Y PLAZO DE PRESENTACIÓN</w:t>
      </w:r>
      <w:r w:rsidR="00C21FEF" w:rsidRPr="00DC65BB">
        <w:rPr>
          <w:rFonts w:asciiTheme="majorHAnsi" w:eastAsia="Cambria" w:hAnsiTheme="majorHAnsi" w:cs="Cambria"/>
          <w:b/>
          <w:bCs/>
          <w:color w:val="000000"/>
          <w:sz w:val="20"/>
          <w:szCs w:val="20"/>
          <w:u w:color="000000"/>
          <w:lang w:val="es-ES" w:eastAsia="es-ES"/>
        </w:rPr>
        <w:t xml:space="preserve"> </w:t>
      </w:r>
    </w:p>
    <w:p w14:paraId="444021BD" w14:textId="3F379FBD" w:rsidR="004C387E" w:rsidRPr="00DC65BB" w:rsidRDefault="004C387E"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En el presente asunto, </w:t>
      </w:r>
      <w:r w:rsidR="00157C9F" w:rsidRPr="00DC65BB">
        <w:rPr>
          <w:rFonts w:asciiTheme="majorHAnsi" w:hAnsiTheme="majorHAnsi"/>
          <w:sz w:val="20"/>
          <w:szCs w:val="20"/>
          <w:lang w:val="es-ES"/>
        </w:rPr>
        <w:t xml:space="preserve">el </w:t>
      </w:r>
      <w:r w:rsidR="0020512B" w:rsidRPr="00DC65BB">
        <w:rPr>
          <w:rFonts w:asciiTheme="majorHAnsi" w:hAnsiTheme="majorHAnsi"/>
          <w:sz w:val="20"/>
          <w:szCs w:val="20"/>
          <w:lang w:val="es-ES"/>
        </w:rPr>
        <w:t>peticionario</w:t>
      </w:r>
      <w:r w:rsidRPr="00DC65BB">
        <w:rPr>
          <w:rFonts w:asciiTheme="majorHAnsi" w:hAnsiTheme="majorHAnsi"/>
          <w:sz w:val="20"/>
          <w:szCs w:val="20"/>
          <w:lang w:val="es-ES"/>
        </w:rPr>
        <w:t xml:space="preserve"> sostiene que su destitución y </w:t>
      </w:r>
      <w:r w:rsidR="00904A49" w:rsidRPr="00DC65BB">
        <w:rPr>
          <w:rFonts w:asciiTheme="majorHAnsi" w:hAnsiTheme="majorHAnsi"/>
          <w:sz w:val="20"/>
          <w:szCs w:val="20"/>
          <w:lang w:val="es-ES"/>
        </w:rPr>
        <w:t>la</w:t>
      </w:r>
      <w:r w:rsidRPr="00DC65BB">
        <w:rPr>
          <w:rFonts w:asciiTheme="majorHAnsi" w:hAnsiTheme="majorHAnsi"/>
          <w:sz w:val="20"/>
          <w:szCs w:val="20"/>
          <w:lang w:val="es-ES"/>
        </w:rPr>
        <w:t xml:space="preserve"> confirmación judicial </w:t>
      </w:r>
      <w:r w:rsidR="00904A49" w:rsidRPr="00DC65BB">
        <w:rPr>
          <w:rFonts w:asciiTheme="majorHAnsi" w:hAnsiTheme="majorHAnsi"/>
          <w:sz w:val="20"/>
          <w:szCs w:val="20"/>
          <w:lang w:val="es-ES"/>
        </w:rPr>
        <w:t xml:space="preserve">de esta </w:t>
      </w:r>
      <w:r w:rsidRPr="00DC65BB">
        <w:rPr>
          <w:rFonts w:asciiTheme="majorHAnsi" w:hAnsiTheme="majorHAnsi"/>
          <w:sz w:val="20"/>
          <w:szCs w:val="20"/>
          <w:lang w:val="es-ES"/>
        </w:rPr>
        <w:t>vulneraron el principio de legalidad y de no retroactividad, al aplicársele una causal disciplinaria no subsumible en su actuación</w:t>
      </w:r>
      <w:r w:rsidR="00706A8F" w:rsidRPr="00DC65BB">
        <w:rPr>
          <w:rFonts w:asciiTheme="majorHAnsi" w:hAnsiTheme="majorHAnsi"/>
          <w:sz w:val="20"/>
          <w:szCs w:val="20"/>
          <w:lang w:val="es-ES"/>
        </w:rPr>
        <w:t>,</w:t>
      </w:r>
      <w:r w:rsidRPr="00DC65BB">
        <w:rPr>
          <w:rFonts w:asciiTheme="majorHAnsi" w:hAnsiTheme="majorHAnsi"/>
          <w:sz w:val="20"/>
          <w:szCs w:val="20"/>
          <w:lang w:val="es-ES"/>
        </w:rPr>
        <w:t xml:space="preserve"> y desconocerse la prescripción prevista en el cuadro de sanciones. Con base en ello, considera agotada la jurisdicción interna con la sentencia de 20 de febrero de 2015 de la Sala Tercera de lo Contencioso Administrativo de la Corte Suprema de Justicia, que puso fin al proceso contencioso-administrativo de plena jurisdicción. El Estado no controvirtió el agotamiento de los recursos internos ni formuló observaciones sobre el plazo de presentación. En atención a lo anterior, la Comisión concluye que se cumple con el requisito previsto en el artículo 46.1.a) de la Convención Americana.</w:t>
      </w:r>
    </w:p>
    <w:p w14:paraId="4F743DD8" w14:textId="5DDEFCA3" w:rsidR="00E653A2" w:rsidRPr="00DC65BB" w:rsidRDefault="00E653A2"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Por otro lado, en vista de que la última decisión </w:t>
      </w:r>
      <w:r w:rsidR="00944BF8" w:rsidRPr="00DC65BB">
        <w:rPr>
          <w:rFonts w:asciiTheme="majorHAnsi" w:hAnsiTheme="majorHAnsi"/>
          <w:sz w:val="20"/>
          <w:szCs w:val="20"/>
          <w:lang w:val="es-ES"/>
        </w:rPr>
        <w:t xml:space="preserve">de la </w:t>
      </w:r>
      <w:r w:rsidRPr="00DC65BB">
        <w:rPr>
          <w:rFonts w:asciiTheme="majorHAnsi" w:hAnsiTheme="majorHAnsi"/>
          <w:sz w:val="20"/>
          <w:szCs w:val="20"/>
          <w:lang w:val="es-ES"/>
        </w:rPr>
        <w:t xml:space="preserve">Sala Tercera de lo Contencioso Administrativo de la Corte Suprema </w:t>
      </w:r>
      <w:r w:rsidR="00695D8E" w:rsidRPr="00DC65BB">
        <w:rPr>
          <w:rFonts w:asciiTheme="majorHAnsi" w:hAnsiTheme="majorHAnsi"/>
          <w:sz w:val="20"/>
          <w:szCs w:val="20"/>
          <w:lang w:val="es-ES"/>
        </w:rPr>
        <w:t xml:space="preserve">se notificó por edicto el 11 de marzo de 2015 </w:t>
      </w:r>
      <w:r w:rsidRPr="00DC65BB">
        <w:rPr>
          <w:rFonts w:asciiTheme="majorHAnsi" w:hAnsiTheme="majorHAnsi"/>
          <w:sz w:val="20"/>
          <w:szCs w:val="20"/>
          <w:lang w:val="es-ES"/>
        </w:rPr>
        <w:t xml:space="preserve">y que la presente petición fue recibida por la Comisión el </w:t>
      </w:r>
      <w:r w:rsidR="00695D8E" w:rsidRPr="00DC65BB">
        <w:rPr>
          <w:rFonts w:asciiTheme="majorHAnsi" w:hAnsiTheme="majorHAnsi"/>
          <w:sz w:val="20"/>
          <w:szCs w:val="20"/>
          <w:lang w:val="es-ES"/>
        </w:rPr>
        <w:t>21 de agosto de 2015</w:t>
      </w:r>
      <w:r w:rsidRPr="00DC65BB">
        <w:rPr>
          <w:rFonts w:asciiTheme="majorHAnsi" w:hAnsiTheme="majorHAnsi"/>
          <w:sz w:val="20"/>
          <w:szCs w:val="20"/>
          <w:lang w:val="es-ES"/>
        </w:rPr>
        <w:t xml:space="preserve">, la </w:t>
      </w:r>
      <w:r w:rsidR="006146BC">
        <w:rPr>
          <w:rFonts w:asciiTheme="majorHAnsi" w:hAnsiTheme="majorHAnsi"/>
          <w:sz w:val="20"/>
          <w:szCs w:val="20"/>
          <w:lang w:val="es-ES"/>
        </w:rPr>
        <w:t xml:space="preserve">CIDH entiende que </w:t>
      </w:r>
      <w:r w:rsidRPr="00DC65BB">
        <w:rPr>
          <w:rFonts w:asciiTheme="majorHAnsi" w:hAnsiTheme="majorHAnsi"/>
          <w:sz w:val="20"/>
          <w:szCs w:val="20"/>
          <w:lang w:val="es-ES"/>
        </w:rPr>
        <w:t>cumple con el artículo 46.1.b) de la Convención Americana</w:t>
      </w:r>
      <w:r w:rsidR="00DC14E2" w:rsidRPr="00DC65BB">
        <w:rPr>
          <w:rFonts w:asciiTheme="majorHAnsi" w:hAnsiTheme="majorHAnsi"/>
          <w:sz w:val="20"/>
          <w:szCs w:val="20"/>
          <w:lang w:val="es-ES"/>
        </w:rPr>
        <w:t xml:space="preserve"> al ser </w:t>
      </w:r>
      <w:r w:rsidR="00BF2303">
        <w:rPr>
          <w:rFonts w:asciiTheme="majorHAnsi" w:hAnsiTheme="majorHAnsi"/>
          <w:sz w:val="20"/>
          <w:szCs w:val="20"/>
          <w:lang w:val="es-ES"/>
        </w:rPr>
        <w:t>interpuesta</w:t>
      </w:r>
      <w:r w:rsidR="00BF2303" w:rsidRPr="00DC65BB">
        <w:rPr>
          <w:rFonts w:asciiTheme="majorHAnsi" w:hAnsiTheme="majorHAnsi"/>
          <w:sz w:val="20"/>
          <w:szCs w:val="20"/>
          <w:lang w:val="es-ES"/>
        </w:rPr>
        <w:t xml:space="preserve"> </w:t>
      </w:r>
      <w:r w:rsidR="00DC14E2" w:rsidRPr="00DC65BB">
        <w:rPr>
          <w:rFonts w:asciiTheme="majorHAnsi" w:hAnsiTheme="majorHAnsi"/>
          <w:sz w:val="20"/>
          <w:szCs w:val="20"/>
          <w:lang w:val="es-ES"/>
        </w:rPr>
        <w:t>dentro del plazo de seis meses establecido en esa norma.</w:t>
      </w:r>
    </w:p>
    <w:p w14:paraId="673598AF" w14:textId="3BE8077E" w:rsidR="003239B8" w:rsidRPr="00DC65BB" w:rsidRDefault="003239B8" w:rsidP="00DC65BB">
      <w:pPr>
        <w:pStyle w:val="ListParagraph"/>
        <w:spacing w:before="240" w:after="240"/>
        <w:ind w:left="0" w:firstLine="720"/>
        <w:jc w:val="both"/>
        <w:rPr>
          <w:rFonts w:asciiTheme="majorHAnsi" w:hAnsiTheme="majorHAnsi"/>
          <w:b/>
          <w:bCs/>
          <w:sz w:val="20"/>
          <w:szCs w:val="20"/>
          <w:lang w:val="es-ES"/>
        </w:rPr>
      </w:pPr>
      <w:r w:rsidRPr="00DC65BB">
        <w:rPr>
          <w:rFonts w:asciiTheme="majorHAnsi" w:hAnsiTheme="majorHAnsi"/>
          <w:b/>
          <w:bCs/>
          <w:sz w:val="20"/>
          <w:szCs w:val="20"/>
          <w:lang w:val="es-ES"/>
        </w:rPr>
        <w:t>VII.</w:t>
      </w:r>
      <w:r w:rsidRPr="00DC65BB">
        <w:rPr>
          <w:rFonts w:asciiTheme="majorHAnsi" w:hAnsiTheme="majorHAnsi"/>
          <w:b/>
          <w:bCs/>
          <w:sz w:val="20"/>
          <w:szCs w:val="20"/>
          <w:lang w:val="es-ES"/>
        </w:rPr>
        <w:tab/>
      </w:r>
      <w:r w:rsidR="004A6A54" w:rsidRPr="00DC65BB">
        <w:rPr>
          <w:rFonts w:asciiTheme="majorHAnsi" w:hAnsiTheme="majorHAnsi"/>
          <w:b/>
          <w:bCs/>
          <w:sz w:val="20"/>
          <w:szCs w:val="20"/>
          <w:lang w:val="es-ES"/>
        </w:rPr>
        <w:t xml:space="preserve">ANÁLISIS DE </w:t>
      </w:r>
      <w:r w:rsidR="00C21FEF" w:rsidRPr="00DC65BB">
        <w:rPr>
          <w:rFonts w:asciiTheme="majorHAnsi" w:hAnsiTheme="majorHAnsi"/>
          <w:b/>
          <w:bCs/>
          <w:sz w:val="20"/>
          <w:szCs w:val="20"/>
          <w:lang w:val="es-ES"/>
        </w:rPr>
        <w:t>CARACTERIZACIÓN DE LOS HECHOS ALEGADOS</w:t>
      </w:r>
    </w:p>
    <w:p w14:paraId="222F10FC" w14:textId="55C93022" w:rsidR="003D3566" w:rsidRPr="00DC65BB" w:rsidRDefault="00076879"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DC65BB">
        <w:rPr>
          <w:rFonts w:asciiTheme="majorHAnsi" w:hAnsiTheme="majorHAnsi"/>
          <w:i/>
          <w:iCs/>
          <w:sz w:val="20"/>
          <w:szCs w:val="20"/>
          <w:lang w:val="es-ES"/>
        </w:rPr>
        <w:t>prima facie</w:t>
      </w:r>
      <w:r w:rsidRPr="00DC65BB">
        <w:rPr>
          <w:rFonts w:asciiTheme="majorHAnsi" w:hAnsiTheme="majorHAnsi"/>
          <w:sz w:val="20"/>
          <w:szCs w:val="20"/>
          <w:lang w:val="es-ES"/>
        </w:rPr>
        <w:t xml:space="preserve"> para determinar si la petición establece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1E61A0A5" w14:textId="4E8ED9CC" w:rsidR="00BA7495" w:rsidRPr="00DC65BB" w:rsidRDefault="00140702"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 xml:space="preserve">La Comisión observa que el </w:t>
      </w:r>
      <w:r w:rsidR="00C21AD3" w:rsidRPr="00DC65BB">
        <w:rPr>
          <w:rFonts w:asciiTheme="majorHAnsi" w:hAnsiTheme="majorHAnsi"/>
          <w:sz w:val="20"/>
          <w:szCs w:val="20"/>
          <w:lang w:val="es-ES"/>
        </w:rPr>
        <w:t xml:space="preserve">señor Tomás González Feuillebois </w:t>
      </w:r>
      <w:r w:rsidRPr="00DC65BB">
        <w:rPr>
          <w:rFonts w:asciiTheme="majorHAnsi" w:hAnsiTheme="majorHAnsi"/>
          <w:sz w:val="20"/>
          <w:szCs w:val="20"/>
          <w:lang w:val="es-ES"/>
        </w:rPr>
        <w:t>cuestiona esencialmente </w:t>
      </w:r>
      <w:r w:rsidR="0057038C" w:rsidRPr="00DC65BB">
        <w:rPr>
          <w:rFonts w:asciiTheme="majorHAnsi" w:hAnsiTheme="majorHAnsi"/>
          <w:sz w:val="20"/>
          <w:szCs w:val="20"/>
          <w:lang w:val="es-ES"/>
        </w:rPr>
        <w:t xml:space="preserve">que su destitución, confirmada por la Sala Tercera de lo Contencioso Administrativo de la Corte Suprema de Justicia, vulneró el principio de legalidad y de no retroactividad, debido a: i) la aplicación de la causal disciplinaria de “desobediencia” a una actuación que </w:t>
      </w:r>
      <w:r w:rsidR="0057038C" w:rsidRPr="00D9036E">
        <w:rPr>
          <w:rFonts w:asciiTheme="majorHAnsi" w:hAnsiTheme="majorHAnsi"/>
          <w:sz w:val="20"/>
          <w:szCs w:val="20"/>
          <w:lang w:val="es-ES"/>
        </w:rPr>
        <w:t xml:space="preserve">habría consistido en ejercer el deber de saneamiento y declarar la falta de competencia; y ii) el desconocimiento de la regla de prescripción de </w:t>
      </w:r>
      <w:r w:rsidR="00AB10CC">
        <w:rPr>
          <w:rFonts w:asciiTheme="majorHAnsi" w:hAnsiTheme="majorHAnsi"/>
          <w:sz w:val="20"/>
          <w:szCs w:val="20"/>
          <w:lang w:val="es-ES"/>
        </w:rPr>
        <w:t>12</w:t>
      </w:r>
      <w:r w:rsidR="00AB10CC" w:rsidRPr="00D9036E">
        <w:rPr>
          <w:rFonts w:asciiTheme="majorHAnsi" w:hAnsiTheme="majorHAnsi"/>
          <w:sz w:val="20"/>
          <w:szCs w:val="20"/>
          <w:lang w:val="es-ES"/>
        </w:rPr>
        <w:t xml:space="preserve"> </w:t>
      </w:r>
      <w:r w:rsidR="0057038C" w:rsidRPr="00D9036E">
        <w:rPr>
          <w:rFonts w:asciiTheme="majorHAnsi" w:hAnsiTheme="majorHAnsi"/>
          <w:sz w:val="20"/>
          <w:szCs w:val="20"/>
          <w:lang w:val="es-ES"/>
        </w:rPr>
        <w:t xml:space="preserve">meses desde la comisión de la falta prevista en </w:t>
      </w:r>
      <w:r w:rsidR="00767D37" w:rsidRPr="00D9036E">
        <w:rPr>
          <w:rFonts w:asciiTheme="majorHAnsi" w:hAnsiTheme="majorHAnsi"/>
          <w:sz w:val="20"/>
          <w:szCs w:val="20"/>
          <w:lang w:val="es-ES"/>
        </w:rPr>
        <w:t>la normativa</w:t>
      </w:r>
      <w:r w:rsidR="0057038C" w:rsidRPr="00D9036E">
        <w:rPr>
          <w:rFonts w:asciiTheme="majorHAnsi" w:hAnsiTheme="majorHAnsi"/>
          <w:sz w:val="20"/>
          <w:szCs w:val="20"/>
          <w:lang w:val="es-ES"/>
        </w:rPr>
        <w:t xml:space="preserve">. </w:t>
      </w:r>
      <w:r w:rsidR="000E1138" w:rsidRPr="00D9036E">
        <w:rPr>
          <w:rFonts w:asciiTheme="majorHAnsi" w:hAnsiTheme="majorHAnsi"/>
          <w:sz w:val="20"/>
          <w:szCs w:val="20"/>
          <w:lang w:val="es-ES"/>
        </w:rPr>
        <w:t>Resalta</w:t>
      </w:r>
      <w:r w:rsidR="0057038C" w:rsidRPr="00D9036E">
        <w:rPr>
          <w:rFonts w:asciiTheme="majorHAnsi" w:hAnsiTheme="majorHAnsi"/>
          <w:sz w:val="20"/>
          <w:szCs w:val="20"/>
          <w:lang w:val="es-ES"/>
        </w:rPr>
        <w:t xml:space="preserve"> que la </w:t>
      </w:r>
      <w:r w:rsidR="00087A56" w:rsidRPr="00D9036E">
        <w:rPr>
          <w:rFonts w:asciiTheme="majorHAnsi" w:hAnsiTheme="majorHAnsi"/>
          <w:sz w:val="20"/>
          <w:szCs w:val="20"/>
          <w:lang w:val="es-ES"/>
        </w:rPr>
        <w:t xml:space="preserve">jurisdicción </w:t>
      </w:r>
      <w:r w:rsidR="0057038C" w:rsidRPr="00D9036E">
        <w:rPr>
          <w:rFonts w:asciiTheme="majorHAnsi" w:hAnsiTheme="majorHAnsi"/>
          <w:sz w:val="20"/>
          <w:szCs w:val="20"/>
          <w:lang w:val="es-ES"/>
        </w:rPr>
        <w:t>contencioso-administrativa no habría realizado un examen integral y motivado de la tipicidad y la prescripción</w:t>
      </w:r>
      <w:r w:rsidR="0057038C" w:rsidRPr="00DC65BB">
        <w:rPr>
          <w:rFonts w:asciiTheme="majorHAnsi" w:hAnsiTheme="majorHAnsi"/>
          <w:sz w:val="20"/>
          <w:szCs w:val="20"/>
          <w:lang w:val="es-ES"/>
        </w:rPr>
        <w:t xml:space="preserve">. Por su parte, el Estado </w:t>
      </w:r>
      <w:r w:rsidR="00A16E48" w:rsidRPr="00DC65BB">
        <w:rPr>
          <w:rFonts w:asciiTheme="majorHAnsi" w:hAnsiTheme="majorHAnsi"/>
          <w:sz w:val="20"/>
          <w:szCs w:val="20"/>
          <w:lang w:val="es-ES"/>
        </w:rPr>
        <w:t xml:space="preserve">panameño </w:t>
      </w:r>
      <w:r w:rsidR="0057038C" w:rsidRPr="00DC65BB">
        <w:rPr>
          <w:rFonts w:asciiTheme="majorHAnsi" w:hAnsiTheme="majorHAnsi"/>
          <w:sz w:val="20"/>
          <w:szCs w:val="20"/>
          <w:lang w:val="es-ES"/>
        </w:rPr>
        <w:t>sostiene que la destitución se ajustó a la normativa aplicable, la causal de desobediencia quedó acreditada y que el cómputo temporal efectuado por la autoridad nominadora y confirmado judicialmente fue conforme a derecho</w:t>
      </w:r>
      <w:r w:rsidR="00A1081A" w:rsidRPr="00DC65BB">
        <w:rPr>
          <w:rFonts w:asciiTheme="majorHAnsi" w:hAnsiTheme="majorHAnsi"/>
          <w:sz w:val="20"/>
          <w:szCs w:val="20"/>
          <w:lang w:val="es-ES"/>
        </w:rPr>
        <w:t xml:space="preserve">. Además, </w:t>
      </w:r>
      <w:r w:rsidR="00A16E48" w:rsidRPr="00DC65BB">
        <w:rPr>
          <w:rFonts w:asciiTheme="majorHAnsi" w:hAnsiTheme="majorHAnsi"/>
          <w:sz w:val="20"/>
          <w:szCs w:val="20"/>
          <w:lang w:val="es-ES"/>
        </w:rPr>
        <w:t>aduce</w:t>
      </w:r>
      <w:r w:rsidR="00A1081A" w:rsidRPr="00DC65BB">
        <w:rPr>
          <w:rFonts w:asciiTheme="majorHAnsi" w:hAnsiTheme="majorHAnsi"/>
          <w:sz w:val="20"/>
          <w:szCs w:val="20"/>
          <w:lang w:val="es-ES"/>
        </w:rPr>
        <w:t xml:space="preserve"> que la petición pretende convertir a la Comisión en una “cuarta instancia”</w:t>
      </w:r>
      <w:r w:rsidR="00944BF8" w:rsidRPr="00DC65BB">
        <w:rPr>
          <w:rFonts w:asciiTheme="majorHAnsi" w:hAnsiTheme="majorHAnsi"/>
          <w:sz w:val="20"/>
          <w:szCs w:val="20"/>
          <w:lang w:val="es-ES"/>
        </w:rPr>
        <w:t>.</w:t>
      </w:r>
    </w:p>
    <w:p w14:paraId="79EA1E49" w14:textId="3F9A6B83" w:rsidR="00BA7495" w:rsidRPr="00DC65BB" w:rsidRDefault="0002095A"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Al respecto, l</w:t>
      </w:r>
      <w:r w:rsidR="00BA7495" w:rsidRPr="00DC65BB">
        <w:rPr>
          <w:rFonts w:asciiTheme="majorHAnsi" w:hAnsiTheme="majorHAnsi"/>
          <w:sz w:val="20"/>
          <w:szCs w:val="20"/>
          <w:lang w:val="es-ES"/>
        </w:rPr>
        <w:t xml:space="preserve">a Comisión </w:t>
      </w:r>
      <w:r w:rsidR="00AE3B28" w:rsidRPr="00DC65BB">
        <w:rPr>
          <w:rFonts w:asciiTheme="majorHAnsi" w:hAnsiTheme="majorHAnsi"/>
          <w:sz w:val="20"/>
          <w:szCs w:val="20"/>
          <w:lang w:val="es-ES"/>
        </w:rPr>
        <w:t xml:space="preserve">recuerda que el artículo 26 </w:t>
      </w:r>
      <w:r w:rsidR="00BA7495" w:rsidRPr="00DC65BB">
        <w:rPr>
          <w:rFonts w:asciiTheme="majorHAnsi" w:hAnsiTheme="majorHAnsi"/>
          <w:sz w:val="20"/>
          <w:szCs w:val="20"/>
          <w:lang w:val="es-ES"/>
        </w:rPr>
        <w:t>de la Convención Americana protege el derecho al trabajo</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tanto en el ámbito público como en el privado, del cual se deriva la</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 xml:space="preserve">garantía de estabilidad </w:t>
      </w:r>
      <w:r w:rsidR="00BA7495" w:rsidRPr="00DC65BB">
        <w:rPr>
          <w:rFonts w:asciiTheme="majorHAnsi" w:hAnsiTheme="majorHAnsi"/>
          <w:sz w:val="20"/>
          <w:szCs w:val="20"/>
          <w:lang w:val="es-ES"/>
        </w:rPr>
        <w:lastRenderedPageBreak/>
        <w:t>laboral</w:t>
      </w:r>
      <w:r w:rsidR="00BA7495" w:rsidRPr="00DC65BB">
        <w:rPr>
          <w:rFonts w:asciiTheme="majorHAnsi" w:hAnsiTheme="majorHAnsi"/>
          <w:sz w:val="20"/>
          <w:szCs w:val="20"/>
          <w:vertAlign w:val="superscript"/>
          <w:lang w:val="es-ES"/>
        </w:rPr>
        <w:footnoteReference w:id="4"/>
      </w:r>
      <w:r w:rsidR="00BA7495" w:rsidRPr="00DC65BB">
        <w:rPr>
          <w:rFonts w:asciiTheme="majorHAnsi" w:hAnsiTheme="majorHAnsi"/>
          <w:sz w:val="20"/>
          <w:szCs w:val="20"/>
          <w:lang w:val="es-ES"/>
        </w:rPr>
        <w:t>. Esta garantía exige que toda decisión de</w:t>
      </w:r>
      <w:r w:rsidR="00AE3B28" w:rsidRPr="00DC65BB">
        <w:rPr>
          <w:rFonts w:asciiTheme="majorHAnsi" w:hAnsiTheme="majorHAnsi"/>
          <w:sz w:val="20"/>
          <w:szCs w:val="20"/>
          <w:lang w:val="es-ES"/>
        </w:rPr>
        <w:t xml:space="preserve"> cese </w:t>
      </w:r>
      <w:r w:rsidR="00BA7495" w:rsidRPr="00DC65BB">
        <w:rPr>
          <w:rFonts w:asciiTheme="majorHAnsi" w:hAnsiTheme="majorHAnsi"/>
          <w:sz w:val="20"/>
          <w:szCs w:val="20"/>
          <w:lang w:val="es-ES"/>
        </w:rPr>
        <w:t>se adopte con</w:t>
      </w:r>
      <w:r w:rsidR="00AE3B28" w:rsidRPr="00DC65BB">
        <w:rPr>
          <w:rFonts w:asciiTheme="majorHAnsi" w:hAnsiTheme="majorHAnsi"/>
          <w:sz w:val="20"/>
          <w:szCs w:val="20"/>
          <w:lang w:val="es-ES"/>
        </w:rPr>
        <w:t xml:space="preserve"> f</w:t>
      </w:r>
      <w:r w:rsidR="00BA7495" w:rsidRPr="00DC65BB">
        <w:rPr>
          <w:rFonts w:asciiTheme="majorHAnsi" w:hAnsiTheme="majorHAnsi"/>
          <w:sz w:val="20"/>
          <w:szCs w:val="20"/>
          <w:lang w:val="es-ES"/>
        </w:rPr>
        <w:t>undamentación suficiente</w:t>
      </w:r>
      <w:r w:rsidR="00AE3B28" w:rsidRPr="00DC65BB">
        <w:rPr>
          <w:rFonts w:asciiTheme="majorHAnsi" w:hAnsiTheme="majorHAnsi"/>
          <w:sz w:val="20"/>
          <w:szCs w:val="20"/>
          <w:lang w:val="es-ES"/>
        </w:rPr>
        <w:t xml:space="preserve"> y </w:t>
      </w:r>
      <w:r w:rsidR="00BA7495" w:rsidRPr="00DC65BB">
        <w:rPr>
          <w:rFonts w:asciiTheme="majorHAnsi" w:hAnsiTheme="majorHAnsi"/>
          <w:sz w:val="20"/>
          <w:szCs w:val="20"/>
          <w:lang w:val="es-ES"/>
        </w:rPr>
        <w:t>debida motivació</w:t>
      </w:r>
      <w:r w:rsidR="00EC524D" w:rsidRPr="00DC65BB">
        <w:rPr>
          <w:rFonts w:asciiTheme="majorHAnsi" w:hAnsiTheme="majorHAnsi"/>
          <w:sz w:val="20"/>
          <w:szCs w:val="20"/>
          <w:lang w:val="es-ES"/>
        </w:rPr>
        <w:t>n</w:t>
      </w:r>
      <w:r w:rsidR="00BA7495" w:rsidRPr="00DC65BB">
        <w:rPr>
          <w:rFonts w:asciiTheme="majorHAnsi" w:hAnsiTheme="majorHAnsi"/>
          <w:sz w:val="20"/>
          <w:szCs w:val="20"/>
          <w:vertAlign w:val="superscript"/>
          <w:lang w:val="es-ES"/>
        </w:rPr>
        <w:footnoteReference w:id="5"/>
      </w:r>
      <w:r w:rsidR="00BA7495" w:rsidRPr="00DC65BB">
        <w:rPr>
          <w:rFonts w:asciiTheme="majorHAnsi" w:hAnsiTheme="majorHAnsi"/>
          <w:sz w:val="20"/>
          <w:szCs w:val="20"/>
          <w:lang w:val="es-ES"/>
        </w:rPr>
        <w:t>. Tratándose de</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servidores públicos, el derecho a la estabilidad debe interpretarse de manera</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conjunta</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con el</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derecho de acceso y permanencia en funciones públicas en condiciones generales de igualdad</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reconocido en el</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artículo 23.1.c)</w:t>
      </w:r>
      <w:r w:rsidR="00AE3B28"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de la Convención.</w:t>
      </w:r>
    </w:p>
    <w:p w14:paraId="38188B3C" w14:textId="23C866FE" w:rsidR="003E2FBB" w:rsidRPr="00D9036E" w:rsidRDefault="00C04837"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Asimismo, la Corte Interamericana ha señalado que el deber de motivación exige exponer razones claras, coherentes y verificables en el expediente y en el sistema de fuentes aplicable, de modo que se descarte la arbitrariedad y se posibilite un control judicial efectivo. Tratándose de procedimientos sancionatorios, además, la decisión debe apoyarse en criterios racionales y objetivos que demuestren, con base probatoria suficiente, la configuración de la falta y la necesidad de la sanción impuesta</w:t>
      </w:r>
      <w:r w:rsidR="0077233D" w:rsidRPr="00DC65BB">
        <w:rPr>
          <w:rStyle w:val="FootnoteReference"/>
          <w:rFonts w:asciiTheme="majorHAnsi" w:hAnsiTheme="majorHAnsi"/>
          <w:sz w:val="20"/>
          <w:szCs w:val="20"/>
          <w:lang w:val="es-ES"/>
        </w:rPr>
        <w:footnoteReference w:id="6"/>
      </w:r>
      <w:r w:rsidRPr="00DC65BB">
        <w:rPr>
          <w:rFonts w:asciiTheme="majorHAnsi" w:hAnsiTheme="majorHAnsi"/>
          <w:sz w:val="20"/>
          <w:szCs w:val="20"/>
          <w:lang w:val="es-ES"/>
        </w:rPr>
        <w:t xml:space="preserve">. En esa línea, la motivación adquiere un carácter reforzado: </w:t>
      </w:r>
      <w:r w:rsidRPr="00D9036E">
        <w:rPr>
          <w:rFonts w:asciiTheme="majorHAnsi" w:hAnsiTheme="majorHAnsi"/>
          <w:sz w:val="20"/>
          <w:szCs w:val="20"/>
          <w:lang w:val="es-ES"/>
        </w:rPr>
        <w:t>el control disciplinario valora conducta, idoneidad y desempeño, por lo que en la propia motivación debe analizarse con claridad la tipicidad de la conducta, su gravedad y la proporcionalidad de la sanción</w:t>
      </w:r>
      <w:r w:rsidR="0077233D" w:rsidRPr="00D9036E">
        <w:rPr>
          <w:rStyle w:val="FootnoteReference"/>
          <w:rFonts w:asciiTheme="majorHAnsi" w:hAnsiTheme="majorHAnsi"/>
          <w:sz w:val="20"/>
          <w:szCs w:val="20"/>
          <w:lang w:val="es-ES"/>
        </w:rPr>
        <w:footnoteReference w:id="7"/>
      </w:r>
      <w:r w:rsidRPr="00D9036E">
        <w:rPr>
          <w:rFonts w:asciiTheme="majorHAnsi" w:hAnsiTheme="majorHAnsi"/>
          <w:sz w:val="20"/>
          <w:szCs w:val="20"/>
          <w:lang w:val="es-ES"/>
        </w:rPr>
        <w:t xml:space="preserve">. </w:t>
      </w:r>
      <w:r w:rsidR="00DC65BB" w:rsidRPr="00D9036E">
        <w:rPr>
          <w:rFonts w:asciiTheme="majorHAnsi" w:hAnsiTheme="majorHAnsi"/>
          <w:sz w:val="20"/>
          <w:szCs w:val="20"/>
          <w:lang w:val="es-ES"/>
        </w:rPr>
        <w:t>En concordancia con estos parámetros, la CIDH reitera que sancionar a operadores de justicia por sus juicios o criterios jurídicos en resoluciones viola el derecho internacional</w:t>
      </w:r>
      <w:r w:rsidR="00DC65BB" w:rsidRPr="00D9036E">
        <w:rPr>
          <w:rStyle w:val="FootnoteReference"/>
          <w:rFonts w:asciiTheme="majorHAnsi" w:hAnsiTheme="majorHAnsi"/>
          <w:sz w:val="20"/>
          <w:szCs w:val="20"/>
          <w:lang w:val="es-ES"/>
        </w:rPr>
        <w:footnoteReference w:id="8"/>
      </w:r>
      <w:r w:rsidR="00DC65BB" w:rsidRPr="00D9036E">
        <w:rPr>
          <w:rFonts w:asciiTheme="majorHAnsi" w:hAnsiTheme="majorHAnsi"/>
          <w:sz w:val="20"/>
          <w:szCs w:val="20"/>
          <w:lang w:val="es-ES"/>
        </w:rPr>
        <w:t>.</w:t>
      </w:r>
    </w:p>
    <w:p w14:paraId="2B99589B" w14:textId="4B35494E" w:rsidR="0002095A" w:rsidRPr="00DC65BB" w:rsidRDefault="00C04837"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9036E">
        <w:rPr>
          <w:rFonts w:asciiTheme="majorHAnsi" w:hAnsiTheme="majorHAnsi"/>
          <w:sz w:val="20"/>
          <w:szCs w:val="20"/>
          <w:lang w:val="es-ES"/>
        </w:rPr>
        <w:t xml:space="preserve">El Tribunal </w:t>
      </w:r>
      <w:r w:rsidR="0002095A" w:rsidRPr="00D9036E">
        <w:rPr>
          <w:rFonts w:asciiTheme="majorHAnsi" w:hAnsiTheme="majorHAnsi"/>
          <w:sz w:val="20"/>
          <w:szCs w:val="20"/>
          <w:lang w:val="es-ES"/>
        </w:rPr>
        <w:t>ha establecido que en los procedimientos sancionatorios resultan plenamente aplicables las garantías del artículo 8 de la Convención Americana</w:t>
      </w:r>
      <w:r w:rsidR="00E93A8F" w:rsidRPr="00D9036E">
        <w:rPr>
          <w:rStyle w:val="FootnoteReference"/>
          <w:rFonts w:asciiTheme="majorHAnsi" w:hAnsiTheme="majorHAnsi"/>
          <w:sz w:val="20"/>
          <w:szCs w:val="20"/>
          <w:lang w:val="es-ES"/>
        </w:rPr>
        <w:footnoteReference w:id="9"/>
      </w:r>
      <w:r w:rsidR="0002095A" w:rsidRPr="00D9036E">
        <w:rPr>
          <w:rFonts w:asciiTheme="majorHAnsi" w:hAnsiTheme="majorHAnsi"/>
          <w:sz w:val="20"/>
          <w:szCs w:val="20"/>
          <w:lang w:val="es-ES"/>
        </w:rPr>
        <w:t>, destacándose</w:t>
      </w:r>
      <w:r w:rsidR="0002095A" w:rsidRPr="00DC65BB">
        <w:rPr>
          <w:rFonts w:asciiTheme="majorHAnsi" w:hAnsiTheme="majorHAnsi"/>
          <w:sz w:val="20"/>
          <w:szCs w:val="20"/>
          <w:lang w:val="es-ES"/>
        </w:rPr>
        <w:t>, en particular, el derecho a recurrir el fallo consagrado en el artículo 8.2.h como garantía esencial del debido proceso</w:t>
      </w:r>
      <w:r w:rsidR="00E93A8F" w:rsidRPr="00DC65BB">
        <w:rPr>
          <w:rStyle w:val="FootnoteReference"/>
          <w:rFonts w:asciiTheme="majorHAnsi" w:hAnsiTheme="majorHAnsi"/>
          <w:sz w:val="20"/>
          <w:szCs w:val="20"/>
          <w:lang w:val="es-ES"/>
        </w:rPr>
        <w:footnoteReference w:id="10"/>
      </w:r>
      <w:r w:rsidR="00EC524D" w:rsidRPr="00DC65BB">
        <w:rPr>
          <w:rFonts w:asciiTheme="majorHAnsi" w:hAnsiTheme="majorHAnsi"/>
          <w:sz w:val="20"/>
          <w:szCs w:val="20"/>
          <w:lang w:val="es-ES"/>
        </w:rPr>
        <w:t>.</w:t>
      </w:r>
      <w:r w:rsidR="0002095A" w:rsidRPr="00DC65BB">
        <w:rPr>
          <w:rFonts w:asciiTheme="majorHAnsi" w:hAnsiTheme="majorHAnsi"/>
          <w:sz w:val="20"/>
          <w:szCs w:val="20"/>
          <w:lang w:val="es-ES"/>
        </w:rPr>
        <w:t xml:space="preserve"> Ello exige la disponibilidad de un recurso ante </w:t>
      </w:r>
      <w:r w:rsidR="00944BF8" w:rsidRPr="00DC65BB">
        <w:rPr>
          <w:rFonts w:asciiTheme="majorHAnsi" w:hAnsiTheme="majorHAnsi"/>
          <w:sz w:val="20"/>
          <w:szCs w:val="20"/>
          <w:lang w:val="es-ES"/>
        </w:rPr>
        <w:t xml:space="preserve">un </w:t>
      </w:r>
      <w:r w:rsidR="0002095A" w:rsidRPr="00DC65BB">
        <w:rPr>
          <w:rFonts w:asciiTheme="majorHAnsi" w:hAnsiTheme="majorHAnsi"/>
          <w:sz w:val="20"/>
          <w:szCs w:val="20"/>
          <w:lang w:val="es-ES"/>
        </w:rPr>
        <w:t>órgano distinto y jerárquicamente superior, apto para realizar un examen suficiente e integral, de hecho y</w:t>
      </w:r>
      <w:r w:rsidR="00944BF8" w:rsidRPr="00DC65BB">
        <w:rPr>
          <w:rFonts w:asciiTheme="majorHAnsi" w:hAnsiTheme="majorHAnsi"/>
          <w:sz w:val="20"/>
          <w:szCs w:val="20"/>
          <w:lang w:val="es-ES"/>
        </w:rPr>
        <w:t xml:space="preserve"> de</w:t>
      </w:r>
      <w:r w:rsidR="0002095A" w:rsidRPr="00DC65BB">
        <w:rPr>
          <w:rFonts w:asciiTheme="majorHAnsi" w:hAnsiTheme="majorHAnsi"/>
          <w:sz w:val="20"/>
          <w:szCs w:val="20"/>
          <w:lang w:val="es-ES"/>
        </w:rPr>
        <w:t xml:space="preserve"> derecho, </w:t>
      </w:r>
      <w:r w:rsidR="00A1081A" w:rsidRPr="00DC65BB">
        <w:rPr>
          <w:rFonts w:asciiTheme="majorHAnsi" w:hAnsiTheme="majorHAnsi"/>
          <w:sz w:val="20"/>
          <w:szCs w:val="20"/>
          <w:lang w:val="es-ES"/>
        </w:rPr>
        <w:t>de</w:t>
      </w:r>
      <w:r w:rsidR="0002095A" w:rsidRPr="00DC65BB">
        <w:rPr>
          <w:rFonts w:asciiTheme="majorHAnsi" w:hAnsiTheme="majorHAnsi"/>
          <w:sz w:val="20"/>
          <w:szCs w:val="20"/>
          <w:lang w:val="es-ES"/>
        </w:rPr>
        <w:t xml:space="preserve"> la decisión impugnada, con observancia de las garantías procesales mínimas pertinentes para resolver los agravios del recurrente</w:t>
      </w:r>
      <w:r w:rsidR="00EC524D" w:rsidRPr="00DC65BB">
        <w:rPr>
          <w:rStyle w:val="FootnoteReference"/>
          <w:rFonts w:asciiTheme="majorHAnsi" w:hAnsiTheme="majorHAnsi"/>
          <w:sz w:val="20"/>
          <w:szCs w:val="20"/>
          <w:lang w:val="es-ES"/>
        </w:rPr>
        <w:footnoteReference w:id="11"/>
      </w:r>
      <w:r w:rsidR="00EC524D" w:rsidRPr="00DC65BB">
        <w:rPr>
          <w:rFonts w:asciiTheme="majorHAnsi" w:hAnsiTheme="majorHAnsi"/>
          <w:sz w:val="20"/>
          <w:szCs w:val="20"/>
          <w:lang w:val="es-ES"/>
        </w:rPr>
        <w:t>.</w:t>
      </w:r>
    </w:p>
    <w:p w14:paraId="563D13B8" w14:textId="08FC27C9" w:rsidR="00A1081A" w:rsidRPr="00DC65BB" w:rsidRDefault="00A1081A"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En el caso concreto, los alegatos del señor Tomás González Feuillebois en el sentido de que la destitución se fundó en calificar su actuación como “desobediencia”</w:t>
      </w:r>
      <w:r w:rsidR="00401D3B">
        <w:rPr>
          <w:rFonts w:asciiTheme="majorHAnsi" w:hAnsiTheme="majorHAnsi"/>
          <w:sz w:val="20"/>
          <w:szCs w:val="20"/>
          <w:lang w:val="es-ES"/>
        </w:rPr>
        <w:t>,</w:t>
      </w:r>
      <w:r w:rsidRPr="00DC65BB">
        <w:rPr>
          <w:rFonts w:asciiTheme="majorHAnsi" w:hAnsiTheme="majorHAnsi"/>
          <w:sz w:val="20"/>
          <w:szCs w:val="20"/>
          <w:lang w:val="es-ES"/>
        </w:rPr>
        <w:t xml:space="preserve"> sin demostrar, con tipicidad estricta y argumentos verificables en el expediente y en el sistema de fuentes aplicable, por qué dicha interpretación jurídica constituía una infracción disciplinaria y no una discrepancia interpretativa corregible por las vías impugnativas ordinarias, podrían ser indicativos de una decisión contraria al estándar de motivación. Asimismo, el cuestionamiento referido al cómputo del plazo disciplinario, pese al texto expreso del cuadro de sanciones, plantea en esta etapa una posible afectación del principio de previsibilidad y de estricta sujeción a la ley en materia sancionatoria, que exige interpretar y aplicar las reglas de prescripción de manera clara, sin introducir criterios discrecionales. Finalmente, la revisión contencioso-administrativa que confirmó la destitución, sin un examen integral y explícito de la tipicidad y de la prescripción, podría no satisfacer la garantía del recurso efectivo ni del derecho a recurrir el fallo ante un órgano superior con capacidad para revisar integralmente la decisión de destitución.</w:t>
      </w:r>
    </w:p>
    <w:p w14:paraId="63D835CF" w14:textId="6F3A0566" w:rsidR="00767D37" w:rsidRPr="00DC65BB" w:rsidRDefault="008C5E2D" w:rsidP="00DC65BB">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num" w:pos="720"/>
        </w:tabs>
        <w:suppressAutoHyphens/>
        <w:spacing w:before="240" w:after="240"/>
        <w:ind w:left="0" w:firstLine="720"/>
        <w:jc w:val="both"/>
        <w:rPr>
          <w:rFonts w:asciiTheme="majorHAnsi" w:hAnsiTheme="majorHAnsi"/>
          <w:sz w:val="20"/>
          <w:szCs w:val="20"/>
          <w:lang w:val="es-ES"/>
        </w:rPr>
      </w:pPr>
      <w:r w:rsidRPr="00DC65BB">
        <w:rPr>
          <w:rFonts w:asciiTheme="majorHAnsi" w:hAnsiTheme="majorHAnsi"/>
          <w:sz w:val="20"/>
          <w:szCs w:val="20"/>
          <w:lang w:val="es-ES"/>
        </w:rPr>
        <w:t>En aten</w:t>
      </w:r>
      <w:r w:rsidR="00C25ADB" w:rsidRPr="00DC65BB">
        <w:rPr>
          <w:rFonts w:asciiTheme="majorHAnsi" w:hAnsiTheme="majorHAnsi"/>
          <w:sz w:val="20"/>
          <w:szCs w:val="20"/>
          <w:lang w:val="es-ES"/>
        </w:rPr>
        <w:t>ción a estas consideraciones</w:t>
      </w:r>
      <w:r w:rsidR="002A0469">
        <w:rPr>
          <w:rFonts w:asciiTheme="majorHAnsi" w:hAnsiTheme="majorHAnsi"/>
          <w:sz w:val="20"/>
          <w:szCs w:val="20"/>
          <w:lang w:val="es-ES"/>
        </w:rPr>
        <w:t>,</w:t>
      </w:r>
      <w:r w:rsidR="00C25ADB" w:rsidRPr="00DC65BB">
        <w:rPr>
          <w:rFonts w:asciiTheme="majorHAnsi" w:hAnsiTheme="majorHAnsi"/>
          <w:sz w:val="20"/>
          <w:szCs w:val="20"/>
          <w:lang w:val="es-ES"/>
        </w:rPr>
        <w:t xml:space="preserve"> y </w:t>
      </w:r>
      <w:r w:rsidRPr="00DC65BB">
        <w:rPr>
          <w:rFonts w:asciiTheme="majorHAnsi" w:hAnsiTheme="majorHAnsi"/>
          <w:sz w:val="20"/>
          <w:szCs w:val="20"/>
          <w:lang w:val="es-ES"/>
        </w:rPr>
        <w:t>tras examinar los elementos de hecho y de derecho expuestos por las partes</w:t>
      </w:r>
      <w:r w:rsidR="00944BF8" w:rsidRPr="00DC65BB">
        <w:rPr>
          <w:rFonts w:asciiTheme="majorHAnsi" w:hAnsiTheme="majorHAnsi"/>
          <w:sz w:val="20"/>
          <w:szCs w:val="20"/>
          <w:lang w:val="es-ES"/>
        </w:rPr>
        <w:t>,</w:t>
      </w:r>
      <w:r w:rsidRPr="00DC65BB">
        <w:rPr>
          <w:rFonts w:asciiTheme="majorHAnsi" w:hAnsiTheme="majorHAnsi"/>
          <w:sz w:val="20"/>
          <w:szCs w:val="20"/>
          <w:lang w:val="es-ES"/>
        </w:rPr>
        <w:t xml:space="preserve"> la Comisión estima que las alegaciones de la parte peticionaria no resultan manifiestamente infundadas y requieren un estudio de fondo</w:t>
      </w:r>
      <w:r w:rsidR="00394073" w:rsidRPr="00DC65BB">
        <w:rPr>
          <w:rFonts w:asciiTheme="majorHAnsi" w:hAnsiTheme="majorHAnsi"/>
          <w:sz w:val="20"/>
          <w:szCs w:val="20"/>
          <w:lang w:val="es-ES"/>
        </w:rPr>
        <w:t>;</w:t>
      </w:r>
      <w:r w:rsidRPr="00DC65BB">
        <w:rPr>
          <w:rFonts w:asciiTheme="majorHAnsi" w:hAnsiTheme="majorHAnsi"/>
          <w:sz w:val="20"/>
          <w:szCs w:val="20"/>
          <w:lang w:val="es-ES"/>
        </w:rPr>
        <w:t xml:space="preserve"> pues los hechos alegados, de corroborarse como ciertos</w:t>
      </w:r>
      <w:r w:rsidR="00394073" w:rsidRPr="00DC65BB">
        <w:rPr>
          <w:rFonts w:asciiTheme="majorHAnsi" w:hAnsiTheme="majorHAnsi"/>
          <w:sz w:val="20"/>
          <w:szCs w:val="20"/>
          <w:lang w:val="es-ES"/>
        </w:rPr>
        <w:t>,</w:t>
      </w:r>
      <w:r w:rsidRPr="00DC65BB">
        <w:rPr>
          <w:rFonts w:asciiTheme="majorHAnsi" w:hAnsiTheme="majorHAnsi"/>
          <w:sz w:val="20"/>
          <w:szCs w:val="20"/>
          <w:lang w:val="es-ES"/>
        </w:rPr>
        <w:t xml:space="preserve"> podrían caracteri</w:t>
      </w:r>
      <w:r w:rsidR="004B421C" w:rsidRPr="00DC65BB">
        <w:rPr>
          <w:rFonts w:asciiTheme="majorHAnsi" w:hAnsiTheme="majorHAnsi"/>
          <w:sz w:val="20"/>
          <w:szCs w:val="20"/>
          <w:lang w:val="es-ES"/>
        </w:rPr>
        <w:t>zar violaciones a los artículos</w:t>
      </w:r>
      <w:r w:rsidR="00394073" w:rsidRPr="00DC65BB">
        <w:rPr>
          <w:rFonts w:asciiTheme="majorHAnsi" w:hAnsiTheme="majorHAnsi"/>
          <w:sz w:val="20"/>
          <w:szCs w:val="20"/>
          <w:lang w:val="es-ES"/>
        </w:rPr>
        <w:t xml:space="preserve"> </w:t>
      </w:r>
      <w:r w:rsidR="005D2539" w:rsidRPr="00DC65BB">
        <w:rPr>
          <w:rFonts w:asciiTheme="majorHAnsi" w:hAnsiTheme="majorHAnsi"/>
          <w:sz w:val="20"/>
          <w:szCs w:val="20"/>
          <w:lang w:val="es-ES"/>
        </w:rPr>
        <w:t>8 (garantías judiciales), 9 (principio de legalidad y de retroactividad</w:t>
      </w:r>
      <w:r w:rsidR="0057038C" w:rsidRPr="00DC65BB">
        <w:rPr>
          <w:rFonts w:asciiTheme="majorHAnsi" w:hAnsiTheme="majorHAnsi"/>
          <w:sz w:val="20"/>
          <w:szCs w:val="20"/>
          <w:lang w:val="es-ES"/>
        </w:rPr>
        <w:t>)</w:t>
      </w:r>
      <w:r w:rsidR="00944BF8" w:rsidRPr="00DC65BB">
        <w:rPr>
          <w:rFonts w:asciiTheme="majorHAnsi" w:hAnsiTheme="majorHAnsi"/>
          <w:sz w:val="20"/>
          <w:szCs w:val="20"/>
          <w:lang w:val="es-ES"/>
        </w:rPr>
        <w:t>,</w:t>
      </w:r>
      <w:r w:rsidR="005D2539" w:rsidRPr="00DC65BB">
        <w:rPr>
          <w:rFonts w:asciiTheme="majorHAnsi" w:hAnsiTheme="majorHAnsi"/>
          <w:sz w:val="20"/>
          <w:szCs w:val="20"/>
          <w:lang w:val="es-ES"/>
        </w:rPr>
        <w:t xml:space="preserve"> </w:t>
      </w:r>
      <w:r w:rsidR="00BA7495" w:rsidRPr="00DC65BB">
        <w:rPr>
          <w:rFonts w:asciiTheme="majorHAnsi" w:hAnsiTheme="majorHAnsi"/>
          <w:sz w:val="20"/>
          <w:szCs w:val="20"/>
          <w:lang w:val="es-ES"/>
        </w:rPr>
        <w:t xml:space="preserve">23 (derechos políticos), </w:t>
      </w:r>
      <w:r w:rsidR="005D2539" w:rsidRPr="00DC65BB">
        <w:rPr>
          <w:rFonts w:asciiTheme="majorHAnsi" w:hAnsiTheme="majorHAnsi"/>
          <w:sz w:val="20"/>
          <w:szCs w:val="20"/>
          <w:lang w:val="es-ES"/>
        </w:rPr>
        <w:t xml:space="preserve">25 (protección judicial) </w:t>
      </w:r>
      <w:r w:rsidR="00BA7495" w:rsidRPr="00DC65BB">
        <w:rPr>
          <w:rFonts w:asciiTheme="majorHAnsi" w:hAnsiTheme="majorHAnsi"/>
          <w:sz w:val="20"/>
          <w:szCs w:val="20"/>
          <w:lang w:val="es-ES"/>
        </w:rPr>
        <w:t xml:space="preserve"> y 26 (derechos económicos, sociales y culturales) </w:t>
      </w:r>
      <w:r w:rsidR="005D2539" w:rsidRPr="00DC65BB">
        <w:rPr>
          <w:rFonts w:asciiTheme="majorHAnsi" w:hAnsiTheme="majorHAnsi"/>
          <w:sz w:val="20"/>
          <w:szCs w:val="20"/>
          <w:lang w:val="es-ES"/>
        </w:rPr>
        <w:t>de la Convención Americana</w:t>
      </w:r>
      <w:r w:rsidR="00C04837" w:rsidRPr="00DC65BB">
        <w:rPr>
          <w:rFonts w:asciiTheme="majorHAnsi" w:hAnsiTheme="majorHAnsi"/>
          <w:sz w:val="20"/>
          <w:szCs w:val="20"/>
          <w:lang w:val="es-ES"/>
        </w:rPr>
        <w:t>, en relación con su artículo 1.1,</w:t>
      </w:r>
      <w:r w:rsidR="00394073" w:rsidRPr="00DC65BB">
        <w:rPr>
          <w:rFonts w:asciiTheme="majorHAnsi" w:hAnsiTheme="majorHAnsi"/>
          <w:sz w:val="20"/>
          <w:szCs w:val="20"/>
          <w:lang w:val="es-ES"/>
        </w:rPr>
        <w:t xml:space="preserve"> en perjuicio </w:t>
      </w:r>
      <w:r w:rsidR="00140702" w:rsidRPr="00DC65BB">
        <w:rPr>
          <w:rFonts w:asciiTheme="majorHAnsi" w:hAnsiTheme="majorHAnsi"/>
          <w:sz w:val="20"/>
          <w:szCs w:val="20"/>
          <w:lang w:val="es-ES"/>
        </w:rPr>
        <w:t xml:space="preserve">del </w:t>
      </w:r>
      <w:r w:rsidR="009734D7" w:rsidRPr="00DC65BB">
        <w:rPr>
          <w:rFonts w:asciiTheme="majorHAnsi" w:hAnsiTheme="majorHAnsi"/>
          <w:sz w:val="20"/>
          <w:szCs w:val="20"/>
          <w:lang w:val="es-ES"/>
        </w:rPr>
        <w:t>señor</w:t>
      </w:r>
      <w:r w:rsidR="00140702" w:rsidRPr="00DC65BB">
        <w:rPr>
          <w:rFonts w:asciiTheme="majorHAnsi" w:hAnsiTheme="majorHAnsi"/>
          <w:sz w:val="20"/>
          <w:szCs w:val="20"/>
          <w:lang w:val="es-ES"/>
        </w:rPr>
        <w:t xml:space="preserve"> Tomás González Feuillebois</w:t>
      </w:r>
      <w:r w:rsidR="00087A56" w:rsidRPr="00DC65BB">
        <w:rPr>
          <w:rFonts w:asciiTheme="majorHAnsi" w:hAnsiTheme="majorHAnsi"/>
          <w:sz w:val="20"/>
          <w:szCs w:val="20"/>
          <w:lang w:val="es-ES"/>
        </w:rPr>
        <w:t xml:space="preserve">. </w:t>
      </w:r>
    </w:p>
    <w:p w14:paraId="445BF42E" w14:textId="64CE9287" w:rsidR="003239B8" w:rsidRPr="00DC65BB" w:rsidRDefault="003239B8" w:rsidP="00DC65BB">
      <w:pPr>
        <w:pStyle w:val="ListParagraph"/>
        <w:spacing w:before="240" w:after="240"/>
        <w:ind w:left="0" w:firstLine="720"/>
        <w:jc w:val="both"/>
        <w:rPr>
          <w:rFonts w:asciiTheme="majorHAnsi" w:hAnsiTheme="majorHAnsi"/>
          <w:b/>
          <w:bCs/>
          <w:sz w:val="20"/>
          <w:szCs w:val="20"/>
          <w:lang w:val="es-ES"/>
        </w:rPr>
      </w:pPr>
      <w:r w:rsidRPr="00DC65BB">
        <w:rPr>
          <w:rFonts w:asciiTheme="majorHAnsi" w:hAnsiTheme="majorHAnsi"/>
          <w:b/>
          <w:bCs/>
          <w:sz w:val="20"/>
          <w:szCs w:val="20"/>
          <w:lang w:val="es-ES"/>
        </w:rPr>
        <w:lastRenderedPageBreak/>
        <w:t xml:space="preserve">VIII. </w:t>
      </w:r>
      <w:r w:rsidRPr="00DC65BB">
        <w:rPr>
          <w:rFonts w:asciiTheme="majorHAnsi" w:hAnsiTheme="majorHAnsi"/>
          <w:b/>
          <w:bCs/>
          <w:sz w:val="20"/>
          <w:szCs w:val="20"/>
          <w:lang w:val="es-ES"/>
        </w:rPr>
        <w:tab/>
        <w:t>DECISIÓN</w:t>
      </w:r>
    </w:p>
    <w:p w14:paraId="16B36F97" w14:textId="5C684050" w:rsidR="003239B8" w:rsidRPr="00DC65BB" w:rsidRDefault="003239B8" w:rsidP="00DC65B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C65BB">
        <w:rPr>
          <w:rFonts w:asciiTheme="majorHAnsi" w:hAnsiTheme="majorHAnsi"/>
          <w:sz w:val="20"/>
          <w:szCs w:val="20"/>
          <w:lang w:val="es-ES"/>
        </w:rPr>
        <w:t>Declarar admisible la presente petición en relación con</w:t>
      </w:r>
      <w:r w:rsidR="001D7F96" w:rsidRPr="00DC65BB">
        <w:rPr>
          <w:rFonts w:asciiTheme="majorHAnsi" w:hAnsiTheme="majorHAnsi"/>
          <w:sz w:val="20"/>
          <w:szCs w:val="20"/>
          <w:lang w:val="es-ES"/>
        </w:rPr>
        <w:t xml:space="preserve"> </w:t>
      </w:r>
      <w:r w:rsidR="005D2539" w:rsidRPr="00DC65BB">
        <w:rPr>
          <w:rFonts w:asciiTheme="majorHAnsi" w:hAnsiTheme="majorHAnsi"/>
          <w:sz w:val="20"/>
          <w:szCs w:val="20"/>
          <w:lang w:val="es-ES"/>
        </w:rPr>
        <w:t>8, 9</w:t>
      </w:r>
      <w:r w:rsidR="00BA7495" w:rsidRPr="00DC65BB">
        <w:rPr>
          <w:rFonts w:asciiTheme="majorHAnsi" w:hAnsiTheme="majorHAnsi"/>
          <w:sz w:val="20"/>
          <w:szCs w:val="20"/>
          <w:lang w:val="es-ES"/>
        </w:rPr>
        <w:t>, 23,</w:t>
      </w:r>
      <w:r w:rsidR="005D2539" w:rsidRPr="00DC65BB">
        <w:rPr>
          <w:rFonts w:asciiTheme="majorHAnsi" w:hAnsiTheme="majorHAnsi"/>
          <w:sz w:val="20"/>
          <w:szCs w:val="20"/>
          <w:lang w:val="es-ES"/>
        </w:rPr>
        <w:t xml:space="preserve"> 25</w:t>
      </w:r>
      <w:r w:rsidR="00BA7495" w:rsidRPr="00DC65BB">
        <w:rPr>
          <w:rFonts w:asciiTheme="majorHAnsi" w:hAnsiTheme="majorHAnsi"/>
          <w:sz w:val="20"/>
          <w:szCs w:val="20"/>
          <w:lang w:val="es-ES"/>
        </w:rPr>
        <w:t xml:space="preserve"> y 26</w:t>
      </w:r>
      <w:r w:rsidR="005D2539" w:rsidRPr="00DC65BB">
        <w:rPr>
          <w:rFonts w:asciiTheme="majorHAnsi" w:hAnsiTheme="majorHAnsi"/>
          <w:sz w:val="20"/>
          <w:szCs w:val="20"/>
          <w:lang w:val="es-ES"/>
        </w:rPr>
        <w:t xml:space="preserve"> de la Convención Americana en relación con su artículo 1.1</w:t>
      </w:r>
      <w:r w:rsidR="005A4226">
        <w:rPr>
          <w:rFonts w:asciiTheme="majorHAnsi" w:hAnsiTheme="majorHAnsi"/>
          <w:sz w:val="20"/>
          <w:szCs w:val="20"/>
          <w:lang w:val="es-ES"/>
        </w:rPr>
        <w:t>; y</w:t>
      </w:r>
    </w:p>
    <w:p w14:paraId="434082D2" w14:textId="12C8BFFD" w:rsidR="007529DF" w:rsidRPr="00DC65BB" w:rsidRDefault="004A6A54" w:rsidP="00DC65BB">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DC65BB">
        <w:rPr>
          <w:rFonts w:asciiTheme="majorHAnsi" w:hAnsiTheme="majorHAnsi"/>
          <w:sz w:val="20"/>
          <w:szCs w:val="20"/>
          <w:lang w:val="es-ES"/>
        </w:rPr>
        <w:t>Notificar a las partes la presente decisión; continuar con el análisis del fondo de la cuestión</w:t>
      </w:r>
      <w:r w:rsidR="005D2539" w:rsidRPr="00DC65BB">
        <w:rPr>
          <w:rFonts w:asciiTheme="majorHAnsi" w:hAnsiTheme="majorHAnsi"/>
          <w:sz w:val="20"/>
          <w:szCs w:val="20"/>
          <w:lang w:val="es-ES"/>
        </w:rPr>
        <w:t xml:space="preserve">; </w:t>
      </w:r>
      <w:r w:rsidRPr="00DC65BB">
        <w:rPr>
          <w:rFonts w:asciiTheme="majorHAnsi" w:hAnsiTheme="majorHAnsi"/>
          <w:sz w:val="20"/>
          <w:szCs w:val="20"/>
          <w:lang w:val="es-ES"/>
        </w:rPr>
        <w:t>y publicar esta decisión e incluirla en su Informe Anual a la Asamblea General de la Organización de los Estados Americanos.</w:t>
      </w:r>
    </w:p>
    <w:p w14:paraId="36A8A56C" w14:textId="4560B0BE" w:rsidR="00F33D0D" w:rsidRPr="00BE4C95" w:rsidRDefault="00505710" w:rsidP="00BE4C95">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Derechos Hu</w:t>
      </w:r>
      <w:r w:rsidRPr="00F31A42">
        <w:rPr>
          <w:rStyle w:val="normaltextrun"/>
          <w:rFonts w:ascii="Cambria" w:hAnsi="Cambria" w:cs="Segoe UI"/>
          <w:sz w:val="20"/>
          <w:szCs w:val="20"/>
          <w:lang w:val="es-CL"/>
        </w:rPr>
        <w:t>manos a los 27 días del mes de diciembre de 2025.  (Firmado): José Luis Caballero Ochoa, Presidente; Andrea Pochak, Primera Vicepresidenta; Edgar Stuardo Ralón Orellana</w:t>
      </w:r>
      <w:r w:rsidR="00F31A42" w:rsidRPr="00F31A42">
        <w:rPr>
          <w:rStyle w:val="normaltextrun"/>
          <w:rFonts w:ascii="Cambria" w:hAnsi="Cambria" w:cs="Segoe UI"/>
          <w:sz w:val="20"/>
          <w:szCs w:val="20"/>
          <w:lang w:val="es-CL"/>
        </w:rPr>
        <w:t xml:space="preserve"> y</w:t>
      </w:r>
      <w:r w:rsidRPr="00F31A42">
        <w:rPr>
          <w:rStyle w:val="normaltextrun"/>
          <w:rFonts w:ascii="Cambria" w:hAnsi="Cambria" w:cs="Segoe UI"/>
          <w:sz w:val="20"/>
          <w:szCs w:val="20"/>
          <w:lang w:val="es-CL"/>
        </w:rPr>
        <w:t xml:space="preserve"> Carlos Bernal Pulido, </w:t>
      </w:r>
      <w:r w:rsidR="00BE4C95">
        <w:rPr>
          <w:rStyle w:val="normaltextrun"/>
          <w:rFonts w:ascii="Cambria" w:hAnsi="Cambria" w:cs="Segoe UI"/>
          <w:sz w:val="20"/>
          <w:szCs w:val="20"/>
          <w:lang w:val="es-CL"/>
        </w:rPr>
        <w:t>m</w:t>
      </w:r>
      <w:r w:rsidRPr="00F31A42">
        <w:rPr>
          <w:rStyle w:val="normaltextrun"/>
          <w:rFonts w:ascii="Cambria" w:hAnsi="Cambria" w:cs="Segoe UI"/>
          <w:sz w:val="20"/>
          <w:szCs w:val="20"/>
          <w:lang w:val="es-CL"/>
        </w:rPr>
        <w:t xml:space="preserve">iembros de la Comisión. </w:t>
      </w:r>
      <w:r w:rsidRPr="00F31A42">
        <w:rPr>
          <w:rStyle w:val="eop"/>
          <w:rFonts w:ascii="Cambria" w:hAnsi="Cambria" w:cs="Segoe UI"/>
          <w:sz w:val="20"/>
          <w:szCs w:val="20"/>
          <w:lang w:val="es-ES"/>
        </w:rPr>
        <w:t> </w:t>
      </w:r>
    </w:p>
    <w:sectPr w:rsidR="00F33D0D" w:rsidRPr="00BE4C95"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63D3" w14:textId="77777777" w:rsidR="002207B0" w:rsidRDefault="002207B0">
      <w:r>
        <w:separator/>
      </w:r>
    </w:p>
  </w:endnote>
  <w:endnote w:type="continuationSeparator" w:id="0">
    <w:p w14:paraId="2BE99370" w14:textId="77777777" w:rsidR="002207B0" w:rsidRDefault="002207B0">
      <w:r>
        <w:continuationSeparator/>
      </w:r>
    </w:p>
  </w:endnote>
  <w:endnote w:type="continuationNotice" w:id="1">
    <w:p w14:paraId="6F41C6BC" w14:textId="77777777" w:rsidR="002207B0" w:rsidRDefault="00220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B084" w14:textId="77777777" w:rsidR="002207B0" w:rsidRPr="000F35ED" w:rsidRDefault="002207B0">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1FD6EE72" w14:textId="77777777" w:rsidR="002207B0" w:rsidRPr="000F35ED" w:rsidRDefault="002207B0" w:rsidP="000F35ED">
      <w:pPr>
        <w:rPr>
          <w:rFonts w:asciiTheme="majorHAnsi" w:hAnsiTheme="majorHAnsi"/>
          <w:sz w:val="16"/>
          <w:szCs w:val="16"/>
        </w:rPr>
      </w:pPr>
      <w:r w:rsidRPr="000F35ED">
        <w:rPr>
          <w:rFonts w:asciiTheme="majorHAnsi" w:hAnsiTheme="majorHAnsi"/>
          <w:sz w:val="16"/>
          <w:szCs w:val="16"/>
        </w:rPr>
        <w:separator/>
      </w:r>
    </w:p>
    <w:p w14:paraId="138651C6" w14:textId="77777777" w:rsidR="002207B0" w:rsidRPr="000F35ED" w:rsidRDefault="002207B0"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4167E56" w14:textId="77777777" w:rsidR="002207B0" w:rsidRPr="000F35ED" w:rsidRDefault="002207B0"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DC5730E" w14:textId="77777777" w:rsidR="00D151E2" w:rsidRPr="00E93A8F" w:rsidRDefault="00D151E2" w:rsidP="00DC65BB">
      <w:pPr>
        <w:ind w:firstLine="720"/>
        <w:jc w:val="both"/>
        <w:rPr>
          <w:rFonts w:ascii="Cambria" w:eastAsia="Cambria" w:hAnsi="Cambria" w:cs="Cambria"/>
          <w:color w:val="000000"/>
          <w:sz w:val="16"/>
          <w:szCs w:val="16"/>
          <w:lang w:val="es-ES"/>
        </w:rPr>
      </w:pPr>
      <w:r w:rsidRPr="00E93A8F">
        <w:rPr>
          <w:rStyle w:val="FootnoteReference"/>
          <w:rFonts w:ascii="Cambria" w:hAnsi="Cambria"/>
          <w:sz w:val="16"/>
          <w:szCs w:val="16"/>
          <w:lang w:val="es-ES"/>
        </w:rPr>
        <w:footnoteRef/>
      </w:r>
      <w:r w:rsidRPr="00E93A8F">
        <w:rPr>
          <w:rFonts w:ascii="Cambria" w:eastAsia="Cambria" w:hAnsi="Cambria" w:cs="Cambria"/>
          <w:color w:val="000000"/>
          <w:sz w:val="16"/>
          <w:szCs w:val="16"/>
          <w:vertAlign w:val="superscript"/>
          <w:lang w:val="es-ES"/>
        </w:rPr>
        <w:t xml:space="preserve"> </w:t>
      </w:r>
      <w:r w:rsidRPr="00E93A8F">
        <w:rPr>
          <w:rFonts w:ascii="Cambria" w:eastAsia="Cambria" w:hAnsi="Cambria" w:cs="Cambria"/>
          <w:color w:val="000000"/>
          <w:sz w:val="16"/>
          <w:szCs w:val="16"/>
          <w:lang w:val="es-ES"/>
        </w:rPr>
        <w:t xml:space="preserve">En adelante, “la Convención Americana” o “la Convención”. </w:t>
      </w:r>
      <w:r w:rsidRPr="00E93A8F">
        <w:rPr>
          <w:rFonts w:ascii="Cambria" w:eastAsia="Cambria" w:hAnsi="Cambria" w:cs="Cambria"/>
          <w:color w:val="000000"/>
          <w:sz w:val="16"/>
          <w:szCs w:val="16"/>
          <w:lang w:val="es-ES"/>
        </w:rPr>
        <w:tab/>
      </w:r>
    </w:p>
  </w:footnote>
  <w:footnote w:id="3">
    <w:p w14:paraId="1AFEF3B0" w14:textId="6D064EEB" w:rsidR="008E3BFE" w:rsidRPr="00E93A8F" w:rsidRDefault="008E3BFE" w:rsidP="00DC65BB">
      <w:pPr>
        <w:pStyle w:val="FootnoteText"/>
        <w:ind w:firstLine="720"/>
        <w:jc w:val="both"/>
        <w:rPr>
          <w:rFonts w:ascii="Cambria" w:hAnsi="Cambria"/>
          <w:sz w:val="16"/>
          <w:szCs w:val="16"/>
          <w:lang w:val="es-ES"/>
        </w:rPr>
      </w:pPr>
      <w:r w:rsidRPr="00E93A8F">
        <w:rPr>
          <w:rStyle w:val="FootnoteReference"/>
          <w:rFonts w:ascii="Cambria" w:hAnsi="Cambria"/>
          <w:sz w:val="16"/>
          <w:szCs w:val="16"/>
          <w:lang w:val="es-ES"/>
        </w:rPr>
        <w:footnoteRef/>
      </w:r>
      <w:r w:rsidRPr="00E93A8F">
        <w:rPr>
          <w:rFonts w:ascii="Cambria" w:hAnsi="Cambria"/>
          <w:sz w:val="16"/>
          <w:szCs w:val="16"/>
          <w:lang w:val="es-ES"/>
        </w:rPr>
        <w:t xml:space="preserve"> Las observaciones de cada parte fueron debidamente trasladadas a la parte contraria.</w:t>
      </w:r>
      <w:r w:rsidR="009A56CE" w:rsidRPr="00E93A8F">
        <w:rPr>
          <w:rFonts w:ascii="Cambria" w:hAnsi="Cambria"/>
          <w:sz w:val="16"/>
          <w:szCs w:val="16"/>
          <w:lang w:val="es-ES"/>
        </w:rPr>
        <w:t xml:space="preserve"> </w:t>
      </w:r>
    </w:p>
  </w:footnote>
  <w:footnote w:id="4">
    <w:p w14:paraId="2598CD22" w14:textId="0EA5E72A" w:rsidR="00BA7495" w:rsidRPr="00E93A8F" w:rsidRDefault="00BA7495" w:rsidP="00DC65BB">
      <w:pPr>
        <w:pStyle w:val="p1"/>
        <w:ind w:firstLine="720"/>
        <w:jc w:val="both"/>
        <w:rPr>
          <w:rFonts w:ascii="Cambria" w:hAnsi="Cambria"/>
          <w:sz w:val="16"/>
          <w:szCs w:val="16"/>
        </w:rPr>
      </w:pPr>
      <w:r w:rsidRPr="00E93A8F">
        <w:rPr>
          <w:rStyle w:val="FootnoteReference"/>
          <w:rFonts w:ascii="Cambria" w:hAnsi="Cambria"/>
          <w:sz w:val="16"/>
          <w:szCs w:val="16"/>
        </w:rPr>
        <w:footnoteRef/>
      </w:r>
      <w:r w:rsidRPr="00E93A8F">
        <w:rPr>
          <w:rFonts w:ascii="Cambria" w:hAnsi="Cambria"/>
          <w:sz w:val="16"/>
          <w:szCs w:val="16"/>
        </w:rPr>
        <w:t xml:space="preserve"> CIDH, Informe No. 169/19, Caso 12.396, Fondo, Leonidas Bendezú Tuncar, Perú, 9 de noviembre de 2019, párr</w:t>
      </w:r>
      <w:r w:rsidR="00177202">
        <w:rPr>
          <w:rFonts w:ascii="Cambria" w:hAnsi="Cambria"/>
          <w:sz w:val="16"/>
          <w:szCs w:val="16"/>
        </w:rPr>
        <w:t>s</w:t>
      </w:r>
      <w:r w:rsidRPr="00E93A8F">
        <w:rPr>
          <w:rFonts w:ascii="Cambria" w:hAnsi="Cambria"/>
          <w:sz w:val="16"/>
          <w:szCs w:val="16"/>
        </w:rPr>
        <w:t>. 70 y 75.</w:t>
      </w:r>
    </w:p>
  </w:footnote>
  <w:footnote w:id="5">
    <w:p w14:paraId="72025981" w14:textId="0DA1F86C" w:rsidR="00BA7495" w:rsidRPr="00E93A8F" w:rsidRDefault="00BA7495" w:rsidP="00DC65BB">
      <w:pPr>
        <w:pStyle w:val="p1"/>
        <w:ind w:firstLine="720"/>
        <w:jc w:val="both"/>
        <w:rPr>
          <w:rFonts w:ascii="Cambria" w:hAnsi="Cambria"/>
          <w:sz w:val="16"/>
          <w:szCs w:val="16"/>
        </w:rPr>
      </w:pPr>
      <w:r w:rsidRPr="00E93A8F">
        <w:rPr>
          <w:rStyle w:val="FootnoteReference"/>
          <w:rFonts w:ascii="Cambria" w:hAnsi="Cambria"/>
          <w:sz w:val="16"/>
          <w:szCs w:val="16"/>
        </w:rPr>
        <w:footnoteRef/>
      </w:r>
      <w:r w:rsidRPr="00E93A8F">
        <w:rPr>
          <w:rStyle w:val="FootnoteReference"/>
          <w:rFonts w:ascii="Cambria" w:hAnsi="Cambria"/>
          <w:sz w:val="16"/>
          <w:szCs w:val="16"/>
        </w:rPr>
        <w:t xml:space="preserve"> </w:t>
      </w:r>
      <w:r w:rsidR="00FD17E1" w:rsidRPr="00E93A8F">
        <w:rPr>
          <w:rFonts w:ascii="Cambria" w:hAnsi="Cambria"/>
          <w:sz w:val="16"/>
          <w:szCs w:val="16"/>
        </w:rPr>
        <w:t>CIDH, Informe No. 169/19, Caso 12.396, Fondo, Leonidas Bendezú Tuncar, Perú, 9 de noviembre de 2019, párr</w:t>
      </w:r>
      <w:r w:rsidR="00177202">
        <w:rPr>
          <w:rFonts w:ascii="Cambria" w:hAnsi="Cambria"/>
          <w:sz w:val="16"/>
          <w:szCs w:val="16"/>
        </w:rPr>
        <w:t>s</w:t>
      </w:r>
      <w:r w:rsidR="00FD17E1" w:rsidRPr="00E93A8F">
        <w:rPr>
          <w:rFonts w:ascii="Cambria" w:hAnsi="Cambria"/>
          <w:sz w:val="16"/>
          <w:szCs w:val="16"/>
        </w:rPr>
        <w:t xml:space="preserve">. </w:t>
      </w:r>
      <w:r w:rsidRPr="00E93A8F">
        <w:rPr>
          <w:rStyle w:val="FootnoteReference"/>
          <w:rFonts w:ascii="Cambria" w:hAnsi="Cambria"/>
          <w:sz w:val="16"/>
          <w:szCs w:val="16"/>
          <w:vertAlign w:val="baseline"/>
        </w:rPr>
        <w:t>76 y 77.</w:t>
      </w:r>
    </w:p>
  </w:footnote>
  <w:footnote w:id="6">
    <w:p w14:paraId="506DA95F" w14:textId="5A7FF9C0" w:rsidR="0077233D" w:rsidRPr="0077233D" w:rsidRDefault="0077233D" w:rsidP="00DC65BB">
      <w:pPr>
        <w:pStyle w:val="p1"/>
        <w:ind w:firstLine="720"/>
        <w:jc w:val="both"/>
        <w:rPr>
          <w:lang w:val="es-ES_tradnl"/>
        </w:rPr>
      </w:pPr>
      <w:r w:rsidRPr="0077233D">
        <w:rPr>
          <w:rStyle w:val="FootnoteReference"/>
          <w:rFonts w:ascii="Cambria" w:hAnsi="Cambria"/>
          <w:sz w:val="16"/>
          <w:szCs w:val="16"/>
        </w:rPr>
        <w:footnoteRef/>
      </w:r>
      <w:r w:rsidRPr="0077233D">
        <w:rPr>
          <w:rStyle w:val="FootnoteReference"/>
          <w:rFonts w:ascii="Cambria" w:hAnsi="Cambria"/>
          <w:sz w:val="16"/>
          <w:szCs w:val="16"/>
        </w:rPr>
        <w:t xml:space="preserve"> </w:t>
      </w:r>
      <w:r w:rsidRPr="0077233D">
        <w:rPr>
          <w:rStyle w:val="FootnoteReference"/>
          <w:rFonts w:ascii="Cambria" w:hAnsi="Cambria"/>
          <w:sz w:val="16"/>
          <w:szCs w:val="16"/>
          <w:vertAlign w:val="baseline"/>
        </w:rPr>
        <w:t>Corte IDH, Caso Huilcamán Paillama y otros Vs. Chile, Fondo, Reparaciones y Costas, Sentencia de 18 de junio de 2024, Serie C No. 527, párr. 197.</w:t>
      </w:r>
    </w:p>
  </w:footnote>
  <w:footnote w:id="7">
    <w:p w14:paraId="761CF878" w14:textId="3A083CB5" w:rsidR="0077233D" w:rsidRPr="0077233D" w:rsidRDefault="0077233D" w:rsidP="00DC65BB">
      <w:pPr>
        <w:pStyle w:val="p1"/>
        <w:ind w:firstLine="720"/>
        <w:jc w:val="both"/>
        <w:rPr>
          <w:sz w:val="12"/>
          <w:szCs w:val="12"/>
        </w:rPr>
      </w:pPr>
      <w:r w:rsidRPr="0077233D">
        <w:rPr>
          <w:rStyle w:val="FootnoteReference"/>
          <w:rFonts w:ascii="Cambria" w:hAnsi="Cambria"/>
          <w:sz w:val="16"/>
          <w:szCs w:val="16"/>
        </w:rPr>
        <w:footnoteRef/>
      </w:r>
      <w:r w:rsidRPr="0077233D">
        <w:rPr>
          <w:rStyle w:val="FootnoteReference"/>
          <w:rFonts w:ascii="Cambria" w:hAnsi="Cambria"/>
          <w:sz w:val="16"/>
          <w:szCs w:val="16"/>
        </w:rPr>
        <w:t xml:space="preserve"> </w:t>
      </w:r>
      <w:r w:rsidRPr="0077233D">
        <w:rPr>
          <w:rStyle w:val="FootnoteReference"/>
          <w:rFonts w:ascii="Cambria" w:hAnsi="Cambria"/>
          <w:sz w:val="16"/>
          <w:szCs w:val="16"/>
          <w:vertAlign w:val="baseline"/>
        </w:rPr>
        <w:t>Corte IDH</w:t>
      </w:r>
      <w:r>
        <w:rPr>
          <w:rStyle w:val="FootnoteReference"/>
          <w:rFonts w:ascii="Cambria" w:hAnsi="Cambria"/>
          <w:sz w:val="16"/>
          <w:szCs w:val="16"/>
          <w:vertAlign w:val="baseline"/>
        </w:rPr>
        <w:t>,</w:t>
      </w:r>
      <w:r w:rsidRPr="0077233D">
        <w:rPr>
          <w:rStyle w:val="FootnoteReference"/>
          <w:rFonts w:ascii="Cambria" w:hAnsi="Cambria"/>
          <w:sz w:val="16"/>
          <w:szCs w:val="16"/>
          <w:vertAlign w:val="baseline"/>
        </w:rPr>
        <w:t xml:space="preserve"> Caso Chocrón Chocrón Vs. Venezuela, Excepción Preliminar, Fondo, Reparaciones y Costas, Sentencia de 1 de julio de 2011, Serie C No. 227, párr. 120.</w:t>
      </w:r>
    </w:p>
  </w:footnote>
  <w:footnote w:id="8">
    <w:p w14:paraId="5A23DDBD" w14:textId="0AA16EB8" w:rsidR="00DC65BB" w:rsidRPr="00DC65BB" w:rsidRDefault="00DC65BB" w:rsidP="00DC65BB">
      <w:pPr>
        <w:pStyle w:val="p1"/>
        <w:ind w:firstLine="720"/>
        <w:jc w:val="both"/>
        <w:rPr>
          <w:sz w:val="12"/>
          <w:szCs w:val="12"/>
        </w:rPr>
      </w:pPr>
      <w:r w:rsidRPr="00DC65BB">
        <w:rPr>
          <w:rStyle w:val="FootnoteReference"/>
          <w:rFonts w:ascii="Cambria" w:hAnsi="Cambria"/>
          <w:sz w:val="16"/>
          <w:szCs w:val="16"/>
        </w:rPr>
        <w:footnoteRef/>
      </w:r>
      <w:r w:rsidRPr="00DC65BB">
        <w:rPr>
          <w:rStyle w:val="FootnoteReference"/>
          <w:rFonts w:ascii="Cambria" w:hAnsi="Cambria"/>
          <w:sz w:val="16"/>
          <w:szCs w:val="16"/>
        </w:rPr>
        <w:t xml:space="preserve"> </w:t>
      </w:r>
      <w:r w:rsidRPr="00DC65BB">
        <w:rPr>
          <w:rStyle w:val="FootnoteReference"/>
          <w:rFonts w:ascii="Cambria" w:hAnsi="Cambria"/>
          <w:sz w:val="16"/>
          <w:szCs w:val="16"/>
          <w:vertAlign w:val="baseline"/>
        </w:rPr>
        <w:t>CIDH</w:t>
      </w:r>
      <w:r>
        <w:rPr>
          <w:rFonts w:ascii="Cambria" w:hAnsi="Cambria"/>
          <w:sz w:val="16"/>
          <w:szCs w:val="16"/>
        </w:rPr>
        <w:t xml:space="preserve">, </w:t>
      </w:r>
      <w:r w:rsidRPr="00DC65BB">
        <w:rPr>
          <w:rStyle w:val="FootnoteReference"/>
          <w:rFonts w:ascii="Cambria" w:hAnsi="Cambria"/>
          <w:sz w:val="16"/>
          <w:szCs w:val="16"/>
          <w:vertAlign w:val="baseline"/>
        </w:rPr>
        <w:t>Segundo informe sobre la situación de las defensoras y los defensores de derechos humanos</w:t>
      </w:r>
      <w:r>
        <w:rPr>
          <w:rFonts w:ascii="Cambria" w:hAnsi="Cambria"/>
          <w:sz w:val="16"/>
          <w:szCs w:val="16"/>
        </w:rPr>
        <w:t xml:space="preserve">, </w:t>
      </w:r>
      <w:r w:rsidRPr="00DC65BB">
        <w:rPr>
          <w:rStyle w:val="FootnoteReference"/>
          <w:rFonts w:ascii="Cambria" w:hAnsi="Cambria"/>
          <w:sz w:val="16"/>
          <w:szCs w:val="16"/>
          <w:vertAlign w:val="baseline"/>
        </w:rPr>
        <w:t>OEA/Ser.L/V/II. Doc.66, 31 de diciembre de 2011, párr.</w:t>
      </w:r>
      <w:r>
        <w:rPr>
          <w:rFonts w:ascii="Cambria" w:hAnsi="Cambria"/>
          <w:sz w:val="16"/>
          <w:szCs w:val="16"/>
        </w:rPr>
        <w:t xml:space="preserve"> </w:t>
      </w:r>
      <w:r w:rsidRPr="00DC65BB">
        <w:rPr>
          <w:rStyle w:val="FootnoteReference"/>
          <w:rFonts w:ascii="Cambria" w:hAnsi="Cambria"/>
          <w:sz w:val="16"/>
          <w:szCs w:val="16"/>
          <w:vertAlign w:val="baseline"/>
        </w:rPr>
        <w:t>376.</w:t>
      </w:r>
    </w:p>
  </w:footnote>
  <w:footnote w:id="9">
    <w:p w14:paraId="3B40DDE4" w14:textId="77777777" w:rsidR="00E93A8F" w:rsidRPr="00E93A8F" w:rsidRDefault="00E93A8F" w:rsidP="00DC65BB">
      <w:pPr>
        <w:pStyle w:val="p1"/>
        <w:ind w:firstLine="720"/>
        <w:jc w:val="both"/>
        <w:rPr>
          <w:rFonts w:ascii="Cambria" w:hAnsi="Cambria"/>
          <w:sz w:val="16"/>
          <w:szCs w:val="16"/>
        </w:rPr>
      </w:pPr>
      <w:r w:rsidRPr="00E93A8F">
        <w:rPr>
          <w:rStyle w:val="FootnoteReference"/>
          <w:rFonts w:ascii="Cambria" w:hAnsi="Cambria"/>
          <w:sz w:val="16"/>
          <w:szCs w:val="16"/>
        </w:rPr>
        <w:footnoteRef/>
      </w:r>
      <w:r w:rsidRPr="00E93A8F">
        <w:rPr>
          <w:rStyle w:val="FootnoteReference"/>
          <w:rFonts w:ascii="Cambria" w:hAnsi="Cambria"/>
          <w:sz w:val="16"/>
          <w:szCs w:val="16"/>
        </w:rPr>
        <w:t xml:space="preserve"> </w:t>
      </w:r>
      <w:r w:rsidRPr="00E93A8F">
        <w:rPr>
          <w:rStyle w:val="FootnoteReference"/>
          <w:rFonts w:ascii="Cambria" w:hAnsi="Cambria"/>
          <w:sz w:val="16"/>
          <w:szCs w:val="16"/>
          <w:vertAlign w:val="baseline"/>
        </w:rPr>
        <w:t>Corte IDH</w:t>
      </w:r>
      <w:r w:rsidRPr="00E93A8F">
        <w:rPr>
          <w:rFonts w:ascii="Cambria" w:hAnsi="Cambria"/>
          <w:sz w:val="16"/>
          <w:szCs w:val="16"/>
        </w:rPr>
        <w:t>,</w:t>
      </w:r>
      <w:r w:rsidRPr="00E93A8F">
        <w:rPr>
          <w:rStyle w:val="FootnoteReference"/>
          <w:rFonts w:ascii="Cambria" w:hAnsi="Cambria"/>
          <w:sz w:val="16"/>
          <w:szCs w:val="16"/>
          <w:vertAlign w:val="baseline"/>
        </w:rPr>
        <w:t xml:space="preserve"> Caso Mendoza y otros Vs. Argentina</w:t>
      </w:r>
      <w:r w:rsidRPr="00E93A8F">
        <w:rPr>
          <w:rFonts w:ascii="Cambria" w:hAnsi="Cambria"/>
          <w:sz w:val="16"/>
          <w:szCs w:val="16"/>
        </w:rPr>
        <w:t>,</w:t>
      </w:r>
      <w:r w:rsidRPr="00E93A8F">
        <w:rPr>
          <w:rStyle w:val="FootnoteReference"/>
          <w:rFonts w:ascii="Cambria" w:hAnsi="Cambria"/>
          <w:sz w:val="16"/>
          <w:szCs w:val="16"/>
          <w:vertAlign w:val="baseline"/>
        </w:rPr>
        <w:t xml:space="preserve"> Excepciones Preliminares, Fondo y Reparaciones, Sentencia de 14 de mayo de 2013, Serie C No. 260, </w:t>
      </w:r>
      <w:r w:rsidRPr="00EC524D">
        <w:rPr>
          <w:rStyle w:val="FootnoteReference"/>
          <w:rFonts w:ascii="Cambria" w:hAnsi="Cambria"/>
          <w:sz w:val="16"/>
          <w:szCs w:val="16"/>
          <w:vertAlign w:val="baseline"/>
        </w:rPr>
        <w:t>párr. 246.</w:t>
      </w:r>
    </w:p>
  </w:footnote>
  <w:footnote w:id="10">
    <w:p w14:paraId="3F1ACB20" w14:textId="114BC0C3" w:rsidR="00E93A8F" w:rsidRPr="00E93A8F" w:rsidRDefault="00E93A8F" w:rsidP="00DC65BB">
      <w:pPr>
        <w:pStyle w:val="p1"/>
        <w:ind w:firstLine="720"/>
        <w:jc w:val="both"/>
        <w:rPr>
          <w:rStyle w:val="FootnoteReference"/>
          <w:rFonts w:ascii="Cambria" w:hAnsi="Cambria"/>
          <w:sz w:val="16"/>
          <w:szCs w:val="16"/>
        </w:rPr>
      </w:pPr>
      <w:r w:rsidRPr="00E93A8F">
        <w:rPr>
          <w:rStyle w:val="FootnoteReference"/>
          <w:rFonts w:ascii="Cambria" w:hAnsi="Cambria"/>
          <w:sz w:val="16"/>
          <w:szCs w:val="16"/>
        </w:rPr>
        <w:footnoteRef/>
      </w:r>
      <w:r w:rsidRPr="00E93A8F">
        <w:rPr>
          <w:rStyle w:val="FootnoteReference"/>
          <w:rFonts w:ascii="Cambria" w:hAnsi="Cambria"/>
          <w:sz w:val="16"/>
          <w:szCs w:val="16"/>
        </w:rPr>
        <w:t xml:space="preserve"> </w:t>
      </w:r>
      <w:r w:rsidRPr="00E93A8F">
        <w:rPr>
          <w:rStyle w:val="FootnoteReference"/>
          <w:rFonts w:ascii="Cambria" w:hAnsi="Cambria"/>
          <w:sz w:val="16"/>
          <w:szCs w:val="16"/>
          <w:vertAlign w:val="baseline"/>
        </w:rPr>
        <w:t>Corte IDH, Caso Herrera Ulloa Vs. Costa Rica, Excepciones Preliminares, Fondo, Reparaciones y Costas, Sentencia de 2 de julio de 2004, Serie C No. 107, párr. 158.</w:t>
      </w:r>
    </w:p>
  </w:footnote>
  <w:footnote w:id="11">
    <w:p w14:paraId="744A0185" w14:textId="166E7BDC" w:rsidR="00EC524D" w:rsidRPr="00E93A8F" w:rsidRDefault="00EC524D" w:rsidP="00DC65BB">
      <w:pPr>
        <w:pStyle w:val="p1"/>
        <w:ind w:firstLine="720"/>
        <w:jc w:val="both"/>
        <w:rPr>
          <w:rFonts w:ascii="Cambria" w:hAnsi="Cambria"/>
          <w:sz w:val="16"/>
          <w:szCs w:val="16"/>
        </w:rPr>
      </w:pPr>
      <w:r w:rsidRPr="00E93A8F">
        <w:rPr>
          <w:rStyle w:val="FootnoteReference"/>
          <w:rFonts w:ascii="Cambria" w:hAnsi="Cambria"/>
          <w:sz w:val="16"/>
          <w:szCs w:val="16"/>
        </w:rPr>
        <w:footnoteRef/>
      </w:r>
      <w:r w:rsidRPr="00E93A8F">
        <w:rPr>
          <w:rStyle w:val="FootnoteReference"/>
          <w:rFonts w:ascii="Cambria" w:hAnsi="Cambria"/>
          <w:sz w:val="16"/>
          <w:szCs w:val="16"/>
        </w:rPr>
        <w:t xml:space="preserve"> </w:t>
      </w:r>
      <w:r w:rsidR="00E93A8F" w:rsidRPr="00E93A8F">
        <w:rPr>
          <w:rStyle w:val="FootnoteReference"/>
          <w:rFonts w:ascii="Cambria" w:hAnsi="Cambria"/>
          <w:sz w:val="16"/>
          <w:szCs w:val="16"/>
          <w:vertAlign w:val="baseline"/>
        </w:rPr>
        <w:t>Corte IDH, Caso Mohamed Vs. Argentina, Excepción Preliminar, Fondo, Reparaciones y Costas, Sentencia de 23 de noviembre de 2012, Serie C No. 255, párr. 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DD79C6" w:rsidP="00A50FCF">
    <w:pPr>
      <w:pStyle w:val="Header"/>
      <w:tabs>
        <w:tab w:val="clear" w:pos="4320"/>
        <w:tab w:val="clear" w:pos="8640"/>
      </w:tabs>
      <w:jc w:val="center"/>
      <w:rPr>
        <w:sz w:val="22"/>
        <w:szCs w:val="22"/>
      </w:rPr>
    </w:pPr>
    <w:r>
      <w:rPr>
        <w:noProof/>
        <w:sz w:val="22"/>
        <w:szCs w:val="22"/>
        <w:bdr w:val="nil"/>
      </w:rPr>
      <w:pict w14:anchorId="0E0E9770">
        <v:rect id="_x0000_i1025" alt="" style="width:441.9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5"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4"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5"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8"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9"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9CB067F"/>
    <w:multiLevelType w:val="hybridMultilevel"/>
    <w:tmpl w:val="DA50BB7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7"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4"/>
  </w:num>
  <w:num w:numId="3" w16cid:durableId="1836843260">
    <w:abstractNumId w:val="50"/>
  </w:num>
  <w:num w:numId="4" w16cid:durableId="2018339747">
    <w:abstractNumId w:val="19"/>
  </w:num>
  <w:num w:numId="5" w16cid:durableId="368341374">
    <w:abstractNumId w:val="44"/>
  </w:num>
  <w:num w:numId="6" w16cid:durableId="1074009954">
    <w:abstractNumId w:val="24"/>
  </w:num>
  <w:num w:numId="7" w16cid:durableId="1545016965">
    <w:abstractNumId w:val="5"/>
  </w:num>
  <w:num w:numId="8" w16cid:durableId="1165165820">
    <w:abstractNumId w:val="15"/>
  </w:num>
  <w:num w:numId="9" w16cid:durableId="751703382">
    <w:abstractNumId w:val="38"/>
  </w:num>
  <w:num w:numId="10" w16cid:durableId="1010065578">
    <w:abstractNumId w:val="0"/>
  </w:num>
  <w:num w:numId="11" w16cid:durableId="599265313">
    <w:abstractNumId w:val="33"/>
  </w:num>
  <w:num w:numId="12" w16cid:durableId="1094203649">
    <w:abstractNumId w:val="34"/>
  </w:num>
  <w:num w:numId="13" w16cid:durableId="393090155">
    <w:abstractNumId w:val="41"/>
  </w:num>
  <w:num w:numId="14" w16cid:durableId="1198931784">
    <w:abstractNumId w:val="1"/>
  </w:num>
  <w:num w:numId="15" w16cid:durableId="2056192837">
    <w:abstractNumId w:val="2"/>
  </w:num>
  <w:num w:numId="16" w16cid:durableId="1680153077">
    <w:abstractNumId w:val="6"/>
  </w:num>
  <w:num w:numId="17" w16cid:durableId="1790273299">
    <w:abstractNumId w:val="7"/>
  </w:num>
  <w:num w:numId="18" w16cid:durableId="2128112662">
    <w:abstractNumId w:val="8"/>
  </w:num>
  <w:num w:numId="19" w16cid:durableId="7217114">
    <w:abstractNumId w:val="9"/>
  </w:num>
  <w:num w:numId="20" w16cid:durableId="1858302314">
    <w:abstractNumId w:val="10"/>
  </w:num>
  <w:num w:numId="21" w16cid:durableId="1702172520">
    <w:abstractNumId w:val="11"/>
  </w:num>
  <w:num w:numId="22" w16cid:durableId="1700861223">
    <w:abstractNumId w:val="12"/>
  </w:num>
  <w:num w:numId="23" w16cid:durableId="1025131478">
    <w:abstractNumId w:val="13"/>
  </w:num>
  <w:num w:numId="24" w16cid:durableId="477890311">
    <w:abstractNumId w:val="14"/>
  </w:num>
  <w:num w:numId="25" w16cid:durableId="1967855925">
    <w:abstractNumId w:val="16"/>
  </w:num>
  <w:num w:numId="26" w16cid:durableId="998537020">
    <w:abstractNumId w:val="17"/>
  </w:num>
  <w:num w:numId="27" w16cid:durableId="642350406">
    <w:abstractNumId w:val="20"/>
  </w:num>
  <w:num w:numId="28" w16cid:durableId="1616718871">
    <w:abstractNumId w:val="21"/>
  </w:num>
  <w:num w:numId="29" w16cid:durableId="1530486082">
    <w:abstractNumId w:val="22"/>
  </w:num>
  <w:num w:numId="30" w16cid:durableId="802582976">
    <w:abstractNumId w:val="23"/>
  </w:num>
  <w:num w:numId="31" w16cid:durableId="287396833">
    <w:abstractNumId w:val="25"/>
  </w:num>
  <w:num w:numId="32" w16cid:durableId="535119711">
    <w:abstractNumId w:val="26"/>
  </w:num>
  <w:num w:numId="33" w16cid:durableId="2078547275">
    <w:abstractNumId w:val="27"/>
  </w:num>
  <w:num w:numId="34" w16cid:durableId="1703632659">
    <w:abstractNumId w:val="28"/>
  </w:num>
  <w:num w:numId="35" w16cid:durableId="1264075887">
    <w:abstractNumId w:val="29"/>
  </w:num>
  <w:num w:numId="36" w16cid:durableId="1752315512">
    <w:abstractNumId w:val="30"/>
  </w:num>
  <w:num w:numId="37" w16cid:durableId="1536426887">
    <w:abstractNumId w:val="31"/>
  </w:num>
  <w:num w:numId="38" w16cid:durableId="949702590">
    <w:abstractNumId w:val="32"/>
  </w:num>
  <w:num w:numId="39" w16cid:durableId="115605940">
    <w:abstractNumId w:val="35"/>
  </w:num>
  <w:num w:numId="40" w16cid:durableId="2008750670">
    <w:abstractNumId w:val="36"/>
  </w:num>
  <w:num w:numId="41" w16cid:durableId="579801488">
    <w:abstractNumId w:val="43"/>
  </w:num>
  <w:num w:numId="42" w16cid:durableId="910309630">
    <w:abstractNumId w:val="45"/>
  </w:num>
  <w:num w:numId="43" w16cid:durableId="221603102">
    <w:abstractNumId w:val="46"/>
  </w:num>
  <w:num w:numId="44" w16cid:durableId="779104680">
    <w:abstractNumId w:val="48"/>
  </w:num>
  <w:num w:numId="45" w16cid:durableId="1713115894">
    <w:abstractNumId w:val="49"/>
  </w:num>
  <w:num w:numId="46" w16cid:durableId="1387951419">
    <w:abstractNumId w:val="51"/>
  </w:num>
  <w:num w:numId="47" w16cid:durableId="648510715">
    <w:abstractNumId w:val="52"/>
  </w:num>
  <w:num w:numId="48" w16cid:durableId="1806315575">
    <w:abstractNumId w:val="53"/>
  </w:num>
  <w:num w:numId="49" w16cid:durableId="1682586011">
    <w:abstractNumId w:val="54"/>
  </w:num>
  <w:num w:numId="50" w16cid:durableId="2025083079">
    <w:abstractNumId w:val="55"/>
  </w:num>
  <w:num w:numId="51" w16cid:durableId="530342504">
    <w:abstractNumId w:val="18"/>
  </w:num>
  <w:num w:numId="52" w16cid:durableId="955454438">
    <w:abstractNumId w:val="37"/>
  </w:num>
  <w:num w:numId="53" w16cid:durableId="586957926">
    <w:abstractNumId w:val="47"/>
  </w:num>
  <w:num w:numId="54" w16cid:durableId="1498381482">
    <w:abstractNumId w:val="42"/>
  </w:num>
  <w:num w:numId="55" w16cid:durableId="1930308158">
    <w:abstractNumId w:val="39"/>
  </w:num>
  <w:num w:numId="56" w16cid:durableId="25109259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2095A"/>
    <w:rsid w:val="00026ED0"/>
    <w:rsid w:val="0003191E"/>
    <w:rsid w:val="000337EF"/>
    <w:rsid w:val="00040C3A"/>
    <w:rsid w:val="000419AD"/>
    <w:rsid w:val="00042D6E"/>
    <w:rsid w:val="000433C9"/>
    <w:rsid w:val="00052387"/>
    <w:rsid w:val="00054570"/>
    <w:rsid w:val="00071174"/>
    <w:rsid w:val="000716C5"/>
    <w:rsid w:val="00075E23"/>
    <w:rsid w:val="00076879"/>
    <w:rsid w:val="00084E91"/>
    <w:rsid w:val="00087A56"/>
    <w:rsid w:val="0009344A"/>
    <w:rsid w:val="000A392E"/>
    <w:rsid w:val="000A575F"/>
    <w:rsid w:val="000C2195"/>
    <w:rsid w:val="000D05CB"/>
    <w:rsid w:val="000D10DB"/>
    <w:rsid w:val="000E0D54"/>
    <w:rsid w:val="000E1138"/>
    <w:rsid w:val="000E4407"/>
    <w:rsid w:val="000E5EB5"/>
    <w:rsid w:val="000F35ED"/>
    <w:rsid w:val="000F40FA"/>
    <w:rsid w:val="001004FE"/>
    <w:rsid w:val="001029DE"/>
    <w:rsid w:val="00107131"/>
    <w:rsid w:val="0010736F"/>
    <w:rsid w:val="00110F06"/>
    <w:rsid w:val="00113F73"/>
    <w:rsid w:val="00116913"/>
    <w:rsid w:val="00121CC2"/>
    <w:rsid w:val="00122741"/>
    <w:rsid w:val="00125BBC"/>
    <w:rsid w:val="00131425"/>
    <w:rsid w:val="00133EE5"/>
    <w:rsid w:val="00140702"/>
    <w:rsid w:val="00141125"/>
    <w:rsid w:val="001575CD"/>
    <w:rsid w:val="00157C9F"/>
    <w:rsid w:val="00167A34"/>
    <w:rsid w:val="00177202"/>
    <w:rsid w:val="00185355"/>
    <w:rsid w:val="00192229"/>
    <w:rsid w:val="001A520D"/>
    <w:rsid w:val="001A7870"/>
    <w:rsid w:val="001B0261"/>
    <w:rsid w:val="001B3A00"/>
    <w:rsid w:val="001B3B00"/>
    <w:rsid w:val="001B478B"/>
    <w:rsid w:val="001C1190"/>
    <w:rsid w:val="001C1B41"/>
    <w:rsid w:val="001C70BF"/>
    <w:rsid w:val="001D65EF"/>
    <w:rsid w:val="001D7F96"/>
    <w:rsid w:val="001E3868"/>
    <w:rsid w:val="001E49E7"/>
    <w:rsid w:val="001F3663"/>
    <w:rsid w:val="001F7201"/>
    <w:rsid w:val="0020512B"/>
    <w:rsid w:val="00206D37"/>
    <w:rsid w:val="002207B0"/>
    <w:rsid w:val="00223A29"/>
    <w:rsid w:val="002250A3"/>
    <w:rsid w:val="00235217"/>
    <w:rsid w:val="00246D1F"/>
    <w:rsid w:val="00247403"/>
    <w:rsid w:val="00247542"/>
    <w:rsid w:val="0025479E"/>
    <w:rsid w:val="00266B61"/>
    <w:rsid w:val="0026712A"/>
    <w:rsid w:val="002704DB"/>
    <w:rsid w:val="002775B3"/>
    <w:rsid w:val="00284B2D"/>
    <w:rsid w:val="00291751"/>
    <w:rsid w:val="002A0469"/>
    <w:rsid w:val="002A0AAE"/>
    <w:rsid w:val="002A5820"/>
    <w:rsid w:val="002B5F92"/>
    <w:rsid w:val="002B6228"/>
    <w:rsid w:val="002D2B26"/>
    <w:rsid w:val="002D5C16"/>
    <w:rsid w:val="002D5EFB"/>
    <w:rsid w:val="002D7EA2"/>
    <w:rsid w:val="002E187C"/>
    <w:rsid w:val="002F0F92"/>
    <w:rsid w:val="00302733"/>
    <w:rsid w:val="00305835"/>
    <w:rsid w:val="00306F33"/>
    <w:rsid w:val="00314078"/>
    <w:rsid w:val="0031476C"/>
    <w:rsid w:val="0031535D"/>
    <w:rsid w:val="00320921"/>
    <w:rsid w:val="003239B8"/>
    <w:rsid w:val="00324669"/>
    <w:rsid w:val="0033169F"/>
    <w:rsid w:val="003378FE"/>
    <w:rsid w:val="00344977"/>
    <w:rsid w:val="00346C95"/>
    <w:rsid w:val="00356185"/>
    <w:rsid w:val="00360380"/>
    <w:rsid w:val="00374AF9"/>
    <w:rsid w:val="0037519E"/>
    <w:rsid w:val="003778A4"/>
    <w:rsid w:val="00383652"/>
    <w:rsid w:val="00386CF0"/>
    <w:rsid w:val="00391655"/>
    <w:rsid w:val="00394073"/>
    <w:rsid w:val="00395391"/>
    <w:rsid w:val="003B70FB"/>
    <w:rsid w:val="003C1FDB"/>
    <w:rsid w:val="003C62B2"/>
    <w:rsid w:val="003C676B"/>
    <w:rsid w:val="003D3566"/>
    <w:rsid w:val="003D3BC2"/>
    <w:rsid w:val="003E2FBB"/>
    <w:rsid w:val="003E6CA1"/>
    <w:rsid w:val="003F5154"/>
    <w:rsid w:val="00401D3B"/>
    <w:rsid w:val="00405F9C"/>
    <w:rsid w:val="004065A8"/>
    <w:rsid w:val="004165C2"/>
    <w:rsid w:val="004241A0"/>
    <w:rsid w:val="00441ECB"/>
    <w:rsid w:val="00445193"/>
    <w:rsid w:val="00456C4C"/>
    <w:rsid w:val="00462C1B"/>
    <w:rsid w:val="00467B7E"/>
    <w:rsid w:val="004703D0"/>
    <w:rsid w:val="00473BB4"/>
    <w:rsid w:val="00475B3D"/>
    <w:rsid w:val="00477592"/>
    <w:rsid w:val="00486F1C"/>
    <w:rsid w:val="00493200"/>
    <w:rsid w:val="0049419D"/>
    <w:rsid w:val="004A057B"/>
    <w:rsid w:val="004A48F4"/>
    <w:rsid w:val="004A6A54"/>
    <w:rsid w:val="004A7893"/>
    <w:rsid w:val="004B421C"/>
    <w:rsid w:val="004C20D2"/>
    <w:rsid w:val="004C2312"/>
    <w:rsid w:val="004C387E"/>
    <w:rsid w:val="004C4B62"/>
    <w:rsid w:val="004C54C9"/>
    <w:rsid w:val="004D4ABA"/>
    <w:rsid w:val="004D6025"/>
    <w:rsid w:val="004E2649"/>
    <w:rsid w:val="004F626F"/>
    <w:rsid w:val="00500E79"/>
    <w:rsid w:val="00501399"/>
    <w:rsid w:val="0050187A"/>
    <w:rsid w:val="005047ED"/>
    <w:rsid w:val="00505710"/>
    <w:rsid w:val="005057D1"/>
    <w:rsid w:val="0050633D"/>
    <w:rsid w:val="00507BC4"/>
    <w:rsid w:val="005128E4"/>
    <w:rsid w:val="005133DB"/>
    <w:rsid w:val="00514504"/>
    <w:rsid w:val="00521E1F"/>
    <w:rsid w:val="00525560"/>
    <w:rsid w:val="0052690F"/>
    <w:rsid w:val="00544C49"/>
    <w:rsid w:val="005516A1"/>
    <w:rsid w:val="005559EF"/>
    <w:rsid w:val="00555E21"/>
    <w:rsid w:val="00563557"/>
    <w:rsid w:val="0057038C"/>
    <w:rsid w:val="0057402A"/>
    <w:rsid w:val="005771D0"/>
    <w:rsid w:val="00582D2D"/>
    <w:rsid w:val="005850F9"/>
    <w:rsid w:val="0058517F"/>
    <w:rsid w:val="0059191A"/>
    <w:rsid w:val="00592159"/>
    <w:rsid w:val="005921FF"/>
    <w:rsid w:val="005A12C7"/>
    <w:rsid w:val="005A24ED"/>
    <w:rsid w:val="005A2C12"/>
    <w:rsid w:val="005A4226"/>
    <w:rsid w:val="005A6476"/>
    <w:rsid w:val="005A6D0E"/>
    <w:rsid w:val="005A753F"/>
    <w:rsid w:val="005B52B0"/>
    <w:rsid w:val="005B6084"/>
    <w:rsid w:val="005B6806"/>
    <w:rsid w:val="005C0D57"/>
    <w:rsid w:val="005C4225"/>
    <w:rsid w:val="005D1394"/>
    <w:rsid w:val="005D2539"/>
    <w:rsid w:val="005D3AB2"/>
    <w:rsid w:val="005F0DAD"/>
    <w:rsid w:val="005F0F33"/>
    <w:rsid w:val="00600533"/>
    <w:rsid w:val="00600DEB"/>
    <w:rsid w:val="00604A97"/>
    <w:rsid w:val="006146BC"/>
    <w:rsid w:val="0062695C"/>
    <w:rsid w:val="00627C9F"/>
    <w:rsid w:val="006311E9"/>
    <w:rsid w:val="00632354"/>
    <w:rsid w:val="00635421"/>
    <w:rsid w:val="00637FBB"/>
    <w:rsid w:val="00642810"/>
    <w:rsid w:val="00652333"/>
    <w:rsid w:val="00655F08"/>
    <w:rsid w:val="006771A6"/>
    <w:rsid w:val="0068009E"/>
    <w:rsid w:val="00692219"/>
    <w:rsid w:val="00695D8E"/>
    <w:rsid w:val="006974F2"/>
    <w:rsid w:val="006A12D4"/>
    <w:rsid w:val="006A17D2"/>
    <w:rsid w:val="006A73E6"/>
    <w:rsid w:val="006B2D5C"/>
    <w:rsid w:val="006C0ECF"/>
    <w:rsid w:val="006C4EB1"/>
    <w:rsid w:val="006D2655"/>
    <w:rsid w:val="006E0166"/>
    <w:rsid w:val="006E1EFA"/>
    <w:rsid w:val="006E2FFB"/>
    <w:rsid w:val="006E5523"/>
    <w:rsid w:val="006E7B34"/>
    <w:rsid w:val="0070697F"/>
    <w:rsid w:val="00706A8F"/>
    <w:rsid w:val="007103C4"/>
    <w:rsid w:val="0072199C"/>
    <w:rsid w:val="00722C9F"/>
    <w:rsid w:val="007253B8"/>
    <w:rsid w:val="00726E88"/>
    <w:rsid w:val="007279F8"/>
    <w:rsid w:val="007365D1"/>
    <w:rsid w:val="0073741F"/>
    <w:rsid w:val="007378A7"/>
    <w:rsid w:val="00746762"/>
    <w:rsid w:val="00751A58"/>
    <w:rsid w:val="007529DF"/>
    <w:rsid w:val="00757262"/>
    <w:rsid w:val="007645AD"/>
    <w:rsid w:val="0076643F"/>
    <w:rsid w:val="00767D37"/>
    <w:rsid w:val="0077233D"/>
    <w:rsid w:val="00777F63"/>
    <w:rsid w:val="00794B74"/>
    <w:rsid w:val="007A5817"/>
    <w:rsid w:val="007B05C4"/>
    <w:rsid w:val="007B11DE"/>
    <w:rsid w:val="007B3DDB"/>
    <w:rsid w:val="007B60E9"/>
    <w:rsid w:val="007B6CC3"/>
    <w:rsid w:val="007B76D3"/>
    <w:rsid w:val="007C3334"/>
    <w:rsid w:val="007D2B98"/>
    <w:rsid w:val="007D720C"/>
    <w:rsid w:val="007E1EE1"/>
    <w:rsid w:val="007E21BC"/>
    <w:rsid w:val="007E7C82"/>
    <w:rsid w:val="007F06A0"/>
    <w:rsid w:val="007F2AA1"/>
    <w:rsid w:val="007F588D"/>
    <w:rsid w:val="007F63BC"/>
    <w:rsid w:val="00802828"/>
    <w:rsid w:val="00803F1C"/>
    <w:rsid w:val="0080600E"/>
    <w:rsid w:val="00807D16"/>
    <w:rsid w:val="00812F67"/>
    <w:rsid w:val="00814688"/>
    <w:rsid w:val="008151FC"/>
    <w:rsid w:val="00817612"/>
    <w:rsid w:val="00817B4A"/>
    <w:rsid w:val="00820BAD"/>
    <w:rsid w:val="00827250"/>
    <w:rsid w:val="008331C6"/>
    <w:rsid w:val="008338A4"/>
    <w:rsid w:val="00834D49"/>
    <w:rsid w:val="00837C45"/>
    <w:rsid w:val="00844730"/>
    <w:rsid w:val="008457C2"/>
    <w:rsid w:val="00857A82"/>
    <w:rsid w:val="00867C69"/>
    <w:rsid w:val="00873836"/>
    <w:rsid w:val="00883B15"/>
    <w:rsid w:val="00885737"/>
    <w:rsid w:val="00890650"/>
    <w:rsid w:val="008944DC"/>
    <w:rsid w:val="00897E12"/>
    <w:rsid w:val="008A585F"/>
    <w:rsid w:val="008A6C3A"/>
    <w:rsid w:val="008A7E0F"/>
    <w:rsid w:val="008B12F5"/>
    <w:rsid w:val="008C37B9"/>
    <w:rsid w:val="008C5E2D"/>
    <w:rsid w:val="008D768D"/>
    <w:rsid w:val="008E3759"/>
    <w:rsid w:val="008E3BFE"/>
    <w:rsid w:val="008F0B10"/>
    <w:rsid w:val="008F1912"/>
    <w:rsid w:val="0090128A"/>
    <w:rsid w:val="00901AFF"/>
    <w:rsid w:val="0090270B"/>
    <w:rsid w:val="009041DC"/>
    <w:rsid w:val="00904A49"/>
    <w:rsid w:val="00912604"/>
    <w:rsid w:val="00917B5A"/>
    <w:rsid w:val="00920A58"/>
    <w:rsid w:val="00920A8C"/>
    <w:rsid w:val="00934A2C"/>
    <w:rsid w:val="00935F5B"/>
    <w:rsid w:val="009443D3"/>
    <w:rsid w:val="00944BF8"/>
    <w:rsid w:val="00956205"/>
    <w:rsid w:val="0095649D"/>
    <w:rsid w:val="0096706E"/>
    <w:rsid w:val="009734D7"/>
    <w:rsid w:val="00974491"/>
    <w:rsid w:val="009745D1"/>
    <w:rsid w:val="0097580A"/>
    <w:rsid w:val="00975C4E"/>
    <w:rsid w:val="00981FBA"/>
    <w:rsid w:val="00987B22"/>
    <w:rsid w:val="00996961"/>
    <w:rsid w:val="00996B55"/>
    <w:rsid w:val="00997BC5"/>
    <w:rsid w:val="009A4F41"/>
    <w:rsid w:val="009A56CE"/>
    <w:rsid w:val="009A75EA"/>
    <w:rsid w:val="009B381B"/>
    <w:rsid w:val="009B76D7"/>
    <w:rsid w:val="009C05E1"/>
    <w:rsid w:val="009C07C6"/>
    <w:rsid w:val="009D1753"/>
    <w:rsid w:val="009D7611"/>
    <w:rsid w:val="009E0B61"/>
    <w:rsid w:val="009E53DE"/>
    <w:rsid w:val="00A001E0"/>
    <w:rsid w:val="00A0373B"/>
    <w:rsid w:val="00A04060"/>
    <w:rsid w:val="00A1081A"/>
    <w:rsid w:val="00A11212"/>
    <w:rsid w:val="00A11E44"/>
    <w:rsid w:val="00A15562"/>
    <w:rsid w:val="00A16E48"/>
    <w:rsid w:val="00A21271"/>
    <w:rsid w:val="00A23ADD"/>
    <w:rsid w:val="00A2577F"/>
    <w:rsid w:val="00A30100"/>
    <w:rsid w:val="00A328B3"/>
    <w:rsid w:val="00A35EF9"/>
    <w:rsid w:val="00A36F7C"/>
    <w:rsid w:val="00A5080D"/>
    <w:rsid w:val="00A50FCF"/>
    <w:rsid w:val="00A528D1"/>
    <w:rsid w:val="00A610CD"/>
    <w:rsid w:val="00A61799"/>
    <w:rsid w:val="00A66E7B"/>
    <w:rsid w:val="00A73947"/>
    <w:rsid w:val="00A758AA"/>
    <w:rsid w:val="00AA09A2"/>
    <w:rsid w:val="00AA7996"/>
    <w:rsid w:val="00AB10CC"/>
    <w:rsid w:val="00AB12B3"/>
    <w:rsid w:val="00AB1AA7"/>
    <w:rsid w:val="00AB5C1E"/>
    <w:rsid w:val="00AC0580"/>
    <w:rsid w:val="00AC1028"/>
    <w:rsid w:val="00AC19CB"/>
    <w:rsid w:val="00AC1D4F"/>
    <w:rsid w:val="00AD4BC5"/>
    <w:rsid w:val="00AE3B28"/>
    <w:rsid w:val="00AE5488"/>
    <w:rsid w:val="00AE6F91"/>
    <w:rsid w:val="00AF5571"/>
    <w:rsid w:val="00B03FFD"/>
    <w:rsid w:val="00B04818"/>
    <w:rsid w:val="00B07341"/>
    <w:rsid w:val="00B250A0"/>
    <w:rsid w:val="00B26775"/>
    <w:rsid w:val="00B30539"/>
    <w:rsid w:val="00B314DB"/>
    <w:rsid w:val="00B338EE"/>
    <w:rsid w:val="00B361F2"/>
    <w:rsid w:val="00B3718B"/>
    <w:rsid w:val="00B3745F"/>
    <w:rsid w:val="00B44240"/>
    <w:rsid w:val="00B4632A"/>
    <w:rsid w:val="00B530F1"/>
    <w:rsid w:val="00B76BE8"/>
    <w:rsid w:val="00B77C4B"/>
    <w:rsid w:val="00B8058C"/>
    <w:rsid w:val="00B93D7F"/>
    <w:rsid w:val="00BA276C"/>
    <w:rsid w:val="00BA60E5"/>
    <w:rsid w:val="00BA7495"/>
    <w:rsid w:val="00BA77D0"/>
    <w:rsid w:val="00BB019D"/>
    <w:rsid w:val="00BB306F"/>
    <w:rsid w:val="00BB7EF6"/>
    <w:rsid w:val="00BC5463"/>
    <w:rsid w:val="00BC5C98"/>
    <w:rsid w:val="00BC5DF1"/>
    <w:rsid w:val="00BD0FF5"/>
    <w:rsid w:val="00BD4B89"/>
    <w:rsid w:val="00BD5922"/>
    <w:rsid w:val="00BE4C95"/>
    <w:rsid w:val="00BF02CB"/>
    <w:rsid w:val="00BF2303"/>
    <w:rsid w:val="00BF6FD8"/>
    <w:rsid w:val="00BF7BBE"/>
    <w:rsid w:val="00C03680"/>
    <w:rsid w:val="00C04837"/>
    <w:rsid w:val="00C054DF"/>
    <w:rsid w:val="00C17037"/>
    <w:rsid w:val="00C21762"/>
    <w:rsid w:val="00C21AD3"/>
    <w:rsid w:val="00C21FEF"/>
    <w:rsid w:val="00C23BA4"/>
    <w:rsid w:val="00C24543"/>
    <w:rsid w:val="00C256A2"/>
    <w:rsid w:val="00C25ADB"/>
    <w:rsid w:val="00C33690"/>
    <w:rsid w:val="00C51515"/>
    <w:rsid w:val="00C5660B"/>
    <w:rsid w:val="00C66B72"/>
    <w:rsid w:val="00C70FE9"/>
    <w:rsid w:val="00C8446B"/>
    <w:rsid w:val="00C850B0"/>
    <w:rsid w:val="00C87AC4"/>
    <w:rsid w:val="00C91BC8"/>
    <w:rsid w:val="00C9567A"/>
    <w:rsid w:val="00CA1A5B"/>
    <w:rsid w:val="00CA2DF5"/>
    <w:rsid w:val="00CB212D"/>
    <w:rsid w:val="00CB2660"/>
    <w:rsid w:val="00CC5E90"/>
    <w:rsid w:val="00CD046C"/>
    <w:rsid w:val="00CD7277"/>
    <w:rsid w:val="00CE076C"/>
    <w:rsid w:val="00CE5199"/>
    <w:rsid w:val="00CE66D5"/>
    <w:rsid w:val="00CF637A"/>
    <w:rsid w:val="00D059DE"/>
    <w:rsid w:val="00D05ABD"/>
    <w:rsid w:val="00D06521"/>
    <w:rsid w:val="00D06965"/>
    <w:rsid w:val="00D11460"/>
    <w:rsid w:val="00D13FCE"/>
    <w:rsid w:val="00D151E2"/>
    <w:rsid w:val="00D2082A"/>
    <w:rsid w:val="00D26ED8"/>
    <w:rsid w:val="00D306D1"/>
    <w:rsid w:val="00D30800"/>
    <w:rsid w:val="00D342F3"/>
    <w:rsid w:val="00D34786"/>
    <w:rsid w:val="00D37BFC"/>
    <w:rsid w:val="00D43AA2"/>
    <w:rsid w:val="00D47A8E"/>
    <w:rsid w:val="00D52D14"/>
    <w:rsid w:val="00D60776"/>
    <w:rsid w:val="00D640B2"/>
    <w:rsid w:val="00D6512B"/>
    <w:rsid w:val="00D65C93"/>
    <w:rsid w:val="00D712D3"/>
    <w:rsid w:val="00D71422"/>
    <w:rsid w:val="00D72DC6"/>
    <w:rsid w:val="00D7558D"/>
    <w:rsid w:val="00D81D92"/>
    <w:rsid w:val="00D876F9"/>
    <w:rsid w:val="00D9036E"/>
    <w:rsid w:val="00D9101F"/>
    <w:rsid w:val="00D91FEF"/>
    <w:rsid w:val="00DA60D8"/>
    <w:rsid w:val="00DA7B5F"/>
    <w:rsid w:val="00DC11E7"/>
    <w:rsid w:val="00DC14E2"/>
    <w:rsid w:val="00DC24E3"/>
    <w:rsid w:val="00DC65BB"/>
    <w:rsid w:val="00DC7023"/>
    <w:rsid w:val="00DC769A"/>
    <w:rsid w:val="00DD310E"/>
    <w:rsid w:val="00DD3D86"/>
    <w:rsid w:val="00DD4AD2"/>
    <w:rsid w:val="00DD79C6"/>
    <w:rsid w:val="00DE2862"/>
    <w:rsid w:val="00DF1EC4"/>
    <w:rsid w:val="00DF4459"/>
    <w:rsid w:val="00DF72A5"/>
    <w:rsid w:val="00E0198E"/>
    <w:rsid w:val="00E0340B"/>
    <w:rsid w:val="00E04A90"/>
    <w:rsid w:val="00E0551F"/>
    <w:rsid w:val="00E055A4"/>
    <w:rsid w:val="00E0723D"/>
    <w:rsid w:val="00E10100"/>
    <w:rsid w:val="00E219C7"/>
    <w:rsid w:val="00E24EEC"/>
    <w:rsid w:val="00E3330D"/>
    <w:rsid w:val="00E3562D"/>
    <w:rsid w:val="00E4118C"/>
    <w:rsid w:val="00E43157"/>
    <w:rsid w:val="00E461CE"/>
    <w:rsid w:val="00E47103"/>
    <w:rsid w:val="00E573E4"/>
    <w:rsid w:val="00E64C3D"/>
    <w:rsid w:val="00E653A2"/>
    <w:rsid w:val="00E720CA"/>
    <w:rsid w:val="00E831B6"/>
    <w:rsid w:val="00E84EB5"/>
    <w:rsid w:val="00E85662"/>
    <w:rsid w:val="00E8789F"/>
    <w:rsid w:val="00E93A8F"/>
    <w:rsid w:val="00E962F0"/>
    <w:rsid w:val="00E97B71"/>
    <w:rsid w:val="00EA3D34"/>
    <w:rsid w:val="00EB0DA7"/>
    <w:rsid w:val="00EB454D"/>
    <w:rsid w:val="00EC136D"/>
    <w:rsid w:val="00EC4E6F"/>
    <w:rsid w:val="00EC524D"/>
    <w:rsid w:val="00ED3483"/>
    <w:rsid w:val="00ED549D"/>
    <w:rsid w:val="00ED5E10"/>
    <w:rsid w:val="00ED76BE"/>
    <w:rsid w:val="00EE00E9"/>
    <w:rsid w:val="00EE02EE"/>
    <w:rsid w:val="00EF1AAA"/>
    <w:rsid w:val="00EF619B"/>
    <w:rsid w:val="00F00B55"/>
    <w:rsid w:val="00F02AD1"/>
    <w:rsid w:val="00F06BDF"/>
    <w:rsid w:val="00F253CC"/>
    <w:rsid w:val="00F31A42"/>
    <w:rsid w:val="00F33D0D"/>
    <w:rsid w:val="00F37106"/>
    <w:rsid w:val="00F44E25"/>
    <w:rsid w:val="00F519CF"/>
    <w:rsid w:val="00F55065"/>
    <w:rsid w:val="00F56176"/>
    <w:rsid w:val="00F56BA5"/>
    <w:rsid w:val="00F56ECB"/>
    <w:rsid w:val="00F60E22"/>
    <w:rsid w:val="00F666C5"/>
    <w:rsid w:val="00F80343"/>
    <w:rsid w:val="00F81395"/>
    <w:rsid w:val="00F81BB8"/>
    <w:rsid w:val="00F90C64"/>
    <w:rsid w:val="00F917D1"/>
    <w:rsid w:val="00F9653B"/>
    <w:rsid w:val="00FA09D4"/>
    <w:rsid w:val="00FA675D"/>
    <w:rsid w:val="00FB326B"/>
    <w:rsid w:val="00FB62CF"/>
    <w:rsid w:val="00FD17E1"/>
    <w:rsid w:val="00FD3C3B"/>
    <w:rsid w:val="00FD74B8"/>
    <w:rsid w:val="00FE07DD"/>
    <w:rsid w:val="00FE6B45"/>
    <w:rsid w:val="00FF19AA"/>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2D5C1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Char2">
    <w:name w:val="Char2"/>
    <w:basedOn w:val="Normal"/>
    <w:link w:val="FootnoteReference"/>
    <w:rsid w:val="00D151E2"/>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styleId="NormalWeb">
    <w:name w:val="Normal (Web)"/>
    <w:basedOn w:val="Normal"/>
    <w:uiPriority w:val="99"/>
    <w:unhideWhenUsed/>
    <w:rsid w:val="002D5EF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MX"/>
    </w:rPr>
  </w:style>
  <w:style w:type="character" w:styleId="Strong">
    <w:name w:val="Strong"/>
    <w:basedOn w:val="DefaultParagraphFont"/>
    <w:uiPriority w:val="22"/>
    <w:qFormat/>
    <w:rsid w:val="002D5EFB"/>
    <w:rPr>
      <w:b/>
      <w:bCs/>
    </w:rPr>
  </w:style>
  <w:style w:type="character" w:customStyle="1" w:styleId="apple-converted-space">
    <w:name w:val="apple-converted-space"/>
    <w:basedOn w:val="DefaultParagraphFont"/>
    <w:rsid w:val="00996B55"/>
  </w:style>
  <w:style w:type="character" w:customStyle="1" w:styleId="s49">
    <w:name w:val="s49"/>
    <w:basedOn w:val="DefaultParagraphFont"/>
    <w:rsid w:val="001575CD"/>
  </w:style>
  <w:style w:type="character" w:customStyle="1" w:styleId="Heading6Char">
    <w:name w:val="Heading 6 Char"/>
    <w:basedOn w:val="DefaultParagraphFont"/>
    <w:link w:val="Heading6"/>
    <w:uiPriority w:val="9"/>
    <w:semiHidden/>
    <w:rsid w:val="002D5C16"/>
    <w:rPr>
      <w:rFonts w:asciiTheme="majorHAnsi" w:eastAsiaTheme="majorEastAsia" w:hAnsiTheme="majorHAnsi" w:cstheme="majorBidi"/>
      <w:color w:val="243F60" w:themeColor="accent1" w:themeShade="7F"/>
      <w:sz w:val="24"/>
      <w:szCs w:val="24"/>
      <w:lang w:val="en-US" w:eastAsia="en-US"/>
    </w:rPr>
  </w:style>
  <w:style w:type="paragraph" w:customStyle="1" w:styleId="p1">
    <w:name w:val="p1"/>
    <w:basedOn w:val="Normal"/>
    <w:rsid w:val="00F33D0D"/>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val="es-EC" w:eastAsia="es-MX"/>
    </w:rPr>
  </w:style>
  <w:style w:type="character" w:customStyle="1" w:styleId="s1">
    <w:name w:val="s1"/>
    <w:basedOn w:val="DefaultParagraphFont"/>
    <w:rsid w:val="00F33D0D"/>
    <w:rPr>
      <w:rFonts w:ascii="Helvetica" w:hAnsi="Helvetica" w:hint="default"/>
      <w:sz w:val="10"/>
      <w:szCs w:val="10"/>
    </w:rPr>
  </w:style>
  <w:style w:type="paragraph" w:styleId="CommentText">
    <w:name w:val="annotation text"/>
    <w:basedOn w:val="Normal"/>
    <w:link w:val="CommentTextChar"/>
    <w:uiPriority w:val="99"/>
    <w:unhideWhenUsed/>
    <w:rsid w:val="008151FC"/>
    <w:rPr>
      <w:sz w:val="20"/>
      <w:szCs w:val="20"/>
    </w:rPr>
  </w:style>
  <w:style w:type="character" w:customStyle="1" w:styleId="CommentTextChar">
    <w:name w:val="Comment Text Char"/>
    <w:basedOn w:val="DefaultParagraphFont"/>
    <w:link w:val="CommentText"/>
    <w:uiPriority w:val="99"/>
    <w:rsid w:val="008151FC"/>
    <w:rPr>
      <w:lang w:val="en-US" w:eastAsia="en-US"/>
    </w:rPr>
  </w:style>
  <w:style w:type="paragraph" w:styleId="CommentSubject">
    <w:name w:val="annotation subject"/>
    <w:basedOn w:val="CommentText"/>
    <w:next w:val="CommentText"/>
    <w:link w:val="CommentSubjectChar"/>
    <w:uiPriority w:val="99"/>
    <w:semiHidden/>
    <w:unhideWhenUsed/>
    <w:rsid w:val="008151FC"/>
    <w:rPr>
      <w:b/>
      <w:bCs/>
    </w:rPr>
  </w:style>
  <w:style w:type="character" w:customStyle="1" w:styleId="CommentSubjectChar">
    <w:name w:val="Comment Subject Char"/>
    <w:basedOn w:val="CommentTextChar"/>
    <w:link w:val="CommentSubject"/>
    <w:uiPriority w:val="99"/>
    <w:semiHidden/>
    <w:rsid w:val="008151FC"/>
    <w:rPr>
      <w:b/>
      <w:bCs/>
      <w:lang w:val="en-US" w:eastAsia="en-US"/>
    </w:rPr>
  </w:style>
  <w:style w:type="paragraph" w:styleId="Revision">
    <w:name w:val="Revision"/>
    <w:hidden/>
    <w:uiPriority w:val="99"/>
    <w:semiHidden/>
    <w:rsid w:val="003C1FD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paragraph">
    <w:name w:val="paragraph"/>
    <w:basedOn w:val="Normal"/>
    <w:rsid w:val="0050571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505710"/>
  </w:style>
  <w:style w:type="character" w:customStyle="1" w:styleId="eop">
    <w:name w:val="eop"/>
    <w:basedOn w:val="DefaultParagraphFont"/>
    <w:rsid w:val="0050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0D2135C90D7438D4AC6608AC6BB72"/>
        <w:category>
          <w:name w:val="General"/>
          <w:gallery w:val="placeholder"/>
        </w:category>
        <w:types>
          <w:type w:val="bbPlcHdr"/>
        </w:types>
        <w:behaviors>
          <w:behavior w:val="content"/>
        </w:behaviors>
        <w:guid w:val="{68FA4285-2173-A145-A6BE-BB1FBE2133F2}"/>
      </w:docPartPr>
      <w:docPartBody>
        <w:p w:rsidR="00FA51C1" w:rsidRDefault="00BE7D31" w:rsidP="00BE7D31">
          <w:pPr>
            <w:pStyle w:val="97E0D2135C90D7438D4AC6608AC6BB72"/>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6ED0"/>
    <w:rsid w:val="00042D6E"/>
    <w:rsid w:val="00072D6C"/>
    <w:rsid w:val="000F1F02"/>
    <w:rsid w:val="00200821"/>
    <w:rsid w:val="0025245B"/>
    <w:rsid w:val="002A3923"/>
    <w:rsid w:val="002E15C9"/>
    <w:rsid w:val="00394049"/>
    <w:rsid w:val="003B0C71"/>
    <w:rsid w:val="003C060B"/>
    <w:rsid w:val="004B5BBB"/>
    <w:rsid w:val="004F2DF8"/>
    <w:rsid w:val="00517E2A"/>
    <w:rsid w:val="00555E21"/>
    <w:rsid w:val="005A12C7"/>
    <w:rsid w:val="005C0D57"/>
    <w:rsid w:val="006D3128"/>
    <w:rsid w:val="006F24A1"/>
    <w:rsid w:val="00746762"/>
    <w:rsid w:val="00794BB1"/>
    <w:rsid w:val="008548AD"/>
    <w:rsid w:val="00875B8A"/>
    <w:rsid w:val="008953BC"/>
    <w:rsid w:val="00982779"/>
    <w:rsid w:val="009A261B"/>
    <w:rsid w:val="00A21271"/>
    <w:rsid w:val="00AA2E17"/>
    <w:rsid w:val="00AB5C1E"/>
    <w:rsid w:val="00AC15A4"/>
    <w:rsid w:val="00AD4BC5"/>
    <w:rsid w:val="00B0336C"/>
    <w:rsid w:val="00B35030"/>
    <w:rsid w:val="00B77C4B"/>
    <w:rsid w:val="00BE7D31"/>
    <w:rsid w:val="00BF7BBE"/>
    <w:rsid w:val="00CA2DF5"/>
    <w:rsid w:val="00CD48B3"/>
    <w:rsid w:val="00D241E9"/>
    <w:rsid w:val="00D7750D"/>
    <w:rsid w:val="00DD310E"/>
    <w:rsid w:val="00E962F0"/>
    <w:rsid w:val="00F00D2F"/>
    <w:rsid w:val="00F128DF"/>
    <w:rsid w:val="00F4128C"/>
    <w:rsid w:val="00FA5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7D31"/>
    <w:rPr>
      <w:color w:val="808080"/>
    </w:rPr>
  </w:style>
  <w:style w:type="paragraph" w:customStyle="1" w:styleId="97E0D2135C90D7438D4AC6608AC6BB72">
    <w:name w:val="97E0D2135C90D7438D4AC6608AC6BB72"/>
    <w:rsid w:val="00BE7D31"/>
    <w:pPr>
      <w:spacing w:after="160" w:line="278" w:lineRule="auto"/>
    </w:pPr>
    <w:rPr>
      <w:kern w:val="2"/>
      <w:sz w:val="24"/>
      <w:szCs w:val="24"/>
      <w:lang w:val="es-EC" w:eastAsia="es-MX"/>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d548b3393e6e8f61860a01d9f6e8665c">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c1745f32f07ce2f1fa0afb8f89743d07"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DD8ADF68-129A-42D9-967C-9B999F1786E2}">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BF016449-8C03-47DF-9118-11B254D3677E}">
  <ds:schemaRefs>
    <ds:schemaRef ds:uri="http://schemas.microsoft.com/sharepoint/v3/contenttype/forms"/>
  </ds:schemaRefs>
</ds:datastoreItem>
</file>

<file path=customXml/itemProps4.xml><?xml version="1.0" encoding="utf-8"?>
<ds:datastoreItem xmlns:ds="http://schemas.openxmlformats.org/officeDocument/2006/customXml" ds:itemID="{FB051025-0A32-4C30-9C17-15922310A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2954</Words>
  <Characters>16844</Characters>
  <Application>Microsoft Office Word</Application>
  <DocSecurity>0</DocSecurity>
  <Lines>140</Lines>
  <Paragraphs>39</Paragraphs>
  <ScaleCrop>false</ScaleCrop>
  <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2026-01-29T14:12:00Z</dcterms:created>
  <dcterms:modified xsi:type="dcterms:W3CDTF">2026-01-29T14:12:00Z</dcterms:modified>
</cp:coreProperties>
</file>