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186DC5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5B678C" w:rsidRDefault="00040C3A" w:rsidP="005128E4">
      <w:pPr>
        <w:tabs>
          <w:tab w:val="center" w:pos="5400"/>
        </w:tabs>
        <w:suppressAutoHyphens/>
        <w:jc w:val="center"/>
        <w:rPr>
          <w:rFonts w:asciiTheme="majorHAnsi" w:hAnsiTheme="majorHAnsi"/>
          <w:sz w:val="22"/>
          <w:szCs w:val="22"/>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3E42EE5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30DA3">
                              <w:rPr>
                                <w:rFonts w:asciiTheme="majorHAnsi" w:hAnsiTheme="majorHAnsi" w:cs="Arial"/>
                                <w:b/>
                                <w:bCs/>
                                <w:color w:val="0D0D0D" w:themeColor="text1" w:themeTint="F2"/>
                                <w:sz w:val="36"/>
                                <w:szCs w:val="22"/>
                                <w:lang w:val="es-ES_tradnl"/>
                              </w:rPr>
                              <w:t>10</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5B678C">
                              <w:rPr>
                                <w:rFonts w:asciiTheme="majorHAnsi" w:hAnsiTheme="majorHAnsi" w:cs="Arial"/>
                                <w:b/>
                                <w:bCs/>
                                <w:color w:val="0D0D0D" w:themeColor="text1" w:themeTint="F2"/>
                                <w:sz w:val="36"/>
                                <w:szCs w:val="22"/>
                                <w:lang w:val="es-ES_tradnl"/>
                              </w:rPr>
                              <w:t>5</w:t>
                            </w:r>
                          </w:p>
                          <w:p w14:paraId="45F30ECA" w14:textId="15552AF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F5F2E">
                              <w:rPr>
                                <w:rFonts w:asciiTheme="majorHAnsi" w:hAnsiTheme="majorHAnsi" w:cs="Arial"/>
                                <w:b/>
                                <w:color w:val="0D0D0D" w:themeColor="text1" w:themeTint="F2"/>
                                <w:sz w:val="36"/>
                                <w:szCs w:val="22"/>
                                <w:lang w:val="es-ES_tradnl"/>
                              </w:rPr>
                              <w:t>412-19</w:t>
                            </w:r>
                          </w:p>
                          <w:p w14:paraId="188B4303" w14:textId="0A824D9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03BCE843" w:rsidR="005B52B0" w:rsidRPr="0010736F" w:rsidRDefault="008F5F2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ORLANDO</w:t>
                            </w:r>
                            <w:r w:rsidR="000323C3">
                              <w:rPr>
                                <w:rFonts w:asciiTheme="majorHAnsi" w:hAnsiTheme="majorHAnsi" w:cs="Arial"/>
                                <w:color w:val="0D0D0D" w:themeColor="text1" w:themeTint="F2"/>
                                <w:szCs w:val="22"/>
                                <w:lang w:val="es-ES_tradnl"/>
                              </w:rPr>
                              <w:t xml:space="preserve"> RENE</w:t>
                            </w:r>
                            <w:r>
                              <w:rPr>
                                <w:rFonts w:asciiTheme="majorHAnsi" w:hAnsiTheme="majorHAnsi" w:cs="Arial"/>
                                <w:color w:val="0D0D0D" w:themeColor="text1" w:themeTint="F2"/>
                                <w:szCs w:val="22"/>
                                <w:lang w:val="es-ES_tradnl"/>
                              </w:rPr>
                              <w:t xml:space="preserve"> SANJUR</w:t>
                            </w:r>
                            <w:r w:rsidR="000323C3">
                              <w:rPr>
                                <w:rFonts w:asciiTheme="majorHAnsi" w:hAnsiTheme="majorHAnsi" w:cs="Arial"/>
                                <w:color w:val="0D0D0D" w:themeColor="text1" w:themeTint="F2"/>
                                <w:szCs w:val="22"/>
                                <w:lang w:val="es-ES_tradnl"/>
                              </w:rPr>
                              <w:t xml:space="preserve"> PAZ</w:t>
                            </w:r>
                          </w:p>
                          <w:bookmarkEnd w:id="0"/>
                          <w:p w14:paraId="0B9F7D22" w14:textId="0E8609BF" w:rsidR="005B52B0" w:rsidRPr="00F56ECB" w:rsidRDefault="008F5F2E"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PANAMÁ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3E42EE5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30DA3">
                        <w:rPr>
                          <w:rFonts w:asciiTheme="majorHAnsi" w:hAnsiTheme="majorHAnsi" w:cs="Arial"/>
                          <w:b/>
                          <w:bCs/>
                          <w:color w:val="0D0D0D" w:themeColor="text1" w:themeTint="F2"/>
                          <w:sz w:val="36"/>
                          <w:szCs w:val="22"/>
                          <w:lang w:val="es-ES_tradnl"/>
                        </w:rPr>
                        <w:t>10</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5B678C">
                        <w:rPr>
                          <w:rFonts w:asciiTheme="majorHAnsi" w:hAnsiTheme="majorHAnsi" w:cs="Arial"/>
                          <w:b/>
                          <w:bCs/>
                          <w:color w:val="0D0D0D" w:themeColor="text1" w:themeTint="F2"/>
                          <w:sz w:val="36"/>
                          <w:szCs w:val="22"/>
                          <w:lang w:val="es-ES_tradnl"/>
                        </w:rPr>
                        <w:t>5</w:t>
                      </w:r>
                    </w:p>
                    <w:p w14:paraId="45F30ECA" w14:textId="15552AF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F5F2E">
                        <w:rPr>
                          <w:rFonts w:asciiTheme="majorHAnsi" w:hAnsiTheme="majorHAnsi" w:cs="Arial"/>
                          <w:b/>
                          <w:color w:val="0D0D0D" w:themeColor="text1" w:themeTint="F2"/>
                          <w:sz w:val="36"/>
                          <w:szCs w:val="22"/>
                          <w:lang w:val="es-ES_tradnl"/>
                        </w:rPr>
                        <w:t>412-19</w:t>
                      </w:r>
                    </w:p>
                    <w:p w14:paraId="188B4303" w14:textId="0A824D9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03BCE843" w:rsidR="005B52B0" w:rsidRPr="0010736F" w:rsidRDefault="008F5F2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ORLANDO</w:t>
                      </w:r>
                      <w:r w:rsidR="000323C3">
                        <w:rPr>
                          <w:rFonts w:asciiTheme="majorHAnsi" w:hAnsiTheme="majorHAnsi" w:cs="Arial"/>
                          <w:color w:val="0D0D0D" w:themeColor="text1" w:themeTint="F2"/>
                          <w:szCs w:val="22"/>
                          <w:lang w:val="es-ES_tradnl"/>
                        </w:rPr>
                        <w:t xml:space="preserve"> RENE</w:t>
                      </w:r>
                      <w:r>
                        <w:rPr>
                          <w:rFonts w:asciiTheme="majorHAnsi" w:hAnsiTheme="majorHAnsi" w:cs="Arial"/>
                          <w:color w:val="0D0D0D" w:themeColor="text1" w:themeTint="F2"/>
                          <w:szCs w:val="22"/>
                          <w:lang w:val="es-ES_tradnl"/>
                        </w:rPr>
                        <w:t xml:space="preserve"> SANJUR</w:t>
                      </w:r>
                      <w:r w:rsidR="000323C3">
                        <w:rPr>
                          <w:rFonts w:asciiTheme="majorHAnsi" w:hAnsiTheme="majorHAnsi" w:cs="Arial"/>
                          <w:color w:val="0D0D0D" w:themeColor="text1" w:themeTint="F2"/>
                          <w:szCs w:val="22"/>
                          <w:lang w:val="es-ES_tradnl"/>
                        </w:rPr>
                        <w:t xml:space="preserve"> PAZ</w:t>
                      </w:r>
                    </w:p>
                    <w:bookmarkEnd w:id="1"/>
                    <w:p w14:paraId="0B9F7D22" w14:textId="0E8609BF" w:rsidR="005B52B0" w:rsidRPr="00F56ECB" w:rsidRDefault="008F5F2E"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PANAMÁ</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9A5EC92" w:rsidR="00627C9F" w:rsidRPr="00A82F54" w:rsidRDefault="00834D49" w:rsidP="007A5817">
                            <w:pPr>
                              <w:spacing w:line="276" w:lineRule="auto"/>
                              <w:jc w:val="right"/>
                              <w:rPr>
                                <w:rFonts w:asciiTheme="minorHAnsi" w:hAnsiTheme="minorHAnsi"/>
                                <w:color w:val="FFFFFF" w:themeColor="background1"/>
                                <w:sz w:val="22"/>
                                <w:lang w:val="es-ES"/>
                              </w:rPr>
                            </w:pPr>
                            <w:r w:rsidRPr="00A82F54">
                              <w:rPr>
                                <w:rFonts w:asciiTheme="minorHAnsi" w:hAnsiTheme="minorHAnsi"/>
                                <w:color w:val="FFFFFF" w:themeColor="background1"/>
                                <w:sz w:val="22"/>
                                <w:lang w:val="es-ES"/>
                              </w:rPr>
                              <w:t>OEA/Ser.L/V/II</w:t>
                            </w:r>
                          </w:p>
                          <w:p w14:paraId="71D2D5D2" w14:textId="6B62C296" w:rsidR="00627C9F" w:rsidRPr="00A82F54" w:rsidRDefault="00627C9F" w:rsidP="007A5817">
                            <w:pPr>
                              <w:spacing w:line="276" w:lineRule="auto"/>
                              <w:jc w:val="right"/>
                              <w:rPr>
                                <w:rFonts w:asciiTheme="minorHAnsi" w:hAnsiTheme="minorHAnsi"/>
                                <w:color w:val="FFFFFF" w:themeColor="background1"/>
                                <w:sz w:val="22"/>
                                <w:lang w:val="es-ES"/>
                              </w:rPr>
                            </w:pPr>
                            <w:r w:rsidRPr="00A82F54">
                              <w:rPr>
                                <w:rFonts w:asciiTheme="minorHAnsi" w:hAnsiTheme="minorHAnsi"/>
                                <w:color w:val="FFFFFF" w:themeColor="background1"/>
                                <w:sz w:val="22"/>
                                <w:lang w:val="es-ES"/>
                              </w:rPr>
                              <w:t xml:space="preserve">Doc. </w:t>
                            </w:r>
                            <w:r w:rsidR="00B77FD2" w:rsidRPr="00A82F54">
                              <w:rPr>
                                <w:rFonts w:asciiTheme="minorHAnsi" w:hAnsiTheme="minorHAnsi"/>
                                <w:color w:val="FFFFFF" w:themeColor="background1"/>
                                <w:sz w:val="22"/>
                                <w:lang w:val="es-ES"/>
                              </w:rPr>
                              <w:t>12</w:t>
                            </w:r>
                          </w:p>
                          <w:p w14:paraId="4061DBBD" w14:textId="09ADBA9B" w:rsidR="00627C9F" w:rsidRPr="00C25ADB" w:rsidRDefault="00B77FD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62587D">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9A5EC92" w:rsidR="00627C9F" w:rsidRPr="00A82F54" w:rsidRDefault="00834D49" w:rsidP="007A5817">
                      <w:pPr>
                        <w:spacing w:line="276" w:lineRule="auto"/>
                        <w:jc w:val="right"/>
                        <w:rPr>
                          <w:rFonts w:asciiTheme="minorHAnsi" w:hAnsiTheme="minorHAnsi"/>
                          <w:color w:val="FFFFFF" w:themeColor="background1"/>
                          <w:sz w:val="22"/>
                          <w:lang w:val="es-ES"/>
                        </w:rPr>
                      </w:pPr>
                      <w:r w:rsidRPr="00A82F54">
                        <w:rPr>
                          <w:rFonts w:asciiTheme="minorHAnsi" w:hAnsiTheme="minorHAnsi"/>
                          <w:color w:val="FFFFFF" w:themeColor="background1"/>
                          <w:sz w:val="22"/>
                          <w:lang w:val="es-ES"/>
                        </w:rPr>
                        <w:t>OEA/Ser.L/V/II</w:t>
                      </w:r>
                    </w:p>
                    <w:p w14:paraId="71D2D5D2" w14:textId="6B62C296" w:rsidR="00627C9F" w:rsidRPr="00A82F54" w:rsidRDefault="00627C9F" w:rsidP="007A5817">
                      <w:pPr>
                        <w:spacing w:line="276" w:lineRule="auto"/>
                        <w:jc w:val="right"/>
                        <w:rPr>
                          <w:rFonts w:asciiTheme="minorHAnsi" w:hAnsiTheme="minorHAnsi"/>
                          <w:color w:val="FFFFFF" w:themeColor="background1"/>
                          <w:sz w:val="22"/>
                          <w:lang w:val="es-ES"/>
                        </w:rPr>
                      </w:pPr>
                      <w:r w:rsidRPr="00A82F54">
                        <w:rPr>
                          <w:rFonts w:asciiTheme="minorHAnsi" w:hAnsiTheme="minorHAnsi"/>
                          <w:color w:val="FFFFFF" w:themeColor="background1"/>
                          <w:sz w:val="22"/>
                          <w:lang w:val="es-ES"/>
                        </w:rPr>
                        <w:t xml:space="preserve">Doc. </w:t>
                      </w:r>
                      <w:r w:rsidR="00B77FD2" w:rsidRPr="00A82F54">
                        <w:rPr>
                          <w:rFonts w:asciiTheme="minorHAnsi" w:hAnsiTheme="minorHAnsi"/>
                          <w:color w:val="FFFFFF" w:themeColor="background1"/>
                          <w:sz w:val="22"/>
                          <w:lang w:val="es-ES"/>
                        </w:rPr>
                        <w:t>12</w:t>
                      </w:r>
                    </w:p>
                    <w:p w14:paraId="4061DBBD" w14:textId="09ADBA9B" w:rsidR="00627C9F" w:rsidRPr="00C25ADB" w:rsidRDefault="00B77FD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62587D">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E4284B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82F54">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A82F54">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2587D">
                              <w:rPr>
                                <w:rFonts w:asciiTheme="majorHAnsi" w:hAnsiTheme="majorHAnsi"/>
                                <w:color w:val="0D0D0D" w:themeColor="text1" w:themeTint="F2"/>
                                <w:sz w:val="18"/>
                                <w:szCs w:val="22"/>
                                <w:lang w:val="es-ES"/>
                              </w:rPr>
                              <w:t>5</w:t>
                            </w:r>
                            <w:r w:rsidR="00A82F54">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E4284B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82F54">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A82F54">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2587D">
                        <w:rPr>
                          <w:rFonts w:asciiTheme="majorHAnsi" w:hAnsiTheme="majorHAnsi"/>
                          <w:color w:val="0D0D0D" w:themeColor="text1" w:themeTint="F2"/>
                          <w:sz w:val="18"/>
                          <w:szCs w:val="22"/>
                          <w:lang w:val="es-ES"/>
                        </w:rPr>
                        <w:t>5</w:t>
                      </w:r>
                      <w:r w:rsidR="00A82F54">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2139F37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82F54" w:rsidRPr="00A82F54">
                              <w:rPr>
                                <w:rFonts w:asciiTheme="majorHAnsi" w:hAnsiTheme="majorHAnsi"/>
                                <w:color w:val="595959" w:themeColor="text1" w:themeTint="A6"/>
                                <w:sz w:val="18"/>
                                <w:szCs w:val="18"/>
                                <w:lang w:val="pt-BR"/>
                              </w:rPr>
                              <w:t>10</w:t>
                            </w:r>
                            <w:r w:rsidR="007B05C4" w:rsidRPr="00A82F54">
                              <w:rPr>
                                <w:rFonts w:asciiTheme="majorHAnsi" w:hAnsiTheme="majorHAnsi"/>
                                <w:color w:val="595959" w:themeColor="text1" w:themeTint="A6"/>
                                <w:sz w:val="18"/>
                                <w:szCs w:val="18"/>
                                <w:lang w:val="pt-BR"/>
                              </w:rPr>
                              <w:t>/</w:t>
                            </w:r>
                            <w:r w:rsidR="00A82F54" w:rsidRPr="00A82F54">
                              <w:rPr>
                                <w:rFonts w:asciiTheme="majorHAnsi" w:hAnsiTheme="majorHAnsi"/>
                                <w:color w:val="595959" w:themeColor="text1" w:themeTint="A6"/>
                                <w:sz w:val="18"/>
                                <w:szCs w:val="18"/>
                                <w:lang w:val="pt-BR"/>
                              </w:rPr>
                              <w:t>25</w:t>
                            </w:r>
                            <w:r w:rsidRPr="00A82F5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8C4FEA">
                              <w:rPr>
                                <w:rFonts w:asciiTheme="majorHAnsi" w:hAnsiTheme="majorHAnsi"/>
                                <w:color w:val="595959" w:themeColor="text1" w:themeTint="A6"/>
                                <w:sz w:val="18"/>
                                <w:szCs w:val="18"/>
                                <w:lang w:val="es-ES"/>
                              </w:rPr>
                              <w:t>412-19</w:t>
                            </w:r>
                            <w:r w:rsidR="000433C9">
                              <w:rPr>
                                <w:rFonts w:asciiTheme="majorHAnsi" w:hAnsiTheme="majorHAnsi"/>
                                <w:color w:val="595959" w:themeColor="text1" w:themeTint="A6"/>
                                <w:sz w:val="18"/>
                                <w:szCs w:val="18"/>
                                <w:lang w:val="es-ES"/>
                              </w:rPr>
                              <w:t xml:space="preserve">. </w:t>
                            </w:r>
                            <w:r w:rsidR="00E5463A">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8C4FEA">
                              <w:rPr>
                                <w:rFonts w:asciiTheme="majorHAnsi" w:hAnsiTheme="majorHAnsi"/>
                                <w:color w:val="595959" w:themeColor="text1" w:themeTint="A6"/>
                                <w:sz w:val="18"/>
                                <w:szCs w:val="18"/>
                                <w:lang w:val="es-ES_tradnl"/>
                              </w:rPr>
                              <w:t xml:space="preserve">Orlando </w:t>
                            </w:r>
                            <w:r w:rsidR="000323C3">
                              <w:rPr>
                                <w:rFonts w:asciiTheme="majorHAnsi" w:hAnsiTheme="majorHAnsi"/>
                                <w:color w:val="595959" w:themeColor="text1" w:themeTint="A6"/>
                                <w:sz w:val="18"/>
                                <w:szCs w:val="18"/>
                                <w:lang w:val="es-ES_tradnl"/>
                              </w:rPr>
                              <w:t xml:space="preserve">Rene </w:t>
                            </w:r>
                            <w:r w:rsidR="008C4FEA">
                              <w:rPr>
                                <w:rFonts w:asciiTheme="majorHAnsi" w:hAnsiTheme="majorHAnsi"/>
                                <w:color w:val="595959" w:themeColor="text1" w:themeTint="A6"/>
                                <w:sz w:val="18"/>
                                <w:szCs w:val="18"/>
                                <w:lang w:val="es-ES_tradnl"/>
                              </w:rPr>
                              <w:t>Sanjur</w:t>
                            </w:r>
                            <w:r w:rsidR="000323C3">
                              <w:rPr>
                                <w:rFonts w:asciiTheme="majorHAnsi" w:hAnsiTheme="majorHAnsi"/>
                                <w:color w:val="595959" w:themeColor="text1" w:themeTint="A6"/>
                                <w:sz w:val="18"/>
                                <w:szCs w:val="18"/>
                                <w:lang w:val="es-ES_tradnl"/>
                              </w:rPr>
                              <w:t xml:space="preserve"> Paz</w:t>
                            </w:r>
                            <w:r w:rsidRPr="00890650">
                              <w:rPr>
                                <w:rFonts w:asciiTheme="majorHAnsi" w:hAnsiTheme="majorHAnsi"/>
                                <w:color w:val="595959" w:themeColor="text1" w:themeTint="A6"/>
                                <w:sz w:val="18"/>
                                <w:szCs w:val="18"/>
                                <w:lang w:val="es-ES_tradnl"/>
                              </w:rPr>
                              <w:t xml:space="preserve">. </w:t>
                            </w:r>
                            <w:r w:rsidR="008C4FEA">
                              <w:rPr>
                                <w:rFonts w:asciiTheme="majorHAnsi" w:hAnsiTheme="majorHAnsi"/>
                                <w:color w:val="595959" w:themeColor="text1" w:themeTint="A6"/>
                                <w:sz w:val="18"/>
                                <w:szCs w:val="18"/>
                                <w:lang w:val="es-ES_tradnl"/>
                              </w:rPr>
                              <w:t>Panamá</w:t>
                            </w:r>
                            <w:r w:rsidRPr="00890650">
                              <w:rPr>
                                <w:rFonts w:asciiTheme="majorHAnsi" w:hAnsiTheme="majorHAnsi"/>
                                <w:color w:val="595959" w:themeColor="text1" w:themeTint="A6"/>
                                <w:sz w:val="18"/>
                                <w:szCs w:val="18"/>
                                <w:lang w:val="es-ES_tradnl"/>
                              </w:rPr>
                              <w:t xml:space="preserve">. </w:t>
                            </w:r>
                            <w:r w:rsidR="00A82F54">
                              <w:rPr>
                                <w:rFonts w:asciiTheme="majorHAnsi" w:hAnsiTheme="majorHAnsi"/>
                                <w:color w:val="595959" w:themeColor="text1" w:themeTint="A6"/>
                                <w:sz w:val="18"/>
                                <w:szCs w:val="18"/>
                                <w:lang w:val="es-ES"/>
                              </w:rPr>
                              <w:t>10 de marzo de 2025</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2139F37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82F54" w:rsidRPr="00A82F54">
                        <w:rPr>
                          <w:rFonts w:asciiTheme="majorHAnsi" w:hAnsiTheme="majorHAnsi"/>
                          <w:color w:val="595959" w:themeColor="text1" w:themeTint="A6"/>
                          <w:sz w:val="18"/>
                          <w:szCs w:val="18"/>
                          <w:lang w:val="pt-BR"/>
                        </w:rPr>
                        <w:t>10</w:t>
                      </w:r>
                      <w:r w:rsidR="007B05C4" w:rsidRPr="00A82F54">
                        <w:rPr>
                          <w:rFonts w:asciiTheme="majorHAnsi" w:hAnsiTheme="majorHAnsi"/>
                          <w:color w:val="595959" w:themeColor="text1" w:themeTint="A6"/>
                          <w:sz w:val="18"/>
                          <w:szCs w:val="18"/>
                          <w:lang w:val="pt-BR"/>
                        </w:rPr>
                        <w:t>/</w:t>
                      </w:r>
                      <w:r w:rsidR="00A82F54" w:rsidRPr="00A82F54">
                        <w:rPr>
                          <w:rFonts w:asciiTheme="majorHAnsi" w:hAnsiTheme="majorHAnsi"/>
                          <w:color w:val="595959" w:themeColor="text1" w:themeTint="A6"/>
                          <w:sz w:val="18"/>
                          <w:szCs w:val="18"/>
                          <w:lang w:val="pt-BR"/>
                        </w:rPr>
                        <w:t>25</w:t>
                      </w:r>
                      <w:r w:rsidRPr="00A82F5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8C4FEA">
                        <w:rPr>
                          <w:rFonts w:asciiTheme="majorHAnsi" w:hAnsiTheme="majorHAnsi"/>
                          <w:color w:val="595959" w:themeColor="text1" w:themeTint="A6"/>
                          <w:sz w:val="18"/>
                          <w:szCs w:val="18"/>
                          <w:lang w:val="es-ES"/>
                        </w:rPr>
                        <w:t>412-19</w:t>
                      </w:r>
                      <w:r w:rsidR="000433C9">
                        <w:rPr>
                          <w:rFonts w:asciiTheme="majorHAnsi" w:hAnsiTheme="majorHAnsi"/>
                          <w:color w:val="595959" w:themeColor="text1" w:themeTint="A6"/>
                          <w:sz w:val="18"/>
                          <w:szCs w:val="18"/>
                          <w:lang w:val="es-ES"/>
                        </w:rPr>
                        <w:t xml:space="preserve">. </w:t>
                      </w:r>
                      <w:r w:rsidR="00E5463A">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8C4FEA">
                        <w:rPr>
                          <w:rFonts w:asciiTheme="majorHAnsi" w:hAnsiTheme="majorHAnsi"/>
                          <w:color w:val="595959" w:themeColor="text1" w:themeTint="A6"/>
                          <w:sz w:val="18"/>
                          <w:szCs w:val="18"/>
                          <w:lang w:val="es-ES_tradnl"/>
                        </w:rPr>
                        <w:t xml:space="preserve">Orlando </w:t>
                      </w:r>
                      <w:r w:rsidR="000323C3">
                        <w:rPr>
                          <w:rFonts w:asciiTheme="majorHAnsi" w:hAnsiTheme="majorHAnsi"/>
                          <w:color w:val="595959" w:themeColor="text1" w:themeTint="A6"/>
                          <w:sz w:val="18"/>
                          <w:szCs w:val="18"/>
                          <w:lang w:val="es-ES_tradnl"/>
                        </w:rPr>
                        <w:t xml:space="preserve">Rene </w:t>
                      </w:r>
                      <w:r w:rsidR="008C4FEA">
                        <w:rPr>
                          <w:rFonts w:asciiTheme="majorHAnsi" w:hAnsiTheme="majorHAnsi"/>
                          <w:color w:val="595959" w:themeColor="text1" w:themeTint="A6"/>
                          <w:sz w:val="18"/>
                          <w:szCs w:val="18"/>
                          <w:lang w:val="es-ES_tradnl"/>
                        </w:rPr>
                        <w:t>Sanjur</w:t>
                      </w:r>
                      <w:r w:rsidR="000323C3">
                        <w:rPr>
                          <w:rFonts w:asciiTheme="majorHAnsi" w:hAnsiTheme="majorHAnsi"/>
                          <w:color w:val="595959" w:themeColor="text1" w:themeTint="A6"/>
                          <w:sz w:val="18"/>
                          <w:szCs w:val="18"/>
                          <w:lang w:val="es-ES_tradnl"/>
                        </w:rPr>
                        <w:t xml:space="preserve"> Paz</w:t>
                      </w:r>
                      <w:r w:rsidRPr="00890650">
                        <w:rPr>
                          <w:rFonts w:asciiTheme="majorHAnsi" w:hAnsiTheme="majorHAnsi"/>
                          <w:color w:val="595959" w:themeColor="text1" w:themeTint="A6"/>
                          <w:sz w:val="18"/>
                          <w:szCs w:val="18"/>
                          <w:lang w:val="es-ES_tradnl"/>
                        </w:rPr>
                        <w:t xml:space="preserve">. </w:t>
                      </w:r>
                      <w:r w:rsidR="008C4FEA">
                        <w:rPr>
                          <w:rFonts w:asciiTheme="majorHAnsi" w:hAnsiTheme="majorHAnsi"/>
                          <w:color w:val="595959" w:themeColor="text1" w:themeTint="A6"/>
                          <w:sz w:val="18"/>
                          <w:szCs w:val="18"/>
                          <w:lang w:val="es-ES_tradnl"/>
                        </w:rPr>
                        <w:t>Panamá</w:t>
                      </w:r>
                      <w:r w:rsidRPr="00890650">
                        <w:rPr>
                          <w:rFonts w:asciiTheme="majorHAnsi" w:hAnsiTheme="majorHAnsi"/>
                          <w:color w:val="595959" w:themeColor="text1" w:themeTint="A6"/>
                          <w:sz w:val="18"/>
                          <w:szCs w:val="18"/>
                          <w:lang w:val="es-ES_tradnl"/>
                        </w:rPr>
                        <w:t xml:space="preserve">. </w:t>
                      </w:r>
                      <w:r w:rsidR="00A82F54">
                        <w:rPr>
                          <w:rFonts w:asciiTheme="majorHAnsi" w:hAnsiTheme="majorHAnsi"/>
                          <w:color w:val="595959" w:themeColor="text1" w:themeTint="A6"/>
                          <w:sz w:val="18"/>
                          <w:szCs w:val="18"/>
                          <w:lang w:val="es-ES"/>
                        </w:rPr>
                        <w:t>10 de marzo de 2025</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59370551"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4BBB9917" wp14:editId="11C1B42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2ED3E33F" w:rsidR="0070697F" w:rsidRDefault="001927C0"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5D37EBA2" wp14:editId="7C6D42CE">
                <wp:simplePos x="0" y="0"/>
                <wp:positionH relativeFrom="column">
                  <wp:posOffset>1310640</wp:posOffset>
                </wp:positionH>
                <wp:positionV relativeFrom="paragraph">
                  <wp:posOffset>506893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2pt;margin-top:39.9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3DD8B621" w:rsidR="003239B8" w:rsidRPr="000D05CB" w:rsidRDefault="005D7A57" w:rsidP="008D2290">
            <w:pPr>
              <w:jc w:val="both"/>
              <w:rPr>
                <w:rFonts w:ascii="Cambria" w:hAnsi="Cambria"/>
                <w:bCs/>
                <w:sz w:val="20"/>
                <w:szCs w:val="20"/>
              </w:rPr>
            </w:pPr>
            <w:r>
              <w:rPr>
                <w:rFonts w:ascii="Cambria" w:hAnsi="Cambria"/>
                <w:bCs/>
                <w:sz w:val="20"/>
                <w:szCs w:val="20"/>
              </w:rPr>
              <w:t>Orlando Ren</w:t>
            </w:r>
            <w:r w:rsidR="000323C3">
              <w:rPr>
                <w:rFonts w:ascii="Cambria" w:hAnsi="Cambria"/>
                <w:bCs/>
                <w:sz w:val="20"/>
                <w:szCs w:val="20"/>
              </w:rPr>
              <w:t>e Sanjur Paz</w:t>
            </w:r>
          </w:p>
        </w:tc>
      </w:tr>
      <w:tr w:rsidR="003239B8" w:rsidRPr="001E49E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FF05C4"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7464D2BF" w:rsidR="003239B8" w:rsidRPr="000D05CB" w:rsidRDefault="000323C3" w:rsidP="008D2290">
            <w:pPr>
              <w:jc w:val="both"/>
              <w:rPr>
                <w:rFonts w:ascii="Cambria" w:hAnsi="Cambria"/>
                <w:bCs/>
                <w:sz w:val="20"/>
                <w:szCs w:val="20"/>
                <w:lang w:val="es-ES"/>
              </w:rPr>
            </w:pPr>
            <w:r>
              <w:rPr>
                <w:rFonts w:ascii="Cambria" w:hAnsi="Cambria"/>
                <w:bCs/>
                <w:sz w:val="20"/>
                <w:szCs w:val="20"/>
              </w:rPr>
              <w:t>Orlando Rene Sanjur Paz</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364B9461" w:rsidR="003239B8" w:rsidRPr="000D05CB" w:rsidRDefault="00F3461A" w:rsidP="008D2290">
            <w:pPr>
              <w:jc w:val="both"/>
              <w:rPr>
                <w:rFonts w:ascii="Cambria" w:hAnsi="Cambria"/>
                <w:bCs/>
                <w:sz w:val="20"/>
                <w:szCs w:val="20"/>
              </w:rPr>
            </w:pPr>
            <w:r>
              <w:rPr>
                <w:rFonts w:ascii="Cambria" w:hAnsi="Cambria"/>
                <w:bCs/>
                <w:sz w:val="20"/>
                <w:szCs w:val="20"/>
              </w:rPr>
              <w:t>Panamá</w:t>
            </w:r>
          </w:p>
        </w:tc>
      </w:tr>
      <w:tr w:rsidR="00223A29" w:rsidRPr="004F4BE1"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7E4A045A" w:rsidR="00223A29" w:rsidRPr="0092355E" w:rsidRDefault="00F3461A" w:rsidP="008D2290">
            <w:pPr>
              <w:jc w:val="both"/>
              <w:rPr>
                <w:rFonts w:ascii="Cambria" w:hAnsi="Cambria"/>
                <w:bCs/>
                <w:sz w:val="20"/>
                <w:szCs w:val="20"/>
                <w:lang w:val="es-CO"/>
              </w:rPr>
            </w:pPr>
            <w:r w:rsidRPr="0092355E">
              <w:rPr>
                <w:rFonts w:ascii="Cambria" w:hAnsi="Cambria"/>
                <w:bCs/>
                <w:sz w:val="20"/>
                <w:szCs w:val="20"/>
                <w:lang w:val="es-CO"/>
              </w:rPr>
              <w:t>Artículos</w:t>
            </w:r>
            <w:r w:rsidR="0092355E" w:rsidRPr="0092355E">
              <w:rPr>
                <w:rFonts w:ascii="Cambria" w:hAnsi="Cambria"/>
                <w:bCs/>
                <w:sz w:val="20"/>
                <w:szCs w:val="20"/>
                <w:lang w:val="es-CO"/>
              </w:rPr>
              <w:t xml:space="preserve"> 25 (protección j</w:t>
            </w:r>
            <w:r w:rsidR="0092355E">
              <w:rPr>
                <w:rFonts w:ascii="Cambria" w:hAnsi="Cambria"/>
                <w:bCs/>
                <w:sz w:val="20"/>
                <w:szCs w:val="20"/>
                <w:lang w:val="es-CO"/>
              </w:rPr>
              <w:t xml:space="preserve">udicial) y 26 (derechos económicos, sociales y culturales) de </w:t>
            </w:r>
            <w:r w:rsidR="005D7CC9" w:rsidRPr="007E054F">
              <w:rPr>
                <w:rFonts w:ascii="Cambria" w:hAnsi="Cambria"/>
                <w:bCs/>
                <w:sz w:val="20"/>
                <w:szCs w:val="20"/>
                <w:lang w:val="es-419" w:bidi="es-ES"/>
              </w:rPr>
              <w:t>la Convención Americana sobre Derechos Humanos</w:t>
            </w:r>
            <w:r w:rsidR="005D7CC9" w:rsidRPr="007E054F">
              <w:rPr>
                <w:rFonts w:ascii="Cambria" w:hAnsi="Cambria"/>
                <w:bCs/>
                <w:sz w:val="20"/>
                <w:szCs w:val="20"/>
                <w:vertAlign w:val="superscript"/>
                <w:lang w:val="es-419" w:bidi="es-ES"/>
              </w:rPr>
              <w:footnoteReference w:id="2"/>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343F1322" w:rsidR="004C2312" w:rsidRPr="003239B8" w:rsidRDefault="00212F39" w:rsidP="002625EA">
            <w:pPr>
              <w:jc w:val="both"/>
              <w:rPr>
                <w:rFonts w:ascii="Cambria" w:hAnsi="Cambria"/>
                <w:bCs/>
                <w:sz w:val="20"/>
                <w:szCs w:val="20"/>
                <w:lang w:val="es-ES"/>
              </w:rPr>
            </w:pPr>
            <w:r>
              <w:rPr>
                <w:rFonts w:ascii="Cambria" w:hAnsi="Cambria"/>
                <w:bCs/>
                <w:sz w:val="20"/>
                <w:szCs w:val="20"/>
                <w:lang w:val="es-ES"/>
              </w:rPr>
              <w:t>20 de febrero de 2019</w:t>
            </w:r>
          </w:p>
        </w:tc>
      </w:tr>
      <w:tr w:rsidR="00131425" w:rsidRPr="004F4BE1"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519F3B00" w:rsidR="00131425" w:rsidRPr="003239B8" w:rsidRDefault="00DB54B8" w:rsidP="002625EA">
            <w:pPr>
              <w:jc w:val="both"/>
              <w:rPr>
                <w:rFonts w:ascii="Cambria" w:hAnsi="Cambria"/>
                <w:bCs/>
                <w:sz w:val="20"/>
                <w:szCs w:val="20"/>
                <w:lang w:val="es-ES"/>
              </w:rPr>
            </w:pPr>
            <w:r>
              <w:rPr>
                <w:rFonts w:ascii="Cambria" w:hAnsi="Cambria"/>
                <w:bCs/>
                <w:sz w:val="20"/>
                <w:szCs w:val="20"/>
                <w:lang w:val="es-ES"/>
              </w:rPr>
              <w:t xml:space="preserve">20 de noviembre de 2019, </w:t>
            </w:r>
            <w:r w:rsidR="00F53EA8">
              <w:rPr>
                <w:rFonts w:ascii="Cambria" w:hAnsi="Cambria"/>
                <w:bCs/>
                <w:sz w:val="20"/>
                <w:szCs w:val="20"/>
                <w:lang w:val="es-ES"/>
              </w:rPr>
              <w:t xml:space="preserve">16 de julio de 2020, </w:t>
            </w:r>
            <w:r w:rsidR="007767FA">
              <w:rPr>
                <w:rFonts w:ascii="Cambria" w:hAnsi="Cambria"/>
                <w:bCs/>
                <w:sz w:val="20"/>
                <w:szCs w:val="20"/>
                <w:lang w:val="es-ES"/>
              </w:rPr>
              <w:t>2 de septiembre de 2022</w:t>
            </w:r>
            <w:r w:rsidR="001800E7">
              <w:rPr>
                <w:rFonts w:ascii="Cambria" w:hAnsi="Cambria"/>
                <w:bCs/>
                <w:sz w:val="20"/>
                <w:szCs w:val="20"/>
                <w:lang w:val="es-ES"/>
              </w:rPr>
              <w:t xml:space="preserve"> y 3 de noviembre de 2022</w:t>
            </w:r>
          </w:p>
        </w:tc>
      </w:tr>
      <w:tr w:rsidR="004C2312" w:rsidRPr="009649D2"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3188A782" w:rsidR="004C2312" w:rsidRPr="003239B8" w:rsidRDefault="00550557" w:rsidP="008D2290">
            <w:pPr>
              <w:jc w:val="both"/>
              <w:rPr>
                <w:rFonts w:ascii="Cambria" w:hAnsi="Cambria"/>
                <w:bCs/>
                <w:sz w:val="20"/>
                <w:szCs w:val="20"/>
                <w:lang w:val="es-ES"/>
              </w:rPr>
            </w:pPr>
            <w:r>
              <w:rPr>
                <w:rFonts w:ascii="Cambria" w:hAnsi="Cambria"/>
                <w:bCs/>
                <w:sz w:val="20"/>
                <w:szCs w:val="20"/>
                <w:lang w:val="es-ES"/>
              </w:rPr>
              <w:t>11 de noviembre de 2022</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1B177ED8" w:rsidR="004C2312" w:rsidRPr="003239B8" w:rsidRDefault="002A4BFE" w:rsidP="008D2290">
            <w:pPr>
              <w:jc w:val="both"/>
              <w:rPr>
                <w:rFonts w:ascii="Cambria" w:hAnsi="Cambria"/>
                <w:bCs/>
                <w:sz w:val="20"/>
                <w:szCs w:val="20"/>
                <w:lang w:val="es-ES"/>
              </w:rPr>
            </w:pPr>
            <w:r>
              <w:rPr>
                <w:rFonts w:ascii="Cambria" w:hAnsi="Cambria"/>
                <w:bCs/>
                <w:sz w:val="20"/>
                <w:szCs w:val="20"/>
                <w:lang w:val="es-ES"/>
              </w:rPr>
              <w:t>10 de marzo de 2023</w:t>
            </w:r>
          </w:p>
        </w:tc>
      </w:tr>
      <w:tr w:rsidR="004C2312" w:rsidRPr="004F4BE1"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4D059929" w:rsidR="004C2312" w:rsidRPr="003239B8" w:rsidRDefault="002A4BFE" w:rsidP="008D2290">
            <w:pPr>
              <w:jc w:val="both"/>
              <w:rPr>
                <w:rFonts w:ascii="Cambria" w:hAnsi="Cambria"/>
                <w:bCs/>
                <w:sz w:val="20"/>
                <w:szCs w:val="20"/>
                <w:lang w:val="es-ES"/>
              </w:rPr>
            </w:pPr>
            <w:r>
              <w:rPr>
                <w:rFonts w:ascii="Cambria" w:hAnsi="Cambria"/>
                <w:bCs/>
                <w:sz w:val="20"/>
                <w:szCs w:val="20"/>
                <w:lang w:val="es-ES"/>
              </w:rPr>
              <w:t xml:space="preserve">3 de abril de 2023, </w:t>
            </w:r>
            <w:r w:rsidR="000A6376">
              <w:rPr>
                <w:rFonts w:ascii="Cambria" w:hAnsi="Cambria"/>
                <w:bCs/>
                <w:sz w:val="20"/>
                <w:szCs w:val="20"/>
                <w:lang w:val="es-ES"/>
              </w:rPr>
              <w:t>19 de julio de 2023</w:t>
            </w:r>
            <w:r w:rsidR="00D17AD7">
              <w:rPr>
                <w:rFonts w:ascii="Cambria" w:hAnsi="Cambria"/>
                <w:bCs/>
                <w:sz w:val="20"/>
                <w:szCs w:val="20"/>
                <w:lang w:val="es-ES"/>
              </w:rPr>
              <w:t xml:space="preserve"> y 17 de mayo de 2024</w:t>
            </w:r>
          </w:p>
        </w:tc>
      </w:tr>
      <w:tr w:rsidR="00B02134" w:rsidRPr="004F4BE1" w14:paraId="7938567A" w14:textId="77777777" w:rsidTr="00394073">
        <w:tc>
          <w:tcPr>
            <w:tcW w:w="3600" w:type="dxa"/>
            <w:tcBorders>
              <w:top w:val="single" w:sz="6" w:space="0" w:color="auto"/>
              <w:bottom w:val="single" w:sz="6" w:space="0" w:color="auto"/>
            </w:tcBorders>
            <w:shd w:val="clear" w:color="auto" w:fill="386294"/>
            <w:vAlign w:val="center"/>
          </w:tcPr>
          <w:p w14:paraId="53986A80" w14:textId="2E2F152B" w:rsidR="00B02134" w:rsidRDefault="00B02134"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del Estado:</w:t>
            </w:r>
          </w:p>
        </w:tc>
        <w:tc>
          <w:tcPr>
            <w:tcW w:w="5647" w:type="dxa"/>
            <w:vAlign w:val="center"/>
          </w:tcPr>
          <w:p w14:paraId="193AA0D2" w14:textId="30E896E4" w:rsidR="00B02134" w:rsidRDefault="00B02134" w:rsidP="008D2290">
            <w:pPr>
              <w:jc w:val="both"/>
              <w:rPr>
                <w:rFonts w:ascii="Cambria" w:hAnsi="Cambria"/>
                <w:bCs/>
                <w:sz w:val="20"/>
                <w:szCs w:val="20"/>
                <w:lang w:val="es-ES"/>
              </w:rPr>
            </w:pPr>
            <w:r>
              <w:rPr>
                <w:rFonts w:ascii="Cambria" w:hAnsi="Cambria"/>
                <w:bCs/>
                <w:sz w:val="20"/>
                <w:szCs w:val="20"/>
                <w:lang w:val="es-ES"/>
              </w:rPr>
              <w:t>30 de julio de 2023</w:t>
            </w:r>
            <w:r w:rsidR="00211C62">
              <w:rPr>
                <w:rFonts w:ascii="Cambria" w:hAnsi="Cambria"/>
                <w:bCs/>
                <w:sz w:val="20"/>
                <w:szCs w:val="20"/>
                <w:lang w:val="es-ES"/>
              </w:rPr>
              <w:t xml:space="preserve"> y 20 de febrero de 2024</w:t>
            </w:r>
          </w:p>
        </w:tc>
      </w:tr>
      <w:tr w:rsidR="001E49E7" w:rsidRPr="007B76D3"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647" w:type="dxa"/>
            <w:vAlign w:val="center"/>
          </w:tcPr>
          <w:p w14:paraId="48CA2CFB" w14:textId="746A7376" w:rsidR="001E49E7" w:rsidRPr="003239B8" w:rsidRDefault="00B66FF5" w:rsidP="002625EA">
            <w:pPr>
              <w:jc w:val="both"/>
              <w:rPr>
                <w:rFonts w:ascii="Cambria" w:hAnsi="Cambria"/>
                <w:bCs/>
                <w:sz w:val="20"/>
                <w:szCs w:val="20"/>
                <w:lang w:val="es-ES"/>
              </w:rPr>
            </w:pPr>
            <w:r>
              <w:rPr>
                <w:rFonts w:ascii="Cambria" w:hAnsi="Cambria"/>
                <w:bCs/>
                <w:sz w:val="20"/>
                <w:szCs w:val="20"/>
                <w:lang w:val="es-ES"/>
              </w:rPr>
              <w:t>30 de agosto de 2022</w:t>
            </w:r>
          </w:p>
        </w:tc>
      </w:tr>
      <w:tr w:rsidR="001E49E7" w:rsidRPr="009649D2"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647" w:type="dxa"/>
            <w:vAlign w:val="center"/>
          </w:tcPr>
          <w:p w14:paraId="6E85D194" w14:textId="1F167608" w:rsidR="001E49E7" w:rsidRPr="003239B8" w:rsidRDefault="003F16B2" w:rsidP="002625EA">
            <w:pPr>
              <w:jc w:val="both"/>
              <w:rPr>
                <w:rFonts w:ascii="Cambria" w:hAnsi="Cambria"/>
                <w:bCs/>
                <w:sz w:val="20"/>
                <w:szCs w:val="20"/>
                <w:lang w:val="es-ES"/>
              </w:rPr>
            </w:pPr>
            <w:r>
              <w:rPr>
                <w:rFonts w:ascii="Cambria" w:hAnsi="Cambria"/>
                <w:bCs/>
                <w:sz w:val="20"/>
                <w:szCs w:val="20"/>
                <w:lang w:val="es-ES"/>
              </w:rPr>
              <w:t>2 de febrero de 2022</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0AA15DF8" w:rsidR="003239B8" w:rsidRPr="00B3745F" w:rsidRDefault="005D7CC9"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414936A0" w:rsidR="003239B8" w:rsidRPr="00B3745F" w:rsidRDefault="005D7CC9"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05FEFC45" w:rsidR="003239B8" w:rsidRPr="00B3745F" w:rsidRDefault="005D7CC9" w:rsidP="008D2290">
            <w:pPr>
              <w:rPr>
                <w:rFonts w:ascii="Cambria" w:hAnsi="Cambria"/>
                <w:bCs/>
                <w:sz w:val="20"/>
                <w:szCs w:val="20"/>
              </w:rPr>
            </w:pPr>
            <w:r>
              <w:rPr>
                <w:rFonts w:ascii="Cambria" w:hAnsi="Cambria"/>
                <w:bCs/>
                <w:sz w:val="20"/>
                <w:szCs w:val="20"/>
              </w:rPr>
              <w:t>Sí</w:t>
            </w:r>
          </w:p>
        </w:tc>
      </w:tr>
      <w:tr w:rsidR="003239B8" w:rsidRPr="004F4BE1"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2D375EE1" w:rsidR="003239B8" w:rsidRPr="00B3745F" w:rsidRDefault="005D7CC9" w:rsidP="008D2290">
            <w:pPr>
              <w:jc w:val="both"/>
              <w:rPr>
                <w:rFonts w:ascii="Cambria" w:hAnsi="Cambria"/>
                <w:bCs/>
                <w:sz w:val="20"/>
                <w:szCs w:val="20"/>
                <w:lang w:val="es-ES"/>
              </w:rPr>
            </w:pPr>
            <w:r>
              <w:rPr>
                <w:rFonts w:ascii="Cambria" w:hAnsi="Cambria"/>
                <w:bCs/>
                <w:sz w:val="20"/>
                <w:szCs w:val="20"/>
                <w:lang w:val="es-ES"/>
              </w:rPr>
              <w:t>Sí</w:t>
            </w:r>
            <w:r w:rsidR="00670FB8" w:rsidRPr="007E054F">
              <w:rPr>
                <w:rFonts w:ascii="Cambria" w:hAnsi="Cambria"/>
                <w:bCs/>
                <w:sz w:val="20"/>
                <w:szCs w:val="20"/>
                <w:lang w:val="es-419" w:bidi="es-ES"/>
              </w:rPr>
              <w:t xml:space="preserve">, la Convención Americana (depósito de instrumento realizado el </w:t>
            </w:r>
            <w:r w:rsidR="00670FB8">
              <w:rPr>
                <w:rFonts w:ascii="Cambria" w:hAnsi="Cambria"/>
                <w:bCs/>
                <w:sz w:val="20"/>
                <w:szCs w:val="20"/>
                <w:lang w:val="es-419" w:bidi="es-ES"/>
              </w:rPr>
              <w:t>22</w:t>
            </w:r>
            <w:r w:rsidR="00670FB8" w:rsidRPr="007E054F">
              <w:rPr>
                <w:rFonts w:ascii="Cambria" w:hAnsi="Cambria"/>
                <w:bCs/>
                <w:sz w:val="20"/>
                <w:szCs w:val="20"/>
                <w:lang w:val="es-419" w:bidi="es-ES"/>
              </w:rPr>
              <w:t xml:space="preserve"> de ju</w:t>
            </w:r>
            <w:r w:rsidR="00670FB8">
              <w:rPr>
                <w:rFonts w:ascii="Cambria" w:hAnsi="Cambria"/>
                <w:bCs/>
                <w:sz w:val="20"/>
                <w:szCs w:val="20"/>
                <w:lang w:val="es-419" w:bidi="es-ES"/>
              </w:rPr>
              <w:t>n</w:t>
            </w:r>
            <w:r w:rsidR="00670FB8" w:rsidRPr="007E054F">
              <w:rPr>
                <w:rFonts w:ascii="Cambria" w:hAnsi="Cambria"/>
                <w:bCs/>
                <w:sz w:val="20"/>
                <w:szCs w:val="20"/>
                <w:lang w:val="es-419" w:bidi="es-ES"/>
              </w:rPr>
              <w:t>io de 197</w:t>
            </w:r>
            <w:r w:rsidR="00670FB8">
              <w:rPr>
                <w:rFonts w:ascii="Cambria" w:hAnsi="Cambria"/>
                <w:bCs/>
                <w:sz w:val="20"/>
                <w:szCs w:val="20"/>
                <w:lang w:val="es-419" w:bidi="es-ES"/>
              </w:rPr>
              <w:t>8</w:t>
            </w:r>
            <w:r w:rsidR="00670FB8" w:rsidRPr="007E054F">
              <w:rPr>
                <w:rFonts w:ascii="Cambria" w:hAnsi="Cambria"/>
                <w:bCs/>
                <w:sz w:val="20"/>
                <w:szCs w:val="20"/>
                <w:lang w:val="es-419" w:bidi="es-ES"/>
              </w:rPr>
              <w:t>)</w:t>
            </w:r>
          </w:p>
        </w:tc>
      </w:tr>
    </w:tbl>
    <w:p w14:paraId="299A3868" w14:textId="1538A31D"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950C33" w:rsidRPr="003239B8">
        <w:rPr>
          <w:rFonts w:asciiTheme="majorHAnsi" w:hAnsiTheme="majorHAnsi"/>
          <w:b/>
          <w:bCs/>
          <w:sz w:val="20"/>
          <w:szCs w:val="20"/>
          <w:lang w:val="es-ES"/>
        </w:rPr>
        <w:t>INTERNACIONAL</w:t>
      </w:r>
      <w:r w:rsidR="00950C33">
        <w:rPr>
          <w:rFonts w:asciiTheme="majorHAnsi" w:hAnsiTheme="majorHAnsi"/>
          <w:b/>
          <w:bCs/>
          <w:sz w:val="20"/>
          <w:szCs w:val="20"/>
          <w:lang w:val="es-ES"/>
        </w:rPr>
        <w:t xml:space="preserve">, </w:t>
      </w:r>
      <w:r w:rsidR="00950C33"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9649D2"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258DB27E" w:rsidR="00EE00E9" w:rsidRPr="00DC24E3" w:rsidRDefault="00EA17CB" w:rsidP="008D2290">
            <w:pPr>
              <w:jc w:val="both"/>
              <w:rPr>
                <w:rFonts w:ascii="Cambria" w:hAnsi="Cambria"/>
                <w:bCs/>
                <w:sz w:val="20"/>
                <w:szCs w:val="20"/>
                <w:lang w:val="es-ES"/>
              </w:rPr>
            </w:pPr>
            <w:r>
              <w:rPr>
                <w:rFonts w:ascii="Cambria" w:hAnsi="Cambria"/>
                <w:bCs/>
                <w:sz w:val="20"/>
                <w:szCs w:val="20"/>
                <w:lang w:val="es-ES"/>
              </w:rPr>
              <w:t>No</w:t>
            </w:r>
          </w:p>
        </w:tc>
      </w:tr>
      <w:tr w:rsidR="003239B8" w:rsidRPr="004F4BE1"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42A6478B" w:rsidR="003239B8" w:rsidRPr="000A62D5" w:rsidRDefault="000A62D5" w:rsidP="008D2290">
            <w:pPr>
              <w:jc w:val="both"/>
              <w:rPr>
                <w:rFonts w:ascii="Cambria" w:hAnsi="Cambria"/>
                <w:bCs/>
                <w:sz w:val="20"/>
                <w:szCs w:val="20"/>
                <w:lang w:val="es-CO"/>
              </w:rPr>
            </w:pPr>
            <w:r w:rsidRPr="0092355E">
              <w:rPr>
                <w:rFonts w:ascii="Cambria" w:hAnsi="Cambria"/>
                <w:bCs/>
                <w:sz w:val="20"/>
                <w:szCs w:val="20"/>
                <w:lang w:val="es-CO"/>
              </w:rPr>
              <w:t>Artículos</w:t>
            </w:r>
            <w:r w:rsidR="004715C9">
              <w:rPr>
                <w:rFonts w:ascii="Cambria" w:hAnsi="Cambria"/>
                <w:bCs/>
                <w:sz w:val="20"/>
                <w:szCs w:val="20"/>
                <w:lang w:val="es-CO"/>
              </w:rPr>
              <w:t xml:space="preserve"> </w:t>
            </w:r>
            <w:r w:rsidRPr="0092355E">
              <w:rPr>
                <w:rFonts w:ascii="Cambria" w:hAnsi="Cambria"/>
                <w:bCs/>
                <w:sz w:val="20"/>
                <w:szCs w:val="20"/>
                <w:lang w:val="es-CO"/>
              </w:rPr>
              <w:t>25 (protección j</w:t>
            </w:r>
            <w:r>
              <w:rPr>
                <w:rFonts w:ascii="Cambria" w:hAnsi="Cambria"/>
                <w:bCs/>
                <w:sz w:val="20"/>
                <w:szCs w:val="20"/>
                <w:lang w:val="es-CO"/>
              </w:rPr>
              <w:t xml:space="preserve">udicial) y 26 (derechos económicos, sociales y culturales) de </w:t>
            </w:r>
            <w:r w:rsidRPr="007E054F">
              <w:rPr>
                <w:rFonts w:ascii="Cambria" w:hAnsi="Cambria"/>
                <w:bCs/>
                <w:sz w:val="20"/>
                <w:szCs w:val="20"/>
                <w:lang w:val="es-419" w:bidi="es-ES"/>
              </w:rPr>
              <w:t>la Convención Americana</w:t>
            </w:r>
            <w:r w:rsidR="00976C2F">
              <w:rPr>
                <w:rFonts w:ascii="Cambria" w:hAnsi="Cambria"/>
                <w:bCs/>
                <w:sz w:val="20"/>
                <w:szCs w:val="20"/>
                <w:lang w:val="es-419" w:bidi="es-ES"/>
              </w:rPr>
              <w:t>, en relación con su artículo 1.1 (obligación de respetar los derechos)</w:t>
            </w:r>
          </w:p>
        </w:tc>
      </w:tr>
      <w:tr w:rsidR="003239B8" w:rsidRPr="004F4BE1"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1E4E6592" w:rsidR="003239B8" w:rsidRPr="00DC24E3" w:rsidRDefault="000A62D5"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4F4BE1"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74339C7B" w:rsidR="003239B8" w:rsidRPr="000A62D5" w:rsidRDefault="000A62D5" w:rsidP="008D2290">
            <w:pPr>
              <w:rPr>
                <w:rFonts w:ascii="Cambria" w:hAnsi="Cambria"/>
                <w:bCs/>
                <w:sz w:val="20"/>
                <w:szCs w:val="20"/>
                <w:lang w:val="es-CO"/>
              </w:rPr>
            </w:pPr>
            <w:r>
              <w:rPr>
                <w:rFonts w:ascii="Cambria" w:hAnsi="Cambria"/>
                <w:bCs/>
                <w:sz w:val="20"/>
                <w:szCs w:val="20"/>
                <w:lang w:val="es-ES"/>
              </w:rPr>
              <w:t>Sí, en los términos de la Sección VI</w:t>
            </w:r>
          </w:p>
        </w:tc>
      </w:tr>
    </w:tbl>
    <w:p w14:paraId="56FD5D57" w14:textId="252B1FD5"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4241A0">
        <w:rPr>
          <w:rFonts w:asciiTheme="majorHAnsi" w:hAnsiTheme="majorHAnsi"/>
          <w:b/>
          <w:sz w:val="20"/>
          <w:szCs w:val="20"/>
          <w:lang w:val="es-UY"/>
        </w:rPr>
        <w:t>POSICIÓN DE LAS PARTES</w:t>
      </w:r>
      <w:r w:rsidR="003239B8">
        <w:rPr>
          <w:rFonts w:asciiTheme="majorHAnsi" w:hAnsiTheme="majorHAnsi"/>
          <w:b/>
          <w:sz w:val="20"/>
          <w:szCs w:val="20"/>
          <w:lang w:val="es-UY"/>
        </w:rPr>
        <w:t xml:space="preserve"> </w:t>
      </w:r>
    </w:p>
    <w:p w14:paraId="6901F992" w14:textId="2868F9D8" w:rsidR="0008158C" w:rsidRPr="00125980" w:rsidRDefault="00125980" w:rsidP="0008158C">
      <w:pPr>
        <w:pStyle w:val="ListParagraph"/>
        <w:jc w:val="both"/>
        <w:rPr>
          <w:rFonts w:asciiTheme="majorHAnsi" w:hAnsiTheme="majorHAnsi"/>
          <w:b/>
          <w:sz w:val="20"/>
          <w:szCs w:val="20"/>
          <w:lang w:val="es-UY"/>
        </w:rPr>
      </w:pPr>
      <w:r>
        <w:rPr>
          <w:rFonts w:asciiTheme="majorHAnsi" w:hAnsiTheme="majorHAnsi"/>
          <w:b/>
          <w:sz w:val="20"/>
          <w:szCs w:val="20"/>
          <w:lang w:val="es-UY"/>
        </w:rPr>
        <w:t>La p</w:t>
      </w:r>
      <w:r w:rsidR="0008158C" w:rsidRPr="00125980">
        <w:rPr>
          <w:rFonts w:asciiTheme="majorHAnsi" w:hAnsiTheme="majorHAnsi"/>
          <w:b/>
          <w:sz w:val="20"/>
          <w:szCs w:val="20"/>
          <w:lang w:val="es-UY"/>
        </w:rPr>
        <w:t>arte peticionaria</w:t>
      </w:r>
    </w:p>
    <w:p w14:paraId="53BD3EF6" w14:textId="64457BEF" w:rsidR="006E621A" w:rsidRPr="006E621A" w:rsidRDefault="009E65D1" w:rsidP="006E621A">
      <w:pPr>
        <w:pStyle w:val="ListParagraph"/>
        <w:numPr>
          <w:ilvl w:val="0"/>
          <w:numId w:val="61"/>
        </w:numPr>
        <w:ind w:left="0" w:firstLine="720"/>
        <w:jc w:val="both"/>
        <w:rPr>
          <w:rFonts w:asciiTheme="majorHAnsi" w:hAnsiTheme="majorHAnsi"/>
          <w:bCs/>
          <w:sz w:val="20"/>
          <w:szCs w:val="20"/>
          <w:lang w:val="es-UY"/>
        </w:rPr>
      </w:pPr>
      <w:r>
        <w:rPr>
          <w:sz w:val="20"/>
          <w:szCs w:val="20"/>
          <w:lang w:val="es-AR"/>
        </w:rPr>
        <w:t>El peticionario</w:t>
      </w:r>
      <w:r w:rsidR="0093152E">
        <w:rPr>
          <w:sz w:val="20"/>
          <w:szCs w:val="20"/>
          <w:lang w:val="es-AR"/>
        </w:rPr>
        <w:t xml:space="preserve"> </w:t>
      </w:r>
      <w:r w:rsidR="005C4A39">
        <w:rPr>
          <w:sz w:val="20"/>
          <w:szCs w:val="20"/>
          <w:lang w:val="es-AR"/>
        </w:rPr>
        <w:t xml:space="preserve">y </w:t>
      </w:r>
      <w:r w:rsidR="0093152E">
        <w:rPr>
          <w:sz w:val="20"/>
          <w:szCs w:val="20"/>
          <w:lang w:val="es-AR"/>
        </w:rPr>
        <w:t>presunta víctima</w:t>
      </w:r>
      <w:r w:rsidR="005C4A39">
        <w:rPr>
          <w:sz w:val="20"/>
          <w:szCs w:val="20"/>
          <w:lang w:val="es-AR"/>
        </w:rPr>
        <w:t>, Orlando Rene Sanjur Paz (en adelante también “el Sr Sanjur</w:t>
      </w:r>
      <w:r w:rsidR="00911EC9">
        <w:rPr>
          <w:sz w:val="20"/>
          <w:szCs w:val="20"/>
          <w:lang w:val="es-AR"/>
        </w:rPr>
        <w:t>”)</w:t>
      </w:r>
      <w:r>
        <w:rPr>
          <w:sz w:val="20"/>
          <w:szCs w:val="20"/>
          <w:lang w:val="es-AR"/>
        </w:rPr>
        <w:t xml:space="preserve"> alega la violación de sus derechos al trabajo y al acceso a la justicia por la negativa de las autoridades judiciales panameñas de </w:t>
      </w:r>
      <w:r w:rsidR="00EF45C0">
        <w:rPr>
          <w:sz w:val="20"/>
          <w:szCs w:val="20"/>
          <w:lang w:val="es-AR"/>
        </w:rPr>
        <w:t>ejecut</w:t>
      </w:r>
      <w:r>
        <w:rPr>
          <w:sz w:val="20"/>
          <w:szCs w:val="20"/>
          <w:lang w:val="es-AR"/>
        </w:rPr>
        <w:t xml:space="preserve">ar una </w:t>
      </w:r>
      <w:r w:rsidR="00EF45C0">
        <w:rPr>
          <w:sz w:val="20"/>
          <w:szCs w:val="20"/>
          <w:lang w:val="es-AR"/>
        </w:rPr>
        <w:t xml:space="preserve">sentencia </w:t>
      </w:r>
      <w:r>
        <w:rPr>
          <w:sz w:val="20"/>
          <w:szCs w:val="20"/>
          <w:lang w:val="es-AR"/>
        </w:rPr>
        <w:t xml:space="preserve">laboral </w:t>
      </w:r>
      <w:r w:rsidR="00EF45C0">
        <w:rPr>
          <w:sz w:val="20"/>
          <w:szCs w:val="20"/>
          <w:lang w:val="es-AR"/>
        </w:rPr>
        <w:t>proferida a su favor</w:t>
      </w:r>
      <w:r w:rsidR="00E965BD">
        <w:rPr>
          <w:sz w:val="20"/>
          <w:szCs w:val="20"/>
          <w:lang w:val="es-AR"/>
        </w:rPr>
        <w:t xml:space="preserve">, que ordenaba el pago de una </w:t>
      </w:r>
      <w:r w:rsidR="00E965BD">
        <w:rPr>
          <w:sz w:val="20"/>
          <w:szCs w:val="20"/>
          <w:lang w:val="es-AR"/>
        </w:rPr>
        <w:lastRenderedPageBreak/>
        <w:t>indemnización a</w:t>
      </w:r>
      <w:r w:rsidR="00BA5240">
        <w:rPr>
          <w:sz w:val="20"/>
          <w:szCs w:val="20"/>
          <w:lang w:val="es-AR"/>
        </w:rPr>
        <w:t xml:space="preserve"> la Organización Panamericana de la Salud</w:t>
      </w:r>
      <w:r w:rsidR="00865533">
        <w:rPr>
          <w:sz w:val="20"/>
          <w:szCs w:val="20"/>
          <w:lang w:val="es-AR"/>
        </w:rPr>
        <w:t xml:space="preserve"> (en adelante “OPS”)</w:t>
      </w:r>
      <w:r w:rsidR="00BA5240">
        <w:rPr>
          <w:sz w:val="20"/>
          <w:szCs w:val="20"/>
          <w:lang w:val="es-AR"/>
        </w:rPr>
        <w:t>, de donde aduce fue despedido de manera injustificada.</w:t>
      </w:r>
    </w:p>
    <w:p w14:paraId="7CFB56BF" w14:textId="0D61F6E4" w:rsidR="006E621A" w:rsidRPr="002F6710" w:rsidRDefault="00E136DC" w:rsidP="006E621A">
      <w:pPr>
        <w:pStyle w:val="ListParagraph"/>
        <w:numPr>
          <w:ilvl w:val="0"/>
          <w:numId w:val="61"/>
        </w:numPr>
        <w:ind w:left="0" w:firstLine="720"/>
        <w:jc w:val="both"/>
        <w:rPr>
          <w:rFonts w:asciiTheme="majorHAnsi" w:hAnsiTheme="majorHAnsi"/>
          <w:bCs/>
          <w:sz w:val="20"/>
          <w:szCs w:val="20"/>
          <w:lang w:val="es-UY"/>
        </w:rPr>
      </w:pPr>
      <w:r>
        <w:rPr>
          <w:sz w:val="20"/>
          <w:szCs w:val="20"/>
          <w:lang w:val="es-AR"/>
        </w:rPr>
        <w:t>El Sr. Sanjur narra</w:t>
      </w:r>
      <w:r w:rsidR="008369E7">
        <w:rPr>
          <w:sz w:val="20"/>
          <w:szCs w:val="20"/>
          <w:lang w:val="es-AR"/>
        </w:rPr>
        <w:t xml:space="preserve"> que </w:t>
      </w:r>
      <w:r w:rsidR="0052254A">
        <w:rPr>
          <w:sz w:val="20"/>
          <w:szCs w:val="20"/>
          <w:lang w:val="es-AR"/>
        </w:rPr>
        <w:t>trabajó para la OPS</w:t>
      </w:r>
      <w:r w:rsidR="0056072B">
        <w:rPr>
          <w:sz w:val="20"/>
          <w:szCs w:val="20"/>
          <w:lang w:val="es-AR"/>
        </w:rPr>
        <w:t xml:space="preserve"> </w:t>
      </w:r>
      <w:r w:rsidR="00B840FA">
        <w:rPr>
          <w:sz w:val="20"/>
          <w:szCs w:val="20"/>
          <w:lang w:val="es-AR"/>
        </w:rPr>
        <w:t xml:space="preserve">y fue </w:t>
      </w:r>
      <w:r w:rsidR="005830CE">
        <w:rPr>
          <w:sz w:val="20"/>
          <w:szCs w:val="20"/>
          <w:lang w:val="es-AR"/>
        </w:rPr>
        <w:t>cesa</w:t>
      </w:r>
      <w:r w:rsidR="00B840FA">
        <w:rPr>
          <w:sz w:val="20"/>
          <w:szCs w:val="20"/>
          <w:lang w:val="es-AR"/>
        </w:rPr>
        <w:t>do sin just</w:t>
      </w:r>
      <w:r w:rsidR="007052FB">
        <w:rPr>
          <w:sz w:val="20"/>
          <w:szCs w:val="20"/>
          <w:lang w:val="es-AR"/>
        </w:rPr>
        <w:t>a</w:t>
      </w:r>
      <w:r w:rsidR="00B840FA">
        <w:rPr>
          <w:sz w:val="20"/>
          <w:szCs w:val="20"/>
          <w:lang w:val="es-AR"/>
        </w:rPr>
        <w:t xml:space="preserve"> causa</w:t>
      </w:r>
      <w:r w:rsidR="00F91DE4">
        <w:rPr>
          <w:sz w:val="20"/>
          <w:szCs w:val="20"/>
          <w:lang w:val="es-AR"/>
        </w:rPr>
        <w:t>.</w:t>
      </w:r>
      <w:r w:rsidR="00B840FA">
        <w:rPr>
          <w:sz w:val="20"/>
          <w:szCs w:val="20"/>
          <w:lang w:val="es-AR"/>
        </w:rPr>
        <w:t xml:space="preserve"> Sin embargo, dicho organismo </w:t>
      </w:r>
      <w:r w:rsidR="0056072B">
        <w:rPr>
          <w:sz w:val="20"/>
          <w:szCs w:val="20"/>
          <w:lang w:val="es-AR"/>
        </w:rPr>
        <w:t xml:space="preserve">no le pagó una indemnización por despido injustificado, ni las prestaciones sociales de ley. Ante ello, </w:t>
      </w:r>
      <w:r w:rsidR="00FA2041">
        <w:rPr>
          <w:sz w:val="20"/>
          <w:szCs w:val="20"/>
          <w:lang w:val="es-AR"/>
        </w:rPr>
        <w:t>señal</w:t>
      </w:r>
      <w:r w:rsidR="0056072B">
        <w:rPr>
          <w:sz w:val="20"/>
          <w:szCs w:val="20"/>
          <w:lang w:val="es-AR"/>
        </w:rPr>
        <w:t xml:space="preserve">a que </w:t>
      </w:r>
      <w:r w:rsidR="002F6710">
        <w:rPr>
          <w:sz w:val="20"/>
          <w:szCs w:val="20"/>
          <w:lang w:val="es-AR"/>
        </w:rPr>
        <w:t xml:space="preserve">el 11 de marzo de 2016 solicitó al Ministerio de Relaciones Exteriores de Panamá una audiencia de conciliación con la </w:t>
      </w:r>
      <w:r w:rsidR="00A50363">
        <w:rPr>
          <w:sz w:val="20"/>
          <w:szCs w:val="20"/>
          <w:lang w:val="es-AR"/>
        </w:rPr>
        <w:t>OPS</w:t>
      </w:r>
      <w:r w:rsidR="002F6710">
        <w:rPr>
          <w:sz w:val="20"/>
          <w:szCs w:val="20"/>
          <w:lang w:val="es-AR"/>
        </w:rPr>
        <w:t>, la cual fue celebrada el 20 de julio de 2016, sin llegar a un acuerdo.</w:t>
      </w:r>
    </w:p>
    <w:p w14:paraId="71EACE8E" w14:textId="5B746EE1" w:rsidR="00B01489" w:rsidRPr="00376408" w:rsidRDefault="00FA0B83" w:rsidP="00C230AC">
      <w:pPr>
        <w:pStyle w:val="ListParagraph"/>
        <w:numPr>
          <w:ilvl w:val="0"/>
          <w:numId w:val="61"/>
        </w:numPr>
        <w:ind w:left="0" w:firstLine="720"/>
        <w:jc w:val="both"/>
        <w:rPr>
          <w:rFonts w:asciiTheme="majorHAnsi" w:hAnsiTheme="majorHAnsi"/>
          <w:bCs/>
          <w:sz w:val="20"/>
          <w:szCs w:val="20"/>
          <w:lang w:val="es-UY"/>
        </w:rPr>
      </w:pPr>
      <w:r w:rsidRPr="00376408">
        <w:rPr>
          <w:rFonts w:asciiTheme="majorHAnsi" w:hAnsiTheme="majorHAnsi"/>
          <w:bCs/>
          <w:sz w:val="20"/>
          <w:szCs w:val="20"/>
          <w:lang w:val="es-UY"/>
        </w:rPr>
        <w:t xml:space="preserve">El peticionario </w:t>
      </w:r>
      <w:r w:rsidR="00105B54" w:rsidRPr="00376408">
        <w:rPr>
          <w:rFonts w:asciiTheme="majorHAnsi" w:hAnsiTheme="majorHAnsi"/>
          <w:bCs/>
          <w:sz w:val="20"/>
          <w:szCs w:val="20"/>
          <w:lang w:val="es-UY"/>
        </w:rPr>
        <w:t xml:space="preserve">refiere que el 23 de agosto de 2016 interpuso una demanda ante la Junta de Conciliación y Decisión de Panamá contra la </w:t>
      </w:r>
      <w:r w:rsidR="00392F03" w:rsidRPr="00376408">
        <w:rPr>
          <w:rFonts w:asciiTheme="majorHAnsi" w:hAnsiTheme="majorHAnsi"/>
          <w:bCs/>
          <w:sz w:val="20"/>
          <w:szCs w:val="20"/>
          <w:lang w:val="es-UY"/>
        </w:rPr>
        <w:t>OPS para obtener el pago de la indemnización y de las prestaciones sociales.</w:t>
      </w:r>
      <w:r w:rsidR="00956CBF" w:rsidRPr="00376408">
        <w:rPr>
          <w:rFonts w:asciiTheme="majorHAnsi" w:hAnsiTheme="majorHAnsi"/>
          <w:bCs/>
          <w:sz w:val="20"/>
          <w:szCs w:val="20"/>
          <w:lang w:val="es-UY"/>
        </w:rPr>
        <w:t xml:space="preserve"> Sin embargo, la Junta de Conciliación se declaró incompetente para conocer dicho asunto en tanto la OPS goza de privilegios e inmunidades que impiden a los tribunales internos </w:t>
      </w:r>
      <w:r w:rsidR="00406BF5" w:rsidRPr="00376408">
        <w:rPr>
          <w:rFonts w:asciiTheme="majorHAnsi" w:hAnsiTheme="majorHAnsi"/>
          <w:bCs/>
          <w:sz w:val="20"/>
          <w:szCs w:val="20"/>
          <w:lang w:val="es-UY"/>
        </w:rPr>
        <w:t>juzgar controversias suscitadas contra ella.</w:t>
      </w:r>
      <w:r w:rsidR="000C7725" w:rsidRPr="00376408">
        <w:rPr>
          <w:rFonts w:asciiTheme="majorHAnsi" w:hAnsiTheme="majorHAnsi"/>
          <w:bCs/>
          <w:sz w:val="20"/>
          <w:szCs w:val="20"/>
          <w:lang w:val="es-UY"/>
        </w:rPr>
        <w:t xml:space="preserve"> </w:t>
      </w:r>
      <w:r w:rsidR="0046272C">
        <w:rPr>
          <w:rFonts w:asciiTheme="majorHAnsi" w:hAnsiTheme="majorHAnsi"/>
          <w:bCs/>
          <w:sz w:val="20"/>
          <w:szCs w:val="20"/>
          <w:lang w:val="es-UY"/>
        </w:rPr>
        <w:t>El Sr. Sanjur</w:t>
      </w:r>
      <w:r w:rsidR="000C7725" w:rsidRPr="00376408">
        <w:rPr>
          <w:rFonts w:asciiTheme="majorHAnsi" w:hAnsiTheme="majorHAnsi"/>
          <w:bCs/>
          <w:sz w:val="20"/>
          <w:szCs w:val="20"/>
          <w:lang w:val="es-UY"/>
        </w:rPr>
        <w:t xml:space="preserve"> </w:t>
      </w:r>
      <w:r w:rsidR="00A30BF2" w:rsidRPr="00376408">
        <w:rPr>
          <w:rFonts w:asciiTheme="majorHAnsi" w:hAnsiTheme="majorHAnsi"/>
          <w:bCs/>
          <w:sz w:val="20"/>
          <w:szCs w:val="20"/>
          <w:lang w:val="es-UY"/>
        </w:rPr>
        <w:t>present</w:t>
      </w:r>
      <w:r w:rsidR="000C7725" w:rsidRPr="00376408">
        <w:rPr>
          <w:rFonts w:asciiTheme="majorHAnsi" w:hAnsiTheme="majorHAnsi"/>
          <w:bCs/>
          <w:sz w:val="20"/>
          <w:szCs w:val="20"/>
          <w:lang w:val="es-UY"/>
        </w:rPr>
        <w:t xml:space="preserve">ó </w:t>
      </w:r>
      <w:r w:rsidR="0046272C">
        <w:rPr>
          <w:rFonts w:asciiTheme="majorHAnsi" w:hAnsiTheme="majorHAnsi"/>
          <w:bCs/>
          <w:sz w:val="20"/>
          <w:szCs w:val="20"/>
          <w:lang w:val="es-UY"/>
        </w:rPr>
        <w:t xml:space="preserve">entonces </w:t>
      </w:r>
      <w:r w:rsidR="000C7725" w:rsidRPr="00376408">
        <w:rPr>
          <w:rFonts w:asciiTheme="majorHAnsi" w:hAnsiTheme="majorHAnsi"/>
          <w:bCs/>
          <w:sz w:val="20"/>
          <w:szCs w:val="20"/>
          <w:lang w:val="es-UY"/>
        </w:rPr>
        <w:t xml:space="preserve">un </w:t>
      </w:r>
      <w:r w:rsidR="00A30BF2" w:rsidRPr="00376408">
        <w:rPr>
          <w:rFonts w:asciiTheme="majorHAnsi" w:hAnsiTheme="majorHAnsi"/>
          <w:bCs/>
          <w:sz w:val="20"/>
          <w:szCs w:val="20"/>
          <w:lang w:val="es-UY"/>
        </w:rPr>
        <w:t>recurso</w:t>
      </w:r>
      <w:r w:rsidR="000C7725" w:rsidRPr="00376408">
        <w:rPr>
          <w:rFonts w:asciiTheme="majorHAnsi" w:hAnsiTheme="majorHAnsi"/>
          <w:bCs/>
          <w:sz w:val="20"/>
          <w:szCs w:val="20"/>
          <w:lang w:val="es-UY"/>
        </w:rPr>
        <w:t xml:space="preserve"> de apelación contra dicha </w:t>
      </w:r>
      <w:r w:rsidR="00BC2199" w:rsidRPr="00376408">
        <w:rPr>
          <w:rFonts w:asciiTheme="majorHAnsi" w:hAnsiTheme="majorHAnsi"/>
          <w:bCs/>
          <w:sz w:val="20"/>
          <w:szCs w:val="20"/>
          <w:lang w:val="es-UY"/>
        </w:rPr>
        <w:t>decisión</w:t>
      </w:r>
      <w:r w:rsidR="000C7725" w:rsidRPr="00376408">
        <w:rPr>
          <w:rFonts w:asciiTheme="majorHAnsi" w:hAnsiTheme="majorHAnsi"/>
          <w:bCs/>
          <w:sz w:val="20"/>
          <w:szCs w:val="20"/>
          <w:lang w:val="es-UY"/>
        </w:rPr>
        <w:t>, pero est</w:t>
      </w:r>
      <w:r w:rsidR="00BC2199" w:rsidRPr="00376408">
        <w:rPr>
          <w:rFonts w:asciiTheme="majorHAnsi" w:hAnsiTheme="majorHAnsi"/>
          <w:bCs/>
          <w:sz w:val="20"/>
          <w:szCs w:val="20"/>
          <w:lang w:val="es-UY"/>
        </w:rPr>
        <w:t>a fue confirmada por el Tribunal Superior del Trabajo.</w:t>
      </w:r>
      <w:r w:rsidR="00376408" w:rsidRPr="00376408">
        <w:rPr>
          <w:rFonts w:asciiTheme="majorHAnsi" w:hAnsiTheme="majorHAnsi"/>
          <w:bCs/>
          <w:sz w:val="20"/>
          <w:szCs w:val="20"/>
          <w:lang w:val="es-UY"/>
        </w:rPr>
        <w:t xml:space="preserve"> </w:t>
      </w:r>
      <w:r w:rsidR="00D53981">
        <w:rPr>
          <w:rFonts w:asciiTheme="majorHAnsi" w:hAnsiTheme="majorHAnsi"/>
          <w:bCs/>
          <w:sz w:val="20"/>
          <w:szCs w:val="20"/>
          <w:lang w:val="es-UY"/>
        </w:rPr>
        <w:t>Como siguiente paso,</w:t>
      </w:r>
      <w:r w:rsidR="00A30BF2" w:rsidRPr="00376408">
        <w:rPr>
          <w:rFonts w:asciiTheme="majorHAnsi" w:hAnsiTheme="majorHAnsi"/>
          <w:bCs/>
          <w:sz w:val="20"/>
          <w:szCs w:val="20"/>
          <w:lang w:val="es-UY"/>
        </w:rPr>
        <w:t xml:space="preserve"> el 21 de junio de 2017 promovió</w:t>
      </w:r>
      <w:r w:rsidR="00BE320C" w:rsidRPr="00376408">
        <w:rPr>
          <w:rFonts w:asciiTheme="majorHAnsi" w:hAnsiTheme="majorHAnsi"/>
          <w:bCs/>
          <w:sz w:val="20"/>
          <w:szCs w:val="20"/>
          <w:lang w:val="es-UY"/>
        </w:rPr>
        <w:t xml:space="preserve"> una acción de amparo de garantías constitucionales ante la Corte Suprema de Justicia</w:t>
      </w:r>
      <w:r w:rsidR="003860DC" w:rsidRPr="00376408">
        <w:rPr>
          <w:rFonts w:asciiTheme="majorHAnsi" w:hAnsiTheme="majorHAnsi"/>
          <w:bCs/>
          <w:sz w:val="20"/>
          <w:szCs w:val="20"/>
          <w:lang w:val="es-UY"/>
        </w:rPr>
        <w:t xml:space="preserve">, alegando que el cierre del proceso laboral violaba su derecho al trabajo y de acceso a la justicia. </w:t>
      </w:r>
      <w:r w:rsidR="00097C94" w:rsidRPr="00376408">
        <w:rPr>
          <w:rFonts w:asciiTheme="majorHAnsi" w:hAnsiTheme="majorHAnsi"/>
          <w:bCs/>
          <w:sz w:val="20"/>
          <w:szCs w:val="20"/>
          <w:lang w:val="es-UY"/>
        </w:rPr>
        <w:t xml:space="preserve">No obstante, la Corte Suprema </w:t>
      </w:r>
      <w:r w:rsidR="006F69CD">
        <w:rPr>
          <w:rFonts w:asciiTheme="majorHAnsi" w:hAnsiTheme="majorHAnsi"/>
          <w:bCs/>
          <w:sz w:val="20"/>
          <w:szCs w:val="20"/>
          <w:lang w:val="es-UY"/>
        </w:rPr>
        <w:t xml:space="preserve">de Justicia </w:t>
      </w:r>
      <w:r w:rsidR="00097C94" w:rsidRPr="00376408">
        <w:rPr>
          <w:rFonts w:asciiTheme="majorHAnsi" w:hAnsiTheme="majorHAnsi"/>
          <w:bCs/>
          <w:sz w:val="20"/>
          <w:szCs w:val="20"/>
          <w:lang w:val="es-UY"/>
        </w:rPr>
        <w:t xml:space="preserve">no admitió </w:t>
      </w:r>
      <w:r w:rsidR="006F69CD">
        <w:rPr>
          <w:rFonts w:asciiTheme="majorHAnsi" w:hAnsiTheme="majorHAnsi"/>
          <w:bCs/>
          <w:sz w:val="20"/>
          <w:szCs w:val="20"/>
          <w:lang w:val="es-UY"/>
        </w:rPr>
        <w:t>la</w:t>
      </w:r>
      <w:r w:rsidR="00097C94" w:rsidRPr="00376408">
        <w:rPr>
          <w:rFonts w:asciiTheme="majorHAnsi" w:hAnsiTheme="majorHAnsi"/>
          <w:bCs/>
          <w:sz w:val="20"/>
          <w:szCs w:val="20"/>
          <w:lang w:val="es-UY"/>
        </w:rPr>
        <w:t xml:space="preserve"> acción constitucional.</w:t>
      </w:r>
    </w:p>
    <w:p w14:paraId="5334AC4D" w14:textId="0C21928E" w:rsidR="00BC2199" w:rsidRDefault="00B01489" w:rsidP="006E621A">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t xml:space="preserve">Posteriormente, el 21 de noviembre de 2017 </w:t>
      </w:r>
      <w:r w:rsidR="00946373">
        <w:rPr>
          <w:rFonts w:asciiTheme="majorHAnsi" w:hAnsiTheme="majorHAnsi"/>
          <w:bCs/>
          <w:sz w:val="20"/>
          <w:szCs w:val="20"/>
          <w:lang w:val="es-UY"/>
        </w:rPr>
        <w:t xml:space="preserve">el Sr. Sanjur </w:t>
      </w:r>
      <w:r>
        <w:rPr>
          <w:rFonts w:asciiTheme="majorHAnsi" w:hAnsiTheme="majorHAnsi"/>
          <w:bCs/>
          <w:sz w:val="20"/>
          <w:szCs w:val="20"/>
          <w:lang w:val="es-UY"/>
        </w:rPr>
        <w:t>acudió nuevamente al Ministerio de Relaciones</w:t>
      </w:r>
      <w:r w:rsidR="000314F4">
        <w:rPr>
          <w:rFonts w:asciiTheme="majorHAnsi" w:hAnsiTheme="majorHAnsi"/>
          <w:bCs/>
          <w:sz w:val="20"/>
          <w:szCs w:val="20"/>
          <w:lang w:val="es-UY"/>
        </w:rPr>
        <w:t xml:space="preserve"> Exteriores</w:t>
      </w:r>
      <w:r w:rsidR="005A514D">
        <w:rPr>
          <w:rFonts w:asciiTheme="majorHAnsi" w:hAnsiTheme="majorHAnsi"/>
          <w:bCs/>
          <w:sz w:val="20"/>
          <w:szCs w:val="20"/>
          <w:lang w:val="es-UY"/>
        </w:rPr>
        <w:t xml:space="preserve">, </w:t>
      </w:r>
      <w:r w:rsidR="000314F4">
        <w:rPr>
          <w:rFonts w:asciiTheme="majorHAnsi" w:hAnsiTheme="majorHAnsi"/>
          <w:bCs/>
          <w:sz w:val="20"/>
          <w:szCs w:val="20"/>
          <w:lang w:val="es-UY"/>
        </w:rPr>
        <w:t>donde le reiteraron</w:t>
      </w:r>
      <w:r w:rsidR="005A514D">
        <w:rPr>
          <w:rFonts w:asciiTheme="majorHAnsi" w:hAnsiTheme="majorHAnsi"/>
          <w:bCs/>
          <w:sz w:val="20"/>
          <w:szCs w:val="20"/>
          <w:lang w:val="es-UY"/>
        </w:rPr>
        <w:t xml:space="preserve"> que son los tribunales del trabajo los competentes para resolver su caso, por lo cual elevó una consulta al Ministerio del Trabajo a fin de </w:t>
      </w:r>
      <w:r w:rsidR="00F441A0">
        <w:rPr>
          <w:rFonts w:asciiTheme="majorHAnsi" w:hAnsiTheme="majorHAnsi"/>
          <w:bCs/>
          <w:sz w:val="20"/>
          <w:szCs w:val="20"/>
          <w:lang w:val="es-UY"/>
        </w:rPr>
        <w:t xml:space="preserve">saber qué autoridad era la competente para atender su reclamo. </w:t>
      </w:r>
      <w:r w:rsidR="00946373">
        <w:rPr>
          <w:rFonts w:asciiTheme="majorHAnsi" w:hAnsiTheme="majorHAnsi"/>
          <w:bCs/>
          <w:sz w:val="20"/>
          <w:szCs w:val="20"/>
          <w:lang w:val="es-UY"/>
        </w:rPr>
        <w:t>Esta entidad le</w:t>
      </w:r>
      <w:r w:rsidR="004A1BC9">
        <w:rPr>
          <w:rFonts w:asciiTheme="majorHAnsi" w:hAnsiTheme="majorHAnsi"/>
          <w:bCs/>
          <w:sz w:val="20"/>
          <w:szCs w:val="20"/>
          <w:lang w:val="es-UY"/>
        </w:rPr>
        <w:t xml:space="preserve"> </w:t>
      </w:r>
      <w:r w:rsidR="00D61BB6">
        <w:rPr>
          <w:rFonts w:asciiTheme="majorHAnsi" w:hAnsiTheme="majorHAnsi"/>
          <w:bCs/>
          <w:sz w:val="20"/>
          <w:szCs w:val="20"/>
          <w:lang w:val="es-UY"/>
        </w:rPr>
        <w:t>respondi</w:t>
      </w:r>
      <w:r w:rsidR="004A1BC9">
        <w:rPr>
          <w:rFonts w:asciiTheme="majorHAnsi" w:hAnsiTheme="majorHAnsi"/>
          <w:bCs/>
          <w:sz w:val="20"/>
          <w:szCs w:val="20"/>
          <w:lang w:val="es-UY"/>
        </w:rPr>
        <w:t xml:space="preserve">ó </w:t>
      </w:r>
      <w:r w:rsidR="00B35CDB">
        <w:rPr>
          <w:rFonts w:asciiTheme="majorHAnsi" w:hAnsiTheme="majorHAnsi"/>
          <w:bCs/>
          <w:sz w:val="20"/>
          <w:szCs w:val="20"/>
          <w:lang w:val="es-UY"/>
        </w:rPr>
        <w:t xml:space="preserve">a su vez </w:t>
      </w:r>
      <w:r w:rsidR="004A1BC9">
        <w:rPr>
          <w:rFonts w:asciiTheme="majorHAnsi" w:hAnsiTheme="majorHAnsi"/>
          <w:bCs/>
          <w:sz w:val="20"/>
          <w:szCs w:val="20"/>
          <w:lang w:val="es-UY"/>
        </w:rPr>
        <w:t>que el encargado e</w:t>
      </w:r>
      <w:r w:rsidR="00ED0B49">
        <w:rPr>
          <w:rFonts w:asciiTheme="majorHAnsi" w:hAnsiTheme="majorHAnsi"/>
          <w:bCs/>
          <w:sz w:val="20"/>
          <w:szCs w:val="20"/>
          <w:lang w:val="es-UY"/>
        </w:rPr>
        <w:t>ra</w:t>
      </w:r>
      <w:r w:rsidR="004A1BC9">
        <w:rPr>
          <w:rFonts w:asciiTheme="majorHAnsi" w:hAnsiTheme="majorHAnsi"/>
          <w:bCs/>
          <w:sz w:val="20"/>
          <w:szCs w:val="20"/>
          <w:lang w:val="es-UY"/>
        </w:rPr>
        <w:t xml:space="preserve"> el Ministerio de Relaciones Exteriores. </w:t>
      </w:r>
      <w:r w:rsidR="00B35CDB">
        <w:rPr>
          <w:rFonts w:asciiTheme="majorHAnsi" w:hAnsiTheme="majorHAnsi"/>
          <w:bCs/>
          <w:sz w:val="20"/>
          <w:szCs w:val="20"/>
          <w:lang w:val="es-ES"/>
        </w:rPr>
        <w:t xml:space="preserve">En vista de esta </w:t>
      </w:r>
      <w:r w:rsidR="002A0D55">
        <w:rPr>
          <w:rFonts w:asciiTheme="majorHAnsi" w:hAnsiTheme="majorHAnsi"/>
          <w:bCs/>
          <w:sz w:val="20"/>
          <w:szCs w:val="20"/>
          <w:lang w:val="es-ES"/>
        </w:rPr>
        <w:t>negativa de ambos ministerios de cono</w:t>
      </w:r>
      <w:r w:rsidR="00295BD2">
        <w:rPr>
          <w:rFonts w:asciiTheme="majorHAnsi" w:hAnsiTheme="majorHAnsi"/>
          <w:bCs/>
          <w:sz w:val="20"/>
          <w:szCs w:val="20"/>
          <w:lang w:val="es-ES"/>
        </w:rPr>
        <w:t>cer su reclamo</w:t>
      </w:r>
      <w:r w:rsidR="00B35CDB">
        <w:rPr>
          <w:rFonts w:asciiTheme="majorHAnsi" w:hAnsiTheme="majorHAnsi"/>
          <w:bCs/>
          <w:sz w:val="20"/>
          <w:szCs w:val="20"/>
          <w:lang w:val="es-ES"/>
        </w:rPr>
        <w:t xml:space="preserve"> el peticionario </w:t>
      </w:r>
      <w:r w:rsidR="002A0D55">
        <w:rPr>
          <w:rFonts w:asciiTheme="majorHAnsi" w:hAnsiTheme="majorHAnsi"/>
          <w:bCs/>
          <w:sz w:val="20"/>
          <w:szCs w:val="20"/>
          <w:lang w:val="es-UY"/>
        </w:rPr>
        <w:t>alega que</w:t>
      </w:r>
      <w:r w:rsidR="000B34C5">
        <w:rPr>
          <w:rFonts w:asciiTheme="majorHAnsi" w:hAnsiTheme="majorHAnsi"/>
          <w:bCs/>
          <w:sz w:val="20"/>
          <w:szCs w:val="20"/>
          <w:lang w:val="es-UY"/>
        </w:rPr>
        <w:t xml:space="preserve"> quedó en estado de indefensión</w:t>
      </w:r>
      <w:r w:rsidR="00295BD2">
        <w:rPr>
          <w:rFonts w:asciiTheme="majorHAnsi" w:hAnsiTheme="majorHAnsi"/>
          <w:bCs/>
          <w:sz w:val="20"/>
          <w:szCs w:val="20"/>
          <w:lang w:val="es-UY"/>
        </w:rPr>
        <w:t>.</w:t>
      </w:r>
      <w:r w:rsidR="000B34C5">
        <w:rPr>
          <w:rFonts w:asciiTheme="majorHAnsi" w:hAnsiTheme="majorHAnsi"/>
          <w:bCs/>
          <w:sz w:val="20"/>
          <w:szCs w:val="20"/>
          <w:lang w:val="es-UY"/>
        </w:rPr>
        <w:t xml:space="preserve"> </w:t>
      </w:r>
    </w:p>
    <w:p w14:paraId="35C87441" w14:textId="1D588AF5" w:rsidR="00FB5A6F" w:rsidRDefault="0071226D" w:rsidP="006E621A">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t>En sus comunicaciones posteriores</w:t>
      </w:r>
      <w:r w:rsidR="00A35608">
        <w:rPr>
          <w:rFonts w:asciiTheme="majorHAnsi" w:hAnsiTheme="majorHAnsi"/>
          <w:bCs/>
          <w:sz w:val="20"/>
          <w:szCs w:val="20"/>
          <w:lang w:val="es-UY"/>
        </w:rPr>
        <w:t xml:space="preserve"> a la CIDH</w:t>
      </w:r>
      <w:r>
        <w:rPr>
          <w:rFonts w:asciiTheme="majorHAnsi" w:hAnsiTheme="majorHAnsi"/>
          <w:bCs/>
          <w:sz w:val="20"/>
          <w:szCs w:val="20"/>
          <w:lang w:val="es-UY"/>
        </w:rPr>
        <w:t xml:space="preserve">, </w:t>
      </w:r>
      <w:r w:rsidR="00FD6DD5">
        <w:rPr>
          <w:rFonts w:asciiTheme="majorHAnsi" w:hAnsiTheme="majorHAnsi"/>
          <w:bCs/>
          <w:sz w:val="20"/>
          <w:szCs w:val="20"/>
          <w:lang w:val="es-UY"/>
        </w:rPr>
        <w:t xml:space="preserve">el </w:t>
      </w:r>
      <w:r w:rsidR="00A45B8B">
        <w:rPr>
          <w:rFonts w:asciiTheme="majorHAnsi" w:hAnsiTheme="majorHAnsi"/>
          <w:bCs/>
          <w:sz w:val="20"/>
          <w:szCs w:val="20"/>
          <w:lang w:val="es-UY"/>
        </w:rPr>
        <w:t>Sr. Sanjur</w:t>
      </w:r>
      <w:r w:rsidR="00FD6DD5">
        <w:rPr>
          <w:rFonts w:asciiTheme="majorHAnsi" w:hAnsiTheme="majorHAnsi"/>
          <w:bCs/>
          <w:sz w:val="20"/>
          <w:szCs w:val="20"/>
          <w:lang w:val="es-UY"/>
        </w:rPr>
        <w:t xml:space="preserve"> remite </w:t>
      </w:r>
      <w:r w:rsidR="008D6F72">
        <w:rPr>
          <w:rFonts w:asciiTheme="majorHAnsi" w:hAnsiTheme="majorHAnsi"/>
          <w:bCs/>
          <w:sz w:val="20"/>
          <w:szCs w:val="20"/>
          <w:lang w:val="es-UY"/>
        </w:rPr>
        <w:t xml:space="preserve">un </w:t>
      </w:r>
      <w:r w:rsidR="00FD6DD5">
        <w:rPr>
          <w:rFonts w:asciiTheme="majorHAnsi" w:hAnsiTheme="majorHAnsi"/>
          <w:bCs/>
          <w:sz w:val="20"/>
          <w:szCs w:val="20"/>
          <w:lang w:val="es-UY"/>
        </w:rPr>
        <w:t>auto del Juzgado Primero de Trabajo</w:t>
      </w:r>
      <w:r w:rsidR="008D6F72">
        <w:rPr>
          <w:rFonts w:asciiTheme="majorHAnsi" w:hAnsiTheme="majorHAnsi"/>
          <w:bCs/>
          <w:sz w:val="20"/>
          <w:szCs w:val="20"/>
          <w:lang w:val="es-UY"/>
        </w:rPr>
        <w:t xml:space="preserve"> mediante el </w:t>
      </w:r>
      <w:r w:rsidR="00EE4C6D">
        <w:rPr>
          <w:rFonts w:asciiTheme="majorHAnsi" w:hAnsiTheme="majorHAnsi"/>
          <w:bCs/>
          <w:sz w:val="20"/>
          <w:szCs w:val="20"/>
          <w:lang w:val="es-UY"/>
        </w:rPr>
        <w:t>cual</w:t>
      </w:r>
      <w:r w:rsidR="008D6F72">
        <w:rPr>
          <w:rFonts w:asciiTheme="majorHAnsi" w:hAnsiTheme="majorHAnsi"/>
          <w:bCs/>
          <w:sz w:val="20"/>
          <w:szCs w:val="20"/>
          <w:lang w:val="es-UY"/>
        </w:rPr>
        <w:t xml:space="preserve"> informa que el 16 de julio de 2022 </w:t>
      </w:r>
      <w:r w:rsidR="00C43C80">
        <w:rPr>
          <w:rFonts w:asciiTheme="majorHAnsi" w:hAnsiTheme="majorHAnsi"/>
          <w:bCs/>
          <w:sz w:val="20"/>
          <w:szCs w:val="20"/>
          <w:lang w:val="es-UY"/>
        </w:rPr>
        <w:t xml:space="preserve">la Junta de Conciliación y Decisión No. 15 </w:t>
      </w:r>
      <w:r w:rsidR="008D6F72">
        <w:rPr>
          <w:rFonts w:asciiTheme="majorHAnsi" w:hAnsiTheme="majorHAnsi"/>
          <w:bCs/>
          <w:sz w:val="20"/>
          <w:szCs w:val="20"/>
          <w:lang w:val="es-UY"/>
        </w:rPr>
        <w:t>prof</w:t>
      </w:r>
      <w:r w:rsidR="00C43C80">
        <w:rPr>
          <w:rFonts w:asciiTheme="majorHAnsi" w:hAnsiTheme="majorHAnsi"/>
          <w:bCs/>
          <w:sz w:val="20"/>
          <w:szCs w:val="20"/>
          <w:lang w:val="es-UY"/>
        </w:rPr>
        <w:t>i</w:t>
      </w:r>
      <w:r w:rsidR="008D6F72">
        <w:rPr>
          <w:rFonts w:asciiTheme="majorHAnsi" w:hAnsiTheme="majorHAnsi"/>
          <w:bCs/>
          <w:sz w:val="20"/>
          <w:szCs w:val="20"/>
          <w:lang w:val="es-UY"/>
        </w:rPr>
        <w:t>ri</w:t>
      </w:r>
      <w:r w:rsidR="00C43C80">
        <w:rPr>
          <w:rFonts w:asciiTheme="majorHAnsi" w:hAnsiTheme="majorHAnsi"/>
          <w:bCs/>
          <w:sz w:val="20"/>
          <w:szCs w:val="20"/>
          <w:lang w:val="es-UY"/>
        </w:rPr>
        <w:t>ó</w:t>
      </w:r>
      <w:r w:rsidR="008D6F72">
        <w:rPr>
          <w:rFonts w:asciiTheme="majorHAnsi" w:hAnsiTheme="majorHAnsi"/>
          <w:bCs/>
          <w:sz w:val="20"/>
          <w:szCs w:val="20"/>
          <w:lang w:val="es-UY"/>
        </w:rPr>
        <w:t xml:space="preserve"> la Sentencia No. </w:t>
      </w:r>
      <w:r w:rsidR="00F25739">
        <w:rPr>
          <w:rFonts w:asciiTheme="majorHAnsi" w:hAnsiTheme="majorHAnsi"/>
          <w:bCs/>
          <w:sz w:val="20"/>
          <w:szCs w:val="20"/>
          <w:lang w:val="es-UY"/>
        </w:rPr>
        <w:t xml:space="preserve">043-PJCD-15-2022 </w:t>
      </w:r>
      <w:r w:rsidR="00FD700F">
        <w:rPr>
          <w:rFonts w:asciiTheme="majorHAnsi" w:hAnsiTheme="majorHAnsi"/>
          <w:bCs/>
          <w:sz w:val="20"/>
          <w:szCs w:val="20"/>
          <w:lang w:val="es-UY"/>
        </w:rPr>
        <w:t>que</w:t>
      </w:r>
      <w:r w:rsidR="00C43C80">
        <w:rPr>
          <w:rFonts w:asciiTheme="majorHAnsi" w:hAnsiTheme="majorHAnsi"/>
          <w:bCs/>
          <w:sz w:val="20"/>
          <w:szCs w:val="20"/>
          <w:lang w:val="es-UY"/>
        </w:rPr>
        <w:t xml:space="preserve"> </w:t>
      </w:r>
      <w:r w:rsidR="00C87F89">
        <w:rPr>
          <w:rFonts w:asciiTheme="majorHAnsi" w:hAnsiTheme="majorHAnsi"/>
          <w:bCs/>
          <w:sz w:val="20"/>
          <w:szCs w:val="20"/>
          <w:lang w:val="es-UY"/>
        </w:rPr>
        <w:t>declar</w:t>
      </w:r>
      <w:r w:rsidR="00C43C80">
        <w:rPr>
          <w:rFonts w:asciiTheme="majorHAnsi" w:hAnsiTheme="majorHAnsi"/>
          <w:bCs/>
          <w:sz w:val="20"/>
          <w:szCs w:val="20"/>
          <w:lang w:val="es-UY"/>
        </w:rPr>
        <w:t xml:space="preserve">ó </w:t>
      </w:r>
      <w:r w:rsidR="00C87F89">
        <w:rPr>
          <w:rFonts w:asciiTheme="majorHAnsi" w:hAnsiTheme="majorHAnsi"/>
          <w:bCs/>
          <w:sz w:val="20"/>
          <w:szCs w:val="20"/>
          <w:lang w:val="es-UY"/>
        </w:rPr>
        <w:t>probada la relación laboral existente entre el demandante y la OPS, y condenó a esta últ</w:t>
      </w:r>
      <w:r w:rsidR="00EE1589">
        <w:rPr>
          <w:rFonts w:asciiTheme="majorHAnsi" w:hAnsiTheme="majorHAnsi"/>
          <w:bCs/>
          <w:sz w:val="20"/>
          <w:szCs w:val="20"/>
          <w:lang w:val="es-UY"/>
        </w:rPr>
        <w:t>im</w:t>
      </w:r>
      <w:r w:rsidR="00C87F89">
        <w:rPr>
          <w:rFonts w:asciiTheme="majorHAnsi" w:hAnsiTheme="majorHAnsi"/>
          <w:bCs/>
          <w:sz w:val="20"/>
          <w:szCs w:val="20"/>
          <w:lang w:val="es-UY"/>
        </w:rPr>
        <w:t>a a pagar US</w:t>
      </w:r>
      <w:r w:rsidR="00EE1589">
        <w:rPr>
          <w:rFonts w:asciiTheme="majorHAnsi" w:hAnsiTheme="majorHAnsi"/>
          <w:bCs/>
          <w:sz w:val="20"/>
          <w:szCs w:val="20"/>
          <w:lang w:val="es-UY"/>
        </w:rPr>
        <w:t>D</w:t>
      </w:r>
      <w:r w:rsidR="00C87F89">
        <w:rPr>
          <w:rFonts w:asciiTheme="majorHAnsi" w:hAnsiTheme="majorHAnsi"/>
          <w:bCs/>
          <w:sz w:val="20"/>
          <w:szCs w:val="20"/>
          <w:lang w:val="es-UY"/>
        </w:rPr>
        <w:t>$</w:t>
      </w:r>
      <w:r w:rsidR="00EE1589">
        <w:rPr>
          <w:rFonts w:asciiTheme="majorHAnsi" w:hAnsiTheme="majorHAnsi"/>
          <w:bCs/>
          <w:sz w:val="20"/>
          <w:szCs w:val="20"/>
          <w:lang w:val="es-UY"/>
        </w:rPr>
        <w:t>.</w:t>
      </w:r>
      <w:r w:rsidR="00C87F89">
        <w:rPr>
          <w:rFonts w:asciiTheme="majorHAnsi" w:hAnsiTheme="majorHAnsi"/>
          <w:bCs/>
          <w:sz w:val="20"/>
          <w:szCs w:val="20"/>
          <w:lang w:val="es-UY"/>
        </w:rPr>
        <w:t xml:space="preserve"> 11</w:t>
      </w:r>
      <w:r w:rsidR="00816D84">
        <w:rPr>
          <w:rFonts w:asciiTheme="majorHAnsi" w:hAnsiTheme="majorHAnsi"/>
          <w:bCs/>
          <w:sz w:val="20"/>
          <w:szCs w:val="20"/>
          <w:lang w:val="es-UY"/>
        </w:rPr>
        <w:t>.</w:t>
      </w:r>
      <w:r w:rsidR="00EE1589">
        <w:rPr>
          <w:rFonts w:asciiTheme="majorHAnsi" w:hAnsiTheme="majorHAnsi"/>
          <w:bCs/>
          <w:sz w:val="20"/>
          <w:szCs w:val="20"/>
          <w:lang w:val="es-UY"/>
        </w:rPr>
        <w:t>545 por concepto de indemnización</w:t>
      </w:r>
      <w:r w:rsidR="00A87E47">
        <w:rPr>
          <w:rFonts w:asciiTheme="majorHAnsi" w:hAnsiTheme="majorHAnsi"/>
          <w:bCs/>
          <w:sz w:val="20"/>
          <w:szCs w:val="20"/>
          <w:lang w:val="es-UY"/>
        </w:rPr>
        <w:t xml:space="preserve"> a </w:t>
      </w:r>
      <w:r w:rsidR="00816D84">
        <w:rPr>
          <w:rFonts w:asciiTheme="majorHAnsi" w:hAnsiTheme="majorHAnsi"/>
          <w:bCs/>
          <w:sz w:val="20"/>
          <w:szCs w:val="20"/>
          <w:lang w:val="es-UY"/>
        </w:rPr>
        <w:t xml:space="preserve">su </w:t>
      </w:r>
      <w:r w:rsidR="00A87E47">
        <w:rPr>
          <w:rFonts w:asciiTheme="majorHAnsi" w:hAnsiTheme="majorHAnsi"/>
          <w:bCs/>
          <w:sz w:val="20"/>
          <w:szCs w:val="20"/>
          <w:lang w:val="es-UY"/>
        </w:rPr>
        <w:t xml:space="preserve">favor. No obstante, </w:t>
      </w:r>
      <w:r w:rsidR="00CE17FA">
        <w:rPr>
          <w:rFonts w:asciiTheme="majorHAnsi" w:hAnsiTheme="majorHAnsi"/>
          <w:bCs/>
          <w:sz w:val="20"/>
          <w:szCs w:val="20"/>
          <w:lang w:val="es-UY"/>
        </w:rPr>
        <w:t xml:space="preserve">dicho Juzgado </w:t>
      </w:r>
      <w:r w:rsidR="000A3C5A">
        <w:rPr>
          <w:rFonts w:asciiTheme="majorHAnsi" w:hAnsiTheme="majorHAnsi"/>
          <w:bCs/>
          <w:sz w:val="20"/>
          <w:szCs w:val="20"/>
          <w:lang w:val="es-UY"/>
        </w:rPr>
        <w:t>indicó</w:t>
      </w:r>
      <w:r w:rsidR="00CE17FA">
        <w:rPr>
          <w:rFonts w:asciiTheme="majorHAnsi" w:hAnsiTheme="majorHAnsi"/>
          <w:bCs/>
          <w:sz w:val="20"/>
          <w:szCs w:val="20"/>
          <w:lang w:val="es-UY"/>
        </w:rPr>
        <w:t xml:space="preserve"> que la OPS tiene inmunidad en cuanto </w:t>
      </w:r>
      <w:r w:rsidR="00854F32">
        <w:rPr>
          <w:rFonts w:asciiTheme="majorHAnsi" w:hAnsiTheme="majorHAnsi"/>
          <w:bCs/>
          <w:sz w:val="20"/>
          <w:szCs w:val="20"/>
          <w:lang w:val="es-UY"/>
        </w:rPr>
        <w:t xml:space="preserve">a la ejecución del fallo, </w:t>
      </w:r>
      <w:r w:rsidR="00AF6060">
        <w:rPr>
          <w:rFonts w:asciiTheme="majorHAnsi" w:hAnsiTheme="majorHAnsi"/>
          <w:bCs/>
          <w:sz w:val="20"/>
          <w:szCs w:val="20"/>
          <w:lang w:val="es-UY"/>
        </w:rPr>
        <w:t>con lo que no pu</w:t>
      </w:r>
      <w:r w:rsidR="00A50564">
        <w:rPr>
          <w:rFonts w:asciiTheme="majorHAnsi" w:hAnsiTheme="majorHAnsi"/>
          <w:bCs/>
          <w:sz w:val="20"/>
          <w:szCs w:val="20"/>
          <w:lang w:val="es-UY"/>
        </w:rPr>
        <w:t>do</w:t>
      </w:r>
      <w:r w:rsidR="00AF6060">
        <w:rPr>
          <w:rFonts w:asciiTheme="majorHAnsi" w:hAnsiTheme="majorHAnsi"/>
          <w:bCs/>
          <w:sz w:val="20"/>
          <w:szCs w:val="20"/>
          <w:lang w:val="es-UY"/>
        </w:rPr>
        <w:t xml:space="preserve"> iniciar un </w:t>
      </w:r>
      <w:r w:rsidR="003D1438">
        <w:rPr>
          <w:rFonts w:asciiTheme="majorHAnsi" w:hAnsiTheme="majorHAnsi"/>
          <w:bCs/>
          <w:sz w:val="20"/>
          <w:szCs w:val="20"/>
          <w:lang w:val="es-UY"/>
        </w:rPr>
        <w:t xml:space="preserve">embargo </w:t>
      </w:r>
      <w:r w:rsidR="00AF6060">
        <w:rPr>
          <w:rFonts w:asciiTheme="majorHAnsi" w:hAnsiTheme="majorHAnsi"/>
          <w:bCs/>
          <w:sz w:val="20"/>
          <w:szCs w:val="20"/>
          <w:lang w:val="es-UY"/>
        </w:rPr>
        <w:t>para el cumplimiento de la sentencia</w:t>
      </w:r>
      <w:r w:rsidR="003F5841">
        <w:rPr>
          <w:rFonts w:asciiTheme="majorHAnsi" w:hAnsiTheme="majorHAnsi"/>
          <w:bCs/>
          <w:sz w:val="20"/>
          <w:szCs w:val="20"/>
          <w:lang w:val="es-UY"/>
        </w:rPr>
        <w:t>.</w:t>
      </w:r>
    </w:p>
    <w:p w14:paraId="7077E013" w14:textId="3BF32E1A" w:rsidR="000B34C5" w:rsidRDefault="003F5841" w:rsidP="006E621A">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t xml:space="preserve">El peticionario envía además una carta del Juzgado Primero </w:t>
      </w:r>
      <w:r w:rsidR="00FB5A6F">
        <w:rPr>
          <w:rFonts w:asciiTheme="majorHAnsi" w:hAnsiTheme="majorHAnsi"/>
          <w:bCs/>
          <w:sz w:val="20"/>
          <w:szCs w:val="20"/>
          <w:lang w:val="es-UY"/>
        </w:rPr>
        <w:t xml:space="preserve">de Trabajo fechada el 28 de marzo de 2023, </w:t>
      </w:r>
      <w:r w:rsidR="005C711E">
        <w:rPr>
          <w:rFonts w:asciiTheme="majorHAnsi" w:hAnsiTheme="majorHAnsi"/>
          <w:bCs/>
          <w:sz w:val="20"/>
          <w:szCs w:val="20"/>
          <w:lang w:val="es-UY"/>
        </w:rPr>
        <w:t>dirigida a</w:t>
      </w:r>
      <w:r w:rsidR="006F4D50">
        <w:rPr>
          <w:rFonts w:asciiTheme="majorHAnsi" w:hAnsiTheme="majorHAnsi"/>
          <w:bCs/>
          <w:sz w:val="20"/>
          <w:szCs w:val="20"/>
          <w:lang w:val="es-UY"/>
        </w:rPr>
        <w:t xml:space="preserve"> </w:t>
      </w:r>
      <w:r w:rsidR="005C711E">
        <w:rPr>
          <w:rFonts w:asciiTheme="majorHAnsi" w:hAnsiTheme="majorHAnsi"/>
          <w:bCs/>
          <w:sz w:val="20"/>
          <w:szCs w:val="20"/>
          <w:lang w:val="es-UY"/>
        </w:rPr>
        <w:t>l</w:t>
      </w:r>
      <w:r w:rsidR="006F4D50">
        <w:rPr>
          <w:rFonts w:asciiTheme="majorHAnsi" w:hAnsiTheme="majorHAnsi"/>
          <w:bCs/>
          <w:sz w:val="20"/>
          <w:szCs w:val="20"/>
          <w:lang w:val="es-UY"/>
        </w:rPr>
        <w:t>a</w:t>
      </w:r>
      <w:r w:rsidR="005C711E">
        <w:rPr>
          <w:rFonts w:asciiTheme="majorHAnsi" w:hAnsiTheme="majorHAnsi"/>
          <w:bCs/>
          <w:sz w:val="20"/>
          <w:szCs w:val="20"/>
          <w:lang w:val="es-UY"/>
        </w:rPr>
        <w:t xml:space="preserve"> </w:t>
      </w:r>
      <w:r w:rsidR="006F4D50">
        <w:rPr>
          <w:rFonts w:asciiTheme="majorHAnsi" w:hAnsiTheme="majorHAnsi"/>
          <w:bCs/>
          <w:sz w:val="20"/>
          <w:szCs w:val="20"/>
          <w:lang w:val="es-UY"/>
        </w:rPr>
        <w:t xml:space="preserve">Cancillería </w:t>
      </w:r>
      <w:r w:rsidR="005C711E">
        <w:rPr>
          <w:rFonts w:asciiTheme="majorHAnsi" w:hAnsiTheme="majorHAnsi"/>
          <w:bCs/>
          <w:sz w:val="20"/>
          <w:szCs w:val="20"/>
          <w:lang w:val="es-UY"/>
        </w:rPr>
        <w:t xml:space="preserve">a fin de </w:t>
      </w:r>
      <w:r w:rsidR="00FB55E0">
        <w:rPr>
          <w:rFonts w:asciiTheme="majorHAnsi" w:hAnsiTheme="majorHAnsi"/>
          <w:bCs/>
          <w:sz w:val="20"/>
          <w:szCs w:val="20"/>
          <w:lang w:val="es-UY"/>
        </w:rPr>
        <w:t xml:space="preserve">solicitar sus buenos oficios para </w:t>
      </w:r>
      <w:r w:rsidR="005C711E">
        <w:rPr>
          <w:rFonts w:asciiTheme="majorHAnsi" w:hAnsiTheme="majorHAnsi"/>
          <w:bCs/>
          <w:sz w:val="20"/>
          <w:szCs w:val="20"/>
          <w:lang w:val="es-UY"/>
        </w:rPr>
        <w:t xml:space="preserve">cumplir </w:t>
      </w:r>
      <w:r w:rsidR="00CA4422">
        <w:rPr>
          <w:rFonts w:asciiTheme="majorHAnsi" w:hAnsiTheme="majorHAnsi"/>
          <w:bCs/>
          <w:sz w:val="20"/>
          <w:szCs w:val="20"/>
          <w:lang w:val="es-UY"/>
        </w:rPr>
        <w:t xml:space="preserve">con </w:t>
      </w:r>
      <w:r w:rsidR="005C711E">
        <w:rPr>
          <w:rFonts w:asciiTheme="majorHAnsi" w:hAnsiTheme="majorHAnsi"/>
          <w:bCs/>
          <w:sz w:val="20"/>
          <w:szCs w:val="20"/>
          <w:lang w:val="es-UY"/>
        </w:rPr>
        <w:t>una orden emitida por el Tribunal Superior de Trabajo que</w:t>
      </w:r>
      <w:r w:rsidR="006F4D50">
        <w:rPr>
          <w:rFonts w:asciiTheme="majorHAnsi" w:hAnsiTheme="majorHAnsi"/>
          <w:bCs/>
          <w:sz w:val="20"/>
          <w:szCs w:val="20"/>
          <w:lang w:val="es-UY"/>
        </w:rPr>
        <w:t xml:space="preserve"> exhortó</w:t>
      </w:r>
      <w:r w:rsidR="000F6675">
        <w:rPr>
          <w:rFonts w:asciiTheme="majorHAnsi" w:hAnsiTheme="majorHAnsi"/>
          <w:bCs/>
          <w:sz w:val="20"/>
          <w:szCs w:val="20"/>
          <w:lang w:val="es-UY"/>
        </w:rPr>
        <w:t xml:space="preserve"> al juzgado</w:t>
      </w:r>
      <w:r w:rsidR="006F4D50">
        <w:rPr>
          <w:rFonts w:asciiTheme="majorHAnsi" w:hAnsiTheme="majorHAnsi"/>
          <w:bCs/>
          <w:sz w:val="20"/>
          <w:szCs w:val="20"/>
          <w:lang w:val="es-UY"/>
        </w:rPr>
        <w:t xml:space="preserve"> a realizar “</w:t>
      </w:r>
      <w:r w:rsidR="006F4D50" w:rsidRPr="00315136">
        <w:rPr>
          <w:rFonts w:asciiTheme="majorHAnsi" w:hAnsiTheme="majorHAnsi"/>
          <w:bCs/>
          <w:i/>
          <w:iCs/>
          <w:sz w:val="20"/>
          <w:szCs w:val="20"/>
          <w:lang w:val="es-UY"/>
        </w:rPr>
        <w:t xml:space="preserve">todas las diligencias, trámites y gire los oficios pertinentes y necesarios para la ejecución de la Sentencia No.043-PJCD-15-2022, por medio del Ministerio de Relaciones Exteriores de Panamá, y, así, lograr una correcta cooperación y efectivamente </w:t>
      </w:r>
      <w:r w:rsidR="00315136" w:rsidRPr="00315136">
        <w:rPr>
          <w:rFonts w:asciiTheme="majorHAnsi" w:hAnsiTheme="majorHAnsi"/>
          <w:bCs/>
          <w:i/>
          <w:iCs/>
          <w:sz w:val="20"/>
          <w:szCs w:val="20"/>
          <w:lang w:val="es-UY"/>
        </w:rPr>
        <w:t>tutela judicial efectiva a favor del trabajador ejecutante, de parte de la ejecutada ORGANIZACIÓN PANAMERICANA DE LA SALUD (OPS), la cual debe hacerle frente a lo adeudado al señor ORLANDO RENE SANJUR PAZ</w:t>
      </w:r>
      <w:r w:rsidR="00315136">
        <w:rPr>
          <w:rFonts w:asciiTheme="majorHAnsi" w:hAnsiTheme="majorHAnsi"/>
          <w:bCs/>
          <w:sz w:val="20"/>
          <w:szCs w:val="20"/>
          <w:lang w:val="es-UY"/>
        </w:rPr>
        <w:t>”.</w:t>
      </w:r>
    </w:p>
    <w:p w14:paraId="7CC19C37" w14:textId="012D085D" w:rsidR="009E06BD" w:rsidRDefault="009E06BD" w:rsidP="006E621A">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t xml:space="preserve">En respuesta a las observaciones del Estado relativas a que la vía a agotar era el arbitraje vinculante y no la demanda laboral, el peticionario </w:t>
      </w:r>
      <w:r w:rsidR="00E52A40">
        <w:rPr>
          <w:rFonts w:asciiTheme="majorHAnsi" w:hAnsiTheme="majorHAnsi"/>
          <w:bCs/>
          <w:sz w:val="20"/>
          <w:szCs w:val="20"/>
          <w:lang w:val="es-UY"/>
        </w:rPr>
        <w:t xml:space="preserve">arguye que </w:t>
      </w:r>
      <w:r w:rsidR="00526575">
        <w:rPr>
          <w:rFonts w:asciiTheme="majorHAnsi" w:hAnsiTheme="majorHAnsi"/>
          <w:bCs/>
          <w:sz w:val="20"/>
          <w:szCs w:val="20"/>
          <w:lang w:val="es-UY"/>
        </w:rPr>
        <w:t>la OPS no ofreció resolver la controversia mediante dicho mecanismo,</w:t>
      </w:r>
      <w:r w:rsidR="00AF5C60">
        <w:rPr>
          <w:rFonts w:asciiTheme="majorHAnsi" w:hAnsiTheme="majorHAnsi"/>
          <w:bCs/>
          <w:sz w:val="20"/>
          <w:szCs w:val="20"/>
          <w:lang w:val="es-UY"/>
        </w:rPr>
        <w:t xml:space="preserve"> y siempre invocó su inmunidad de jurisdicción </w:t>
      </w:r>
      <w:r w:rsidR="00E66C54">
        <w:rPr>
          <w:rFonts w:asciiTheme="majorHAnsi" w:hAnsiTheme="majorHAnsi"/>
          <w:bCs/>
          <w:sz w:val="20"/>
          <w:szCs w:val="20"/>
          <w:lang w:val="es-UY"/>
        </w:rPr>
        <w:t>y sostuvo que el desp</w:t>
      </w:r>
      <w:r w:rsidR="00255C3A">
        <w:rPr>
          <w:rFonts w:asciiTheme="majorHAnsi" w:hAnsiTheme="majorHAnsi"/>
          <w:bCs/>
          <w:sz w:val="20"/>
          <w:szCs w:val="20"/>
          <w:lang w:val="es-UY"/>
        </w:rPr>
        <w:t>i</w:t>
      </w:r>
      <w:r w:rsidR="00E66C54">
        <w:rPr>
          <w:rFonts w:asciiTheme="majorHAnsi" w:hAnsiTheme="majorHAnsi"/>
          <w:bCs/>
          <w:sz w:val="20"/>
          <w:szCs w:val="20"/>
          <w:lang w:val="es-UY"/>
        </w:rPr>
        <w:t>do era legal</w:t>
      </w:r>
      <w:r w:rsidR="00AF5C60">
        <w:rPr>
          <w:rFonts w:asciiTheme="majorHAnsi" w:hAnsiTheme="majorHAnsi"/>
          <w:bCs/>
          <w:sz w:val="20"/>
          <w:szCs w:val="20"/>
          <w:lang w:val="es-UY"/>
        </w:rPr>
        <w:t>.</w:t>
      </w:r>
      <w:r w:rsidR="00764863">
        <w:rPr>
          <w:rFonts w:asciiTheme="majorHAnsi" w:hAnsiTheme="majorHAnsi"/>
          <w:bCs/>
          <w:sz w:val="20"/>
          <w:szCs w:val="20"/>
          <w:lang w:val="es-UY"/>
        </w:rPr>
        <w:t xml:space="preserve"> En tal sentido considera que los argumentos del Estado pretenden desconocer la sentencia firme dictada por sus </w:t>
      </w:r>
      <w:r w:rsidR="0052699A">
        <w:rPr>
          <w:rFonts w:asciiTheme="majorHAnsi" w:hAnsiTheme="majorHAnsi"/>
          <w:bCs/>
          <w:sz w:val="20"/>
          <w:szCs w:val="20"/>
          <w:lang w:val="es-UY"/>
        </w:rPr>
        <w:t xml:space="preserve">propios </w:t>
      </w:r>
      <w:r w:rsidR="00764863">
        <w:rPr>
          <w:rFonts w:asciiTheme="majorHAnsi" w:hAnsiTheme="majorHAnsi"/>
          <w:bCs/>
          <w:sz w:val="20"/>
          <w:szCs w:val="20"/>
          <w:lang w:val="es-UY"/>
        </w:rPr>
        <w:t>tribunales</w:t>
      </w:r>
      <w:r w:rsidR="006F10BF">
        <w:rPr>
          <w:rFonts w:asciiTheme="majorHAnsi" w:hAnsiTheme="majorHAnsi"/>
          <w:bCs/>
          <w:sz w:val="20"/>
          <w:szCs w:val="20"/>
          <w:lang w:val="es-UY"/>
        </w:rPr>
        <w:t xml:space="preserve">, </w:t>
      </w:r>
      <w:r w:rsidR="00252613">
        <w:rPr>
          <w:rFonts w:asciiTheme="majorHAnsi" w:hAnsiTheme="majorHAnsi"/>
          <w:bCs/>
          <w:sz w:val="20"/>
          <w:szCs w:val="20"/>
          <w:lang w:val="es-UY"/>
        </w:rPr>
        <w:t xml:space="preserve">y </w:t>
      </w:r>
      <w:r w:rsidR="006F10BF">
        <w:rPr>
          <w:rFonts w:asciiTheme="majorHAnsi" w:hAnsiTheme="majorHAnsi"/>
          <w:bCs/>
          <w:sz w:val="20"/>
          <w:szCs w:val="20"/>
          <w:lang w:val="es-UY"/>
        </w:rPr>
        <w:t xml:space="preserve">que no </w:t>
      </w:r>
      <w:r w:rsidR="00252613">
        <w:rPr>
          <w:rFonts w:asciiTheme="majorHAnsi" w:hAnsiTheme="majorHAnsi"/>
          <w:bCs/>
          <w:sz w:val="20"/>
          <w:szCs w:val="20"/>
          <w:lang w:val="es-UY"/>
        </w:rPr>
        <w:t>ha podido</w:t>
      </w:r>
      <w:r w:rsidR="006F10BF">
        <w:rPr>
          <w:rFonts w:asciiTheme="majorHAnsi" w:hAnsiTheme="majorHAnsi"/>
          <w:bCs/>
          <w:sz w:val="20"/>
          <w:szCs w:val="20"/>
          <w:lang w:val="es-UY"/>
        </w:rPr>
        <w:t xml:space="preserve"> ser ejecutada. En esa medida, asevera que el recurso </w:t>
      </w:r>
      <w:r w:rsidR="008206CD">
        <w:rPr>
          <w:rFonts w:asciiTheme="majorHAnsi" w:hAnsiTheme="majorHAnsi"/>
          <w:bCs/>
          <w:sz w:val="20"/>
          <w:szCs w:val="20"/>
          <w:lang w:val="es-UY"/>
        </w:rPr>
        <w:t xml:space="preserve">laboral </w:t>
      </w:r>
      <w:r w:rsidR="006F10BF">
        <w:rPr>
          <w:rFonts w:asciiTheme="majorHAnsi" w:hAnsiTheme="majorHAnsi"/>
          <w:bCs/>
          <w:sz w:val="20"/>
          <w:szCs w:val="20"/>
          <w:lang w:val="es-UY"/>
        </w:rPr>
        <w:t>se torn</w:t>
      </w:r>
      <w:r w:rsidR="008206CD">
        <w:rPr>
          <w:rFonts w:asciiTheme="majorHAnsi" w:hAnsiTheme="majorHAnsi"/>
          <w:bCs/>
          <w:sz w:val="20"/>
          <w:szCs w:val="20"/>
          <w:lang w:val="es-UY"/>
        </w:rPr>
        <w:t>ó</w:t>
      </w:r>
      <w:r w:rsidR="006F10BF">
        <w:rPr>
          <w:rFonts w:asciiTheme="majorHAnsi" w:hAnsiTheme="majorHAnsi"/>
          <w:bCs/>
          <w:sz w:val="20"/>
          <w:szCs w:val="20"/>
          <w:lang w:val="es-UY"/>
        </w:rPr>
        <w:t xml:space="preserve"> ilusorio</w:t>
      </w:r>
      <w:r w:rsidR="008206CD">
        <w:rPr>
          <w:rFonts w:asciiTheme="majorHAnsi" w:hAnsiTheme="majorHAnsi"/>
          <w:bCs/>
          <w:sz w:val="20"/>
          <w:szCs w:val="20"/>
          <w:lang w:val="es-UY"/>
        </w:rPr>
        <w:t xml:space="preserve"> </w:t>
      </w:r>
      <w:r w:rsidR="001D41BC">
        <w:rPr>
          <w:rFonts w:asciiTheme="majorHAnsi" w:hAnsiTheme="majorHAnsi"/>
          <w:bCs/>
          <w:sz w:val="20"/>
          <w:szCs w:val="20"/>
          <w:lang w:val="es-UY"/>
        </w:rPr>
        <w:t xml:space="preserve">en clara </w:t>
      </w:r>
      <w:r w:rsidR="006F10BF">
        <w:rPr>
          <w:rFonts w:asciiTheme="majorHAnsi" w:hAnsiTheme="majorHAnsi"/>
          <w:bCs/>
          <w:sz w:val="20"/>
          <w:szCs w:val="20"/>
          <w:lang w:val="es-UY"/>
        </w:rPr>
        <w:t>viola</w:t>
      </w:r>
      <w:r w:rsidR="001D41BC">
        <w:rPr>
          <w:rFonts w:asciiTheme="majorHAnsi" w:hAnsiTheme="majorHAnsi"/>
          <w:bCs/>
          <w:sz w:val="20"/>
          <w:szCs w:val="20"/>
          <w:lang w:val="es-UY"/>
        </w:rPr>
        <w:t>ción de</w:t>
      </w:r>
      <w:r w:rsidR="006F10BF">
        <w:rPr>
          <w:rFonts w:asciiTheme="majorHAnsi" w:hAnsiTheme="majorHAnsi"/>
          <w:bCs/>
          <w:sz w:val="20"/>
          <w:szCs w:val="20"/>
          <w:lang w:val="es-UY"/>
        </w:rPr>
        <w:t xml:space="preserve"> su derecho a la protección judicial</w:t>
      </w:r>
      <w:r w:rsidR="00AB707B">
        <w:rPr>
          <w:rFonts w:asciiTheme="majorHAnsi" w:hAnsiTheme="majorHAnsi"/>
          <w:bCs/>
          <w:sz w:val="20"/>
          <w:szCs w:val="20"/>
          <w:lang w:val="es-UY"/>
        </w:rPr>
        <w:t>.</w:t>
      </w:r>
    </w:p>
    <w:p w14:paraId="2F764B86" w14:textId="0881C445" w:rsidR="00D93BF4" w:rsidRDefault="00AB707B" w:rsidP="00E54DB2">
      <w:pPr>
        <w:pStyle w:val="ListParagraph"/>
        <w:numPr>
          <w:ilvl w:val="0"/>
          <w:numId w:val="61"/>
        </w:numPr>
        <w:ind w:left="0" w:firstLine="720"/>
        <w:jc w:val="both"/>
        <w:rPr>
          <w:rFonts w:asciiTheme="majorHAnsi" w:hAnsiTheme="majorHAnsi"/>
          <w:bCs/>
          <w:sz w:val="20"/>
          <w:szCs w:val="20"/>
          <w:lang w:val="es-UY"/>
        </w:rPr>
      </w:pPr>
      <w:r w:rsidRPr="00D93BF4">
        <w:rPr>
          <w:rFonts w:asciiTheme="majorHAnsi" w:hAnsiTheme="majorHAnsi"/>
          <w:bCs/>
          <w:sz w:val="20"/>
          <w:szCs w:val="20"/>
          <w:lang w:val="es-UY"/>
        </w:rPr>
        <w:t>A</w:t>
      </w:r>
      <w:r w:rsidR="005B3881" w:rsidRPr="00D93BF4">
        <w:rPr>
          <w:rFonts w:asciiTheme="majorHAnsi" w:hAnsiTheme="majorHAnsi"/>
          <w:bCs/>
          <w:sz w:val="20"/>
          <w:szCs w:val="20"/>
          <w:lang w:val="es-UY"/>
        </w:rPr>
        <w:t>demás</w:t>
      </w:r>
      <w:r w:rsidRPr="00D93BF4">
        <w:rPr>
          <w:rFonts w:asciiTheme="majorHAnsi" w:hAnsiTheme="majorHAnsi"/>
          <w:bCs/>
          <w:sz w:val="20"/>
          <w:szCs w:val="20"/>
          <w:lang w:val="es-UY"/>
        </w:rPr>
        <w:t>,</w:t>
      </w:r>
      <w:r w:rsidR="00A0502D" w:rsidRPr="00D93BF4">
        <w:rPr>
          <w:rFonts w:asciiTheme="majorHAnsi" w:hAnsiTheme="majorHAnsi"/>
          <w:bCs/>
          <w:sz w:val="20"/>
          <w:szCs w:val="20"/>
          <w:lang w:val="es-UY"/>
        </w:rPr>
        <w:t xml:space="preserve"> el peticionario</w:t>
      </w:r>
      <w:r w:rsidRPr="00D93BF4">
        <w:rPr>
          <w:rFonts w:asciiTheme="majorHAnsi" w:hAnsiTheme="majorHAnsi"/>
          <w:bCs/>
          <w:sz w:val="20"/>
          <w:szCs w:val="20"/>
          <w:lang w:val="es-UY"/>
        </w:rPr>
        <w:t xml:space="preserve"> </w:t>
      </w:r>
      <w:r w:rsidR="00EA703A" w:rsidRPr="00D93BF4">
        <w:rPr>
          <w:rFonts w:asciiTheme="majorHAnsi" w:hAnsiTheme="majorHAnsi"/>
          <w:bCs/>
          <w:sz w:val="20"/>
          <w:szCs w:val="20"/>
          <w:lang w:val="es-UY"/>
        </w:rPr>
        <w:t xml:space="preserve">plantea que el Estado cuenta con </w:t>
      </w:r>
      <w:r w:rsidR="00E84908" w:rsidRPr="00D93BF4">
        <w:rPr>
          <w:rFonts w:asciiTheme="majorHAnsi" w:hAnsiTheme="majorHAnsi"/>
          <w:bCs/>
          <w:sz w:val="20"/>
          <w:szCs w:val="20"/>
          <w:lang w:val="es-UY"/>
        </w:rPr>
        <w:t xml:space="preserve">varios </w:t>
      </w:r>
      <w:r w:rsidR="00EA703A" w:rsidRPr="00D93BF4">
        <w:rPr>
          <w:rFonts w:asciiTheme="majorHAnsi" w:hAnsiTheme="majorHAnsi"/>
          <w:bCs/>
          <w:sz w:val="20"/>
          <w:szCs w:val="20"/>
          <w:lang w:val="es-UY"/>
        </w:rPr>
        <w:t xml:space="preserve">mecanismos </w:t>
      </w:r>
      <w:r w:rsidR="00A520DB" w:rsidRPr="00D93BF4">
        <w:rPr>
          <w:rFonts w:asciiTheme="majorHAnsi" w:hAnsiTheme="majorHAnsi"/>
          <w:bCs/>
          <w:sz w:val="20"/>
          <w:szCs w:val="20"/>
          <w:lang w:val="es-UY"/>
        </w:rPr>
        <w:t xml:space="preserve">de Derecho Internacional para ejecutar la sentencia </w:t>
      </w:r>
      <w:r w:rsidR="00A216BB">
        <w:rPr>
          <w:rFonts w:asciiTheme="majorHAnsi" w:hAnsiTheme="majorHAnsi"/>
          <w:bCs/>
          <w:sz w:val="20"/>
          <w:szCs w:val="20"/>
          <w:lang w:val="es-UY"/>
        </w:rPr>
        <w:t>emitid</w:t>
      </w:r>
      <w:r w:rsidR="00A520DB" w:rsidRPr="00D93BF4">
        <w:rPr>
          <w:rFonts w:asciiTheme="majorHAnsi" w:hAnsiTheme="majorHAnsi"/>
          <w:bCs/>
          <w:sz w:val="20"/>
          <w:szCs w:val="20"/>
          <w:lang w:val="es-UY"/>
        </w:rPr>
        <w:t xml:space="preserve">a a su favor, </w:t>
      </w:r>
      <w:r w:rsidR="008B6298" w:rsidRPr="00D93BF4">
        <w:rPr>
          <w:rFonts w:asciiTheme="majorHAnsi" w:hAnsiTheme="majorHAnsi"/>
          <w:bCs/>
          <w:sz w:val="20"/>
          <w:szCs w:val="20"/>
          <w:lang w:val="es-UY"/>
        </w:rPr>
        <w:t>pues el artículo VI, Sección 14.a</w:t>
      </w:r>
      <w:r w:rsidR="00740B59" w:rsidRPr="00D93BF4">
        <w:rPr>
          <w:rFonts w:asciiTheme="majorHAnsi" w:hAnsiTheme="majorHAnsi"/>
          <w:bCs/>
          <w:sz w:val="20"/>
          <w:szCs w:val="20"/>
          <w:lang w:val="es-UY"/>
        </w:rPr>
        <w:t>)</w:t>
      </w:r>
      <w:r w:rsidR="008B6298" w:rsidRPr="00D93BF4">
        <w:rPr>
          <w:rFonts w:asciiTheme="majorHAnsi" w:hAnsiTheme="majorHAnsi"/>
          <w:bCs/>
          <w:sz w:val="20"/>
          <w:szCs w:val="20"/>
          <w:lang w:val="es-UY"/>
        </w:rPr>
        <w:t xml:space="preserve"> </w:t>
      </w:r>
      <w:r w:rsidR="00740B59" w:rsidRPr="00D93BF4">
        <w:rPr>
          <w:rFonts w:asciiTheme="majorHAnsi" w:hAnsiTheme="majorHAnsi"/>
          <w:bCs/>
          <w:sz w:val="20"/>
          <w:szCs w:val="20"/>
          <w:lang w:val="es-UY"/>
        </w:rPr>
        <w:t xml:space="preserve">sobre ‘Cooperación y Arreglo de Disputas’ </w:t>
      </w:r>
      <w:r w:rsidR="008B6298" w:rsidRPr="00D93BF4">
        <w:rPr>
          <w:rFonts w:asciiTheme="majorHAnsi" w:hAnsiTheme="majorHAnsi"/>
          <w:bCs/>
          <w:sz w:val="20"/>
          <w:szCs w:val="20"/>
          <w:lang w:val="es-UY"/>
        </w:rPr>
        <w:t xml:space="preserve">del </w:t>
      </w:r>
      <w:r w:rsidR="00C67B77" w:rsidRPr="00D93BF4">
        <w:rPr>
          <w:rFonts w:asciiTheme="majorHAnsi" w:hAnsiTheme="majorHAnsi"/>
          <w:bCs/>
          <w:sz w:val="20"/>
          <w:szCs w:val="20"/>
          <w:lang w:val="es-UY"/>
        </w:rPr>
        <w:t xml:space="preserve">Acuerdo sobre Privilegios e Inmunidades Diplomáticas suscrito entre Panamá y la OPS </w:t>
      </w:r>
      <w:r w:rsidR="00002C3A">
        <w:rPr>
          <w:rFonts w:asciiTheme="majorHAnsi" w:hAnsiTheme="majorHAnsi"/>
          <w:bCs/>
          <w:sz w:val="20"/>
          <w:szCs w:val="20"/>
          <w:lang w:val="es-UY"/>
        </w:rPr>
        <w:t>e</w:t>
      </w:r>
      <w:r w:rsidR="008617B6" w:rsidRPr="00D93BF4">
        <w:rPr>
          <w:rFonts w:asciiTheme="majorHAnsi" w:hAnsiTheme="majorHAnsi"/>
          <w:bCs/>
          <w:sz w:val="20"/>
          <w:szCs w:val="20"/>
          <w:lang w:val="es-UY"/>
        </w:rPr>
        <w:t xml:space="preserve">l 18 de abril de 1982 </w:t>
      </w:r>
      <w:r w:rsidR="00740B59" w:rsidRPr="00D93BF4">
        <w:rPr>
          <w:rFonts w:asciiTheme="majorHAnsi" w:hAnsiTheme="majorHAnsi"/>
          <w:bCs/>
          <w:sz w:val="20"/>
          <w:szCs w:val="20"/>
          <w:lang w:val="es-UY"/>
        </w:rPr>
        <w:t>dispone: “</w:t>
      </w:r>
      <w:r w:rsidR="00740B59" w:rsidRPr="00D93BF4">
        <w:rPr>
          <w:rFonts w:asciiTheme="majorHAnsi" w:hAnsiTheme="majorHAnsi"/>
          <w:bCs/>
          <w:i/>
          <w:iCs/>
          <w:sz w:val="20"/>
          <w:szCs w:val="20"/>
          <w:lang w:val="es-UY"/>
        </w:rPr>
        <w:t>La Oficina tomará las medidas que sean necesarias para la solución de: (a) las disputas que se originen en contratos y otras cuestiones de derecho privado en que sea parte la O</w:t>
      </w:r>
      <w:r w:rsidR="00D36A63" w:rsidRPr="00D93BF4">
        <w:rPr>
          <w:rFonts w:asciiTheme="majorHAnsi" w:hAnsiTheme="majorHAnsi"/>
          <w:bCs/>
          <w:i/>
          <w:iCs/>
          <w:sz w:val="20"/>
          <w:szCs w:val="20"/>
          <w:lang w:val="es-UY"/>
        </w:rPr>
        <w:t xml:space="preserve">ficina </w:t>
      </w:r>
      <w:r w:rsidR="00D36A63" w:rsidRPr="00D93BF4">
        <w:rPr>
          <w:rFonts w:asciiTheme="majorHAnsi" w:hAnsiTheme="majorHAnsi"/>
          <w:bCs/>
          <w:sz w:val="20"/>
          <w:szCs w:val="20"/>
          <w:lang w:val="es-UY"/>
        </w:rPr>
        <w:t>[…]”. De igual forma,</w:t>
      </w:r>
      <w:r w:rsidR="00E84908" w:rsidRPr="00D93BF4">
        <w:rPr>
          <w:rFonts w:asciiTheme="majorHAnsi" w:hAnsiTheme="majorHAnsi"/>
          <w:bCs/>
          <w:sz w:val="20"/>
          <w:szCs w:val="20"/>
          <w:lang w:val="es-UY"/>
        </w:rPr>
        <w:t xml:space="preserve"> expone que el Artículo VII sobre abuso de privilegios de la Convención sobre Prerrogativas e Inmunidades de las Naciones Unidas</w:t>
      </w:r>
      <w:r w:rsidR="001B351F" w:rsidRPr="00D93BF4">
        <w:rPr>
          <w:rFonts w:asciiTheme="majorHAnsi" w:hAnsiTheme="majorHAnsi"/>
          <w:bCs/>
          <w:sz w:val="20"/>
          <w:szCs w:val="20"/>
          <w:lang w:val="es-UY"/>
        </w:rPr>
        <w:t xml:space="preserve"> prevé que </w:t>
      </w:r>
      <w:r w:rsidR="00D94E73" w:rsidRPr="00D93BF4">
        <w:rPr>
          <w:rFonts w:asciiTheme="majorHAnsi" w:hAnsiTheme="majorHAnsi"/>
          <w:bCs/>
          <w:sz w:val="20"/>
          <w:szCs w:val="20"/>
          <w:lang w:val="es-UY"/>
        </w:rPr>
        <w:t xml:space="preserve">los Estados pueden celebrar consultas con los organismos especializados que considere que han abusado de sus privilegios e inmunidades </w:t>
      </w:r>
      <w:r w:rsidR="00D93BF4" w:rsidRPr="00D93BF4">
        <w:rPr>
          <w:rFonts w:asciiTheme="majorHAnsi" w:hAnsiTheme="majorHAnsi"/>
          <w:bCs/>
          <w:sz w:val="20"/>
          <w:szCs w:val="20"/>
          <w:lang w:val="es-UY"/>
        </w:rPr>
        <w:t xml:space="preserve">a fin de determinar si eso ha </w:t>
      </w:r>
      <w:r w:rsidR="00D93BF4" w:rsidRPr="00D93BF4">
        <w:rPr>
          <w:rFonts w:asciiTheme="majorHAnsi" w:hAnsiTheme="majorHAnsi"/>
          <w:bCs/>
          <w:sz w:val="20"/>
          <w:szCs w:val="20"/>
          <w:lang w:val="es-UY"/>
        </w:rPr>
        <w:lastRenderedPageBreak/>
        <w:t xml:space="preserve">ocurrido y evitar su repetición, y, en caso de desacuerdo se puede someter el asunto a la Corte Internacional de Justicia. Asimismo, </w:t>
      </w:r>
      <w:r w:rsidR="00D93BF4">
        <w:rPr>
          <w:rFonts w:asciiTheme="majorHAnsi" w:hAnsiTheme="majorHAnsi"/>
          <w:bCs/>
          <w:sz w:val="20"/>
          <w:szCs w:val="20"/>
          <w:lang w:val="es-UY"/>
        </w:rPr>
        <w:t xml:space="preserve">el peticionario </w:t>
      </w:r>
      <w:r w:rsidR="00095663">
        <w:rPr>
          <w:rFonts w:asciiTheme="majorHAnsi" w:hAnsiTheme="majorHAnsi"/>
          <w:bCs/>
          <w:sz w:val="20"/>
          <w:szCs w:val="20"/>
          <w:lang w:val="es-UY"/>
        </w:rPr>
        <w:t xml:space="preserve">agrega que el Estado panameño tiene las prerrogativas jurídicas de levantar los privilegios e inmunidades de organismos internacionales según lo requiera el caso, </w:t>
      </w:r>
      <w:r w:rsidR="000A1F4B">
        <w:rPr>
          <w:rFonts w:asciiTheme="majorHAnsi" w:hAnsiTheme="majorHAnsi"/>
          <w:bCs/>
          <w:sz w:val="20"/>
          <w:szCs w:val="20"/>
          <w:lang w:val="es-UY"/>
        </w:rPr>
        <w:t>de conformidad con el Decreto de Gabinete No. 280 de 1970.</w:t>
      </w:r>
    </w:p>
    <w:p w14:paraId="52FD736C" w14:textId="556CE4D8" w:rsidR="000A1F4B" w:rsidRPr="00D93BF4" w:rsidRDefault="00564470" w:rsidP="00E54DB2">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t xml:space="preserve">En vista de todo lo anterior, el </w:t>
      </w:r>
      <w:r w:rsidR="00560EF6">
        <w:rPr>
          <w:rFonts w:asciiTheme="majorHAnsi" w:hAnsiTheme="majorHAnsi"/>
          <w:bCs/>
          <w:sz w:val="20"/>
          <w:szCs w:val="20"/>
          <w:lang w:val="es-UY"/>
        </w:rPr>
        <w:t>Sr. Sanjur</w:t>
      </w:r>
      <w:r>
        <w:rPr>
          <w:rFonts w:asciiTheme="majorHAnsi" w:hAnsiTheme="majorHAnsi"/>
          <w:bCs/>
          <w:sz w:val="20"/>
          <w:szCs w:val="20"/>
          <w:lang w:val="es-UY"/>
        </w:rPr>
        <w:t xml:space="preserve"> reitera que Panamá es responsable de la violación de su</w:t>
      </w:r>
      <w:r w:rsidR="00BD3E44">
        <w:rPr>
          <w:rFonts w:asciiTheme="majorHAnsi" w:hAnsiTheme="majorHAnsi"/>
          <w:bCs/>
          <w:sz w:val="20"/>
          <w:szCs w:val="20"/>
          <w:lang w:val="es-UY"/>
        </w:rPr>
        <w:t>s</w:t>
      </w:r>
      <w:r>
        <w:rPr>
          <w:rFonts w:asciiTheme="majorHAnsi" w:hAnsiTheme="majorHAnsi"/>
          <w:bCs/>
          <w:sz w:val="20"/>
          <w:szCs w:val="20"/>
          <w:lang w:val="es-UY"/>
        </w:rPr>
        <w:t xml:space="preserve"> derecho</w:t>
      </w:r>
      <w:r w:rsidR="00BD3E44">
        <w:rPr>
          <w:rFonts w:asciiTheme="majorHAnsi" w:hAnsiTheme="majorHAnsi"/>
          <w:bCs/>
          <w:sz w:val="20"/>
          <w:szCs w:val="20"/>
          <w:lang w:val="es-UY"/>
        </w:rPr>
        <w:t>s</w:t>
      </w:r>
      <w:r>
        <w:rPr>
          <w:rFonts w:asciiTheme="majorHAnsi" w:hAnsiTheme="majorHAnsi"/>
          <w:bCs/>
          <w:sz w:val="20"/>
          <w:szCs w:val="20"/>
          <w:lang w:val="es-UY"/>
        </w:rPr>
        <w:t xml:space="preserve"> a la protección judicial</w:t>
      </w:r>
      <w:r w:rsidR="00BD3E44">
        <w:rPr>
          <w:rFonts w:asciiTheme="majorHAnsi" w:hAnsiTheme="majorHAnsi"/>
          <w:bCs/>
          <w:sz w:val="20"/>
          <w:szCs w:val="20"/>
          <w:lang w:val="es-UY"/>
        </w:rPr>
        <w:t xml:space="preserve"> y al trabajo</w:t>
      </w:r>
      <w:r>
        <w:rPr>
          <w:rFonts w:asciiTheme="majorHAnsi" w:hAnsiTheme="majorHAnsi"/>
          <w:bCs/>
          <w:sz w:val="20"/>
          <w:szCs w:val="20"/>
          <w:lang w:val="es-UY"/>
        </w:rPr>
        <w:t>, contenido</w:t>
      </w:r>
      <w:r w:rsidR="00BD3E44">
        <w:rPr>
          <w:rFonts w:asciiTheme="majorHAnsi" w:hAnsiTheme="majorHAnsi"/>
          <w:bCs/>
          <w:sz w:val="20"/>
          <w:szCs w:val="20"/>
          <w:lang w:val="es-UY"/>
        </w:rPr>
        <w:t>s</w:t>
      </w:r>
      <w:r>
        <w:rPr>
          <w:rFonts w:asciiTheme="majorHAnsi" w:hAnsiTheme="majorHAnsi"/>
          <w:bCs/>
          <w:sz w:val="20"/>
          <w:szCs w:val="20"/>
          <w:lang w:val="es-UY"/>
        </w:rPr>
        <w:t xml:space="preserve"> en l</w:t>
      </w:r>
      <w:r w:rsidR="00BD3E44">
        <w:rPr>
          <w:rFonts w:asciiTheme="majorHAnsi" w:hAnsiTheme="majorHAnsi"/>
          <w:bCs/>
          <w:sz w:val="20"/>
          <w:szCs w:val="20"/>
          <w:lang w:val="es-UY"/>
        </w:rPr>
        <w:t>os</w:t>
      </w:r>
      <w:r>
        <w:rPr>
          <w:rFonts w:asciiTheme="majorHAnsi" w:hAnsiTheme="majorHAnsi"/>
          <w:bCs/>
          <w:sz w:val="20"/>
          <w:szCs w:val="20"/>
          <w:lang w:val="es-UY"/>
        </w:rPr>
        <w:t xml:space="preserve"> artículo</w:t>
      </w:r>
      <w:r w:rsidR="00BD3E44">
        <w:rPr>
          <w:rFonts w:asciiTheme="majorHAnsi" w:hAnsiTheme="majorHAnsi"/>
          <w:bCs/>
          <w:sz w:val="20"/>
          <w:szCs w:val="20"/>
          <w:lang w:val="es-UY"/>
        </w:rPr>
        <w:t>s</w:t>
      </w:r>
      <w:r>
        <w:rPr>
          <w:rFonts w:asciiTheme="majorHAnsi" w:hAnsiTheme="majorHAnsi"/>
          <w:bCs/>
          <w:sz w:val="20"/>
          <w:szCs w:val="20"/>
          <w:lang w:val="es-UY"/>
        </w:rPr>
        <w:t xml:space="preserve"> 25</w:t>
      </w:r>
      <w:r w:rsidR="00BD3E44">
        <w:rPr>
          <w:rFonts w:asciiTheme="majorHAnsi" w:hAnsiTheme="majorHAnsi"/>
          <w:bCs/>
          <w:sz w:val="20"/>
          <w:szCs w:val="20"/>
          <w:lang w:val="es-UY"/>
        </w:rPr>
        <w:t xml:space="preserve"> y 26</w:t>
      </w:r>
      <w:r>
        <w:rPr>
          <w:rFonts w:asciiTheme="majorHAnsi" w:hAnsiTheme="majorHAnsi"/>
          <w:bCs/>
          <w:sz w:val="20"/>
          <w:szCs w:val="20"/>
          <w:lang w:val="es-UY"/>
        </w:rPr>
        <w:t xml:space="preserve"> de la Convención Americana</w:t>
      </w:r>
      <w:r w:rsidR="002503FA">
        <w:rPr>
          <w:rFonts w:asciiTheme="majorHAnsi" w:hAnsiTheme="majorHAnsi"/>
          <w:bCs/>
          <w:sz w:val="20"/>
          <w:szCs w:val="20"/>
          <w:lang w:val="es-UY"/>
        </w:rPr>
        <w:t xml:space="preserve"> por la falta de adopción de medidas para hacer cumplir la sentencia emitida por la Junta de Conciliación </w:t>
      </w:r>
      <w:r w:rsidR="00EF187E">
        <w:rPr>
          <w:rFonts w:asciiTheme="majorHAnsi" w:hAnsiTheme="majorHAnsi"/>
          <w:bCs/>
          <w:sz w:val="20"/>
          <w:szCs w:val="20"/>
          <w:lang w:val="es-UY"/>
        </w:rPr>
        <w:t>y Decisión No. 15 que condenó a la OPS al pago de una indemnización a su favor.</w:t>
      </w:r>
    </w:p>
    <w:p w14:paraId="142267EB" w14:textId="1D084FEE" w:rsidR="00890DA0" w:rsidRPr="00125980" w:rsidRDefault="00125980" w:rsidP="00890DA0">
      <w:pPr>
        <w:pStyle w:val="ListParagraph"/>
        <w:jc w:val="both"/>
        <w:rPr>
          <w:rFonts w:asciiTheme="majorHAnsi" w:hAnsiTheme="majorHAnsi"/>
          <w:b/>
          <w:bCs/>
          <w:sz w:val="20"/>
          <w:szCs w:val="20"/>
          <w:lang w:val="es-UY"/>
        </w:rPr>
      </w:pPr>
      <w:r>
        <w:rPr>
          <w:b/>
          <w:bCs/>
          <w:sz w:val="20"/>
          <w:szCs w:val="20"/>
          <w:lang w:val="es-AR"/>
        </w:rPr>
        <w:t xml:space="preserve">El </w:t>
      </w:r>
      <w:r w:rsidR="00890DA0" w:rsidRPr="00125980">
        <w:rPr>
          <w:b/>
          <w:bCs/>
          <w:sz w:val="20"/>
          <w:szCs w:val="20"/>
          <w:lang w:val="es-AR"/>
        </w:rPr>
        <w:t>Estado</w:t>
      </w:r>
      <w:r>
        <w:rPr>
          <w:b/>
          <w:bCs/>
          <w:sz w:val="20"/>
          <w:szCs w:val="20"/>
          <w:lang w:val="es-AR"/>
        </w:rPr>
        <w:t xml:space="preserve"> </w:t>
      </w:r>
      <w:r w:rsidR="00647CDF">
        <w:rPr>
          <w:b/>
          <w:bCs/>
          <w:sz w:val="20"/>
          <w:szCs w:val="20"/>
          <w:lang w:val="es-AR"/>
        </w:rPr>
        <w:t>panameño</w:t>
      </w:r>
    </w:p>
    <w:p w14:paraId="68A417B2" w14:textId="0DAAA48D" w:rsidR="00B93D7F" w:rsidRPr="005974AA" w:rsidRDefault="00432735" w:rsidP="006E621A">
      <w:pPr>
        <w:pStyle w:val="ListParagraph"/>
        <w:numPr>
          <w:ilvl w:val="0"/>
          <w:numId w:val="61"/>
        </w:numPr>
        <w:ind w:left="0" w:firstLine="720"/>
        <w:jc w:val="both"/>
        <w:rPr>
          <w:rFonts w:asciiTheme="majorHAnsi" w:hAnsiTheme="majorHAnsi"/>
          <w:bCs/>
          <w:sz w:val="20"/>
          <w:szCs w:val="20"/>
          <w:lang w:val="es-UY"/>
        </w:rPr>
      </w:pPr>
      <w:r>
        <w:rPr>
          <w:sz w:val="20"/>
          <w:szCs w:val="20"/>
          <w:lang w:val="es-AR"/>
        </w:rPr>
        <w:t>E</w:t>
      </w:r>
      <w:r w:rsidR="00B93D7F" w:rsidRPr="006E621A">
        <w:rPr>
          <w:sz w:val="20"/>
          <w:szCs w:val="20"/>
          <w:lang w:val="es-AR"/>
        </w:rPr>
        <w:t>l Es</w:t>
      </w:r>
      <w:r w:rsidR="003F5154" w:rsidRPr="006E621A">
        <w:rPr>
          <w:sz w:val="20"/>
          <w:szCs w:val="20"/>
          <w:lang w:val="es-AR"/>
        </w:rPr>
        <w:t>tado</w:t>
      </w:r>
      <w:r w:rsidR="00CF7419">
        <w:rPr>
          <w:sz w:val="20"/>
          <w:szCs w:val="20"/>
          <w:lang w:val="es-AR"/>
        </w:rPr>
        <w:t xml:space="preserve"> </w:t>
      </w:r>
      <w:r w:rsidR="00042D5F">
        <w:rPr>
          <w:sz w:val="20"/>
          <w:szCs w:val="20"/>
          <w:lang w:val="es-AR"/>
        </w:rPr>
        <w:t xml:space="preserve">replica que la petición es inadmisible </w:t>
      </w:r>
      <w:r w:rsidR="002454D0">
        <w:rPr>
          <w:sz w:val="20"/>
          <w:szCs w:val="20"/>
          <w:lang w:val="es-AR"/>
        </w:rPr>
        <w:t>por</w:t>
      </w:r>
      <w:r w:rsidR="00DE753E">
        <w:rPr>
          <w:sz w:val="20"/>
          <w:szCs w:val="20"/>
          <w:lang w:val="es-AR"/>
        </w:rPr>
        <w:t xml:space="preserve">que </w:t>
      </w:r>
      <w:r w:rsidR="002454D0">
        <w:rPr>
          <w:sz w:val="20"/>
          <w:szCs w:val="20"/>
          <w:lang w:val="es-AR"/>
        </w:rPr>
        <w:t>el Sr. Sanjur no ha</w:t>
      </w:r>
      <w:r w:rsidR="00DE753E">
        <w:rPr>
          <w:sz w:val="20"/>
          <w:szCs w:val="20"/>
          <w:lang w:val="es-AR"/>
        </w:rPr>
        <w:t>bría</w:t>
      </w:r>
      <w:r w:rsidR="002454D0">
        <w:rPr>
          <w:sz w:val="20"/>
          <w:szCs w:val="20"/>
          <w:lang w:val="es-AR"/>
        </w:rPr>
        <w:t xml:space="preserve"> agotado los recursos internos, de conformidad con el artículo 46.1.a) de la Convención, en particular, </w:t>
      </w:r>
      <w:r w:rsidR="00483079">
        <w:rPr>
          <w:sz w:val="20"/>
          <w:szCs w:val="20"/>
          <w:lang w:val="es-AR"/>
        </w:rPr>
        <w:t xml:space="preserve">porque no ha promovido un proceso de </w:t>
      </w:r>
      <w:r w:rsidR="00DB78B9">
        <w:rPr>
          <w:sz w:val="20"/>
          <w:szCs w:val="20"/>
          <w:lang w:val="es-AR"/>
        </w:rPr>
        <w:t>arbitraje vinculante</w:t>
      </w:r>
      <w:r w:rsidR="00717E7D">
        <w:rPr>
          <w:sz w:val="20"/>
          <w:szCs w:val="20"/>
          <w:lang w:val="es-AR"/>
        </w:rPr>
        <w:t xml:space="preserve"> y en tanto el proceso laboral ordinario aún no ha culminado</w:t>
      </w:r>
      <w:r w:rsidR="00DB78B9">
        <w:rPr>
          <w:sz w:val="20"/>
          <w:szCs w:val="20"/>
          <w:lang w:val="es-AR"/>
        </w:rPr>
        <w:t>.</w:t>
      </w:r>
      <w:r w:rsidR="00A53200">
        <w:rPr>
          <w:sz w:val="20"/>
          <w:szCs w:val="20"/>
          <w:lang w:val="es-AR"/>
        </w:rPr>
        <w:t xml:space="preserve"> También </w:t>
      </w:r>
      <w:r w:rsidR="00560DF6">
        <w:rPr>
          <w:sz w:val="20"/>
          <w:szCs w:val="20"/>
          <w:lang w:val="es-AR"/>
        </w:rPr>
        <w:t>aduce</w:t>
      </w:r>
      <w:r w:rsidR="00A53200">
        <w:rPr>
          <w:sz w:val="20"/>
          <w:szCs w:val="20"/>
          <w:lang w:val="es-AR"/>
        </w:rPr>
        <w:t xml:space="preserve"> que </w:t>
      </w:r>
      <w:r w:rsidR="008979F1">
        <w:rPr>
          <w:sz w:val="20"/>
          <w:szCs w:val="20"/>
          <w:lang w:val="es-AR"/>
        </w:rPr>
        <w:t xml:space="preserve">los hechos expuestos no caracterizan </w:t>
      </w:r>
      <w:r w:rsidR="008979F1" w:rsidRPr="008979F1">
        <w:rPr>
          <w:i/>
          <w:iCs/>
          <w:sz w:val="20"/>
          <w:szCs w:val="20"/>
          <w:lang w:val="es-AR"/>
        </w:rPr>
        <w:t>prima facie</w:t>
      </w:r>
      <w:r w:rsidR="008979F1">
        <w:rPr>
          <w:sz w:val="20"/>
          <w:szCs w:val="20"/>
          <w:lang w:val="es-AR"/>
        </w:rPr>
        <w:t xml:space="preserve"> una posible violación de los derechos invocados, </w:t>
      </w:r>
      <w:r w:rsidR="00C84D7B">
        <w:rPr>
          <w:sz w:val="20"/>
          <w:szCs w:val="20"/>
          <w:lang w:val="es-AR"/>
        </w:rPr>
        <w:t xml:space="preserve">por lo que </w:t>
      </w:r>
      <w:r w:rsidR="0075685D">
        <w:rPr>
          <w:sz w:val="20"/>
          <w:szCs w:val="20"/>
          <w:lang w:val="es-AR"/>
        </w:rPr>
        <w:t xml:space="preserve">la petición </w:t>
      </w:r>
      <w:r w:rsidR="00C84D7B">
        <w:rPr>
          <w:sz w:val="20"/>
          <w:szCs w:val="20"/>
          <w:lang w:val="es-AR"/>
        </w:rPr>
        <w:t xml:space="preserve">resulta inadmisible conforme </w:t>
      </w:r>
      <w:r w:rsidR="00FA7958">
        <w:rPr>
          <w:sz w:val="20"/>
          <w:szCs w:val="20"/>
          <w:lang w:val="es-AR"/>
        </w:rPr>
        <w:t>al artículo 47.b) de</w:t>
      </w:r>
      <w:r w:rsidR="00D503FD">
        <w:rPr>
          <w:sz w:val="20"/>
          <w:szCs w:val="20"/>
          <w:lang w:val="es-AR"/>
        </w:rPr>
        <w:t>l mismo instrumento</w:t>
      </w:r>
      <w:r w:rsidR="00FA7958">
        <w:rPr>
          <w:sz w:val="20"/>
          <w:szCs w:val="20"/>
          <w:lang w:val="es-AR"/>
        </w:rPr>
        <w:t>.</w:t>
      </w:r>
    </w:p>
    <w:p w14:paraId="45CB4755" w14:textId="4986EFFA" w:rsidR="005974AA" w:rsidRDefault="00AA250A" w:rsidP="006E621A">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t xml:space="preserve">Panamá explica que </w:t>
      </w:r>
      <w:r w:rsidR="003413D0">
        <w:rPr>
          <w:rFonts w:asciiTheme="majorHAnsi" w:hAnsiTheme="majorHAnsi"/>
          <w:bCs/>
          <w:sz w:val="20"/>
          <w:szCs w:val="20"/>
          <w:lang w:val="es-UY"/>
        </w:rPr>
        <w:t xml:space="preserve">el peticionario suscribió un contrato </w:t>
      </w:r>
      <w:r w:rsidR="000E3082">
        <w:rPr>
          <w:rFonts w:asciiTheme="majorHAnsi" w:hAnsiTheme="majorHAnsi"/>
          <w:bCs/>
          <w:sz w:val="20"/>
          <w:szCs w:val="20"/>
          <w:lang w:val="es-UY"/>
        </w:rPr>
        <w:t xml:space="preserve">denominado “acuerdo de servicios especiales para profesionales nacionales de </w:t>
      </w:r>
      <w:r w:rsidR="00CA7B82">
        <w:rPr>
          <w:rFonts w:asciiTheme="majorHAnsi" w:hAnsiTheme="majorHAnsi"/>
          <w:bCs/>
          <w:sz w:val="20"/>
          <w:szCs w:val="20"/>
          <w:lang w:val="es-UY"/>
        </w:rPr>
        <w:t>la OPS” por el término de un año desde el 6 de octubre de 2009 hasta el 5 de octubre de 2010</w:t>
      </w:r>
      <w:r w:rsidR="0021382A">
        <w:rPr>
          <w:rFonts w:asciiTheme="majorHAnsi" w:hAnsiTheme="majorHAnsi"/>
          <w:bCs/>
          <w:sz w:val="20"/>
          <w:szCs w:val="20"/>
          <w:lang w:val="es-UY"/>
        </w:rPr>
        <w:t>, el cual podía ser rescindido en cualquier momento</w:t>
      </w:r>
      <w:r w:rsidR="009C0037">
        <w:rPr>
          <w:rFonts w:asciiTheme="majorHAnsi" w:hAnsiTheme="majorHAnsi"/>
          <w:bCs/>
          <w:sz w:val="20"/>
          <w:szCs w:val="20"/>
          <w:lang w:val="es-UY"/>
        </w:rPr>
        <w:t xml:space="preserve">. Enfatiza que </w:t>
      </w:r>
      <w:r w:rsidR="00830BAF">
        <w:rPr>
          <w:rFonts w:asciiTheme="majorHAnsi" w:hAnsiTheme="majorHAnsi"/>
          <w:bCs/>
          <w:sz w:val="20"/>
          <w:szCs w:val="20"/>
          <w:lang w:val="es-UY"/>
        </w:rPr>
        <w:t xml:space="preserve">dicho documento estipulaba que el Sr. Sanjur trabajaba como contratista independiente y disponía </w:t>
      </w:r>
      <w:r w:rsidR="00AA790D">
        <w:rPr>
          <w:rFonts w:asciiTheme="majorHAnsi" w:hAnsiTheme="majorHAnsi"/>
          <w:bCs/>
          <w:sz w:val="20"/>
          <w:szCs w:val="20"/>
          <w:lang w:val="es-UY"/>
        </w:rPr>
        <w:t>en su cl</w:t>
      </w:r>
      <w:r w:rsidR="00951746">
        <w:rPr>
          <w:rFonts w:asciiTheme="majorHAnsi" w:hAnsiTheme="majorHAnsi"/>
          <w:bCs/>
          <w:sz w:val="20"/>
          <w:szCs w:val="20"/>
          <w:lang w:val="es-UY"/>
        </w:rPr>
        <w:t>á</w:t>
      </w:r>
      <w:r w:rsidR="00AA790D">
        <w:rPr>
          <w:rFonts w:asciiTheme="majorHAnsi" w:hAnsiTheme="majorHAnsi"/>
          <w:bCs/>
          <w:sz w:val="20"/>
          <w:szCs w:val="20"/>
          <w:lang w:val="es-UY"/>
        </w:rPr>
        <w:t xml:space="preserve">usula 15 </w:t>
      </w:r>
      <w:r w:rsidR="00830BAF">
        <w:rPr>
          <w:rFonts w:asciiTheme="majorHAnsi" w:hAnsiTheme="majorHAnsi"/>
          <w:bCs/>
          <w:sz w:val="20"/>
          <w:szCs w:val="20"/>
          <w:lang w:val="es-UY"/>
        </w:rPr>
        <w:t xml:space="preserve">que, ante una reclamación o controversia </w:t>
      </w:r>
      <w:r w:rsidR="004B1418">
        <w:rPr>
          <w:rFonts w:asciiTheme="majorHAnsi" w:hAnsiTheme="majorHAnsi"/>
          <w:bCs/>
          <w:sz w:val="20"/>
          <w:szCs w:val="20"/>
          <w:lang w:val="es-UY"/>
        </w:rPr>
        <w:t xml:space="preserve">que surgiera </w:t>
      </w:r>
      <w:r w:rsidR="00830BAF">
        <w:rPr>
          <w:rFonts w:asciiTheme="majorHAnsi" w:hAnsiTheme="majorHAnsi"/>
          <w:bCs/>
          <w:sz w:val="20"/>
          <w:szCs w:val="20"/>
          <w:lang w:val="es-UY"/>
        </w:rPr>
        <w:t xml:space="preserve">del </w:t>
      </w:r>
      <w:r w:rsidR="004B1418">
        <w:rPr>
          <w:rFonts w:asciiTheme="majorHAnsi" w:hAnsiTheme="majorHAnsi"/>
          <w:bCs/>
          <w:sz w:val="20"/>
          <w:szCs w:val="20"/>
          <w:lang w:val="es-UY"/>
        </w:rPr>
        <w:t>contrato, las partes se obligaban a resolverlo por medio de</w:t>
      </w:r>
      <w:r w:rsidR="003F51B9">
        <w:rPr>
          <w:rFonts w:asciiTheme="majorHAnsi" w:hAnsiTheme="majorHAnsi"/>
          <w:bCs/>
          <w:sz w:val="20"/>
          <w:szCs w:val="20"/>
          <w:lang w:val="es-UY"/>
        </w:rPr>
        <w:t>l arbitraje vinculante.</w:t>
      </w:r>
    </w:p>
    <w:p w14:paraId="7B4517A2" w14:textId="58047564" w:rsidR="00AA790D" w:rsidRDefault="00F26A10" w:rsidP="006E621A">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t>Aunado a ello</w:t>
      </w:r>
      <w:r w:rsidR="004B1C84">
        <w:rPr>
          <w:rFonts w:asciiTheme="majorHAnsi" w:hAnsiTheme="majorHAnsi"/>
          <w:bCs/>
          <w:sz w:val="20"/>
          <w:szCs w:val="20"/>
          <w:lang w:val="es-UY"/>
        </w:rPr>
        <w:t>, e</w:t>
      </w:r>
      <w:r w:rsidR="002767AF">
        <w:rPr>
          <w:rFonts w:asciiTheme="majorHAnsi" w:hAnsiTheme="majorHAnsi"/>
          <w:bCs/>
          <w:sz w:val="20"/>
          <w:szCs w:val="20"/>
          <w:lang w:val="es-UY"/>
        </w:rPr>
        <w:t>l Estado manifiesta que la inmunidad</w:t>
      </w:r>
      <w:r w:rsidR="005C114C">
        <w:rPr>
          <w:rFonts w:asciiTheme="majorHAnsi" w:hAnsiTheme="majorHAnsi"/>
          <w:bCs/>
          <w:sz w:val="20"/>
          <w:szCs w:val="20"/>
          <w:lang w:val="es-UY"/>
        </w:rPr>
        <w:t xml:space="preserve"> otorgada a las organizaciones internacionales se fundamenta en sus instrumentos constitutivos, en convenciones internacionales y en acuerdos bilaterales de sede, </w:t>
      </w:r>
      <w:r w:rsidR="00B809A7">
        <w:rPr>
          <w:rFonts w:asciiTheme="majorHAnsi" w:hAnsiTheme="majorHAnsi"/>
          <w:bCs/>
          <w:sz w:val="20"/>
          <w:szCs w:val="20"/>
          <w:lang w:val="es-UY"/>
        </w:rPr>
        <w:t>como el Acuerdo sobre Privilegios e Inmunidades Diplomáticas suscrito por la Oficina de la OPS y el gobierno panameño en 1952</w:t>
      </w:r>
      <w:r w:rsidR="002702DB">
        <w:rPr>
          <w:rFonts w:asciiTheme="majorHAnsi" w:hAnsiTheme="majorHAnsi"/>
          <w:bCs/>
          <w:sz w:val="20"/>
          <w:szCs w:val="20"/>
          <w:lang w:val="es-UY"/>
        </w:rPr>
        <w:t>, reconocido mediante la Ley 38 de 25 de octubre de 1958 y el Decreto de Gabinete No. 208 de 1970.</w:t>
      </w:r>
      <w:r w:rsidR="009322E8">
        <w:rPr>
          <w:rFonts w:asciiTheme="majorHAnsi" w:hAnsiTheme="majorHAnsi"/>
          <w:bCs/>
          <w:sz w:val="20"/>
          <w:szCs w:val="20"/>
          <w:lang w:val="es-UY"/>
        </w:rPr>
        <w:t xml:space="preserve"> Ello con el propósito de facilitar el logro de los objetivos de estas organizaciones con independencia</w:t>
      </w:r>
      <w:r w:rsidR="007961A6">
        <w:rPr>
          <w:rFonts w:asciiTheme="majorHAnsi" w:hAnsiTheme="majorHAnsi"/>
          <w:bCs/>
          <w:sz w:val="20"/>
          <w:szCs w:val="20"/>
          <w:lang w:val="es-UY"/>
        </w:rPr>
        <w:t xml:space="preserve"> y sin obstáculos por parte de un Estado miembro del tratado.</w:t>
      </w:r>
    </w:p>
    <w:p w14:paraId="380AA0AA" w14:textId="60468126" w:rsidR="007961A6" w:rsidRDefault="00951746" w:rsidP="006E621A">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t>Ahora bien, Panamá asevera que</w:t>
      </w:r>
      <w:r w:rsidR="006C0F03">
        <w:rPr>
          <w:rFonts w:asciiTheme="majorHAnsi" w:hAnsiTheme="majorHAnsi"/>
          <w:bCs/>
          <w:sz w:val="20"/>
          <w:szCs w:val="20"/>
          <w:lang w:val="es-UY"/>
        </w:rPr>
        <w:t xml:space="preserve"> el artículo 46.1.a) de la Convención Americana exige el previo agotamiento de los recursos disponibles de jurisdicción interna conforme a los principios de Derecho Internacional generalmente reconocidos</w:t>
      </w:r>
      <w:r>
        <w:rPr>
          <w:rFonts w:asciiTheme="majorHAnsi" w:hAnsiTheme="majorHAnsi"/>
          <w:bCs/>
          <w:sz w:val="20"/>
          <w:szCs w:val="20"/>
          <w:lang w:val="es-UY"/>
        </w:rPr>
        <w:t>,</w:t>
      </w:r>
      <w:r w:rsidR="006C0F03">
        <w:rPr>
          <w:rFonts w:asciiTheme="majorHAnsi" w:hAnsiTheme="majorHAnsi"/>
          <w:bCs/>
          <w:sz w:val="20"/>
          <w:szCs w:val="20"/>
          <w:lang w:val="es-UY"/>
        </w:rPr>
        <w:t xml:space="preserve"> y</w:t>
      </w:r>
      <w:r>
        <w:rPr>
          <w:rFonts w:asciiTheme="majorHAnsi" w:hAnsiTheme="majorHAnsi"/>
          <w:bCs/>
          <w:sz w:val="20"/>
          <w:szCs w:val="20"/>
          <w:lang w:val="es-UY"/>
        </w:rPr>
        <w:t xml:space="preserve"> pese a que el contrato firmado por el Sr. Sanjur y la OPS ten</w:t>
      </w:r>
      <w:r w:rsidR="003730DA">
        <w:rPr>
          <w:rFonts w:asciiTheme="majorHAnsi" w:hAnsiTheme="majorHAnsi"/>
          <w:bCs/>
          <w:sz w:val="20"/>
          <w:szCs w:val="20"/>
          <w:lang w:val="es-UY"/>
        </w:rPr>
        <w:t>ía</w:t>
      </w:r>
      <w:r>
        <w:rPr>
          <w:rFonts w:asciiTheme="majorHAnsi" w:hAnsiTheme="majorHAnsi"/>
          <w:bCs/>
          <w:sz w:val="20"/>
          <w:szCs w:val="20"/>
          <w:lang w:val="es-UY"/>
        </w:rPr>
        <w:t xml:space="preserve"> una cláusula de resolución de conflicto por la vía de arbitraje</w:t>
      </w:r>
      <w:r w:rsidR="005B04B0">
        <w:rPr>
          <w:rFonts w:asciiTheme="majorHAnsi" w:hAnsiTheme="majorHAnsi"/>
          <w:bCs/>
          <w:sz w:val="20"/>
          <w:szCs w:val="20"/>
          <w:lang w:val="es-UY"/>
        </w:rPr>
        <w:t xml:space="preserve">, y </w:t>
      </w:r>
      <w:r w:rsidR="003730DA">
        <w:rPr>
          <w:rFonts w:asciiTheme="majorHAnsi" w:hAnsiTheme="majorHAnsi"/>
          <w:bCs/>
          <w:sz w:val="20"/>
          <w:szCs w:val="20"/>
          <w:lang w:val="es-UY"/>
        </w:rPr>
        <w:t xml:space="preserve">de </w:t>
      </w:r>
      <w:r w:rsidR="005B04B0">
        <w:rPr>
          <w:rFonts w:asciiTheme="majorHAnsi" w:hAnsiTheme="majorHAnsi"/>
          <w:bCs/>
          <w:sz w:val="20"/>
          <w:szCs w:val="20"/>
          <w:lang w:val="es-UY"/>
        </w:rPr>
        <w:t>que la OPS es un organismo internacional que goza de inmunidad de jurisdicción y ejecución en todos los Estados Miembro</w:t>
      </w:r>
      <w:r w:rsidR="001D5958">
        <w:rPr>
          <w:rFonts w:asciiTheme="majorHAnsi" w:hAnsiTheme="majorHAnsi"/>
          <w:bCs/>
          <w:sz w:val="20"/>
          <w:szCs w:val="20"/>
          <w:lang w:val="es-UY"/>
        </w:rPr>
        <w:t>;</w:t>
      </w:r>
      <w:r w:rsidR="003730DA">
        <w:rPr>
          <w:rFonts w:asciiTheme="majorHAnsi" w:hAnsiTheme="majorHAnsi"/>
          <w:bCs/>
          <w:sz w:val="20"/>
          <w:szCs w:val="20"/>
          <w:lang w:val="es-UY"/>
        </w:rPr>
        <w:t xml:space="preserve"> el peticionario omitió iniciar un proceso arbitral para plantear su reclamo contra </w:t>
      </w:r>
      <w:r w:rsidR="00460DCB">
        <w:rPr>
          <w:rFonts w:asciiTheme="majorHAnsi" w:hAnsiTheme="majorHAnsi"/>
          <w:bCs/>
          <w:sz w:val="20"/>
          <w:szCs w:val="20"/>
          <w:lang w:val="es-UY"/>
        </w:rPr>
        <w:t>dich</w:t>
      </w:r>
      <w:r w:rsidR="003730DA">
        <w:rPr>
          <w:rFonts w:asciiTheme="majorHAnsi" w:hAnsiTheme="majorHAnsi"/>
          <w:bCs/>
          <w:sz w:val="20"/>
          <w:szCs w:val="20"/>
          <w:lang w:val="es-UY"/>
        </w:rPr>
        <w:t>a organización.</w:t>
      </w:r>
    </w:p>
    <w:p w14:paraId="27A6B7FD" w14:textId="684A7701" w:rsidR="007C6F11" w:rsidRDefault="00422517" w:rsidP="006E621A">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t>Señal</w:t>
      </w:r>
      <w:r w:rsidR="00D11749">
        <w:rPr>
          <w:rFonts w:asciiTheme="majorHAnsi" w:hAnsiTheme="majorHAnsi"/>
          <w:bCs/>
          <w:sz w:val="20"/>
          <w:szCs w:val="20"/>
          <w:lang w:val="es-UY"/>
        </w:rPr>
        <w:t xml:space="preserve">a que </w:t>
      </w:r>
      <w:r w:rsidR="004D0965">
        <w:rPr>
          <w:rFonts w:asciiTheme="majorHAnsi" w:hAnsiTheme="majorHAnsi"/>
          <w:bCs/>
          <w:sz w:val="20"/>
          <w:szCs w:val="20"/>
          <w:lang w:val="es-UY"/>
        </w:rPr>
        <w:t>el Sr. Sanjur presentó la petición el 20 de febrero de 2019</w:t>
      </w:r>
      <w:r w:rsidR="00220BD8">
        <w:rPr>
          <w:rFonts w:asciiTheme="majorHAnsi" w:hAnsiTheme="majorHAnsi"/>
          <w:bCs/>
          <w:sz w:val="20"/>
          <w:szCs w:val="20"/>
          <w:lang w:val="es-UY"/>
        </w:rPr>
        <w:t>, pero fue en mayo de ese año que interpuso la demanda por despido injustificado contra la OPS ante la Junta de Conciliación y Decisión</w:t>
      </w:r>
      <w:r>
        <w:rPr>
          <w:rFonts w:asciiTheme="majorHAnsi" w:hAnsiTheme="majorHAnsi"/>
          <w:bCs/>
          <w:sz w:val="20"/>
          <w:szCs w:val="20"/>
          <w:lang w:val="es-UY"/>
        </w:rPr>
        <w:t xml:space="preserve">. Reseña que </w:t>
      </w:r>
      <w:r w:rsidR="00566948">
        <w:rPr>
          <w:rFonts w:asciiTheme="majorHAnsi" w:hAnsiTheme="majorHAnsi"/>
          <w:bCs/>
          <w:sz w:val="20"/>
          <w:szCs w:val="20"/>
          <w:lang w:val="es-UY"/>
        </w:rPr>
        <w:t xml:space="preserve">la demanda fue admitida el 5 de julio de 2019, y tras el traslado a la </w:t>
      </w:r>
      <w:r w:rsidR="002D237A">
        <w:rPr>
          <w:rFonts w:asciiTheme="majorHAnsi" w:hAnsiTheme="majorHAnsi"/>
          <w:bCs/>
          <w:sz w:val="20"/>
          <w:szCs w:val="20"/>
          <w:lang w:val="es-UY"/>
        </w:rPr>
        <w:t xml:space="preserve">OPS, el 23 de agosto de 2019 la Junta de Conciliación y Decisión No. 6 </w:t>
      </w:r>
      <w:r w:rsidR="00D01CD6">
        <w:rPr>
          <w:rFonts w:asciiTheme="majorHAnsi" w:hAnsiTheme="majorHAnsi"/>
          <w:bCs/>
          <w:sz w:val="20"/>
          <w:szCs w:val="20"/>
          <w:lang w:val="es-UY"/>
        </w:rPr>
        <w:t>dict</w:t>
      </w:r>
      <w:r w:rsidR="002D237A">
        <w:rPr>
          <w:rFonts w:asciiTheme="majorHAnsi" w:hAnsiTheme="majorHAnsi"/>
          <w:bCs/>
          <w:sz w:val="20"/>
          <w:szCs w:val="20"/>
          <w:lang w:val="es-UY"/>
        </w:rPr>
        <w:t>ó un auto de inadmisión</w:t>
      </w:r>
      <w:r w:rsidR="00D913C2">
        <w:rPr>
          <w:rFonts w:asciiTheme="majorHAnsi" w:hAnsiTheme="majorHAnsi"/>
          <w:bCs/>
          <w:sz w:val="20"/>
          <w:szCs w:val="20"/>
          <w:lang w:val="es-UY"/>
        </w:rPr>
        <w:t xml:space="preserve"> por el cual se inhibió de conocer el reclamo laboral por considerar que carecía de competencia debido a la inmunidad judicial de</w:t>
      </w:r>
      <w:r w:rsidR="0088295F">
        <w:rPr>
          <w:rFonts w:asciiTheme="majorHAnsi" w:hAnsiTheme="majorHAnsi"/>
          <w:bCs/>
          <w:sz w:val="20"/>
          <w:szCs w:val="20"/>
          <w:lang w:val="es-UY"/>
        </w:rPr>
        <w:t>l órgano demandado</w:t>
      </w:r>
      <w:r w:rsidR="002D237A">
        <w:rPr>
          <w:rFonts w:asciiTheme="majorHAnsi" w:hAnsiTheme="majorHAnsi"/>
          <w:bCs/>
          <w:sz w:val="20"/>
          <w:szCs w:val="20"/>
          <w:lang w:val="es-UY"/>
        </w:rPr>
        <w:t>.</w:t>
      </w:r>
      <w:r w:rsidR="00457488">
        <w:rPr>
          <w:rFonts w:asciiTheme="majorHAnsi" w:hAnsiTheme="majorHAnsi"/>
          <w:bCs/>
          <w:sz w:val="20"/>
          <w:szCs w:val="20"/>
          <w:lang w:val="es-UY"/>
        </w:rPr>
        <w:t xml:space="preserve"> </w:t>
      </w:r>
      <w:r w:rsidR="004910BF">
        <w:rPr>
          <w:rFonts w:asciiTheme="majorHAnsi" w:hAnsiTheme="majorHAnsi"/>
          <w:bCs/>
          <w:sz w:val="20"/>
          <w:szCs w:val="20"/>
          <w:lang w:val="es-UY"/>
        </w:rPr>
        <w:t xml:space="preserve">El Estado recuenta que el peticionario </w:t>
      </w:r>
      <w:r w:rsidR="008D0FF3">
        <w:rPr>
          <w:rFonts w:asciiTheme="majorHAnsi" w:hAnsiTheme="majorHAnsi"/>
          <w:bCs/>
          <w:sz w:val="20"/>
          <w:szCs w:val="20"/>
          <w:lang w:val="es-UY"/>
        </w:rPr>
        <w:t>interpuso</w:t>
      </w:r>
      <w:r w:rsidR="005A1F3B">
        <w:rPr>
          <w:rFonts w:asciiTheme="majorHAnsi" w:hAnsiTheme="majorHAnsi"/>
          <w:bCs/>
          <w:sz w:val="20"/>
          <w:szCs w:val="20"/>
          <w:lang w:val="es-UY"/>
        </w:rPr>
        <w:t xml:space="preserve"> una acción de amparo de garantías constitucionales ante la Corte Suprema de Justicia</w:t>
      </w:r>
      <w:r w:rsidR="00E00876">
        <w:rPr>
          <w:rFonts w:asciiTheme="majorHAnsi" w:hAnsiTheme="majorHAnsi"/>
          <w:bCs/>
          <w:sz w:val="20"/>
          <w:szCs w:val="20"/>
          <w:lang w:val="es-UY"/>
        </w:rPr>
        <w:t>, que mediante sentencia de 5 de octubre de 2019 declaró que la vía intentada no era viable.</w:t>
      </w:r>
    </w:p>
    <w:p w14:paraId="1C6AEEC8" w14:textId="62DF6A4E" w:rsidR="00E458C9" w:rsidRDefault="007C6F11" w:rsidP="00245168">
      <w:pPr>
        <w:pStyle w:val="ListParagraph"/>
        <w:numPr>
          <w:ilvl w:val="0"/>
          <w:numId w:val="61"/>
        </w:numPr>
        <w:ind w:left="0" w:firstLine="720"/>
        <w:jc w:val="both"/>
        <w:rPr>
          <w:rFonts w:asciiTheme="majorHAnsi" w:hAnsiTheme="majorHAnsi"/>
          <w:bCs/>
          <w:sz w:val="20"/>
          <w:szCs w:val="20"/>
          <w:lang w:val="es-UY"/>
        </w:rPr>
      </w:pPr>
      <w:r w:rsidRPr="00717E7D">
        <w:rPr>
          <w:rFonts w:asciiTheme="majorHAnsi" w:hAnsiTheme="majorHAnsi"/>
          <w:bCs/>
          <w:sz w:val="20"/>
          <w:szCs w:val="20"/>
          <w:lang w:val="es-UY"/>
        </w:rPr>
        <w:t xml:space="preserve">Sin embargo, refiere que el 14 de febrero de 2020 el Sr. Sanjur  </w:t>
      </w:r>
      <w:r w:rsidR="003E444A" w:rsidRPr="00717E7D">
        <w:rPr>
          <w:rFonts w:asciiTheme="majorHAnsi" w:hAnsiTheme="majorHAnsi"/>
          <w:bCs/>
          <w:sz w:val="20"/>
          <w:szCs w:val="20"/>
          <w:lang w:val="es-UY"/>
        </w:rPr>
        <w:t xml:space="preserve">interpuso </w:t>
      </w:r>
      <w:r w:rsidR="005470F8" w:rsidRPr="00717E7D">
        <w:rPr>
          <w:rFonts w:asciiTheme="majorHAnsi" w:hAnsiTheme="majorHAnsi"/>
          <w:bCs/>
          <w:sz w:val="20"/>
          <w:szCs w:val="20"/>
          <w:lang w:val="es-UY"/>
        </w:rPr>
        <w:t xml:space="preserve">varias veces </w:t>
      </w:r>
      <w:r w:rsidR="00A75529" w:rsidRPr="00717E7D">
        <w:rPr>
          <w:rFonts w:asciiTheme="majorHAnsi" w:hAnsiTheme="majorHAnsi"/>
          <w:bCs/>
          <w:sz w:val="20"/>
          <w:szCs w:val="20"/>
          <w:lang w:val="es-UY"/>
        </w:rPr>
        <w:t xml:space="preserve">la misma demanda, </w:t>
      </w:r>
      <w:r w:rsidR="005E79D7" w:rsidRPr="00717E7D">
        <w:rPr>
          <w:rFonts w:asciiTheme="majorHAnsi" w:hAnsiTheme="majorHAnsi"/>
          <w:bCs/>
          <w:sz w:val="20"/>
          <w:szCs w:val="20"/>
          <w:lang w:val="es-UY"/>
        </w:rPr>
        <w:t>la cual</w:t>
      </w:r>
      <w:r w:rsidR="005470F8" w:rsidRPr="00717E7D">
        <w:rPr>
          <w:rFonts w:asciiTheme="majorHAnsi" w:hAnsiTheme="majorHAnsi"/>
          <w:bCs/>
          <w:sz w:val="20"/>
          <w:szCs w:val="20"/>
          <w:lang w:val="es-UY"/>
        </w:rPr>
        <w:t>, por un lado,</w:t>
      </w:r>
      <w:r w:rsidR="005E79D7" w:rsidRPr="00717E7D">
        <w:rPr>
          <w:rFonts w:asciiTheme="majorHAnsi" w:hAnsiTheme="majorHAnsi"/>
          <w:bCs/>
          <w:sz w:val="20"/>
          <w:szCs w:val="20"/>
          <w:lang w:val="es-UY"/>
        </w:rPr>
        <w:t xml:space="preserve"> fue rechazada por improcedente por la Junta de Conciliación y Decisión No. 6</w:t>
      </w:r>
      <w:r w:rsidR="005470F8" w:rsidRPr="00717E7D">
        <w:rPr>
          <w:rFonts w:asciiTheme="majorHAnsi" w:hAnsiTheme="majorHAnsi"/>
          <w:bCs/>
          <w:sz w:val="20"/>
          <w:szCs w:val="20"/>
          <w:lang w:val="es-UY"/>
        </w:rPr>
        <w:t xml:space="preserve"> al estimar que había operado la cosa juzgada; pero, por otro lado, </w:t>
      </w:r>
      <w:r w:rsidR="00DF7462" w:rsidRPr="00717E7D">
        <w:rPr>
          <w:rFonts w:asciiTheme="majorHAnsi" w:hAnsiTheme="majorHAnsi"/>
          <w:bCs/>
          <w:sz w:val="20"/>
          <w:szCs w:val="20"/>
          <w:lang w:val="es-UY"/>
        </w:rPr>
        <w:t xml:space="preserve">la Junta de Conciliación y Decisión No. 15 profirió la </w:t>
      </w:r>
      <w:r w:rsidR="005470F8" w:rsidRPr="00717E7D">
        <w:rPr>
          <w:rFonts w:asciiTheme="majorHAnsi" w:hAnsiTheme="majorHAnsi"/>
          <w:bCs/>
          <w:sz w:val="20"/>
          <w:szCs w:val="20"/>
          <w:lang w:val="es-UY"/>
        </w:rPr>
        <w:t>Decisión No. 043-PJDC-15-2022</w:t>
      </w:r>
      <w:r w:rsidR="00DF7462" w:rsidRPr="00717E7D">
        <w:rPr>
          <w:rFonts w:asciiTheme="majorHAnsi" w:hAnsiTheme="majorHAnsi"/>
          <w:bCs/>
          <w:sz w:val="20"/>
          <w:szCs w:val="20"/>
          <w:lang w:val="es-UY"/>
        </w:rPr>
        <w:t xml:space="preserve"> el 6 de julio de 2022, </w:t>
      </w:r>
      <w:r w:rsidR="0028016B" w:rsidRPr="00717E7D">
        <w:rPr>
          <w:rFonts w:asciiTheme="majorHAnsi" w:hAnsiTheme="majorHAnsi"/>
          <w:bCs/>
          <w:sz w:val="20"/>
          <w:szCs w:val="20"/>
          <w:lang w:val="es-UY"/>
        </w:rPr>
        <w:t>mediante la cual declaró probada la existencia de una relación de trabajo y ordenó el pago de una indemnización de USD$. 1.</w:t>
      </w:r>
      <w:r w:rsidR="004F207F" w:rsidRPr="00717E7D">
        <w:rPr>
          <w:rFonts w:asciiTheme="majorHAnsi" w:hAnsiTheme="majorHAnsi"/>
          <w:bCs/>
          <w:sz w:val="20"/>
          <w:szCs w:val="20"/>
          <w:lang w:val="es-UY"/>
        </w:rPr>
        <w:t>545 dólares a su favor.</w:t>
      </w:r>
      <w:r w:rsidR="008C189C" w:rsidRPr="00717E7D">
        <w:rPr>
          <w:rFonts w:asciiTheme="majorHAnsi" w:hAnsiTheme="majorHAnsi"/>
          <w:bCs/>
          <w:sz w:val="20"/>
          <w:szCs w:val="20"/>
          <w:lang w:val="es-UY"/>
        </w:rPr>
        <w:t xml:space="preserve"> Una vez es</w:t>
      </w:r>
      <w:r w:rsidR="0029640B" w:rsidRPr="00717E7D">
        <w:rPr>
          <w:rFonts w:asciiTheme="majorHAnsi" w:hAnsiTheme="majorHAnsi"/>
          <w:bCs/>
          <w:sz w:val="20"/>
          <w:szCs w:val="20"/>
          <w:lang w:val="es-UY"/>
        </w:rPr>
        <w:t xml:space="preserve">ta sentencia quedó </w:t>
      </w:r>
      <w:r w:rsidR="00F46C11">
        <w:rPr>
          <w:rFonts w:asciiTheme="majorHAnsi" w:hAnsiTheme="majorHAnsi"/>
          <w:bCs/>
          <w:sz w:val="20"/>
          <w:szCs w:val="20"/>
          <w:lang w:val="es-UY"/>
        </w:rPr>
        <w:t>en firme</w:t>
      </w:r>
      <w:r w:rsidR="0029640B" w:rsidRPr="00717E7D">
        <w:rPr>
          <w:rFonts w:asciiTheme="majorHAnsi" w:hAnsiTheme="majorHAnsi"/>
          <w:bCs/>
          <w:sz w:val="20"/>
          <w:szCs w:val="20"/>
          <w:lang w:val="es-UY"/>
        </w:rPr>
        <w:t xml:space="preserve">, la Junta emitió un auto que negó su ejecución </w:t>
      </w:r>
      <w:r w:rsidR="00B74418" w:rsidRPr="00717E7D">
        <w:rPr>
          <w:rFonts w:asciiTheme="majorHAnsi" w:hAnsiTheme="majorHAnsi"/>
          <w:bCs/>
          <w:sz w:val="20"/>
          <w:szCs w:val="20"/>
          <w:lang w:val="es-UY"/>
        </w:rPr>
        <w:t>por la inmunidad de la OPS</w:t>
      </w:r>
      <w:r w:rsidR="00692D6A">
        <w:rPr>
          <w:rFonts w:asciiTheme="majorHAnsi" w:hAnsiTheme="majorHAnsi"/>
          <w:bCs/>
          <w:sz w:val="20"/>
          <w:szCs w:val="20"/>
          <w:lang w:val="es-UY"/>
        </w:rPr>
        <w:t>. E</w:t>
      </w:r>
      <w:r w:rsidR="00B74418" w:rsidRPr="00717E7D">
        <w:rPr>
          <w:rFonts w:asciiTheme="majorHAnsi" w:hAnsiTheme="majorHAnsi"/>
          <w:bCs/>
          <w:sz w:val="20"/>
          <w:szCs w:val="20"/>
          <w:lang w:val="es-UY"/>
        </w:rPr>
        <w:t xml:space="preserve">l peticionario apeló </w:t>
      </w:r>
      <w:r w:rsidR="001E53AD" w:rsidRPr="00717E7D">
        <w:rPr>
          <w:rFonts w:asciiTheme="majorHAnsi" w:hAnsiTheme="majorHAnsi"/>
          <w:bCs/>
          <w:sz w:val="20"/>
          <w:szCs w:val="20"/>
          <w:lang w:val="es-UY"/>
        </w:rPr>
        <w:t xml:space="preserve">esa determinación y el </w:t>
      </w:r>
      <w:r w:rsidR="00CA116E" w:rsidRPr="00717E7D">
        <w:rPr>
          <w:rFonts w:asciiTheme="majorHAnsi" w:hAnsiTheme="majorHAnsi"/>
          <w:bCs/>
          <w:sz w:val="20"/>
          <w:szCs w:val="20"/>
          <w:lang w:val="es-UY"/>
        </w:rPr>
        <w:t xml:space="preserve">30 </w:t>
      </w:r>
      <w:r w:rsidR="00002C3A" w:rsidRPr="00717E7D">
        <w:rPr>
          <w:rFonts w:asciiTheme="majorHAnsi" w:hAnsiTheme="majorHAnsi"/>
          <w:bCs/>
          <w:sz w:val="20"/>
          <w:szCs w:val="20"/>
          <w:lang w:val="es-UY"/>
        </w:rPr>
        <w:t xml:space="preserve">de </w:t>
      </w:r>
      <w:r w:rsidR="00CA116E" w:rsidRPr="00717E7D">
        <w:rPr>
          <w:rFonts w:asciiTheme="majorHAnsi" w:hAnsiTheme="majorHAnsi"/>
          <w:bCs/>
          <w:sz w:val="20"/>
          <w:szCs w:val="20"/>
          <w:lang w:val="es-UY"/>
        </w:rPr>
        <w:t>diciem</w:t>
      </w:r>
      <w:r w:rsidR="00002C3A" w:rsidRPr="00717E7D">
        <w:rPr>
          <w:rFonts w:asciiTheme="majorHAnsi" w:hAnsiTheme="majorHAnsi"/>
          <w:bCs/>
          <w:sz w:val="20"/>
          <w:szCs w:val="20"/>
          <w:lang w:val="es-UY"/>
        </w:rPr>
        <w:t xml:space="preserve">bre de 2022 el Tribunal Superior de Trabajo </w:t>
      </w:r>
      <w:r w:rsidR="003E6AA2" w:rsidRPr="00717E7D">
        <w:rPr>
          <w:rFonts w:asciiTheme="majorHAnsi" w:hAnsiTheme="majorHAnsi"/>
          <w:bCs/>
          <w:sz w:val="20"/>
          <w:szCs w:val="20"/>
          <w:lang w:val="es-UY"/>
        </w:rPr>
        <w:t xml:space="preserve">revocó </w:t>
      </w:r>
      <w:r w:rsidR="00875525" w:rsidRPr="00717E7D">
        <w:rPr>
          <w:rFonts w:asciiTheme="majorHAnsi" w:hAnsiTheme="majorHAnsi"/>
          <w:bCs/>
          <w:sz w:val="20"/>
          <w:szCs w:val="20"/>
          <w:lang w:val="es-UY"/>
        </w:rPr>
        <w:lastRenderedPageBreak/>
        <w:t>dicho auto y ordenó al Juzgado Primero de Trabajo</w:t>
      </w:r>
      <w:r w:rsidR="000B539F" w:rsidRPr="00717E7D">
        <w:rPr>
          <w:rFonts w:asciiTheme="majorHAnsi" w:hAnsiTheme="majorHAnsi"/>
          <w:bCs/>
          <w:sz w:val="20"/>
          <w:szCs w:val="20"/>
          <w:lang w:val="es-UY"/>
        </w:rPr>
        <w:t xml:space="preserve"> realizar las diligencias correspondientes para la ejecución de la sentencia proferida a favor del peticionario.</w:t>
      </w:r>
    </w:p>
    <w:p w14:paraId="02FAB807" w14:textId="1CA3BB44" w:rsidR="000B539F" w:rsidRPr="00717E7D" w:rsidRDefault="00F96D27" w:rsidP="00245168">
      <w:pPr>
        <w:pStyle w:val="ListParagraph"/>
        <w:numPr>
          <w:ilvl w:val="0"/>
          <w:numId w:val="61"/>
        </w:numPr>
        <w:ind w:left="0" w:firstLine="720"/>
        <w:jc w:val="both"/>
        <w:rPr>
          <w:rFonts w:asciiTheme="majorHAnsi" w:hAnsiTheme="majorHAnsi"/>
          <w:bCs/>
          <w:sz w:val="20"/>
          <w:szCs w:val="20"/>
          <w:lang w:val="es-UY"/>
        </w:rPr>
      </w:pPr>
      <w:r w:rsidRPr="00717E7D">
        <w:rPr>
          <w:rFonts w:asciiTheme="majorHAnsi" w:hAnsiTheme="majorHAnsi"/>
          <w:bCs/>
          <w:sz w:val="20"/>
          <w:szCs w:val="20"/>
          <w:lang w:val="es-UY"/>
        </w:rPr>
        <w:t>En ese sentido, el Estado panameño considera que el Sr. Sanjur ha tenido acceso a la justicia</w:t>
      </w:r>
      <w:r w:rsidR="004334EC">
        <w:rPr>
          <w:rFonts w:asciiTheme="majorHAnsi" w:hAnsiTheme="majorHAnsi"/>
          <w:bCs/>
          <w:sz w:val="20"/>
          <w:szCs w:val="20"/>
          <w:lang w:val="es-UY"/>
        </w:rPr>
        <w:t xml:space="preserve"> y</w:t>
      </w:r>
      <w:r w:rsidRPr="00717E7D">
        <w:rPr>
          <w:rFonts w:asciiTheme="majorHAnsi" w:hAnsiTheme="majorHAnsi"/>
          <w:bCs/>
          <w:sz w:val="20"/>
          <w:szCs w:val="20"/>
          <w:lang w:val="es-UY"/>
        </w:rPr>
        <w:t xml:space="preserve"> ha sido escuchado</w:t>
      </w:r>
      <w:r w:rsidR="004334EC">
        <w:rPr>
          <w:rFonts w:asciiTheme="majorHAnsi" w:hAnsiTheme="majorHAnsi"/>
          <w:bCs/>
          <w:sz w:val="20"/>
          <w:szCs w:val="20"/>
          <w:lang w:val="es-UY"/>
        </w:rPr>
        <w:t xml:space="preserve"> en el proceso </w:t>
      </w:r>
      <w:r w:rsidR="00620562">
        <w:rPr>
          <w:rFonts w:asciiTheme="majorHAnsi" w:hAnsiTheme="majorHAnsi"/>
          <w:bCs/>
          <w:sz w:val="20"/>
          <w:szCs w:val="20"/>
          <w:lang w:val="es-UY"/>
        </w:rPr>
        <w:t>laboral</w:t>
      </w:r>
      <w:r w:rsidR="004334EC">
        <w:rPr>
          <w:rFonts w:asciiTheme="majorHAnsi" w:hAnsiTheme="majorHAnsi"/>
          <w:bCs/>
          <w:sz w:val="20"/>
          <w:szCs w:val="20"/>
          <w:lang w:val="es-UY"/>
        </w:rPr>
        <w:t>, por lo cual</w:t>
      </w:r>
      <w:r w:rsidR="000310EA">
        <w:rPr>
          <w:rFonts w:asciiTheme="majorHAnsi" w:hAnsiTheme="majorHAnsi"/>
          <w:bCs/>
          <w:sz w:val="20"/>
          <w:szCs w:val="20"/>
          <w:lang w:val="es-UY"/>
        </w:rPr>
        <w:t>, los hechos denunciados no caracterizan violación alguna de derechos humanos en los términos del artículo 47.b) de la Convención.</w:t>
      </w:r>
      <w:r w:rsidRPr="00717E7D">
        <w:rPr>
          <w:rFonts w:asciiTheme="majorHAnsi" w:hAnsiTheme="majorHAnsi"/>
          <w:bCs/>
          <w:sz w:val="20"/>
          <w:szCs w:val="20"/>
          <w:lang w:val="es-UY"/>
        </w:rPr>
        <w:t xml:space="preserve"> </w:t>
      </w:r>
      <w:r w:rsidR="004334EC">
        <w:rPr>
          <w:rFonts w:asciiTheme="majorHAnsi" w:hAnsiTheme="majorHAnsi"/>
          <w:bCs/>
          <w:sz w:val="20"/>
          <w:szCs w:val="20"/>
          <w:lang w:val="es-UY"/>
        </w:rPr>
        <w:t xml:space="preserve">Además, aduce que </w:t>
      </w:r>
      <w:r w:rsidR="00E411D5">
        <w:rPr>
          <w:rFonts w:asciiTheme="majorHAnsi" w:hAnsiTheme="majorHAnsi"/>
          <w:bCs/>
          <w:sz w:val="20"/>
          <w:szCs w:val="20"/>
          <w:lang w:val="es-UY"/>
        </w:rPr>
        <w:t xml:space="preserve">el peticionario </w:t>
      </w:r>
      <w:r w:rsidR="004334EC">
        <w:rPr>
          <w:rFonts w:asciiTheme="majorHAnsi" w:hAnsiTheme="majorHAnsi"/>
          <w:bCs/>
          <w:sz w:val="20"/>
          <w:szCs w:val="20"/>
          <w:lang w:val="es-UY"/>
        </w:rPr>
        <w:t>n</w:t>
      </w:r>
      <w:r w:rsidR="00865C53" w:rsidRPr="00717E7D">
        <w:rPr>
          <w:rFonts w:asciiTheme="majorHAnsi" w:hAnsiTheme="majorHAnsi"/>
          <w:bCs/>
          <w:sz w:val="20"/>
          <w:szCs w:val="20"/>
          <w:lang w:val="es-UY"/>
        </w:rPr>
        <w:t>o ha agotado los recursos internos que inici</w:t>
      </w:r>
      <w:r w:rsidR="00751A93">
        <w:rPr>
          <w:rFonts w:asciiTheme="majorHAnsi" w:hAnsiTheme="majorHAnsi"/>
          <w:bCs/>
          <w:sz w:val="20"/>
          <w:szCs w:val="20"/>
          <w:lang w:val="es-UY"/>
        </w:rPr>
        <w:t>ó</w:t>
      </w:r>
      <w:r w:rsidR="00865C53" w:rsidRPr="00717E7D">
        <w:rPr>
          <w:rFonts w:asciiTheme="majorHAnsi" w:hAnsiTheme="majorHAnsi"/>
          <w:bCs/>
          <w:sz w:val="20"/>
          <w:szCs w:val="20"/>
          <w:lang w:val="es-UY"/>
        </w:rPr>
        <w:t xml:space="preserve"> en </w:t>
      </w:r>
      <w:r w:rsidR="00717E7D" w:rsidRPr="00717E7D">
        <w:rPr>
          <w:rFonts w:asciiTheme="majorHAnsi" w:hAnsiTheme="majorHAnsi"/>
          <w:bCs/>
          <w:sz w:val="20"/>
          <w:szCs w:val="20"/>
          <w:lang w:val="es-UY"/>
        </w:rPr>
        <w:t>2019</w:t>
      </w:r>
      <w:r w:rsidR="00751A93">
        <w:rPr>
          <w:rFonts w:asciiTheme="majorHAnsi" w:hAnsiTheme="majorHAnsi"/>
          <w:bCs/>
          <w:sz w:val="20"/>
          <w:szCs w:val="20"/>
          <w:lang w:val="es-UY"/>
        </w:rPr>
        <w:t xml:space="preserve">, </w:t>
      </w:r>
      <w:r w:rsidR="00E411D5">
        <w:rPr>
          <w:rFonts w:asciiTheme="majorHAnsi" w:hAnsiTheme="majorHAnsi"/>
          <w:bCs/>
          <w:sz w:val="20"/>
          <w:szCs w:val="20"/>
          <w:lang w:val="es-UY"/>
        </w:rPr>
        <w:t xml:space="preserve">de conformidad con </w:t>
      </w:r>
      <w:r w:rsidR="00751A93">
        <w:rPr>
          <w:rFonts w:asciiTheme="majorHAnsi" w:hAnsiTheme="majorHAnsi"/>
          <w:bCs/>
          <w:sz w:val="20"/>
          <w:szCs w:val="20"/>
          <w:lang w:val="es-UY"/>
        </w:rPr>
        <w:t>el artículo 46.1.a) de la Convención</w:t>
      </w:r>
      <w:r w:rsidR="00717E7D" w:rsidRPr="00717E7D">
        <w:rPr>
          <w:rFonts w:asciiTheme="majorHAnsi" w:hAnsiTheme="majorHAnsi"/>
          <w:bCs/>
          <w:sz w:val="20"/>
          <w:szCs w:val="20"/>
          <w:lang w:val="es-UY"/>
        </w:rPr>
        <w:t>.</w:t>
      </w:r>
      <w:r w:rsidR="008B4A90">
        <w:rPr>
          <w:rFonts w:asciiTheme="majorHAnsi" w:hAnsiTheme="majorHAnsi"/>
          <w:bCs/>
          <w:sz w:val="20"/>
          <w:szCs w:val="20"/>
          <w:lang w:val="es-UY"/>
        </w:rPr>
        <w:t xml:space="preserve"> Con ello, solicita a la CIDH declarar </w:t>
      </w:r>
      <w:r w:rsidR="00225E77">
        <w:rPr>
          <w:rFonts w:asciiTheme="majorHAnsi" w:hAnsiTheme="majorHAnsi"/>
          <w:bCs/>
          <w:sz w:val="20"/>
          <w:szCs w:val="20"/>
          <w:lang w:val="es-UY"/>
        </w:rPr>
        <w:t>la inadmisibilidad de la presente petición.</w:t>
      </w:r>
    </w:p>
    <w:p w14:paraId="51F68C92" w14:textId="77777777"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7A7BA3C3" w14:textId="3164C876" w:rsidR="006C0ECF" w:rsidRDefault="006270CF" w:rsidP="006E62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Pr>
          <w:sz w:val="20"/>
          <w:szCs w:val="20"/>
          <w:lang w:val="es-ES"/>
        </w:rPr>
        <w:t xml:space="preserve">La presente petición versa sobre </w:t>
      </w:r>
      <w:r w:rsidR="00BB68F9">
        <w:rPr>
          <w:sz w:val="20"/>
          <w:szCs w:val="20"/>
          <w:lang w:val="es-ES"/>
        </w:rPr>
        <w:t xml:space="preserve">la falta de ejecución de una sentencia proferida a favor del peticionario, </w:t>
      </w:r>
      <w:r w:rsidR="009772D9">
        <w:rPr>
          <w:sz w:val="20"/>
          <w:szCs w:val="20"/>
          <w:lang w:val="es-ES"/>
        </w:rPr>
        <w:t>y en esa medida</w:t>
      </w:r>
      <w:r w:rsidR="00BB68F9">
        <w:rPr>
          <w:sz w:val="20"/>
          <w:szCs w:val="20"/>
          <w:lang w:val="es-ES"/>
        </w:rPr>
        <w:t>, éste alega que</w:t>
      </w:r>
      <w:r w:rsidR="009772D9">
        <w:rPr>
          <w:sz w:val="20"/>
          <w:szCs w:val="20"/>
          <w:lang w:val="es-ES"/>
        </w:rPr>
        <w:t xml:space="preserve"> el recurso j</w:t>
      </w:r>
      <w:r w:rsidR="00565EE2">
        <w:rPr>
          <w:sz w:val="20"/>
          <w:szCs w:val="20"/>
          <w:lang w:val="es-ES"/>
        </w:rPr>
        <w:t>udicial se tornó ilusorio.</w:t>
      </w:r>
      <w:r w:rsidR="0072025D">
        <w:rPr>
          <w:sz w:val="20"/>
          <w:szCs w:val="20"/>
          <w:lang w:val="es-ES"/>
        </w:rPr>
        <w:t xml:space="preserve"> El Estado panameño sostiene que el Sr. Sanjur no ha agotado el recurso de arbitraje vinculante, ni tampoco ha concluido el proceso ordinario laboral.</w:t>
      </w:r>
    </w:p>
    <w:p w14:paraId="7CCFCB39" w14:textId="6CE9A919" w:rsidR="00014772" w:rsidRPr="00014772" w:rsidRDefault="00700CDA" w:rsidP="00014772">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_tradnl"/>
        </w:rPr>
      </w:pPr>
      <w:r w:rsidRPr="003F22A3">
        <w:rPr>
          <w:rFonts w:asciiTheme="majorHAnsi" w:hAnsiTheme="majorHAnsi"/>
          <w:sz w:val="20"/>
          <w:szCs w:val="20"/>
          <w:lang w:val="es-CO"/>
        </w:rPr>
        <w:t>El artículo 46.1.a) de la Convención Americana dispone que para que una petición sea admitida se requiere “</w:t>
      </w:r>
      <w:r w:rsidRPr="003F22A3">
        <w:rPr>
          <w:rFonts w:asciiTheme="majorHAnsi" w:hAnsiTheme="majorHAnsi"/>
          <w:i/>
          <w:iCs/>
          <w:sz w:val="20"/>
          <w:szCs w:val="20"/>
          <w:lang w:val="es-CO"/>
        </w:rPr>
        <w:t>que se hayan interpuesto y agotado los recursos de jurisdicción interna, conforme a los principios del Derecho Internacional generalmente reconocidos</w:t>
      </w:r>
      <w:r w:rsidRPr="003F22A3">
        <w:rPr>
          <w:rFonts w:asciiTheme="majorHAnsi" w:hAnsiTheme="majorHAnsi"/>
          <w:sz w:val="20"/>
          <w:szCs w:val="20"/>
          <w:lang w:val="es-CO"/>
        </w:rPr>
        <w:t>”.</w:t>
      </w:r>
      <w:r w:rsidR="002D4D38">
        <w:rPr>
          <w:rFonts w:asciiTheme="majorHAnsi" w:hAnsiTheme="majorHAnsi"/>
          <w:sz w:val="20"/>
          <w:szCs w:val="20"/>
          <w:lang w:val="es-CO"/>
        </w:rPr>
        <w:t xml:space="preserve"> </w:t>
      </w:r>
      <w:r w:rsidR="00014772" w:rsidRPr="00014772">
        <w:rPr>
          <w:rFonts w:asciiTheme="majorHAnsi" w:hAnsiTheme="majorHAnsi"/>
          <w:sz w:val="20"/>
          <w:szCs w:val="20"/>
          <w:lang w:val="es-UY"/>
        </w:rPr>
        <w:t>L</w:t>
      </w:r>
      <w:r w:rsidR="00014772" w:rsidRPr="00014772">
        <w:rPr>
          <w:rFonts w:asciiTheme="majorHAnsi" w:hAnsiTheme="majorHAnsi"/>
          <w:sz w:val="20"/>
          <w:szCs w:val="20"/>
          <w:lang w:val="es-ES_tradnl"/>
        </w:rPr>
        <w:t>a CIDH ha establecido que 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014772" w:rsidRPr="00014772">
        <w:rPr>
          <w:rFonts w:asciiTheme="majorHAnsi" w:hAnsiTheme="majorHAnsi"/>
          <w:sz w:val="20"/>
          <w:szCs w:val="20"/>
          <w:vertAlign w:val="superscript"/>
          <w:lang w:val="es-ES_tradnl"/>
        </w:rPr>
        <w:footnoteReference w:id="4"/>
      </w:r>
      <w:r w:rsidR="00014772" w:rsidRPr="00014772">
        <w:rPr>
          <w:rFonts w:asciiTheme="majorHAnsi" w:hAnsiTheme="majorHAnsi"/>
          <w:sz w:val="20"/>
          <w:szCs w:val="20"/>
          <w:lang w:val="es-ES_tradnl"/>
        </w:rPr>
        <w:t>. En el mismo sentido, la Corte IDH ha establecido que “</w:t>
      </w:r>
      <w:r w:rsidR="00014772" w:rsidRPr="00FE22E8">
        <w:rPr>
          <w:rFonts w:asciiTheme="majorHAnsi" w:hAnsiTheme="majorHAnsi"/>
          <w:i/>
          <w:iCs/>
          <w:sz w:val="20"/>
          <w:szCs w:val="20"/>
          <w:lang w:val="es-ES_tradnl"/>
        </w:rPr>
        <w:t>no es necesario el agotamiento de la vía interna respecto de todos o cualquiera de los recursos disponibles, sino que</w:t>
      </w:r>
      <w:r w:rsidR="00014772" w:rsidRPr="00014772">
        <w:rPr>
          <w:rFonts w:asciiTheme="majorHAnsi" w:hAnsiTheme="majorHAnsi"/>
          <w:sz w:val="20"/>
          <w:szCs w:val="20"/>
          <w:lang w:val="es-ES_tradnl"/>
        </w:rPr>
        <w:t xml:space="preserve"> […] </w:t>
      </w:r>
      <w:r w:rsidR="00014772" w:rsidRPr="00FE22E8">
        <w:rPr>
          <w:rFonts w:asciiTheme="majorHAnsi" w:hAnsiTheme="majorHAnsi"/>
          <w:i/>
          <w:iCs/>
          <w:sz w:val="20"/>
          <w:szCs w:val="20"/>
          <w:lang w:val="es-ES_tradnl"/>
        </w:rPr>
        <w:t>los recursos que deben ser agotados son aquellos que resultan adecuados en la situación particular de la violación de derechos humanos alegada</w:t>
      </w:r>
      <w:r w:rsidR="00014772" w:rsidRPr="00014772">
        <w:rPr>
          <w:rFonts w:asciiTheme="majorHAnsi" w:hAnsiTheme="majorHAnsi"/>
          <w:sz w:val="20"/>
          <w:szCs w:val="20"/>
          <w:lang w:val="es-ES_tradnl"/>
        </w:rPr>
        <w:t>”</w:t>
      </w:r>
      <w:r w:rsidR="00014772" w:rsidRPr="00014772">
        <w:rPr>
          <w:rFonts w:asciiTheme="majorHAnsi" w:hAnsiTheme="majorHAnsi"/>
          <w:sz w:val="20"/>
          <w:szCs w:val="20"/>
          <w:vertAlign w:val="superscript"/>
          <w:lang w:val="es-ES_tradnl"/>
        </w:rPr>
        <w:footnoteReference w:id="5"/>
      </w:r>
      <w:r w:rsidR="00014772" w:rsidRPr="00014772">
        <w:rPr>
          <w:rFonts w:asciiTheme="majorHAnsi" w:hAnsiTheme="majorHAnsi"/>
          <w:sz w:val="20"/>
          <w:szCs w:val="20"/>
          <w:lang w:val="es-ES_tradnl"/>
        </w:rPr>
        <w:t>.</w:t>
      </w:r>
    </w:p>
    <w:p w14:paraId="3CA88942" w14:textId="1E06A7A3" w:rsidR="00DA4F91" w:rsidRPr="006F2F07" w:rsidRDefault="00FE22E8" w:rsidP="00CA795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6F2F07">
        <w:rPr>
          <w:sz w:val="20"/>
          <w:szCs w:val="20"/>
          <w:lang w:val="es-ES"/>
        </w:rPr>
        <w:t xml:space="preserve">En ese sentido, la Comisión observa que el peticionario acudió a una vía judicial válida, al punto que </w:t>
      </w:r>
      <w:r w:rsidR="00283C75" w:rsidRPr="006F2F07">
        <w:rPr>
          <w:sz w:val="20"/>
          <w:szCs w:val="20"/>
          <w:lang w:val="es-ES"/>
        </w:rPr>
        <w:t xml:space="preserve">no sólo </w:t>
      </w:r>
      <w:r w:rsidRPr="006F2F07">
        <w:rPr>
          <w:sz w:val="20"/>
          <w:szCs w:val="20"/>
          <w:lang w:val="es-ES"/>
        </w:rPr>
        <w:t>obtuvo una sentencia de fondo</w:t>
      </w:r>
      <w:r w:rsidR="00283C75" w:rsidRPr="006F2F07">
        <w:rPr>
          <w:sz w:val="20"/>
          <w:szCs w:val="20"/>
          <w:lang w:val="es-ES"/>
        </w:rPr>
        <w:t>, sino que ésta le fue</w:t>
      </w:r>
      <w:r w:rsidRPr="006F2F07">
        <w:rPr>
          <w:sz w:val="20"/>
          <w:szCs w:val="20"/>
          <w:lang w:val="es-ES"/>
        </w:rPr>
        <w:t xml:space="preserve"> favorable</w:t>
      </w:r>
      <w:r w:rsidR="00C53BA4" w:rsidRPr="006F2F07">
        <w:rPr>
          <w:sz w:val="20"/>
          <w:szCs w:val="20"/>
          <w:lang w:val="es-ES"/>
        </w:rPr>
        <w:t xml:space="preserve"> y confirmada en segunda instancia</w:t>
      </w:r>
      <w:r w:rsidR="00283C75" w:rsidRPr="006F2F07">
        <w:rPr>
          <w:sz w:val="20"/>
          <w:szCs w:val="20"/>
          <w:lang w:val="es-ES"/>
        </w:rPr>
        <w:t>, lo que indica que era un mecanismo por el cual podía plantear su reclamo con posibilidades de éxito</w:t>
      </w:r>
      <w:r w:rsidRPr="006F2F07">
        <w:rPr>
          <w:sz w:val="20"/>
          <w:szCs w:val="20"/>
          <w:lang w:val="es-ES"/>
        </w:rPr>
        <w:t>.</w:t>
      </w:r>
      <w:r w:rsidR="00283C75" w:rsidRPr="006F2F07">
        <w:rPr>
          <w:sz w:val="20"/>
          <w:szCs w:val="20"/>
          <w:lang w:val="es-ES"/>
        </w:rPr>
        <w:t xml:space="preserve"> Ahora bien,</w:t>
      </w:r>
      <w:r w:rsidR="00310ED9" w:rsidRPr="006F2F07">
        <w:rPr>
          <w:sz w:val="20"/>
          <w:szCs w:val="20"/>
          <w:lang w:val="es-ES"/>
        </w:rPr>
        <w:t xml:space="preserve"> </w:t>
      </w:r>
      <w:r w:rsidR="00D03901" w:rsidRPr="006F2F07">
        <w:rPr>
          <w:sz w:val="20"/>
          <w:szCs w:val="20"/>
          <w:lang w:val="es-ES"/>
        </w:rPr>
        <w:t xml:space="preserve">la CIDH nota que el proceso laboral </w:t>
      </w:r>
      <w:r w:rsidR="002048AC" w:rsidRPr="006F2F07">
        <w:rPr>
          <w:sz w:val="20"/>
          <w:szCs w:val="20"/>
          <w:lang w:val="es-ES"/>
        </w:rPr>
        <w:t xml:space="preserve">fue </w:t>
      </w:r>
      <w:r w:rsidR="00D03901" w:rsidRPr="006F2F07">
        <w:rPr>
          <w:sz w:val="20"/>
          <w:szCs w:val="20"/>
          <w:lang w:val="es-ES"/>
        </w:rPr>
        <w:t xml:space="preserve">agotado </w:t>
      </w:r>
      <w:r w:rsidR="006A67DF" w:rsidRPr="006F2F07">
        <w:rPr>
          <w:sz w:val="20"/>
          <w:szCs w:val="20"/>
          <w:lang w:val="es-ES"/>
        </w:rPr>
        <w:t>mediante</w:t>
      </w:r>
      <w:r w:rsidR="00D03901" w:rsidRPr="006F2F07">
        <w:rPr>
          <w:sz w:val="20"/>
          <w:szCs w:val="20"/>
          <w:lang w:val="es-ES"/>
        </w:rPr>
        <w:t xml:space="preserve"> la </w:t>
      </w:r>
      <w:r w:rsidR="00D03901" w:rsidRPr="006F2F07">
        <w:rPr>
          <w:bCs/>
          <w:sz w:val="20"/>
          <w:szCs w:val="20"/>
          <w:lang w:val="es-UY"/>
        </w:rPr>
        <w:t xml:space="preserve">Decisión No. 043-PJDC-15-2022 de 6 de julio de 2022 </w:t>
      </w:r>
      <w:r w:rsidR="00D03901" w:rsidRPr="006F2F07">
        <w:rPr>
          <w:sz w:val="20"/>
          <w:szCs w:val="20"/>
          <w:lang w:val="es-ES"/>
        </w:rPr>
        <w:t xml:space="preserve">emitida por </w:t>
      </w:r>
      <w:r w:rsidR="00D03901" w:rsidRPr="006F2F07">
        <w:rPr>
          <w:bCs/>
          <w:sz w:val="20"/>
          <w:szCs w:val="20"/>
          <w:lang w:val="es-UY"/>
        </w:rPr>
        <w:t xml:space="preserve">la Junta de Conciliación y Decisión No. 15, que adquirió </w:t>
      </w:r>
      <w:r w:rsidR="00DA4F91" w:rsidRPr="006F2F07">
        <w:rPr>
          <w:bCs/>
          <w:sz w:val="20"/>
          <w:szCs w:val="20"/>
          <w:lang w:val="es-UY"/>
        </w:rPr>
        <w:t xml:space="preserve">ejecutoria. </w:t>
      </w:r>
      <w:r w:rsidR="00E80EF3" w:rsidRPr="006F2F07">
        <w:rPr>
          <w:sz w:val="20"/>
          <w:szCs w:val="20"/>
          <w:lang w:val="es-ES"/>
        </w:rPr>
        <w:t>En consecuencia y dado que la petición fue presentada el 20 de febrero de 2019, la Comisión concluye que la presente petición cumple con los requisitos del artículo 46.1(a) y (b) de la Convención Americana.</w:t>
      </w:r>
    </w:p>
    <w:p w14:paraId="673598AF" w14:textId="77777777" w:rsidR="003239B8" w:rsidRDefault="003239B8" w:rsidP="003239B8">
      <w:pPr>
        <w:pStyle w:val="ListParagraph"/>
        <w:jc w:val="both"/>
        <w:rPr>
          <w:rFonts w:asciiTheme="majorHAnsi" w:hAnsiTheme="majorHAnsi"/>
          <w:b/>
          <w:bCs/>
          <w:sz w:val="20"/>
          <w:szCs w:val="20"/>
          <w:lang w:val="es-UY"/>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2DDF1999" w14:textId="131C53E2" w:rsidR="006E621A" w:rsidRDefault="008C5E2D" w:rsidP="006E62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6E621A">
        <w:rPr>
          <w:sz w:val="20"/>
          <w:szCs w:val="20"/>
          <w:lang w:val="es-ES"/>
        </w:rPr>
        <w:t xml:space="preserve">La Comisión </w:t>
      </w:r>
      <w:r w:rsidR="0086589C">
        <w:rPr>
          <w:sz w:val="20"/>
          <w:szCs w:val="20"/>
          <w:lang w:val="es-ES"/>
        </w:rPr>
        <w:t>not</w:t>
      </w:r>
      <w:r w:rsidRPr="006E621A">
        <w:rPr>
          <w:sz w:val="20"/>
          <w:szCs w:val="20"/>
          <w:lang w:val="es-ES"/>
        </w:rPr>
        <w:t>a que la presente petición inclu</w:t>
      </w:r>
      <w:r w:rsidR="004B421C" w:rsidRPr="006E621A">
        <w:rPr>
          <w:sz w:val="20"/>
          <w:szCs w:val="20"/>
          <w:lang w:val="es-ES"/>
        </w:rPr>
        <w:t xml:space="preserve">ye alegaciones con respecto a </w:t>
      </w:r>
      <w:r w:rsidR="0075519E">
        <w:rPr>
          <w:sz w:val="20"/>
          <w:szCs w:val="20"/>
          <w:lang w:val="es-ES"/>
        </w:rPr>
        <w:t xml:space="preserve">la violación del derecho a la protección judicial y al trabajo por el impedimento en la ejecución de una sentencia laboral emitida a favor del Sr. Sanjur. Panamá, por su parte, </w:t>
      </w:r>
      <w:r w:rsidR="002E7D15">
        <w:rPr>
          <w:sz w:val="20"/>
          <w:szCs w:val="20"/>
          <w:lang w:val="es-ES"/>
        </w:rPr>
        <w:t xml:space="preserve">arguye que </w:t>
      </w:r>
      <w:r w:rsidR="00A02798">
        <w:rPr>
          <w:sz w:val="20"/>
          <w:szCs w:val="20"/>
          <w:lang w:val="es-ES"/>
        </w:rPr>
        <w:t xml:space="preserve">el peticionario no expone hechos que caractericen una vulneración a los derechos consagrados en la Convención Americana, puesto que </w:t>
      </w:r>
      <w:r w:rsidR="008E49EE">
        <w:rPr>
          <w:sz w:val="20"/>
          <w:szCs w:val="20"/>
          <w:lang w:val="es-ES"/>
        </w:rPr>
        <w:t>tuvo acceso a la justicia mediante la demanda laboral contra la OPS, fue escuchado y obtuvo una sentencia dentro del procedimiento.</w:t>
      </w:r>
    </w:p>
    <w:p w14:paraId="623FE111" w14:textId="3032474C" w:rsidR="00D4293B" w:rsidRDefault="00D4293B" w:rsidP="00D4293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6E621A">
        <w:rPr>
          <w:sz w:val="20"/>
          <w:szCs w:val="20"/>
          <w:lang w:val="es-ES"/>
        </w:rPr>
        <w:t>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r>
        <w:rPr>
          <w:sz w:val="20"/>
          <w:szCs w:val="20"/>
          <w:lang w:val="es-ES"/>
        </w:rPr>
        <w:t xml:space="preserve"> A este respecto</w:t>
      </w:r>
      <w:r w:rsidRPr="006E621A">
        <w:rPr>
          <w:sz w:val="20"/>
          <w:szCs w:val="20"/>
          <w:lang w:val="es-ES"/>
        </w:rPr>
        <w:t xml:space="preserve">, el criterio de evaluación de la fase de admisibilidad difiere del que se utiliza para pronunciarse sobre el fondo de una petición; la CIDH debe realizar en esta etapa una </w:t>
      </w:r>
      <w:r w:rsidR="002E64A2">
        <w:rPr>
          <w:sz w:val="20"/>
          <w:szCs w:val="20"/>
          <w:lang w:val="es-ES"/>
        </w:rPr>
        <w:t>valoración</w:t>
      </w:r>
      <w:r w:rsidRPr="006E621A">
        <w:rPr>
          <w:sz w:val="20"/>
          <w:szCs w:val="20"/>
          <w:lang w:val="es-ES"/>
        </w:rPr>
        <w:t xml:space="preserve"> </w:t>
      </w:r>
      <w:r w:rsidRPr="006E621A">
        <w:rPr>
          <w:i/>
          <w:iCs/>
          <w:sz w:val="20"/>
          <w:szCs w:val="20"/>
          <w:lang w:val="es-ES"/>
        </w:rPr>
        <w:t>prima facie</w:t>
      </w:r>
      <w:r w:rsidRPr="006E621A">
        <w:rPr>
          <w:sz w:val="20"/>
          <w:szCs w:val="20"/>
          <w:lang w:val="es-ES"/>
        </w:rPr>
        <w:t xml:space="preserve"> para determinar si la petición establece el fundamento de la violación, posible o potencial, de un </w:t>
      </w:r>
      <w:r w:rsidRPr="006E621A">
        <w:rPr>
          <w:sz w:val="20"/>
          <w:szCs w:val="20"/>
          <w:lang w:val="es-ES"/>
        </w:rPr>
        <w:lastRenderedPageBreak/>
        <w:t>derecho garantizado por la Convención, pero no para establecer la existencia de una violación de derechos. Est</w:t>
      </w:r>
      <w:r w:rsidR="002E64A2">
        <w:rPr>
          <w:sz w:val="20"/>
          <w:szCs w:val="20"/>
          <w:lang w:val="es-ES"/>
        </w:rPr>
        <w:t>o</w:t>
      </w:r>
      <w:r w:rsidRPr="006E621A">
        <w:rPr>
          <w:sz w:val="20"/>
          <w:szCs w:val="20"/>
          <w:lang w:val="es-ES"/>
        </w:rPr>
        <w:t xml:space="preserve"> </w:t>
      </w:r>
      <w:r w:rsidR="002E64A2">
        <w:rPr>
          <w:sz w:val="20"/>
          <w:szCs w:val="20"/>
          <w:lang w:val="es-ES"/>
        </w:rPr>
        <w:t>c</w:t>
      </w:r>
      <w:r w:rsidRPr="006E621A">
        <w:rPr>
          <w:sz w:val="20"/>
          <w:szCs w:val="20"/>
          <w:lang w:val="es-ES"/>
        </w:rPr>
        <w:t>onstituye un análisis primario que no implica prejuzgar sobre el fondo del asunto.</w:t>
      </w:r>
    </w:p>
    <w:p w14:paraId="3D620CC8" w14:textId="797A857B" w:rsidR="003B2812" w:rsidRPr="003B2812" w:rsidRDefault="003B2812" w:rsidP="003B2812">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240"/>
        <w:ind w:left="0" w:firstLine="720"/>
        <w:jc w:val="both"/>
        <w:rPr>
          <w:rFonts w:ascii="Cambria" w:hAnsi="Cambria"/>
          <w:sz w:val="20"/>
          <w:szCs w:val="20"/>
          <w:lang w:val="es-ES_tradnl"/>
        </w:rPr>
      </w:pPr>
      <w:r>
        <w:rPr>
          <w:rFonts w:ascii="Cambria" w:hAnsi="Cambria"/>
          <w:sz w:val="20"/>
          <w:szCs w:val="20"/>
          <w:lang w:val="es-CO"/>
        </w:rPr>
        <w:t>La CIDH recuerd</w:t>
      </w:r>
      <w:r w:rsidR="002E64A2">
        <w:rPr>
          <w:rFonts w:ascii="Cambria" w:hAnsi="Cambria"/>
          <w:sz w:val="20"/>
          <w:szCs w:val="20"/>
          <w:lang w:val="es-CO"/>
        </w:rPr>
        <w:t>a</w:t>
      </w:r>
      <w:r>
        <w:rPr>
          <w:rFonts w:ascii="Cambria" w:hAnsi="Cambria"/>
          <w:sz w:val="20"/>
          <w:szCs w:val="20"/>
          <w:lang w:val="es-CO"/>
        </w:rPr>
        <w:t xml:space="preserve"> que </w:t>
      </w:r>
      <w:r w:rsidR="00F905DC">
        <w:rPr>
          <w:rFonts w:ascii="Cambria" w:hAnsi="Cambria"/>
          <w:sz w:val="20"/>
          <w:szCs w:val="20"/>
          <w:lang w:val="es-CO"/>
        </w:rPr>
        <w:t>d</w:t>
      </w:r>
      <w:r w:rsidR="00F905DC" w:rsidRPr="00B95036">
        <w:rPr>
          <w:rFonts w:ascii="Cambria" w:hAnsi="Cambria"/>
          <w:sz w:val="20"/>
          <w:szCs w:val="20"/>
          <w:lang w:val="es-CO"/>
        </w:rPr>
        <w:t>el artículo 25 de la Convención</w:t>
      </w:r>
      <w:r w:rsidR="00F905DC">
        <w:rPr>
          <w:rFonts w:ascii="Cambria" w:hAnsi="Cambria"/>
          <w:sz w:val="20"/>
          <w:szCs w:val="20"/>
          <w:lang w:val="es-CO"/>
        </w:rPr>
        <w:t xml:space="preserve"> se desprenden </w:t>
      </w:r>
      <w:r w:rsidR="00F905DC" w:rsidRPr="00B95036">
        <w:rPr>
          <w:rFonts w:ascii="Cambria" w:hAnsi="Cambria"/>
          <w:sz w:val="20"/>
          <w:szCs w:val="20"/>
          <w:lang w:val="es-CO"/>
        </w:rPr>
        <w:t xml:space="preserve">dos obligaciones específicas en </w:t>
      </w:r>
      <w:r w:rsidR="00F905DC">
        <w:rPr>
          <w:rFonts w:ascii="Cambria" w:hAnsi="Cambria"/>
          <w:sz w:val="20"/>
          <w:szCs w:val="20"/>
          <w:lang w:val="es-CO"/>
        </w:rPr>
        <w:t xml:space="preserve">cabeza de </w:t>
      </w:r>
      <w:r w:rsidR="00F905DC" w:rsidRPr="00B95036">
        <w:rPr>
          <w:rFonts w:ascii="Cambria" w:hAnsi="Cambria"/>
          <w:sz w:val="20"/>
          <w:szCs w:val="20"/>
          <w:lang w:val="es-CO"/>
        </w:rPr>
        <w:t xml:space="preserve">los Estados. </w:t>
      </w:r>
      <w:r w:rsidR="00F905DC">
        <w:rPr>
          <w:rFonts w:ascii="Cambria" w:hAnsi="Cambria"/>
          <w:sz w:val="20"/>
          <w:szCs w:val="20"/>
          <w:lang w:val="es-CO"/>
        </w:rPr>
        <w:t>L</w:t>
      </w:r>
      <w:r w:rsidR="00F905DC" w:rsidRPr="00B95036">
        <w:rPr>
          <w:rFonts w:ascii="Cambria" w:hAnsi="Cambria"/>
          <w:sz w:val="20"/>
          <w:szCs w:val="20"/>
          <w:lang w:val="es-CO"/>
        </w:rPr>
        <w:t xml:space="preserve">a primera </w:t>
      </w:r>
      <w:r w:rsidR="00F905DC">
        <w:rPr>
          <w:rFonts w:ascii="Cambria" w:hAnsi="Cambria"/>
          <w:sz w:val="20"/>
          <w:szCs w:val="20"/>
          <w:lang w:val="es-CO"/>
        </w:rPr>
        <w:t xml:space="preserve">se refiere a consagrar los recursos internos en su legislación y garantizar su </w:t>
      </w:r>
      <w:r w:rsidR="00F905DC" w:rsidRPr="00B95036">
        <w:rPr>
          <w:rFonts w:ascii="Cambria" w:hAnsi="Cambria"/>
          <w:sz w:val="20"/>
          <w:szCs w:val="20"/>
          <w:lang w:val="es-CO"/>
        </w:rPr>
        <w:t xml:space="preserve">debida aplicación </w:t>
      </w:r>
      <w:r w:rsidR="00F905DC">
        <w:rPr>
          <w:rFonts w:ascii="Cambria" w:hAnsi="Cambria"/>
          <w:sz w:val="20"/>
          <w:szCs w:val="20"/>
          <w:lang w:val="es-CO"/>
        </w:rPr>
        <w:t xml:space="preserve">de manera </w:t>
      </w:r>
      <w:r w:rsidR="00F905DC" w:rsidRPr="00B95036">
        <w:rPr>
          <w:rFonts w:ascii="Cambria" w:hAnsi="Cambria"/>
          <w:sz w:val="20"/>
          <w:szCs w:val="20"/>
          <w:lang w:val="es-CO"/>
        </w:rPr>
        <w:t>que amparen a todas las personas bajo su jurisdicción contra actos que violen sus derechos fundamentales. La segunda</w:t>
      </w:r>
      <w:r w:rsidR="00F905DC">
        <w:rPr>
          <w:rFonts w:ascii="Cambria" w:hAnsi="Cambria"/>
          <w:sz w:val="20"/>
          <w:szCs w:val="20"/>
          <w:lang w:val="es-CO"/>
        </w:rPr>
        <w:t xml:space="preserve"> obligación consiste en</w:t>
      </w:r>
      <w:r w:rsidR="00F905DC" w:rsidRPr="00B95036">
        <w:rPr>
          <w:rFonts w:ascii="Cambria" w:hAnsi="Cambria"/>
          <w:sz w:val="20"/>
          <w:szCs w:val="20"/>
          <w:lang w:val="es-CO"/>
        </w:rPr>
        <w:t xml:space="preserve"> </w:t>
      </w:r>
      <w:r w:rsidR="00F905DC">
        <w:rPr>
          <w:rFonts w:ascii="Cambria" w:hAnsi="Cambria"/>
          <w:sz w:val="20"/>
          <w:szCs w:val="20"/>
          <w:lang w:val="es-CO"/>
        </w:rPr>
        <w:t xml:space="preserve">asegurar la existencia de </w:t>
      </w:r>
      <w:r w:rsidR="00F905DC" w:rsidRPr="00B95036">
        <w:rPr>
          <w:rFonts w:ascii="Cambria" w:hAnsi="Cambria"/>
          <w:sz w:val="20"/>
          <w:szCs w:val="20"/>
          <w:lang w:val="es-CO"/>
        </w:rPr>
        <w:t>me</w:t>
      </w:r>
      <w:r w:rsidR="00F905DC">
        <w:rPr>
          <w:rFonts w:ascii="Cambria" w:hAnsi="Cambria"/>
          <w:sz w:val="20"/>
          <w:szCs w:val="20"/>
          <w:lang w:val="es-CO"/>
        </w:rPr>
        <w:t>canism</w:t>
      </w:r>
      <w:r w:rsidR="00F905DC" w:rsidRPr="00B95036">
        <w:rPr>
          <w:rFonts w:ascii="Cambria" w:hAnsi="Cambria"/>
          <w:sz w:val="20"/>
          <w:szCs w:val="20"/>
          <w:lang w:val="es-CO"/>
        </w:rPr>
        <w:t xml:space="preserve">os para ejecutar las respectivas decisiones y sentencias definitivas emitidas por </w:t>
      </w:r>
      <w:r w:rsidR="00F905DC">
        <w:rPr>
          <w:rFonts w:ascii="Cambria" w:hAnsi="Cambria"/>
          <w:sz w:val="20"/>
          <w:szCs w:val="20"/>
          <w:lang w:val="es-CO"/>
        </w:rPr>
        <w:t xml:space="preserve">las </w:t>
      </w:r>
      <w:r w:rsidR="00F905DC" w:rsidRPr="00B95036">
        <w:rPr>
          <w:rFonts w:ascii="Cambria" w:hAnsi="Cambria"/>
          <w:sz w:val="20"/>
          <w:szCs w:val="20"/>
          <w:lang w:val="es-CO"/>
        </w:rPr>
        <w:t xml:space="preserve">autoridades competentes, de </w:t>
      </w:r>
      <w:r w:rsidR="00F905DC">
        <w:rPr>
          <w:rFonts w:ascii="Cambria" w:hAnsi="Cambria"/>
          <w:sz w:val="20"/>
          <w:szCs w:val="20"/>
          <w:lang w:val="es-CO"/>
        </w:rPr>
        <w:t xml:space="preserve">suerte </w:t>
      </w:r>
      <w:r w:rsidR="00F905DC" w:rsidRPr="00B95036">
        <w:rPr>
          <w:rFonts w:ascii="Cambria" w:hAnsi="Cambria"/>
          <w:sz w:val="20"/>
          <w:szCs w:val="20"/>
          <w:lang w:val="es-CO"/>
        </w:rPr>
        <w:t>que se protejan efectivamente los derechos</w:t>
      </w:r>
      <w:r w:rsidR="00F905DC">
        <w:rPr>
          <w:rStyle w:val="FootnoteReference"/>
          <w:rFonts w:ascii="Cambria" w:hAnsi="Cambria"/>
          <w:sz w:val="20"/>
          <w:szCs w:val="20"/>
          <w:lang w:val="es-CO"/>
        </w:rPr>
        <w:footnoteReference w:id="6"/>
      </w:r>
      <w:r w:rsidR="00F905DC">
        <w:rPr>
          <w:rFonts w:ascii="Cambria" w:hAnsi="Cambria"/>
          <w:sz w:val="20"/>
          <w:szCs w:val="20"/>
          <w:lang w:val="es-CO"/>
        </w:rPr>
        <w:t>.</w:t>
      </w:r>
    </w:p>
    <w:p w14:paraId="4DA3E1E0" w14:textId="125CFF83" w:rsidR="00F905DC" w:rsidRPr="0048043C" w:rsidRDefault="00F905DC" w:rsidP="0048043C">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240"/>
        <w:ind w:left="0" w:firstLine="720"/>
        <w:jc w:val="both"/>
        <w:rPr>
          <w:rFonts w:ascii="Cambria" w:hAnsi="Cambria"/>
          <w:sz w:val="20"/>
          <w:szCs w:val="20"/>
          <w:lang w:val="es-ES_tradnl"/>
        </w:rPr>
      </w:pPr>
      <w:r>
        <w:rPr>
          <w:rFonts w:ascii="Cambria" w:hAnsi="Cambria"/>
          <w:sz w:val="20"/>
          <w:szCs w:val="20"/>
          <w:lang w:val="es-CO"/>
        </w:rPr>
        <w:t>Sobre este deber particular, la Comisión recuerda que e</w:t>
      </w:r>
      <w:r w:rsidRPr="009E256E">
        <w:rPr>
          <w:rFonts w:ascii="Cambria" w:hAnsi="Cambria"/>
          <w:sz w:val="20"/>
          <w:szCs w:val="20"/>
          <w:lang w:val="es-CO"/>
        </w:rPr>
        <w:t xml:space="preserve">l artículo 25.2.c) de la Convención consagra el derecho al cumplimiento, por las autoridades competentes, de toda decisión en que se haya estimado procedente </w:t>
      </w:r>
      <w:r w:rsidR="003B2812">
        <w:rPr>
          <w:rFonts w:ascii="Cambria" w:hAnsi="Cambria"/>
          <w:sz w:val="20"/>
          <w:szCs w:val="20"/>
          <w:lang w:val="es-CO"/>
        </w:rPr>
        <w:t>un</w:t>
      </w:r>
      <w:r w:rsidRPr="009E256E">
        <w:rPr>
          <w:rFonts w:ascii="Cambria" w:hAnsi="Cambria"/>
          <w:sz w:val="20"/>
          <w:szCs w:val="20"/>
          <w:lang w:val="es-CO"/>
        </w:rPr>
        <w:t xml:space="preserve"> recurso</w:t>
      </w:r>
      <w:r w:rsidR="003B2812">
        <w:rPr>
          <w:rFonts w:ascii="Cambria" w:hAnsi="Cambria"/>
          <w:sz w:val="20"/>
          <w:szCs w:val="20"/>
          <w:lang w:val="es-CO"/>
        </w:rPr>
        <w:t xml:space="preserve"> en el que se ventilan violaciones de derechos humanos</w:t>
      </w:r>
      <w:r>
        <w:rPr>
          <w:rStyle w:val="FootnoteReference"/>
          <w:rFonts w:ascii="Cambria" w:hAnsi="Cambria"/>
          <w:sz w:val="20"/>
          <w:szCs w:val="20"/>
          <w:lang w:val="es-CO"/>
        </w:rPr>
        <w:footnoteReference w:id="7"/>
      </w:r>
      <w:r>
        <w:rPr>
          <w:rFonts w:ascii="Cambria" w:hAnsi="Cambria"/>
          <w:sz w:val="20"/>
          <w:szCs w:val="20"/>
          <w:lang w:val="es-CO"/>
        </w:rPr>
        <w:t>. Al respecto, la Corte ha precisado</w:t>
      </w:r>
      <w:r w:rsidR="00E42D7A">
        <w:rPr>
          <w:rFonts w:ascii="Cambria" w:hAnsi="Cambria"/>
          <w:sz w:val="20"/>
          <w:szCs w:val="20"/>
          <w:lang w:val="es-CO"/>
        </w:rPr>
        <w:t xml:space="preserve"> que “un proceso debe tender a la materialización de la protección del derecho reconocido en el pronunciamiento judicial, mediante la aplicación idónea de dicho pronunciamien</w:t>
      </w:r>
      <w:r w:rsidR="00141871">
        <w:rPr>
          <w:rFonts w:ascii="Cambria" w:hAnsi="Cambria"/>
          <w:sz w:val="20"/>
          <w:szCs w:val="20"/>
          <w:lang w:val="es-CO"/>
        </w:rPr>
        <w:t xml:space="preserve">to. […] la responsabilidad estatal no termina cuando las autoridades competentes emiten una decisión o sentencia, sino que requiere además que el Estado garantice </w:t>
      </w:r>
      <w:r w:rsidR="00AE5BCA">
        <w:rPr>
          <w:rFonts w:ascii="Cambria" w:hAnsi="Cambria"/>
          <w:sz w:val="20"/>
          <w:szCs w:val="20"/>
          <w:lang w:val="es-CO"/>
        </w:rPr>
        <w:t>los medios para ejecutar las decisiones definitivas, de manera que se protejan efectivamente los derechos declarados</w:t>
      </w:r>
      <w:r w:rsidRPr="0048043C">
        <w:rPr>
          <w:rStyle w:val="FootnoteReference"/>
          <w:rFonts w:ascii="Cambria" w:hAnsi="Cambria"/>
          <w:sz w:val="20"/>
          <w:szCs w:val="20"/>
          <w:lang w:val="es-CO"/>
        </w:rPr>
        <w:footnoteReference w:id="8"/>
      </w:r>
      <w:r w:rsidRPr="0048043C">
        <w:rPr>
          <w:rFonts w:ascii="Cambria" w:hAnsi="Cambria"/>
          <w:sz w:val="20"/>
          <w:szCs w:val="20"/>
          <w:lang w:val="es-CO"/>
        </w:rPr>
        <w:t>.</w:t>
      </w:r>
    </w:p>
    <w:p w14:paraId="5F42523C" w14:textId="203C9F0C" w:rsidR="00E313FF" w:rsidRPr="00E56C0C" w:rsidRDefault="0048043C" w:rsidP="00D64B5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E56C0C">
        <w:rPr>
          <w:sz w:val="20"/>
          <w:szCs w:val="20"/>
          <w:lang w:val="es-ES"/>
        </w:rPr>
        <w:t>Asimismo, esta Comisió</w:t>
      </w:r>
      <w:r w:rsidR="007B6457" w:rsidRPr="00E56C0C">
        <w:rPr>
          <w:sz w:val="20"/>
          <w:szCs w:val="20"/>
          <w:lang w:val="es-ES"/>
        </w:rPr>
        <w:t xml:space="preserve">n ya ha admitido </w:t>
      </w:r>
      <w:r w:rsidR="00AC40DE" w:rsidRPr="00E56C0C">
        <w:rPr>
          <w:sz w:val="20"/>
          <w:szCs w:val="20"/>
          <w:lang w:val="es-ES"/>
        </w:rPr>
        <w:t>pe</w:t>
      </w:r>
      <w:r w:rsidR="007B6457" w:rsidRPr="00E56C0C">
        <w:rPr>
          <w:sz w:val="20"/>
          <w:szCs w:val="20"/>
          <w:lang w:val="es-ES"/>
        </w:rPr>
        <w:t>ti</w:t>
      </w:r>
      <w:r w:rsidR="00AC40DE" w:rsidRPr="00E56C0C">
        <w:rPr>
          <w:sz w:val="20"/>
          <w:szCs w:val="20"/>
          <w:lang w:val="es-ES"/>
        </w:rPr>
        <w:t>ci</w:t>
      </w:r>
      <w:r w:rsidR="007B6457" w:rsidRPr="00E56C0C">
        <w:rPr>
          <w:sz w:val="20"/>
          <w:szCs w:val="20"/>
          <w:lang w:val="es-ES"/>
        </w:rPr>
        <w:t xml:space="preserve">ones relativas al </w:t>
      </w:r>
      <w:r w:rsidR="005F0FC7" w:rsidRPr="00E56C0C">
        <w:rPr>
          <w:sz w:val="20"/>
          <w:szCs w:val="20"/>
          <w:lang w:val="es-ES"/>
        </w:rPr>
        <w:t>in</w:t>
      </w:r>
      <w:r w:rsidR="007B6457" w:rsidRPr="00E56C0C">
        <w:rPr>
          <w:sz w:val="20"/>
          <w:szCs w:val="20"/>
          <w:lang w:val="es-ES"/>
        </w:rPr>
        <w:t>cumplimiento de fallos judiciales con base en la inmunidad de</w:t>
      </w:r>
      <w:r w:rsidR="005F0FC7" w:rsidRPr="00E56C0C">
        <w:rPr>
          <w:sz w:val="20"/>
          <w:szCs w:val="20"/>
          <w:lang w:val="es-ES"/>
        </w:rPr>
        <w:t xml:space="preserve"> jurisdicción</w:t>
      </w:r>
      <w:r w:rsidR="005F0FC7" w:rsidRPr="00E56C0C">
        <w:rPr>
          <w:rStyle w:val="FootnoteReference"/>
          <w:sz w:val="20"/>
          <w:szCs w:val="20"/>
          <w:lang w:val="es-ES"/>
        </w:rPr>
        <w:footnoteReference w:id="9"/>
      </w:r>
      <w:r w:rsidR="005F0FC7" w:rsidRPr="00E56C0C">
        <w:rPr>
          <w:sz w:val="20"/>
          <w:szCs w:val="20"/>
          <w:lang w:val="es-ES"/>
        </w:rPr>
        <w:t>.</w:t>
      </w:r>
      <w:r w:rsidR="00AC40DE" w:rsidRPr="00E56C0C">
        <w:rPr>
          <w:sz w:val="20"/>
          <w:szCs w:val="20"/>
          <w:lang w:val="es-ES"/>
        </w:rPr>
        <w:t xml:space="preserve"> </w:t>
      </w:r>
      <w:r w:rsidR="00420AAC" w:rsidRPr="00E56C0C">
        <w:rPr>
          <w:sz w:val="20"/>
          <w:szCs w:val="20"/>
          <w:lang w:val="es-ES"/>
        </w:rPr>
        <w:t xml:space="preserve">En ese sentido, </w:t>
      </w:r>
      <w:r w:rsidR="00590130" w:rsidRPr="00E56C0C">
        <w:rPr>
          <w:sz w:val="20"/>
          <w:szCs w:val="20"/>
          <w:lang w:val="es-ES"/>
        </w:rPr>
        <w:t xml:space="preserve">advierte </w:t>
      </w:r>
      <w:r w:rsidR="00843668" w:rsidRPr="00E56C0C">
        <w:rPr>
          <w:sz w:val="20"/>
          <w:szCs w:val="20"/>
          <w:lang w:val="es-ES"/>
        </w:rPr>
        <w:t xml:space="preserve">que </w:t>
      </w:r>
      <w:r w:rsidR="00843668" w:rsidRPr="00E56C0C">
        <w:rPr>
          <w:sz w:val="20"/>
          <w:szCs w:val="20"/>
          <w:lang w:val="es-CO"/>
        </w:rPr>
        <w:t>varios tribunales nacionales e internacionales han interpretado la inmunidad de ejecución con un carácter relativo y no absoluto</w:t>
      </w:r>
      <w:r w:rsidR="00113417" w:rsidRPr="00E56C0C">
        <w:rPr>
          <w:rStyle w:val="FootnoteReference"/>
          <w:sz w:val="20"/>
          <w:szCs w:val="20"/>
          <w:lang w:val="es-CO"/>
        </w:rPr>
        <w:footnoteReference w:id="10"/>
      </w:r>
      <w:r w:rsidR="00843668" w:rsidRPr="00E56C0C">
        <w:rPr>
          <w:sz w:val="20"/>
          <w:szCs w:val="20"/>
          <w:lang w:val="es-CO"/>
        </w:rPr>
        <w:t xml:space="preserve">. </w:t>
      </w:r>
      <w:r w:rsidR="00D50663" w:rsidRPr="00E56C0C">
        <w:rPr>
          <w:sz w:val="20"/>
          <w:szCs w:val="20"/>
          <w:lang w:val="es-CO"/>
        </w:rPr>
        <w:t xml:space="preserve">Ello </w:t>
      </w:r>
      <w:r w:rsidR="00843668" w:rsidRPr="00E56C0C">
        <w:rPr>
          <w:sz w:val="20"/>
          <w:szCs w:val="20"/>
          <w:lang w:val="es-CO"/>
        </w:rPr>
        <w:t xml:space="preserve">ha posibilitado que la ejecución forzosa </w:t>
      </w:r>
      <w:r w:rsidR="00587EE7" w:rsidRPr="00E56C0C">
        <w:rPr>
          <w:sz w:val="20"/>
          <w:szCs w:val="20"/>
          <w:lang w:val="es-CO"/>
        </w:rPr>
        <w:t xml:space="preserve">de una sentencia se dirija </w:t>
      </w:r>
      <w:r w:rsidR="00843668" w:rsidRPr="00E56C0C">
        <w:rPr>
          <w:sz w:val="20"/>
          <w:szCs w:val="20"/>
          <w:lang w:val="es-CO"/>
        </w:rPr>
        <w:t xml:space="preserve">contra </w:t>
      </w:r>
      <w:r w:rsidR="00587EE7" w:rsidRPr="00E56C0C">
        <w:rPr>
          <w:sz w:val="20"/>
          <w:szCs w:val="20"/>
          <w:lang w:val="es-CO"/>
        </w:rPr>
        <w:t xml:space="preserve">los </w:t>
      </w:r>
      <w:r w:rsidR="00843668" w:rsidRPr="00E56C0C">
        <w:rPr>
          <w:sz w:val="20"/>
          <w:szCs w:val="20"/>
          <w:lang w:val="es-CO"/>
        </w:rPr>
        <w:t>bienes que se utilizan para fines distintos de los fines oficiales no comerciales</w:t>
      </w:r>
      <w:r w:rsidR="00587EE7" w:rsidRPr="00E56C0C">
        <w:rPr>
          <w:sz w:val="20"/>
          <w:szCs w:val="20"/>
          <w:lang w:val="es-CO"/>
        </w:rPr>
        <w:t xml:space="preserve"> de las organizaciones y Estados con inmunidad</w:t>
      </w:r>
      <w:r w:rsidR="00843668" w:rsidRPr="00E56C0C">
        <w:rPr>
          <w:sz w:val="20"/>
          <w:szCs w:val="20"/>
          <w:lang w:val="es-CO"/>
        </w:rPr>
        <w:t>.</w:t>
      </w:r>
      <w:r w:rsidR="0032687E" w:rsidRPr="00E56C0C">
        <w:rPr>
          <w:sz w:val="20"/>
          <w:szCs w:val="20"/>
          <w:lang w:val="es-CO"/>
        </w:rPr>
        <w:t xml:space="preserve"> </w:t>
      </w:r>
      <w:r w:rsidR="009C0D87" w:rsidRPr="00E56C0C">
        <w:rPr>
          <w:sz w:val="20"/>
          <w:szCs w:val="20"/>
          <w:lang w:val="es-CO"/>
        </w:rPr>
        <w:t>B</w:t>
      </w:r>
      <w:r w:rsidR="0032687E" w:rsidRPr="00E56C0C">
        <w:rPr>
          <w:sz w:val="20"/>
          <w:szCs w:val="20"/>
          <w:lang w:val="es-CO"/>
        </w:rPr>
        <w:t>ajo e</w:t>
      </w:r>
      <w:r w:rsidR="009C0D87" w:rsidRPr="00E56C0C">
        <w:rPr>
          <w:sz w:val="20"/>
          <w:szCs w:val="20"/>
          <w:lang w:val="es-CO"/>
        </w:rPr>
        <w:t>ste</w:t>
      </w:r>
      <w:r w:rsidR="0032687E" w:rsidRPr="00E56C0C">
        <w:rPr>
          <w:sz w:val="20"/>
          <w:szCs w:val="20"/>
          <w:lang w:val="es-CO"/>
        </w:rPr>
        <w:t xml:space="preserve"> entendimiento</w:t>
      </w:r>
      <w:r w:rsidR="009C0D87" w:rsidRPr="00E56C0C">
        <w:rPr>
          <w:sz w:val="20"/>
          <w:szCs w:val="20"/>
          <w:lang w:val="es-CO"/>
        </w:rPr>
        <w:t>,</w:t>
      </w:r>
      <w:r w:rsidR="0032687E" w:rsidRPr="00E56C0C">
        <w:rPr>
          <w:sz w:val="20"/>
          <w:szCs w:val="20"/>
          <w:lang w:val="es-CO"/>
        </w:rPr>
        <w:t xml:space="preserve"> es posible que al tiempo que </w:t>
      </w:r>
      <w:r w:rsidR="00ED31D9" w:rsidRPr="00E56C0C">
        <w:rPr>
          <w:sz w:val="20"/>
          <w:szCs w:val="20"/>
          <w:lang w:val="es-CO"/>
        </w:rPr>
        <w:t xml:space="preserve">se </w:t>
      </w:r>
      <w:r w:rsidR="0032687E" w:rsidRPr="00E56C0C">
        <w:rPr>
          <w:sz w:val="20"/>
          <w:szCs w:val="20"/>
          <w:lang w:val="es-CO"/>
        </w:rPr>
        <w:t>respet</w:t>
      </w:r>
      <w:r w:rsidR="00ED31D9" w:rsidRPr="00E56C0C">
        <w:rPr>
          <w:sz w:val="20"/>
          <w:szCs w:val="20"/>
          <w:lang w:val="es-CO"/>
        </w:rPr>
        <w:t>en</w:t>
      </w:r>
      <w:r w:rsidR="0032687E" w:rsidRPr="00E56C0C">
        <w:rPr>
          <w:sz w:val="20"/>
          <w:szCs w:val="20"/>
          <w:lang w:val="es-CO"/>
        </w:rPr>
        <w:t xml:space="preserve"> los bienes que no tienen fines comerciales </w:t>
      </w:r>
      <w:r w:rsidR="000559B0" w:rsidRPr="00E56C0C">
        <w:rPr>
          <w:sz w:val="20"/>
          <w:szCs w:val="20"/>
          <w:lang w:val="es-CO"/>
        </w:rPr>
        <w:t>–</w:t>
      </w:r>
      <w:r w:rsidR="0032687E" w:rsidRPr="00E56C0C">
        <w:rPr>
          <w:sz w:val="20"/>
          <w:szCs w:val="20"/>
          <w:lang w:val="es-CO"/>
        </w:rPr>
        <w:t xml:space="preserve">requeridos para el </w:t>
      </w:r>
      <w:r w:rsidR="008A3B3B" w:rsidRPr="00E56C0C">
        <w:rPr>
          <w:sz w:val="20"/>
          <w:szCs w:val="20"/>
          <w:lang w:val="es-CO"/>
        </w:rPr>
        <w:t xml:space="preserve">correcto </w:t>
      </w:r>
      <w:r w:rsidR="0032687E" w:rsidRPr="00E56C0C">
        <w:rPr>
          <w:sz w:val="20"/>
          <w:szCs w:val="20"/>
          <w:lang w:val="es-CO"/>
        </w:rPr>
        <w:t xml:space="preserve">desempeño de </w:t>
      </w:r>
      <w:r w:rsidR="0009093A" w:rsidRPr="00E56C0C">
        <w:rPr>
          <w:sz w:val="20"/>
          <w:szCs w:val="20"/>
          <w:lang w:val="es-CO"/>
        </w:rPr>
        <w:t xml:space="preserve">las </w:t>
      </w:r>
      <w:r w:rsidR="0032687E" w:rsidRPr="00E56C0C">
        <w:rPr>
          <w:sz w:val="20"/>
          <w:szCs w:val="20"/>
          <w:lang w:val="es-CO"/>
        </w:rPr>
        <w:t xml:space="preserve">funciones </w:t>
      </w:r>
      <w:r w:rsidR="00ED31D9" w:rsidRPr="00E56C0C">
        <w:rPr>
          <w:sz w:val="20"/>
          <w:szCs w:val="20"/>
          <w:lang w:val="es-CO"/>
        </w:rPr>
        <w:t>de las organizaciones internacional</w:t>
      </w:r>
      <w:r w:rsidR="0009093A" w:rsidRPr="00E56C0C">
        <w:rPr>
          <w:sz w:val="20"/>
          <w:szCs w:val="20"/>
          <w:lang w:val="es-CO"/>
        </w:rPr>
        <w:t>es</w:t>
      </w:r>
      <w:r w:rsidR="00ED31D9" w:rsidRPr="00E56C0C">
        <w:rPr>
          <w:sz w:val="20"/>
          <w:szCs w:val="20"/>
          <w:lang w:val="es-CO"/>
        </w:rPr>
        <w:t xml:space="preserve"> o misiones </w:t>
      </w:r>
      <w:r w:rsidR="0032687E" w:rsidRPr="00E56C0C">
        <w:rPr>
          <w:sz w:val="20"/>
          <w:szCs w:val="20"/>
          <w:lang w:val="es-CO"/>
        </w:rPr>
        <w:t>diplomáticas y consulares</w:t>
      </w:r>
      <w:r w:rsidR="000559B0" w:rsidRPr="00E56C0C">
        <w:rPr>
          <w:sz w:val="20"/>
          <w:szCs w:val="20"/>
          <w:lang w:val="es-CO"/>
        </w:rPr>
        <w:t>–</w:t>
      </w:r>
      <w:r w:rsidR="0032687E" w:rsidRPr="00E56C0C">
        <w:rPr>
          <w:sz w:val="20"/>
          <w:szCs w:val="20"/>
          <w:lang w:val="es-CO"/>
        </w:rPr>
        <w:t xml:space="preserve"> puedan ser afectados otro tipo de bienes </w:t>
      </w:r>
      <w:r w:rsidR="00ED31D9" w:rsidRPr="00E56C0C">
        <w:rPr>
          <w:sz w:val="20"/>
          <w:szCs w:val="20"/>
          <w:lang w:val="es-CO"/>
        </w:rPr>
        <w:t xml:space="preserve">de </w:t>
      </w:r>
      <w:r w:rsidR="0032687E" w:rsidRPr="00E56C0C">
        <w:rPr>
          <w:sz w:val="20"/>
          <w:szCs w:val="20"/>
          <w:lang w:val="es-CO"/>
        </w:rPr>
        <w:t>naturaleza comercial con el fin de ejecutar una sentencia</w:t>
      </w:r>
      <w:r w:rsidR="0032687E" w:rsidRPr="00E56C0C">
        <w:rPr>
          <w:rStyle w:val="FootnoteReference"/>
          <w:sz w:val="20"/>
          <w:szCs w:val="20"/>
          <w:lang w:val="es-CO"/>
        </w:rPr>
        <w:footnoteReference w:id="11"/>
      </w:r>
      <w:r w:rsidR="0032687E" w:rsidRPr="00E56C0C">
        <w:rPr>
          <w:sz w:val="20"/>
          <w:szCs w:val="20"/>
          <w:lang w:val="es-CO"/>
        </w:rPr>
        <w:t>.</w:t>
      </w:r>
      <w:r w:rsidR="00FC1887" w:rsidRPr="00E56C0C">
        <w:rPr>
          <w:sz w:val="20"/>
          <w:szCs w:val="20"/>
          <w:lang w:val="es-CO"/>
        </w:rPr>
        <w:t xml:space="preserve"> </w:t>
      </w:r>
      <w:r w:rsidR="007E5E31" w:rsidRPr="00E56C0C">
        <w:rPr>
          <w:sz w:val="20"/>
          <w:szCs w:val="20"/>
          <w:lang w:val="es-CO"/>
        </w:rPr>
        <w:t xml:space="preserve">En este sentido, y siempre desde el enfoque </w:t>
      </w:r>
      <w:r w:rsidR="007E5E31" w:rsidRPr="00E56C0C">
        <w:rPr>
          <w:i/>
          <w:iCs/>
          <w:sz w:val="20"/>
          <w:szCs w:val="20"/>
          <w:lang w:val="es-CO"/>
        </w:rPr>
        <w:t>prima facie</w:t>
      </w:r>
      <w:r w:rsidR="007E5E31" w:rsidRPr="00E56C0C">
        <w:rPr>
          <w:sz w:val="20"/>
          <w:szCs w:val="20"/>
          <w:lang w:val="es-CO"/>
        </w:rPr>
        <w:t>, la Comisión advierte que subsiste una controversia sobre el cumplimiento del fallo que concedió la indemnización laboral a favor y si la falta de ejecución puede caracterizar una violación de los derechos a la protección judicial y al trabajo.</w:t>
      </w:r>
    </w:p>
    <w:p w14:paraId="35CD31D6" w14:textId="5802727D" w:rsidR="006E621A" w:rsidRPr="00E36C91" w:rsidRDefault="008C5E2D" w:rsidP="006E62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6E621A">
        <w:rPr>
          <w:sz w:val="20"/>
          <w:szCs w:val="20"/>
          <w:lang w:val="es-ES"/>
        </w:rPr>
        <w:t>En aten</w:t>
      </w:r>
      <w:r w:rsidR="00C25ADB" w:rsidRPr="006E621A">
        <w:rPr>
          <w:sz w:val="20"/>
          <w:szCs w:val="20"/>
          <w:lang w:val="es-ES"/>
        </w:rPr>
        <w:t xml:space="preserve">ción a estas consideraciones y </w:t>
      </w:r>
      <w:r w:rsidRPr="006E621A">
        <w:rPr>
          <w:sz w:val="20"/>
          <w:szCs w:val="20"/>
          <w:lang w:val="es-ES"/>
        </w:rPr>
        <w:t>tras examinar los elementos de hecho y de derecho expuestos por las partes la Comisión estima que las alegaciones de la parte peticionaria no resultan manifiestamente infundadas y requieren un estudio de fondo</w:t>
      </w:r>
      <w:r w:rsidR="00394073" w:rsidRPr="006E621A">
        <w:rPr>
          <w:sz w:val="20"/>
          <w:szCs w:val="20"/>
          <w:lang w:val="es-ES"/>
        </w:rPr>
        <w:t>;</w:t>
      </w:r>
      <w:r w:rsidRPr="006E621A">
        <w:rPr>
          <w:sz w:val="20"/>
          <w:szCs w:val="20"/>
          <w:lang w:val="es-ES"/>
        </w:rPr>
        <w:t xml:space="preserve"> pues los hechos alegados, de corroborarse como ciertos</w:t>
      </w:r>
      <w:r w:rsidR="00394073" w:rsidRPr="006E621A">
        <w:rPr>
          <w:sz w:val="20"/>
          <w:szCs w:val="20"/>
          <w:lang w:val="es-ES"/>
        </w:rPr>
        <w:t>,</w:t>
      </w:r>
      <w:r w:rsidRPr="006E621A">
        <w:rPr>
          <w:sz w:val="20"/>
          <w:szCs w:val="20"/>
          <w:lang w:val="es-ES"/>
        </w:rPr>
        <w:t xml:space="preserve"> podrían caracteri</w:t>
      </w:r>
      <w:r w:rsidR="004B421C" w:rsidRPr="006E621A">
        <w:rPr>
          <w:sz w:val="20"/>
          <w:szCs w:val="20"/>
          <w:lang w:val="es-ES"/>
        </w:rPr>
        <w:t>zar violaciones a los artículos</w:t>
      </w:r>
      <w:r w:rsidR="00394073" w:rsidRPr="006E621A">
        <w:rPr>
          <w:sz w:val="20"/>
          <w:szCs w:val="20"/>
          <w:lang w:val="es-ES"/>
        </w:rPr>
        <w:t xml:space="preserve"> </w:t>
      </w:r>
      <w:r w:rsidR="00E36C91">
        <w:rPr>
          <w:sz w:val="20"/>
          <w:szCs w:val="20"/>
          <w:lang w:val="es-ES"/>
        </w:rPr>
        <w:t>25 (protección judicial) y 26 (derechos económicos, sociales y culturales)</w:t>
      </w:r>
      <w:r w:rsidR="00394073" w:rsidRPr="006E621A">
        <w:rPr>
          <w:sz w:val="20"/>
          <w:szCs w:val="20"/>
          <w:lang w:val="es-ES"/>
        </w:rPr>
        <w:t xml:space="preserve"> </w:t>
      </w:r>
      <w:r w:rsidR="00394073" w:rsidRPr="00E36C91">
        <w:rPr>
          <w:sz w:val="20"/>
          <w:szCs w:val="20"/>
          <w:lang w:val="es-ES"/>
        </w:rPr>
        <w:t xml:space="preserve">en perjuicio de </w:t>
      </w:r>
      <w:r w:rsidR="00E36C91">
        <w:rPr>
          <w:sz w:val="20"/>
          <w:szCs w:val="20"/>
          <w:lang w:val="es-ES"/>
        </w:rPr>
        <w:t xml:space="preserve">Orlando René Sanjur </w:t>
      </w:r>
      <w:r w:rsidR="00394073" w:rsidRPr="00E36C91">
        <w:rPr>
          <w:sz w:val="20"/>
          <w:szCs w:val="20"/>
          <w:lang w:val="es-US"/>
        </w:rPr>
        <w:t>en los términos del presente informe</w:t>
      </w:r>
      <w:r w:rsidR="00394073" w:rsidRPr="00E36C91">
        <w:rPr>
          <w:sz w:val="20"/>
          <w:szCs w:val="20"/>
          <w:lang w:val="es-ES"/>
        </w:rPr>
        <w:t>.</w:t>
      </w:r>
    </w:p>
    <w:p w14:paraId="445BF42E" w14:textId="77777777" w:rsidR="003239B8" w:rsidRPr="0078770A" w:rsidRDefault="003239B8" w:rsidP="003239B8">
      <w:pPr>
        <w:pStyle w:val="ListParagraph"/>
        <w:jc w:val="both"/>
        <w:rPr>
          <w:rFonts w:asciiTheme="majorHAnsi" w:hAnsiTheme="majorHAnsi"/>
          <w:b/>
          <w:bCs/>
          <w:sz w:val="20"/>
          <w:szCs w:val="20"/>
          <w:lang w:val="es-ES"/>
        </w:rPr>
      </w:pPr>
      <w:r w:rsidRPr="0078770A">
        <w:rPr>
          <w:rFonts w:asciiTheme="majorHAnsi" w:hAnsiTheme="majorHAnsi"/>
          <w:b/>
          <w:bCs/>
          <w:sz w:val="20"/>
          <w:szCs w:val="20"/>
          <w:lang w:val="es-ES"/>
        </w:rPr>
        <w:lastRenderedPageBreak/>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16B36F97" w14:textId="78585E2F" w:rsidR="003239B8" w:rsidRPr="000419AD"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Declarar admisible la presente petición en relación con</w:t>
      </w:r>
      <w:r w:rsidR="001D7F96">
        <w:rPr>
          <w:rFonts w:asciiTheme="majorHAnsi" w:hAnsiTheme="majorHAnsi"/>
          <w:sz w:val="20"/>
          <w:szCs w:val="20"/>
          <w:lang w:val="es-ES"/>
        </w:rPr>
        <w:t xml:space="preserve"> </w:t>
      </w:r>
      <w:r w:rsidR="00E36C91">
        <w:rPr>
          <w:rFonts w:asciiTheme="majorHAnsi" w:hAnsiTheme="majorHAnsi"/>
          <w:sz w:val="20"/>
          <w:szCs w:val="20"/>
          <w:lang w:val="es-ES"/>
        </w:rPr>
        <w:t>los artículos 25 y 26 de la Convención Americana, en conexión con su artículo 1.1</w:t>
      </w:r>
      <w:r w:rsidR="00A758AA">
        <w:rPr>
          <w:rFonts w:asciiTheme="majorHAnsi" w:hAnsiTheme="majorHAnsi"/>
          <w:sz w:val="20"/>
          <w:szCs w:val="20"/>
          <w:lang w:val="es-ES"/>
        </w:rPr>
        <w:t>;</w:t>
      </w:r>
      <w:r w:rsidR="007B76D3">
        <w:rPr>
          <w:rFonts w:asciiTheme="majorHAnsi" w:hAnsiTheme="majorHAnsi"/>
          <w:sz w:val="20"/>
          <w:szCs w:val="20"/>
          <w:lang w:val="es-ES"/>
        </w:rPr>
        <w:t xml:space="preserve"> y</w:t>
      </w:r>
    </w:p>
    <w:p w14:paraId="02C904B2" w14:textId="0CBF1A0A" w:rsidR="009A56CE" w:rsidRDefault="004A6A54" w:rsidP="003B281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 xml:space="preserve">Notificar a las partes la presente decisión; </w:t>
      </w:r>
      <w:r w:rsidRPr="00E36C91">
        <w:rPr>
          <w:rFonts w:asciiTheme="majorHAnsi" w:hAnsiTheme="majorHAnsi"/>
          <w:sz w:val="20"/>
          <w:szCs w:val="20"/>
          <w:lang w:val="es-ES"/>
        </w:rPr>
        <w:t>continuar con el análisis del fondo de la cuestión</w:t>
      </w:r>
      <w:r w:rsidRPr="009B7794">
        <w:rPr>
          <w:rFonts w:asciiTheme="majorHAnsi" w:hAnsiTheme="majorHAnsi"/>
          <w:sz w:val="20"/>
          <w:szCs w:val="20"/>
          <w:lang w:val="es-ES"/>
        </w:rPr>
        <w:t>; y publicar esta decisión e incluirla en su Informe Anual a la Asamblea General de la Organización de los Estados Americanos.</w:t>
      </w:r>
    </w:p>
    <w:p w14:paraId="6D2123DB" w14:textId="65532270" w:rsidR="00C34944" w:rsidRPr="004F4BE1" w:rsidRDefault="00C34944" w:rsidP="004F4BE1">
      <w:pPr>
        <w:suppressAutoHyphens/>
        <w:jc w:val="both"/>
        <w:rPr>
          <w:rStyle w:val="eop"/>
          <w:rFonts w:ascii="Segoe UI" w:hAnsi="Segoe UI" w:cs="Segoe UI"/>
          <w:sz w:val="18"/>
          <w:szCs w:val="18"/>
          <w:lang w:val="es-ES"/>
        </w:rPr>
      </w:pPr>
      <w:r>
        <w:rPr>
          <w:rFonts w:ascii="Cambria" w:hAnsi="Cambria" w:cs="Arial"/>
          <w:b/>
          <w:noProof/>
          <w:spacing w:val="-2"/>
          <w:sz w:val="20"/>
          <w:szCs w:val="20"/>
          <w:lang w:val="es-ES"/>
        </w:rPr>
        <w:tab/>
      </w:r>
      <w:r>
        <w:rPr>
          <w:rStyle w:val="normaltextrun"/>
          <w:rFonts w:ascii="Cambria" w:hAnsi="Cambria" w:cs="Segoe UI"/>
          <w:sz w:val="20"/>
          <w:szCs w:val="20"/>
          <w:lang w:val="es-CL"/>
        </w:rPr>
        <w:t>Apro</w:t>
      </w:r>
      <w:r w:rsidRPr="00447B2B">
        <w:rPr>
          <w:rStyle w:val="normaltextrun"/>
          <w:rFonts w:ascii="Cambria" w:hAnsi="Cambria" w:cs="Segoe UI"/>
          <w:sz w:val="20"/>
          <w:szCs w:val="20"/>
          <w:lang w:val="es-CL"/>
        </w:rPr>
        <w:t xml:space="preserve">bado por la Comisión Interamericana de Derechos Humanos a los </w:t>
      </w:r>
      <w:r w:rsidR="00447B2B" w:rsidRPr="00447B2B">
        <w:rPr>
          <w:rStyle w:val="normaltextrun"/>
          <w:rFonts w:ascii="Cambria" w:hAnsi="Cambria" w:cs="Segoe UI"/>
          <w:sz w:val="20"/>
          <w:szCs w:val="20"/>
          <w:lang w:val="es-CL"/>
        </w:rPr>
        <w:t>10</w:t>
      </w:r>
      <w:r w:rsidRPr="00447B2B">
        <w:rPr>
          <w:rStyle w:val="normaltextrun"/>
          <w:rFonts w:ascii="Cambria" w:hAnsi="Cambria" w:cs="Segoe UI"/>
          <w:sz w:val="20"/>
          <w:szCs w:val="20"/>
          <w:lang w:val="es-CL"/>
        </w:rPr>
        <w:t xml:space="preserve"> días del mes de </w:t>
      </w:r>
      <w:r w:rsidR="00447B2B" w:rsidRPr="00447B2B">
        <w:rPr>
          <w:rStyle w:val="normaltextrun"/>
          <w:rFonts w:ascii="Cambria" w:hAnsi="Cambria" w:cs="Segoe UI"/>
          <w:sz w:val="20"/>
          <w:szCs w:val="20"/>
          <w:lang w:val="es-CL"/>
        </w:rPr>
        <w:t>marzo</w:t>
      </w:r>
      <w:r w:rsidRPr="00447B2B">
        <w:rPr>
          <w:rStyle w:val="normaltextrun"/>
          <w:rFonts w:ascii="Cambria" w:hAnsi="Cambria" w:cs="Segoe UI"/>
          <w:sz w:val="20"/>
          <w:szCs w:val="20"/>
          <w:lang w:val="es-CL"/>
        </w:rPr>
        <w:t xml:space="preserve"> de 20</w:t>
      </w:r>
      <w:r w:rsidR="00447B2B" w:rsidRPr="00447B2B">
        <w:rPr>
          <w:rStyle w:val="normaltextrun"/>
          <w:rFonts w:ascii="Cambria" w:hAnsi="Cambria" w:cs="Segoe UI"/>
          <w:sz w:val="20"/>
          <w:szCs w:val="20"/>
          <w:lang w:val="es-CL"/>
        </w:rPr>
        <w:t>25</w:t>
      </w:r>
      <w:r w:rsidRPr="00447B2B">
        <w:rPr>
          <w:rStyle w:val="normaltextrun"/>
          <w:rFonts w:ascii="Cambria" w:hAnsi="Cambria" w:cs="Segoe UI"/>
          <w:sz w:val="20"/>
          <w:szCs w:val="20"/>
          <w:lang w:val="es-CL"/>
        </w:rPr>
        <w:t xml:space="preserve">.  (Firmado): Arif Bulkan, Segundo Vicepresidente; Roberta Clarke, Carlos Bernal Pulido y Gloria Monique de Mees, </w:t>
      </w:r>
      <w:r w:rsidR="004F4BE1">
        <w:rPr>
          <w:rStyle w:val="normaltextrun"/>
          <w:rFonts w:ascii="Cambria" w:hAnsi="Cambria" w:cs="Segoe UI"/>
          <w:sz w:val="20"/>
          <w:szCs w:val="20"/>
          <w:lang w:val="es-CL"/>
        </w:rPr>
        <w:t>m</w:t>
      </w:r>
      <w:r w:rsidRPr="00447B2B">
        <w:rPr>
          <w:rStyle w:val="normaltextrun"/>
          <w:rFonts w:ascii="Cambria" w:hAnsi="Cambria" w:cs="Segoe UI"/>
          <w:sz w:val="20"/>
          <w:szCs w:val="20"/>
          <w:lang w:val="es-CL"/>
        </w:rPr>
        <w:t xml:space="preserve">iembros de la Comisión. </w:t>
      </w:r>
      <w:r w:rsidRPr="00447B2B">
        <w:rPr>
          <w:rStyle w:val="eop"/>
          <w:rFonts w:ascii="Cambria" w:hAnsi="Cambria" w:cs="Segoe UI"/>
          <w:sz w:val="20"/>
          <w:szCs w:val="20"/>
          <w:lang w:val="es-ES"/>
        </w:rPr>
        <w:t> </w:t>
      </w:r>
    </w:p>
    <w:p w14:paraId="257070CC" w14:textId="77777777" w:rsidR="007C2B28" w:rsidRPr="003B2812" w:rsidRDefault="007C2B28" w:rsidP="007C2B2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p>
    <w:sectPr w:rsidR="007C2B28" w:rsidRPr="003B281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4B528" w14:textId="77777777" w:rsidR="002833AB" w:rsidRDefault="002833AB">
      <w:r>
        <w:separator/>
      </w:r>
    </w:p>
  </w:endnote>
  <w:endnote w:type="continuationSeparator" w:id="0">
    <w:p w14:paraId="32E51D7F" w14:textId="77777777" w:rsidR="002833AB" w:rsidRDefault="002833AB">
      <w:r>
        <w:continuationSeparator/>
      </w:r>
    </w:p>
  </w:endnote>
  <w:endnote w:type="continuationNotice" w:id="1">
    <w:p w14:paraId="6C40FB1E" w14:textId="77777777" w:rsidR="002833AB" w:rsidRDefault="00283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5575B" w14:textId="77777777" w:rsidR="002833AB" w:rsidRPr="000F35ED" w:rsidRDefault="002833A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BBA95CD" w14:textId="77777777" w:rsidR="002833AB" w:rsidRPr="000F35ED" w:rsidRDefault="002833AB" w:rsidP="000F35ED">
      <w:pPr>
        <w:rPr>
          <w:rFonts w:asciiTheme="majorHAnsi" w:hAnsiTheme="majorHAnsi"/>
          <w:sz w:val="16"/>
          <w:szCs w:val="16"/>
        </w:rPr>
      </w:pPr>
      <w:r w:rsidRPr="000F35ED">
        <w:rPr>
          <w:rFonts w:asciiTheme="majorHAnsi" w:hAnsiTheme="majorHAnsi"/>
          <w:sz w:val="16"/>
          <w:szCs w:val="16"/>
        </w:rPr>
        <w:separator/>
      </w:r>
    </w:p>
    <w:p w14:paraId="10119D36" w14:textId="77777777" w:rsidR="002833AB" w:rsidRPr="000F35ED" w:rsidRDefault="002833A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AA860F1" w14:textId="77777777" w:rsidR="002833AB" w:rsidRPr="000F35ED" w:rsidRDefault="002833A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FED5088" w14:textId="77777777" w:rsidR="005D7CC9" w:rsidRPr="00590130" w:rsidRDefault="005D7CC9" w:rsidP="00C62189">
      <w:pPr>
        <w:pStyle w:val="FootnoteText"/>
        <w:rPr>
          <w:lang w:val="es-CO"/>
        </w:rPr>
      </w:pPr>
      <w:r w:rsidRPr="00343CD2">
        <w:rPr>
          <w:rStyle w:val="FootnoteReference"/>
        </w:rPr>
        <w:footnoteRef/>
      </w:r>
      <w:r w:rsidRPr="00590130">
        <w:rPr>
          <w:lang w:val="es-CO"/>
        </w:rPr>
        <w:t xml:space="preserve"> En adelante “la Convención Americana” o “la Convención”.</w:t>
      </w:r>
    </w:p>
  </w:footnote>
  <w:footnote w:id="3">
    <w:p w14:paraId="1AFEF3B0" w14:textId="12AA41F4" w:rsidR="008E3BFE" w:rsidRPr="00590130" w:rsidRDefault="008E3BFE" w:rsidP="00C62189">
      <w:pPr>
        <w:pStyle w:val="FootnoteText"/>
        <w:rPr>
          <w:lang w:val="es-CO"/>
        </w:rPr>
      </w:pPr>
      <w:r w:rsidRPr="005D7CC9">
        <w:rPr>
          <w:rStyle w:val="FootnoteReference"/>
        </w:rPr>
        <w:footnoteRef/>
      </w:r>
      <w:r w:rsidRPr="00590130">
        <w:rPr>
          <w:lang w:val="es-CO"/>
        </w:rPr>
        <w:t xml:space="preserve"> Las observaciones de cada parte fueron debidamente trasladadas a la parte contrari</w:t>
      </w:r>
      <w:r w:rsidR="005D7CC9" w:rsidRPr="00590130">
        <w:rPr>
          <w:lang w:val="es-CO"/>
        </w:rPr>
        <w:t>a.</w:t>
      </w:r>
      <w:r w:rsidR="009A56CE" w:rsidRPr="00590130">
        <w:rPr>
          <w:lang w:val="es-CO"/>
        </w:rPr>
        <w:t xml:space="preserve"> </w:t>
      </w:r>
    </w:p>
  </w:footnote>
  <w:footnote w:id="4">
    <w:p w14:paraId="000312BA" w14:textId="1B9233F6" w:rsidR="00014772" w:rsidRPr="00590130" w:rsidRDefault="00014772" w:rsidP="008951FB">
      <w:pPr>
        <w:pStyle w:val="FootnoteText"/>
        <w:rPr>
          <w:lang w:val="es-CO"/>
        </w:rPr>
      </w:pPr>
      <w:r w:rsidRPr="00C1452B">
        <w:rPr>
          <w:rStyle w:val="FootnoteReference"/>
          <w:rFonts w:ascii="Cambria" w:hAnsi="Cambria"/>
        </w:rPr>
        <w:footnoteRef/>
      </w:r>
      <w:r w:rsidRPr="00590130">
        <w:rPr>
          <w:lang w:val="es-CO"/>
        </w:rPr>
        <w:t xml:space="preserve"> CIDH, </w:t>
      </w:r>
      <w:r w:rsidR="00CD3B23" w:rsidRPr="00CD3B23">
        <w:rPr>
          <w:lang w:val="es-CO"/>
        </w:rPr>
        <w:t>Informe No. 75/24. Petición 1776-20. Admisibilidad. A.R.H. Colombia. 5 de junio de 2024</w:t>
      </w:r>
      <w:r w:rsidR="00CD3B23">
        <w:rPr>
          <w:lang w:val="es-CO"/>
        </w:rPr>
        <w:t xml:space="preserve">, párr. 28; e, </w:t>
      </w:r>
      <w:r w:rsidRPr="00590130">
        <w:rPr>
          <w:lang w:val="es-CO"/>
        </w:rPr>
        <w:t>Informe No. 16/18, Petición 884-07. Admisibilidad. Victoria Piedad Palacios Tejada de Saavedra. Perú. 24 de febrero de 2018, párr. 12.</w:t>
      </w:r>
    </w:p>
  </w:footnote>
  <w:footnote w:id="5">
    <w:p w14:paraId="10F20C57" w14:textId="77777777" w:rsidR="00014772" w:rsidRPr="00590130" w:rsidRDefault="00014772" w:rsidP="00C62189">
      <w:pPr>
        <w:pStyle w:val="FootnoteText"/>
        <w:rPr>
          <w:lang w:val="es-CO"/>
        </w:rPr>
      </w:pPr>
      <w:r w:rsidRPr="00C1452B">
        <w:rPr>
          <w:rStyle w:val="FootnoteReference"/>
          <w:rFonts w:ascii="Cambria" w:hAnsi="Cambria"/>
        </w:rPr>
        <w:footnoteRef/>
      </w:r>
      <w:r w:rsidRPr="00590130">
        <w:rPr>
          <w:lang w:val="es-CO"/>
        </w:rPr>
        <w:t xml:space="preserve"> Corte IDH. Caso Olivera Fuentes Vs. Perú. Excepciones Preliminares, Fondo, Reparaciones y Costas. Sentencia de 4 de febrero de 2023. Serie C No. 484, párr. </w:t>
      </w:r>
      <w:r w:rsidRPr="00590130">
        <w:rPr>
          <w:color w:val="auto"/>
          <w:lang w:val="es-CO"/>
        </w:rPr>
        <w:t xml:space="preserve">25; </w:t>
      </w:r>
      <w:r w:rsidRPr="00590130">
        <w:rPr>
          <w:rFonts w:cs="Open Sans"/>
          <w:color w:val="auto"/>
          <w:shd w:val="clear" w:color="auto" w:fill="FFFFFF"/>
          <w:lang w:val="es-CO"/>
        </w:rPr>
        <w:t>Corte IDH. Caso Cortez Espinoza Vs. Ecuador. Excepciones Preliminares, Fondo, Reparaciones y Costas. Sentencia de 18 de octubre de 2022. Serie C No. 468, párr. 24; y</w:t>
      </w:r>
      <w:r w:rsidRPr="00590130">
        <w:rPr>
          <w:color w:val="auto"/>
          <w:lang w:val="es-CO"/>
        </w:rPr>
        <w:t xml:space="preserve"> </w:t>
      </w:r>
      <w:r w:rsidRPr="00590130">
        <w:rPr>
          <w:lang w:val="es-CO"/>
        </w:rPr>
        <w:t>Corte IDH. Caso Escher y otros Vs. Brasil. Excepciones Preliminares, Fondo, Reparaciones y Costas. Sentencia de 6 de julio de 2009. Serie C No. 200, párr. 38.</w:t>
      </w:r>
    </w:p>
  </w:footnote>
  <w:footnote w:id="6">
    <w:p w14:paraId="30E4746C" w14:textId="77777777" w:rsidR="00F905DC" w:rsidRPr="00590130" w:rsidRDefault="00F905DC" w:rsidP="00C62189">
      <w:pPr>
        <w:pStyle w:val="FootnoteText"/>
        <w:rPr>
          <w:lang w:val="es-CO"/>
        </w:rPr>
      </w:pPr>
      <w:r w:rsidRPr="00F905DC">
        <w:rPr>
          <w:rStyle w:val="FootnoteReference"/>
        </w:rPr>
        <w:footnoteRef/>
      </w:r>
      <w:r w:rsidRPr="005B678C">
        <w:rPr>
          <w:lang w:val="es-ES"/>
        </w:rPr>
        <w:t xml:space="preserve"> Corte IDH. Caso Yangali Iparraguirre Vs. </w:t>
      </w:r>
      <w:r w:rsidRPr="00590130">
        <w:rPr>
          <w:lang w:val="es-CO"/>
        </w:rPr>
        <w:t xml:space="preserve">Perú. Excepciones Preliminares, Fondo, Reparaciones y Costas. Sentencia de 11 de marzo de 2024. Serie C No. 518, párr. 146; Caso Integrantes y Militantes de la Unión Patriótica Vs. Colombia. Excepciones Preliminares, Fondo, Reparaciones y Costas. Sentencia de 27 de julio de 2022. Serie C No. 455, párr. 501; y, Caso de los “Niños de la Calle” (Villagrán Morales y otros) Vs. Guatemala. Fondo. Sentencia de 19 de noviembre de 1999. Serie C No. 63, párr. 237. </w:t>
      </w:r>
    </w:p>
  </w:footnote>
  <w:footnote w:id="7">
    <w:p w14:paraId="47531253" w14:textId="77777777" w:rsidR="00F905DC" w:rsidRPr="00F905DC" w:rsidRDefault="00F905DC" w:rsidP="00C62189">
      <w:pPr>
        <w:pStyle w:val="FootnoteText"/>
      </w:pPr>
      <w:r w:rsidRPr="00F905DC">
        <w:rPr>
          <w:rStyle w:val="FootnoteReference"/>
        </w:rPr>
        <w:footnoteRef/>
      </w:r>
      <w:r w:rsidRPr="00590130">
        <w:rPr>
          <w:lang w:val="es-CO"/>
        </w:rPr>
        <w:t xml:space="preserve"> Corte IDH. Caso Honorato y otros Vs. Brasil. Excepciones Preliminares, Fondo, Reparaciones y Costas. Sentencia de 27 de noviembre de 2023. Serie C No. 508, párr. 135; y, Caso Muelle Flores Vs. Perú. Excepciones Preliminares, Fondo, Reparaciones y Costas. Sentencia de 6 de marzo de 2019. </w:t>
      </w:r>
      <w:r w:rsidRPr="00F905DC">
        <w:t>Serie C No. 375, párr. 124.</w:t>
      </w:r>
    </w:p>
  </w:footnote>
  <w:footnote w:id="8">
    <w:p w14:paraId="58F2D1BE" w14:textId="77777777" w:rsidR="00F905DC" w:rsidRPr="00590130" w:rsidRDefault="00F905DC" w:rsidP="00C62189">
      <w:pPr>
        <w:pStyle w:val="FootnoteText"/>
        <w:rPr>
          <w:lang w:val="es-CO"/>
        </w:rPr>
      </w:pPr>
      <w:r w:rsidRPr="00F905DC">
        <w:rPr>
          <w:rStyle w:val="FootnoteReference"/>
        </w:rPr>
        <w:footnoteRef/>
      </w:r>
      <w:r w:rsidRPr="00F905DC">
        <w:t xml:space="preserve"> Corte IDH. Caso Yangali Iparraguirre Vs. </w:t>
      </w:r>
      <w:r w:rsidRPr="00590130">
        <w:rPr>
          <w:lang w:val="es-CO"/>
        </w:rPr>
        <w:t>Perú. Excepciones Preliminares, Fondo, Reparaciones y Costas. Sentencia de 11 de marzo de 2024. Serie C No. 518, párrs. 147 y 148.</w:t>
      </w:r>
    </w:p>
  </w:footnote>
  <w:footnote w:id="9">
    <w:p w14:paraId="71BAF8C4" w14:textId="504F2464" w:rsidR="005F0FC7" w:rsidRPr="005F0FC7" w:rsidRDefault="005F0FC7" w:rsidP="005F0FC7">
      <w:pPr>
        <w:pStyle w:val="FootnoteText"/>
        <w:rPr>
          <w:lang w:val="es-CO"/>
        </w:rPr>
      </w:pPr>
      <w:r>
        <w:rPr>
          <w:rStyle w:val="FootnoteReference"/>
        </w:rPr>
        <w:footnoteRef/>
      </w:r>
      <w:r w:rsidRPr="005F0FC7">
        <w:rPr>
          <w:lang w:val="es-CO"/>
        </w:rPr>
        <w:t xml:space="preserve"> </w:t>
      </w:r>
      <w:r>
        <w:rPr>
          <w:lang w:val="es-CO"/>
        </w:rPr>
        <w:t xml:space="preserve">CIDH, </w:t>
      </w:r>
      <w:r w:rsidRPr="005F0FC7">
        <w:rPr>
          <w:lang w:val="es-CO"/>
        </w:rPr>
        <w:t>Informe No. 10/09</w:t>
      </w:r>
      <w:r w:rsidR="008951FB">
        <w:rPr>
          <w:lang w:val="es-CO"/>
        </w:rPr>
        <w:t xml:space="preserve">. </w:t>
      </w:r>
      <w:r w:rsidR="008951FB" w:rsidRPr="005F0FC7">
        <w:rPr>
          <w:lang w:val="es-CO"/>
        </w:rPr>
        <w:t>Petición 4071-02</w:t>
      </w:r>
      <w:r w:rsidR="008951FB">
        <w:rPr>
          <w:lang w:val="es-CO"/>
        </w:rPr>
        <w:t xml:space="preserve">. </w:t>
      </w:r>
      <w:r w:rsidR="00AC40DE" w:rsidRPr="005F0FC7">
        <w:rPr>
          <w:lang w:val="es-CO"/>
        </w:rPr>
        <w:t>Admisibilidad</w:t>
      </w:r>
      <w:r w:rsidR="00AC40DE">
        <w:rPr>
          <w:lang w:val="es-CO"/>
        </w:rPr>
        <w:t xml:space="preserve">. </w:t>
      </w:r>
      <w:r w:rsidR="008951FB" w:rsidRPr="005F0FC7">
        <w:rPr>
          <w:lang w:val="es-CO"/>
        </w:rPr>
        <w:t>Mercedes Eladia Farelo</w:t>
      </w:r>
      <w:r w:rsidR="008951FB">
        <w:rPr>
          <w:lang w:val="es-CO"/>
        </w:rPr>
        <w:t>.</w:t>
      </w:r>
      <w:r w:rsidR="008951FB" w:rsidRPr="005F0FC7">
        <w:rPr>
          <w:lang w:val="es-CO"/>
        </w:rPr>
        <w:t xml:space="preserve"> </w:t>
      </w:r>
      <w:r w:rsidR="00AC40DE" w:rsidRPr="005F0FC7">
        <w:rPr>
          <w:lang w:val="es-CO"/>
        </w:rPr>
        <w:t>Argentina</w:t>
      </w:r>
      <w:r w:rsidR="00AC40DE">
        <w:rPr>
          <w:lang w:val="es-CO"/>
        </w:rPr>
        <w:t xml:space="preserve">. </w:t>
      </w:r>
      <w:r w:rsidRPr="005F0FC7">
        <w:rPr>
          <w:lang w:val="es-CO"/>
        </w:rPr>
        <w:t>19 de marzo de 2009</w:t>
      </w:r>
      <w:r w:rsidR="00AC40DE">
        <w:rPr>
          <w:lang w:val="es-CO"/>
        </w:rPr>
        <w:t>.</w:t>
      </w:r>
    </w:p>
  </w:footnote>
  <w:footnote w:id="10">
    <w:p w14:paraId="70DC5892" w14:textId="42F47EEE" w:rsidR="00113417" w:rsidRPr="009C0D87" w:rsidRDefault="00113417" w:rsidP="00E1117B">
      <w:pPr>
        <w:pStyle w:val="FootnoteText"/>
        <w:rPr>
          <w:lang w:val="es-CO"/>
        </w:rPr>
      </w:pPr>
      <w:r>
        <w:rPr>
          <w:rStyle w:val="FootnoteReference"/>
        </w:rPr>
        <w:footnoteRef/>
      </w:r>
      <w:r w:rsidRPr="00AD17F3">
        <w:rPr>
          <w:lang w:val="es-CO"/>
        </w:rPr>
        <w:t xml:space="preserve"> </w:t>
      </w:r>
      <w:r w:rsidR="00AD17F3" w:rsidRPr="009F58F5">
        <w:rPr>
          <w:i/>
          <w:iCs/>
          <w:lang w:val="es-CO"/>
        </w:rPr>
        <w:t>Ver:</w:t>
      </w:r>
      <w:r w:rsidR="00AD17F3" w:rsidRPr="00AD17F3">
        <w:rPr>
          <w:lang w:val="es-CO"/>
        </w:rPr>
        <w:t xml:space="preserve"> C</w:t>
      </w:r>
      <w:r w:rsidR="00AD17F3">
        <w:rPr>
          <w:lang w:val="es-CO"/>
        </w:rPr>
        <w:t xml:space="preserve">orte </w:t>
      </w:r>
      <w:r w:rsidR="00AD17F3" w:rsidRPr="00AD17F3">
        <w:rPr>
          <w:lang w:val="es-CO"/>
        </w:rPr>
        <w:t>I</w:t>
      </w:r>
      <w:r w:rsidR="00AD17F3">
        <w:rPr>
          <w:lang w:val="es-CO"/>
        </w:rPr>
        <w:t xml:space="preserve">nternacional de </w:t>
      </w:r>
      <w:r w:rsidR="00AD17F3" w:rsidRPr="00AD17F3">
        <w:rPr>
          <w:lang w:val="es-CO"/>
        </w:rPr>
        <w:t>J</w:t>
      </w:r>
      <w:r w:rsidR="00AD17F3">
        <w:rPr>
          <w:lang w:val="es-CO"/>
        </w:rPr>
        <w:t>usticia,</w:t>
      </w:r>
      <w:r w:rsidR="00AD17F3" w:rsidRPr="00AD17F3">
        <w:rPr>
          <w:lang w:val="es-CO"/>
        </w:rPr>
        <w:t xml:space="preserve"> Caso Inmunidades Jurisdiccionales del Estado (Alemania Vs. </w:t>
      </w:r>
      <w:r w:rsidR="00AD17F3" w:rsidRPr="009F58F5">
        <w:rPr>
          <w:lang w:val="es-CO"/>
        </w:rPr>
        <w:t>Italia). Sentencia de 3 de febrero de 2012, párrs. 113-120</w:t>
      </w:r>
      <w:r w:rsidR="009F58F5" w:rsidRPr="009F58F5">
        <w:rPr>
          <w:lang w:val="es-CO"/>
        </w:rPr>
        <w:t>;</w:t>
      </w:r>
      <w:r w:rsidR="009F58F5">
        <w:rPr>
          <w:lang w:val="es-CO"/>
        </w:rPr>
        <w:t xml:space="preserve"> </w:t>
      </w:r>
      <w:r w:rsidR="007325B7" w:rsidRPr="007325B7">
        <w:rPr>
          <w:lang w:val="es-CO"/>
        </w:rPr>
        <w:t>T</w:t>
      </w:r>
      <w:r w:rsidR="007325B7">
        <w:rPr>
          <w:lang w:val="es-CO"/>
        </w:rPr>
        <w:t xml:space="preserve">ribunal </w:t>
      </w:r>
      <w:r w:rsidR="007325B7" w:rsidRPr="007325B7">
        <w:rPr>
          <w:lang w:val="es-CO"/>
        </w:rPr>
        <w:t>E</w:t>
      </w:r>
      <w:r w:rsidR="007325B7">
        <w:rPr>
          <w:lang w:val="es-CO"/>
        </w:rPr>
        <w:t xml:space="preserve">uropeo de </w:t>
      </w:r>
      <w:r w:rsidR="007325B7" w:rsidRPr="007325B7">
        <w:rPr>
          <w:lang w:val="es-CO"/>
        </w:rPr>
        <w:t>D</w:t>
      </w:r>
      <w:r w:rsidR="007325B7">
        <w:rPr>
          <w:lang w:val="es-CO"/>
        </w:rPr>
        <w:t xml:space="preserve">erechos </w:t>
      </w:r>
      <w:r w:rsidR="007325B7" w:rsidRPr="007325B7">
        <w:rPr>
          <w:lang w:val="es-CO"/>
        </w:rPr>
        <w:t>H</w:t>
      </w:r>
      <w:r w:rsidR="007325B7">
        <w:rPr>
          <w:lang w:val="es-CO"/>
        </w:rPr>
        <w:t>umanos</w:t>
      </w:r>
      <w:r w:rsidR="00E1117B">
        <w:rPr>
          <w:lang w:val="es-CO"/>
        </w:rPr>
        <w:t xml:space="preserve"> (“TEDH”)</w:t>
      </w:r>
      <w:r w:rsidR="007325B7">
        <w:rPr>
          <w:lang w:val="es-CO"/>
        </w:rPr>
        <w:t>,</w:t>
      </w:r>
      <w:r w:rsidR="007325B7" w:rsidRPr="007325B7">
        <w:rPr>
          <w:lang w:val="es-CO"/>
        </w:rPr>
        <w:t xml:space="preserve"> Caso Wallishauser Vs. Austria No. 2. Sentencia de 20 de junio de 2013, párrs. 39 y 69</w:t>
      </w:r>
      <w:r w:rsidR="007325B7">
        <w:rPr>
          <w:lang w:val="es-CO"/>
        </w:rPr>
        <w:t>;</w:t>
      </w:r>
      <w:r w:rsidR="00E1117B">
        <w:rPr>
          <w:lang w:val="es-CO"/>
        </w:rPr>
        <w:t xml:space="preserve"> TEDH, </w:t>
      </w:r>
      <w:r w:rsidR="00E1117B" w:rsidRPr="00E1117B">
        <w:rPr>
          <w:lang w:val="es-CO"/>
        </w:rPr>
        <w:t xml:space="preserve">Caso Hirschhorn Vs. Rumania. Sentencia de 26 de </w:t>
      </w:r>
      <w:r w:rsidR="00E1117B" w:rsidRPr="00976C2F">
        <w:rPr>
          <w:lang w:val="es-CO"/>
        </w:rPr>
        <w:t>julio</w:t>
      </w:r>
      <w:r w:rsidR="00E1117B" w:rsidRPr="00E1117B">
        <w:rPr>
          <w:lang w:val="es-CO"/>
        </w:rPr>
        <w:t xml:space="preserve"> de 2007, párrs. </w:t>
      </w:r>
      <w:r w:rsidR="00E1117B" w:rsidRPr="00831346">
        <w:rPr>
          <w:lang w:val="es-CO"/>
        </w:rPr>
        <w:t xml:space="preserve">58-62; </w:t>
      </w:r>
      <w:r w:rsidR="00831346" w:rsidRPr="00831346">
        <w:rPr>
          <w:lang w:val="es-CO"/>
        </w:rPr>
        <w:t>C</w:t>
      </w:r>
      <w:r w:rsidR="00831346">
        <w:rPr>
          <w:lang w:val="es-CO"/>
        </w:rPr>
        <w:t xml:space="preserve">orte </w:t>
      </w:r>
      <w:r w:rsidR="00831346" w:rsidRPr="00831346">
        <w:rPr>
          <w:lang w:val="es-CO"/>
        </w:rPr>
        <w:t>S</w:t>
      </w:r>
      <w:r w:rsidR="00831346">
        <w:rPr>
          <w:lang w:val="es-CO"/>
        </w:rPr>
        <w:t xml:space="preserve">uprema de </w:t>
      </w:r>
      <w:r w:rsidR="00831346" w:rsidRPr="00831346">
        <w:rPr>
          <w:lang w:val="es-CO"/>
        </w:rPr>
        <w:t>J</w:t>
      </w:r>
      <w:r w:rsidR="00831346">
        <w:rPr>
          <w:lang w:val="es-CO"/>
        </w:rPr>
        <w:t xml:space="preserve">usticia de la </w:t>
      </w:r>
      <w:r w:rsidR="00831346" w:rsidRPr="00831346">
        <w:rPr>
          <w:lang w:val="es-CO"/>
        </w:rPr>
        <w:t>N</w:t>
      </w:r>
      <w:r w:rsidR="00831346">
        <w:rPr>
          <w:lang w:val="es-CO"/>
        </w:rPr>
        <w:t>ación Argentina,</w:t>
      </w:r>
      <w:r w:rsidR="00831346" w:rsidRPr="00831346">
        <w:rPr>
          <w:lang w:val="es-CO"/>
        </w:rPr>
        <w:t xml:space="preserve"> Sentencia Caso Beatriz Blasson Vs. Embajada de la República Eslovaca. Sentencia de 6 de octubre de 1999</w:t>
      </w:r>
      <w:r w:rsidR="009C0D87">
        <w:rPr>
          <w:lang w:val="es-CO"/>
        </w:rPr>
        <w:t xml:space="preserve">; </w:t>
      </w:r>
      <w:r w:rsidR="009C0D87" w:rsidRPr="009C0D87">
        <w:rPr>
          <w:i/>
          <w:iCs/>
          <w:lang w:val="es-CO"/>
        </w:rPr>
        <w:t>ver también</w:t>
      </w:r>
      <w:r w:rsidR="009C0D87">
        <w:rPr>
          <w:lang w:val="es-CO"/>
        </w:rPr>
        <w:t xml:space="preserve">: </w:t>
      </w:r>
      <w:r w:rsidR="009C0D87" w:rsidRPr="009C0D87">
        <w:rPr>
          <w:lang w:val="es-CO"/>
        </w:rPr>
        <w:t>Convención sobre las inmunidades jurisdiccionales de los Estados y de sus bienes, 30 de noviembre de 2004, A/59/508</w:t>
      </w:r>
      <w:r w:rsidR="009C0D87">
        <w:rPr>
          <w:lang w:val="es-CO"/>
        </w:rPr>
        <w:t>.</w:t>
      </w:r>
    </w:p>
  </w:footnote>
  <w:footnote w:id="11">
    <w:p w14:paraId="00A26990" w14:textId="5E806EC8" w:rsidR="0032687E" w:rsidRPr="0032687E" w:rsidRDefault="0032687E">
      <w:pPr>
        <w:pStyle w:val="FootnoteText"/>
        <w:rPr>
          <w:lang w:val="es-CO"/>
        </w:rPr>
      </w:pPr>
      <w:r>
        <w:rPr>
          <w:rStyle w:val="FootnoteReference"/>
        </w:rPr>
        <w:footnoteRef/>
      </w:r>
      <w:r w:rsidRPr="00CF5910">
        <w:rPr>
          <w:lang w:val="es-CO"/>
        </w:rPr>
        <w:t xml:space="preserve"> </w:t>
      </w:r>
      <w:r w:rsidR="00CF5910" w:rsidRPr="009F58F5">
        <w:rPr>
          <w:i/>
          <w:iCs/>
          <w:lang w:val="es-CO"/>
        </w:rPr>
        <w:t>Ver:</w:t>
      </w:r>
      <w:r w:rsidR="00CF5910" w:rsidRPr="00AD17F3">
        <w:rPr>
          <w:lang w:val="es-CO"/>
        </w:rPr>
        <w:t xml:space="preserve"> C</w:t>
      </w:r>
      <w:r w:rsidR="00CF5910">
        <w:rPr>
          <w:lang w:val="es-CO"/>
        </w:rPr>
        <w:t xml:space="preserve">orte </w:t>
      </w:r>
      <w:r w:rsidR="00CF5910" w:rsidRPr="00AD17F3">
        <w:rPr>
          <w:lang w:val="es-CO"/>
        </w:rPr>
        <w:t>I</w:t>
      </w:r>
      <w:r w:rsidR="00CF5910">
        <w:rPr>
          <w:lang w:val="es-CO"/>
        </w:rPr>
        <w:t xml:space="preserve">nternacional de </w:t>
      </w:r>
      <w:r w:rsidR="00CF5910" w:rsidRPr="00AD17F3">
        <w:rPr>
          <w:lang w:val="es-CO"/>
        </w:rPr>
        <w:t>J</w:t>
      </w:r>
      <w:r w:rsidR="00CF5910">
        <w:rPr>
          <w:lang w:val="es-CO"/>
        </w:rPr>
        <w:t>usticia,</w:t>
      </w:r>
      <w:r w:rsidR="00CF5910" w:rsidRPr="00AD17F3">
        <w:rPr>
          <w:lang w:val="es-CO"/>
        </w:rPr>
        <w:t xml:space="preserve"> Caso Inmunidades Jurisdiccionales del Estado (Alemania Vs. </w:t>
      </w:r>
      <w:r w:rsidR="00CF5910" w:rsidRPr="009F58F5">
        <w:rPr>
          <w:lang w:val="es-CO"/>
        </w:rPr>
        <w:t>Italia). Sentencia de 3 de febrero de 2012, párrs. 113-120;</w:t>
      </w:r>
      <w:r w:rsidR="00CF5910">
        <w:rPr>
          <w:lang w:val="es-CO"/>
        </w:rPr>
        <w:t xml:space="preserve"> </w:t>
      </w:r>
      <w:r w:rsidR="00CF5910" w:rsidRPr="007325B7">
        <w:rPr>
          <w:lang w:val="es-CO"/>
        </w:rPr>
        <w:t>T</w:t>
      </w:r>
      <w:r w:rsidR="00CF5910">
        <w:rPr>
          <w:lang w:val="es-CO"/>
        </w:rPr>
        <w:t xml:space="preserve">ribunal </w:t>
      </w:r>
      <w:r w:rsidR="00CF5910" w:rsidRPr="007325B7">
        <w:rPr>
          <w:lang w:val="es-CO"/>
        </w:rPr>
        <w:t>E</w:t>
      </w:r>
      <w:r w:rsidR="00CF5910">
        <w:rPr>
          <w:lang w:val="es-CO"/>
        </w:rPr>
        <w:t xml:space="preserve">uropeo de </w:t>
      </w:r>
      <w:r w:rsidR="00CF5910" w:rsidRPr="007325B7">
        <w:rPr>
          <w:lang w:val="es-CO"/>
        </w:rPr>
        <w:t>D</w:t>
      </w:r>
      <w:r w:rsidR="00CF5910">
        <w:rPr>
          <w:lang w:val="es-CO"/>
        </w:rPr>
        <w:t xml:space="preserve">erechos </w:t>
      </w:r>
      <w:r w:rsidR="00CF5910" w:rsidRPr="007325B7">
        <w:rPr>
          <w:lang w:val="es-CO"/>
        </w:rPr>
        <w:t>H</w:t>
      </w:r>
      <w:r w:rsidR="00CF5910">
        <w:rPr>
          <w:lang w:val="es-CO"/>
        </w:rPr>
        <w:t>umanos (“TEDH”),</w:t>
      </w:r>
      <w:r w:rsidR="00CF5910" w:rsidRPr="007325B7">
        <w:rPr>
          <w:lang w:val="es-CO"/>
        </w:rPr>
        <w:t xml:space="preserve"> Caso Wallishauser Vs. Austria No. 2. Sentencia de 20 de junio de 2013, párrs. 39 y 69</w:t>
      </w:r>
      <w:r w:rsidR="00CF5910">
        <w:rPr>
          <w:lang w:val="es-CO"/>
        </w:rPr>
        <w:t xml:space="preserve">; TEDH, </w:t>
      </w:r>
      <w:r w:rsidR="00CF5910" w:rsidRPr="00E1117B">
        <w:rPr>
          <w:lang w:val="es-CO"/>
        </w:rPr>
        <w:t xml:space="preserve">Caso Hirschhorn Vs. Rumania. Sentencia de 26 de </w:t>
      </w:r>
      <w:r w:rsidR="00CF5910" w:rsidRPr="00CF5910">
        <w:rPr>
          <w:lang w:val="es-CO"/>
        </w:rPr>
        <w:t>julio</w:t>
      </w:r>
      <w:r w:rsidR="00CF5910" w:rsidRPr="00E1117B">
        <w:rPr>
          <w:lang w:val="es-CO"/>
        </w:rPr>
        <w:t xml:space="preserve"> de 2007, párrs. </w:t>
      </w:r>
      <w:r w:rsidR="00CF5910" w:rsidRPr="00831346">
        <w:rPr>
          <w:lang w:val="es-CO"/>
        </w:rPr>
        <w:t>58-62; C</w:t>
      </w:r>
      <w:r w:rsidR="00CF5910">
        <w:rPr>
          <w:lang w:val="es-CO"/>
        </w:rPr>
        <w:t xml:space="preserve">orte </w:t>
      </w:r>
      <w:r w:rsidR="00CF5910" w:rsidRPr="00831346">
        <w:rPr>
          <w:lang w:val="es-CO"/>
        </w:rPr>
        <w:t>S</w:t>
      </w:r>
      <w:r w:rsidR="00CF5910">
        <w:rPr>
          <w:lang w:val="es-CO"/>
        </w:rPr>
        <w:t xml:space="preserve">uprema de </w:t>
      </w:r>
      <w:r w:rsidR="00CF5910" w:rsidRPr="00831346">
        <w:rPr>
          <w:lang w:val="es-CO"/>
        </w:rPr>
        <w:t>J</w:t>
      </w:r>
      <w:r w:rsidR="00CF5910">
        <w:rPr>
          <w:lang w:val="es-CO"/>
        </w:rPr>
        <w:t xml:space="preserve">usticia de la </w:t>
      </w:r>
      <w:r w:rsidR="00CF5910" w:rsidRPr="00831346">
        <w:rPr>
          <w:lang w:val="es-CO"/>
        </w:rPr>
        <w:t>N</w:t>
      </w:r>
      <w:r w:rsidR="00CF5910">
        <w:rPr>
          <w:lang w:val="es-CO"/>
        </w:rPr>
        <w:t>ación Argentina,</w:t>
      </w:r>
      <w:r w:rsidR="00CF5910" w:rsidRPr="00831346">
        <w:rPr>
          <w:lang w:val="es-CO"/>
        </w:rPr>
        <w:t xml:space="preserve"> Sentencia Caso Beatriz Blasson Vs. Embajada de la República Eslovaca. Sentencia de 6 de octubre de 1999</w:t>
      </w:r>
      <w:r w:rsidR="00CF5910">
        <w:rPr>
          <w:lang w:val="es-CO"/>
        </w:rPr>
        <w:t xml:space="preserve">; </w:t>
      </w:r>
      <w:r w:rsidR="00CF5910" w:rsidRPr="009C0D87">
        <w:rPr>
          <w:i/>
          <w:iCs/>
          <w:lang w:val="es-CO"/>
        </w:rPr>
        <w:t>ver también</w:t>
      </w:r>
      <w:r w:rsidR="00CF5910">
        <w:rPr>
          <w:lang w:val="es-CO"/>
        </w:rPr>
        <w:t xml:space="preserve">: </w:t>
      </w:r>
      <w:r w:rsidR="00CF5910" w:rsidRPr="009C0D87">
        <w:rPr>
          <w:lang w:val="es-CO"/>
        </w:rPr>
        <w:t>Convención sobre las inmunidades jurisdiccionales de los Estados y de sus bienes, 30 de noviembre de 2004, A/59/508</w:t>
      </w:r>
      <w:r w:rsidR="00CF5910">
        <w:rPr>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FF05C4"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9807C44"/>
    <w:lvl w:ilvl="0" w:tplc="99D62BE0">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7D15EC1"/>
    <w:multiLevelType w:val="hybridMultilevel"/>
    <w:tmpl w:val="9E92B0D8"/>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8F6A3E56"/>
    <w:lvl w:ilvl="0" w:tplc="4F6091C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80DED"/>
    <w:multiLevelType w:val="hybridMultilevel"/>
    <w:tmpl w:val="DF041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D7D4B9D"/>
    <w:multiLevelType w:val="hybridMultilevel"/>
    <w:tmpl w:val="CF324614"/>
    <w:lvl w:ilvl="0" w:tplc="EF6A5C9A">
      <w:start w:val="1"/>
      <w:numFmt w:val="decimal"/>
      <w:pStyle w:val="parrafos"/>
      <w:lvlText w:val="%1."/>
      <w:lvlJc w:val="left"/>
      <w:pPr>
        <w:ind w:left="360" w:hanging="360"/>
      </w:pPr>
      <w:rPr>
        <w:rFonts w:ascii="Cambria" w:hAnsi="Cambria" w:hint="default"/>
        <w:b w:val="0"/>
        <w:color w:val="auto"/>
        <w:sz w:val="20"/>
        <w:szCs w:val="20"/>
        <w:lang w:val="es-ES_tradn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ED81597"/>
    <w:multiLevelType w:val="hybridMultilevel"/>
    <w:tmpl w:val="13CA9C6C"/>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7D29BB"/>
    <w:multiLevelType w:val="hybridMultilevel"/>
    <w:tmpl w:val="39F842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8"/>
  </w:num>
  <w:num w:numId="4" w16cid:durableId="2018339747">
    <w:abstractNumId w:val="21"/>
  </w:num>
  <w:num w:numId="5" w16cid:durableId="368341374">
    <w:abstractNumId w:val="50"/>
  </w:num>
  <w:num w:numId="6" w16cid:durableId="1074009954">
    <w:abstractNumId w:val="28"/>
  </w:num>
  <w:num w:numId="7" w16cid:durableId="1545016965">
    <w:abstractNumId w:val="7"/>
  </w:num>
  <w:num w:numId="8" w16cid:durableId="1165165820">
    <w:abstractNumId w:val="17"/>
  </w:num>
  <w:num w:numId="9" w16cid:durableId="751703382">
    <w:abstractNumId w:val="43"/>
  </w:num>
  <w:num w:numId="10" w16cid:durableId="1010065578">
    <w:abstractNumId w:val="0"/>
  </w:num>
  <w:num w:numId="11" w16cid:durableId="599265313">
    <w:abstractNumId w:val="38"/>
  </w:num>
  <w:num w:numId="12" w16cid:durableId="1094203649">
    <w:abstractNumId w:val="39"/>
  </w:num>
  <w:num w:numId="13" w16cid:durableId="393090155">
    <w:abstractNumId w:val="46"/>
  </w:num>
  <w:num w:numId="14" w16cid:durableId="1198931784">
    <w:abstractNumId w:val="1"/>
  </w:num>
  <w:num w:numId="15" w16cid:durableId="2056192837">
    <w:abstractNumId w:val="2"/>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5"/>
  </w:num>
  <w:num w:numId="24" w16cid:durableId="477890311">
    <w:abstractNumId w:val="16"/>
  </w:num>
  <w:num w:numId="25" w16cid:durableId="1967855925">
    <w:abstractNumId w:val="18"/>
  </w:num>
  <w:num w:numId="26" w16cid:durableId="998537020">
    <w:abstractNumId w:val="19"/>
  </w:num>
  <w:num w:numId="27" w16cid:durableId="642350406">
    <w:abstractNumId w:val="22"/>
  </w:num>
  <w:num w:numId="28" w16cid:durableId="1616718871">
    <w:abstractNumId w:val="23"/>
  </w:num>
  <w:num w:numId="29" w16cid:durableId="1530486082">
    <w:abstractNumId w:val="24"/>
  </w:num>
  <w:num w:numId="30" w16cid:durableId="802582976">
    <w:abstractNumId w:val="26"/>
  </w:num>
  <w:num w:numId="31" w16cid:durableId="287396833">
    <w:abstractNumId w:val="29"/>
  </w:num>
  <w:num w:numId="32" w16cid:durableId="535119711">
    <w:abstractNumId w:val="30"/>
  </w:num>
  <w:num w:numId="33" w16cid:durableId="2078547275">
    <w:abstractNumId w:val="31"/>
  </w:num>
  <w:num w:numId="34" w16cid:durableId="1703632659">
    <w:abstractNumId w:val="32"/>
  </w:num>
  <w:num w:numId="35" w16cid:durableId="1264075887">
    <w:abstractNumId w:val="33"/>
  </w:num>
  <w:num w:numId="36" w16cid:durableId="1752315512">
    <w:abstractNumId w:val="34"/>
  </w:num>
  <w:num w:numId="37" w16cid:durableId="1536426887">
    <w:abstractNumId w:val="35"/>
  </w:num>
  <w:num w:numId="38" w16cid:durableId="949702590">
    <w:abstractNumId w:val="36"/>
  </w:num>
  <w:num w:numId="39" w16cid:durableId="115605940">
    <w:abstractNumId w:val="40"/>
  </w:num>
  <w:num w:numId="40" w16cid:durableId="2008750670">
    <w:abstractNumId w:val="41"/>
  </w:num>
  <w:num w:numId="41" w16cid:durableId="579801488">
    <w:abstractNumId w:val="49"/>
  </w:num>
  <w:num w:numId="42" w16cid:durableId="910309630">
    <w:abstractNumId w:val="51"/>
  </w:num>
  <w:num w:numId="43" w16cid:durableId="221603102">
    <w:abstractNumId w:val="52"/>
  </w:num>
  <w:num w:numId="44" w16cid:durableId="779104680">
    <w:abstractNumId w:val="56"/>
  </w:num>
  <w:num w:numId="45" w16cid:durableId="1713115894">
    <w:abstractNumId w:val="57"/>
  </w:num>
  <w:num w:numId="46" w16cid:durableId="1387951419">
    <w:abstractNumId w:val="59"/>
  </w:num>
  <w:num w:numId="47" w16cid:durableId="648510715">
    <w:abstractNumId w:val="60"/>
  </w:num>
  <w:num w:numId="48" w16cid:durableId="1806315575">
    <w:abstractNumId w:val="61"/>
  </w:num>
  <w:num w:numId="49" w16cid:durableId="1682586011">
    <w:abstractNumId w:val="62"/>
  </w:num>
  <w:num w:numId="50" w16cid:durableId="2025083079">
    <w:abstractNumId w:val="63"/>
  </w:num>
  <w:num w:numId="51" w16cid:durableId="530342504">
    <w:abstractNumId w:val="20"/>
  </w:num>
  <w:num w:numId="52" w16cid:durableId="955454438">
    <w:abstractNumId w:val="42"/>
  </w:num>
  <w:num w:numId="53" w16cid:durableId="586957926">
    <w:abstractNumId w:val="54"/>
  </w:num>
  <w:num w:numId="54" w16cid:durableId="1498381482">
    <w:abstractNumId w:val="47"/>
  </w:num>
  <w:num w:numId="55" w16cid:durableId="1930308158">
    <w:abstractNumId w:val="45"/>
  </w:num>
  <w:num w:numId="56" w16cid:durableId="71783945">
    <w:abstractNumId w:val="27"/>
  </w:num>
  <w:num w:numId="57" w16cid:durableId="327246300">
    <w:abstractNumId w:val="25"/>
  </w:num>
  <w:num w:numId="58" w16cid:durableId="823088829">
    <w:abstractNumId w:val="37"/>
  </w:num>
  <w:num w:numId="59" w16cid:durableId="219633537">
    <w:abstractNumId w:val="4"/>
  </w:num>
  <w:num w:numId="60" w16cid:durableId="364453791">
    <w:abstractNumId w:val="44"/>
  </w:num>
  <w:num w:numId="61" w16cid:durableId="319626255">
    <w:abstractNumId w:val="53"/>
  </w:num>
  <w:num w:numId="62" w16cid:durableId="362898492">
    <w:abstractNumId w:val="6"/>
  </w:num>
  <w:num w:numId="63" w16cid:durableId="210963960">
    <w:abstractNumId w:val="48"/>
  </w:num>
  <w:num w:numId="64" w16cid:durableId="1828551645">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0F81"/>
    <w:rsid w:val="00002C3A"/>
    <w:rsid w:val="00004181"/>
    <w:rsid w:val="00006E1F"/>
    <w:rsid w:val="000070D7"/>
    <w:rsid w:val="00014772"/>
    <w:rsid w:val="0001788C"/>
    <w:rsid w:val="000310EA"/>
    <w:rsid w:val="000314F4"/>
    <w:rsid w:val="000323C3"/>
    <w:rsid w:val="000337EF"/>
    <w:rsid w:val="00040C3A"/>
    <w:rsid w:val="000419AD"/>
    <w:rsid w:val="00042D5F"/>
    <w:rsid w:val="000433C9"/>
    <w:rsid w:val="00052C6E"/>
    <w:rsid w:val="000559B0"/>
    <w:rsid w:val="00071174"/>
    <w:rsid w:val="000716C5"/>
    <w:rsid w:val="00075E23"/>
    <w:rsid w:val="0008158C"/>
    <w:rsid w:val="000835B1"/>
    <w:rsid w:val="0009093A"/>
    <w:rsid w:val="0009344A"/>
    <w:rsid w:val="00095663"/>
    <w:rsid w:val="00096E13"/>
    <w:rsid w:val="00097C94"/>
    <w:rsid w:val="000A1F4B"/>
    <w:rsid w:val="000A392E"/>
    <w:rsid w:val="000A3C5A"/>
    <w:rsid w:val="000A575F"/>
    <w:rsid w:val="000A62D5"/>
    <w:rsid w:val="000A6376"/>
    <w:rsid w:val="000B1080"/>
    <w:rsid w:val="000B34C5"/>
    <w:rsid w:val="000B539F"/>
    <w:rsid w:val="000C0B25"/>
    <w:rsid w:val="000C7725"/>
    <w:rsid w:val="000D05CB"/>
    <w:rsid w:val="000D10DB"/>
    <w:rsid w:val="000E3082"/>
    <w:rsid w:val="000E5EB5"/>
    <w:rsid w:val="000F35ED"/>
    <w:rsid w:val="000F6675"/>
    <w:rsid w:val="001004FE"/>
    <w:rsid w:val="00105B54"/>
    <w:rsid w:val="00107131"/>
    <w:rsid w:val="0010736F"/>
    <w:rsid w:val="0010747D"/>
    <w:rsid w:val="00113417"/>
    <w:rsid w:val="00113F73"/>
    <w:rsid w:val="00121CC2"/>
    <w:rsid w:val="00123C4F"/>
    <w:rsid w:val="00125980"/>
    <w:rsid w:val="001307A9"/>
    <w:rsid w:val="00130DA3"/>
    <w:rsid w:val="00131425"/>
    <w:rsid w:val="00133EE5"/>
    <w:rsid w:val="00141871"/>
    <w:rsid w:val="00141CDE"/>
    <w:rsid w:val="0015476E"/>
    <w:rsid w:val="00167A34"/>
    <w:rsid w:val="00167F6A"/>
    <w:rsid w:val="001800E7"/>
    <w:rsid w:val="001927C0"/>
    <w:rsid w:val="001A520D"/>
    <w:rsid w:val="001A7870"/>
    <w:rsid w:val="001B071D"/>
    <w:rsid w:val="001B351F"/>
    <w:rsid w:val="001B3A00"/>
    <w:rsid w:val="001B478B"/>
    <w:rsid w:val="001C1B41"/>
    <w:rsid w:val="001C7F6F"/>
    <w:rsid w:val="001D41BC"/>
    <w:rsid w:val="001D5958"/>
    <w:rsid w:val="001D65EF"/>
    <w:rsid w:val="001D7F96"/>
    <w:rsid w:val="001E49E7"/>
    <w:rsid w:val="001E53AD"/>
    <w:rsid w:val="001F7201"/>
    <w:rsid w:val="002048AC"/>
    <w:rsid w:val="00211C62"/>
    <w:rsid w:val="00212F39"/>
    <w:rsid w:val="0021382A"/>
    <w:rsid w:val="00217A6D"/>
    <w:rsid w:val="00220BD8"/>
    <w:rsid w:val="00223A29"/>
    <w:rsid w:val="002249A1"/>
    <w:rsid w:val="002250A3"/>
    <w:rsid w:val="00225E77"/>
    <w:rsid w:val="00235217"/>
    <w:rsid w:val="002449FF"/>
    <w:rsid w:val="002454D0"/>
    <w:rsid w:val="00246D1F"/>
    <w:rsid w:val="00247403"/>
    <w:rsid w:val="00247542"/>
    <w:rsid w:val="002503FA"/>
    <w:rsid w:val="00252613"/>
    <w:rsid w:val="00255C3A"/>
    <w:rsid w:val="00266B61"/>
    <w:rsid w:val="0026712A"/>
    <w:rsid w:val="002702DB"/>
    <w:rsid w:val="002704DB"/>
    <w:rsid w:val="002767AF"/>
    <w:rsid w:val="0028016B"/>
    <w:rsid w:val="002833AB"/>
    <w:rsid w:val="00283C75"/>
    <w:rsid w:val="002855A0"/>
    <w:rsid w:val="00295BD2"/>
    <w:rsid w:val="0029640B"/>
    <w:rsid w:val="002A0AAE"/>
    <w:rsid w:val="002A0D55"/>
    <w:rsid w:val="002A0EB8"/>
    <w:rsid w:val="002A4BFE"/>
    <w:rsid w:val="002A5820"/>
    <w:rsid w:val="002D237A"/>
    <w:rsid w:val="002D2B26"/>
    <w:rsid w:val="002D4D38"/>
    <w:rsid w:val="002D7EA2"/>
    <w:rsid w:val="002E187C"/>
    <w:rsid w:val="002E3BAD"/>
    <w:rsid w:val="002E64A2"/>
    <w:rsid w:val="002E7D15"/>
    <w:rsid w:val="002F4068"/>
    <w:rsid w:val="002F6710"/>
    <w:rsid w:val="00302733"/>
    <w:rsid w:val="00305674"/>
    <w:rsid w:val="00305835"/>
    <w:rsid w:val="00306F33"/>
    <w:rsid w:val="00310ED9"/>
    <w:rsid w:val="00314078"/>
    <w:rsid w:val="00315136"/>
    <w:rsid w:val="0031535D"/>
    <w:rsid w:val="003158FA"/>
    <w:rsid w:val="00323733"/>
    <w:rsid w:val="003239B8"/>
    <w:rsid w:val="00323DD5"/>
    <w:rsid w:val="0032687E"/>
    <w:rsid w:val="0033169F"/>
    <w:rsid w:val="003413D0"/>
    <w:rsid w:val="00344977"/>
    <w:rsid w:val="00346C95"/>
    <w:rsid w:val="00356185"/>
    <w:rsid w:val="00360380"/>
    <w:rsid w:val="00360876"/>
    <w:rsid w:val="003730DA"/>
    <w:rsid w:val="0037519E"/>
    <w:rsid w:val="00375D7D"/>
    <w:rsid w:val="00376408"/>
    <w:rsid w:val="003860DC"/>
    <w:rsid w:val="00386CF0"/>
    <w:rsid w:val="00392F03"/>
    <w:rsid w:val="00394073"/>
    <w:rsid w:val="003B2812"/>
    <w:rsid w:val="003B6CC8"/>
    <w:rsid w:val="003B70FB"/>
    <w:rsid w:val="003C308E"/>
    <w:rsid w:val="003C3B89"/>
    <w:rsid w:val="003C676B"/>
    <w:rsid w:val="003D1438"/>
    <w:rsid w:val="003D3566"/>
    <w:rsid w:val="003D3BC2"/>
    <w:rsid w:val="003D4321"/>
    <w:rsid w:val="003D607A"/>
    <w:rsid w:val="003E2E91"/>
    <w:rsid w:val="003E444A"/>
    <w:rsid w:val="003E6AA2"/>
    <w:rsid w:val="003E6CA1"/>
    <w:rsid w:val="003F16B2"/>
    <w:rsid w:val="003F27AE"/>
    <w:rsid w:val="003F5154"/>
    <w:rsid w:val="003F51B9"/>
    <w:rsid w:val="003F5841"/>
    <w:rsid w:val="00405F9C"/>
    <w:rsid w:val="004065A8"/>
    <w:rsid w:val="00406BF5"/>
    <w:rsid w:val="00414C6D"/>
    <w:rsid w:val="004165C2"/>
    <w:rsid w:val="00420AAC"/>
    <w:rsid w:val="00422517"/>
    <w:rsid w:val="004241A0"/>
    <w:rsid w:val="0042478F"/>
    <w:rsid w:val="00432735"/>
    <w:rsid w:val="004334EC"/>
    <w:rsid w:val="00437278"/>
    <w:rsid w:val="00441ECB"/>
    <w:rsid w:val="00445193"/>
    <w:rsid w:val="00447B2B"/>
    <w:rsid w:val="00457488"/>
    <w:rsid w:val="00460DCB"/>
    <w:rsid w:val="0046260B"/>
    <w:rsid w:val="0046272C"/>
    <w:rsid w:val="00462C1B"/>
    <w:rsid w:val="00467B7E"/>
    <w:rsid w:val="004715C9"/>
    <w:rsid w:val="00473BB4"/>
    <w:rsid w:val="00477592"/>
    <w:rsid w:val="0048043C"/>
    <w:rsid w:val="00483079"/>
    <w:rsid w:val="00486F1C"/>
    <w:rsid w:val="004910BF"/>
    <w:rsid w:val="0049419D"/>
    <w:rsid w:val="004A057B"/>
    <w:rsid w:val="004A1BC9"/>
    <w:rsid w:val="004A6A54"/>
    <w:rsid w:val="004B1418"/>
    <w:rsid w:val="004B1C84"/>
    <w:rsid w:val="004B421C"/>
    <w:rsid w:val="004C20D2"/>
    <w:rsid w:val="004C2312"/>
    <w:rsid w:val="004C4B62"/>
    <w:rsid w:val="004C54C9"/>
    <w:rsid w:val="004D0965"/>
    <w:rsid w:val="004D4ABA"/>
    <w:rsid w:val="004D6025"/>
    <w:rsid w:val="004E2649"/>
    <w:rsid w:val="004F08F9"/>
    <w:rsid w:val="004F207F"/>
    <w:rsid w:val="004F4BE1"/>
    <w:rsid w:val="004F626F"/>
    <w:rsid w:val="00501221"/>
    <w:rsid w:val="00501399"/>
    <w:rsid w:val="005047ED"/>
    <w:rsid w:val="0050633D"/>
    <w:rsid w:val="00507BC4"/>
    <w:rsid w:val="005128E4"/>
    <w:rsid w:val="005133DB"/>
    <w:rsid w:val="00514504"/>
    <w:rsid w:val="00516F6E"/>
    <w:rsid w:val="00521E1F"/>
    <w:rsid w:val="0052254A"/>
    <w:rsid w:val="00525560"/>
    <w:rsid w:val="00526575"/>
    <w:rsid w:val="0052699A"/>
    <w:rsid w:val="005322A2"/>
    <w:rsid w:val="00544C49"/>
    <w:rsid w:val="00545A7B"/>
    <w:rsid w:val="005470F8"/>
    <w:rsid w:val="00550557"/>
    <w:rsid w:val="005516A1"/>
    <w:rsid w:val="005559EF"/>
    <w:rsid w:val="0056072B"/>
    <w:rsid w:val="00560DF6"/>
    <w:rsid w:val="00560EF6"/>
    <w:rsid w:val="00563557"/>
    <w:rsid w:val="00564470"/>
    <w:rsid w:val="00565EE2"/>
    <w:rsid w:val="00566948"/>
    <w:rsid w:val="0057402A"/>
    <w:rsid w:val="005771D0"/>
    <w:rsid w:val="0058073D"/>
    <w:rsid w:val="005830CE"/>
    <w:rsid w:val="00584F24"/>
    <w:rsid w:val="005851FF"/>
    <w:rsid w:val="00587EE7"/>
    <w:rsid w:val="00590130"/>
    <w:rsid w:val="0059191A"/>
    <w:rsid w:val="005921FF"/>
    <w:rsid w:val="00594B76"/>
    <w:rsid w:val="005974AA"/>
    <w:rsid w:val="005A1F3B"/>
    <w:rsid w:val="005A24ED"/>
    <w:rsid w:val="005A514D"/>
    <w:rsid w:val="005A6D0E"/>
    <w:rsid w:val="005B04B0"/>
    <w:rsid w:val="005B3881"/>
    <w:rsid w:val="005B52B0"/>
    <w:rsid w:val="005B678C"/>
    <w:rsid w:val="005B6806"/>
    <w:rsid w:val="005C114C"/>
    <w:rsid w:val="005C4225"/>
    <w:rsid w:val="005C4A39"/>
    <w:rsid w:val="005C711E"/>
    <w:rsid w:val="005D7A57"/>
    <w:rsid w:val="005D7CC9"/>
    <w:rsid w:val="005E1C47"/>
    <w:rsid w:val="005E3629"/>
    <w:rsid w:val="005E53DA"/>
    <w:rsid w:val="005E79D7"/>
    <w:rsid w:val="005F0DAD"/>
    <w:rsid w:val="005F0F33"/>
    <w:rsid w:val="005F0FC7"/>
    <w:rsid w:val="005F4262"/>
    <w:rsid w:val="005F5863"/>
    <w:rsid w:val="00600DEB"/>
    <w:rsid w:val="00601E32"/>
    <w:rsid w:val="00605D10"/>
    <w:rsid w:val="00620562"/>
    <w:rsid w:val="0062587D"/>
    <w:rsid w:val="006270CF"/>
    <w:rsid w:val="00627C9F"/>
    <w:rsid w:val="006311E9"/>
    <w:rsid w:val="00632354"/>
    <w:rsid w:val="00635421"/>
    <w:rsid w:val="00641B51"/>
    <w:rsid w:val="00642810"/>
    <w:rsid w:val="00647CDF"/>
    <w:rsid w:val="00650D58"/>
    <w:rsid w:val="00652333"/>
    <w:rsid w:val="00667A8D"/>
    <w:rsid w:val="00670FB8"/>
    <w:rsid w:val="0068009E"/>
    <w:rsid w:val="00692219"/>
    <w:rsid w:val="00692D6A"/>
    <w:rsid w:val="006A17D2"/>
    <w:rsid w:val="006A6597"/>
    <w:rsid w:val="006A67DF"/>
    <w:rsid w:val="006A73E6"/>
    <w:rsid w:val="006B2D5C"/>
    <w:rsid w:val="006C0ECF"/>
    <w:rsid w:val="006C0F03"/>
    <w:rsid w:val="006C4EB1"/>
    <w:rsid w:val="006E0166"/>
    <w:rsid w:val="006E2FFB"/>
    <w:rsid w:val="006E621A"/>
    <w:rsid w:val="006E7B34"/>
    <w:rsid w:val="006F10BF"/>
    <w:rsid w:val="006F2F07"/>
    <w:rsid w:val="006F3F96"/>
    <w:rsid w:val="006F4D50"/>
    <w:rsid w:val="006F69CD"/>
    <w:rsid w:val="00700CDA"/>
    <w:rsid w:val="007052FB"/>
    <w:rsid w:val="0070697F"/>
    <w:rsid w:val="007103C4"/>
    <w:rsid w:val="0071226D"/>
    <w:rsid w:val="00717E7D"/>
    <w:rsid w:val="0072025D"/>
    <w:rsid w:val="0072199C"/>
    <w:rsid w:val="00722C9F"/>
    <w:rsid w:val="007253B8"/>
    <w:rsid w:val="007325B7"/>
    <w:rsid w:val="0073741F"/>
    <w:rsid w:val="00740B59"/>
    <w:rsid w:val="00751A93"/>
    <w:rsid w:val="0075519E"/>
    <w:rsid w:val="0075685D"/>
    <w:rsid w:val="00764863"/>
    <w:rsid w:val="00766172"/>
    <w:rsid w:val="0076643F"/>
    <w:rsid w:val="007767FA"/>
    <w:rsid w:val="00777F63"/>
    <w:rsid w:val="0079188B"/>
    <w:rsid w:val="007961A6"/>
    <w:rsid w:val="007A5817"/>
    <w:rsid w:val="007B05C4"/>
    <w:rsid w:val="007B60E9"/>
    <w:rsid w:val="007B6457"/>
    <w:rsid w:val="007B6CC3"/>
    <w:rsid w:val="007B6D34"/>
    <w:rsid w:val="007B76D3"/>
    <w:rsid w:val="007C2B28"/>
    <w:rsid w:val="007C3334"/>
    <w:rsid w:val="007C6F11"/>
    <w:rsid w:val="007D2B98"/>
    <w:rsid w:val="007E21BC"/>
    <w:rsid w:val="007E5E31"/>
    <w:rsid w:val="007E7C82"/>
    <w:rsid w:val="007F2AA1"/>
    <w:rsid w:val="007F588D"/>
    <w:rsid w:val="008006E5"/>
    <w:rsid w:val="00803F1C"/>
    <w:rsid w:val="0080600E"/>
    <w:rsid w:val="00814688"/>
    <w:rsid w:val="00816D84"/>
    <w:rsid w:val="00817612"/>
    <w:rsid w:val="008206CD"/>
    <w:rsid w:val="00830BAF"/>
    <w:rsid w:val="00831346"/>
    <w:rsid w:val="008317F3"/>
    <w:rsid w:val="008338A4"/>
    <w:rsid w:val="00834D49"/>
    <w:rsid w:val="008369E7"/>
    <w:rsid w:val="00837C45"/>
    <w:rsid w:val="00840E62"/>
    <w:rsid w:val="00843668"/>
    <w:rsid w:val="00844730"/>
    <w:rsid w:val="008457C2"/>
    <w:rsid w:val="00854F32"/>
    <w:rsid w:val="00857A82"/>
    <w:rsid w:val="00861519"/>
    <w:rsid w:val="008617B6"/>
    <w:rsid w:val="00865533"/>
    <w:rsid w:val="0086589C"/>
    <w:rsid w:val="00865C53"/>
    <w:rsid w:val="00873836"/>
    <w:rsid w:val="00875525"/>
    <w:rsid w:val="0088295F"/>
    <w:rsid w:val="00885737"/>
    <w:rsid w:val="00890650"/>
    <w:rsid w:val="00890DA0"/>
    <w:rsid w:val="008944DC"/>
    <w:rsid w:val="008951FB"/>
    <w:rsid w:val="008979F1"/>
    <w:rsid w:val="00897E12"/>
    <w:rsid w:val="008A3B3B"/>
    <w:rsid w:val="008A7E0F"/>
    <w:rsid w:val="008B12F5"/>
    <w:rsid w:val="008B2EE3"/>
    <w:rsid w:val="008B4A90"/>
    <w:rsid w:val="008B6298"/>
    <w:rsid w:val="008C189C"/>
    <w:rsid w:val="008C4FEA"/>
    <w:rsid w:val="008C5E2D"/>
    <w:rsid w:val="008D0FF3"/>
    <w:rsid w:val="008D6F72"/>
    <w:rsid w:val="008D768D"/>
    <w:rsid w:val="008E3759"/>
    <w:rsid w:val="008E3BFE"/>
    <w:rsid w:val="008E49EE"/>
    <w:rsid w:val="008F047B"/>
    <w:rsid w:val="008F087F"/>
    <w:rsid w:val="008F1912"/>
    <w:rsid w:val="008F5F2E"/>
    <w:rsid w:val="00901503"/>
    <w:rsid w:val="0090270B"/>
    <w:rsid w:val="009041DC"/>
    <w:rsid w:val="00911EC9"/>
    <w:rsid w:val="00917B5A"/>
    <w:rsid w:val="00920A58"/>
    <w:rsid w:val="00920A8C"/>
    <w:rsid w:val="00921B79"/>
    <w:rsid w:val="009228D2"/>
    <w:rsid w:val="0092355E"/>
    <w:rsid w:val="0093152E"/>
    <w:rsid w:val="009322E8"/>
    <w:rsid w:val="00934A2C"/>
    <w:rsid w:val="00946373"/>
    <w:rsid w:val="00950C33"/>
    <w:rsid w:val="00951746"/>
    <w:rsid w:val="00956CBF"/>
    <w:rsid w:val="00956EFF"/>
    <w:rsid w:val="009634A2"/>
    <w:rsid w:val="009649D2"/>
    <w:rsid w:val="0096706E"/>
    <w:rsid w:val="00974276"/>
    <w:rsid w:val="00974491"/>
    <w:rsid w:val="00975AE3"/>
    <w:rsid w:val="00975C4E"/>
    <w:rsid w:val="00976C2F"/>
    <w:rsid w:val="009772D9"/>
    <w:rsid w:val="00981FBA"/>
    <w:rsid w:val="00997BC5"/>
    <w:rsid w:val="009A4F41"/>
    <w:rsid w:val="009A56CE"/>
    <w:rsid w:val="009B381B"/>
    <w:rsid w:val="009C0037"/>
    <w:rsid w:val="009C0D87"/>
    <w:rsid w:val="009D1753"/>
    <w:rsid w:val="009D7611"/>
    <w:rsid w:val="009E06BD"/>
    <w:rsid w:val="009E0B61"/>
    <w:rsid w:val="009E4EBF"/>
    <w:rsid w:val="009E53DE"/>
    <w:rsid w:val="009E65D1"/>
    <w:rsid w:val="009F2D78"/>
    <w:rsid w:val="009F58F5"/>
    <w:rsid w:val="00A02798"/>
    <w:rsid w:val="00A03F6A"/>
    <w:rsid w:val="00A0502D"/>
    <w:rsid w:val="00A11212"/>
    <w:rsid w:val="00A11E44"/>
    <w:rsid w:val="00A15562"/>
    <w:rsid w:val="00A216BB"/>
    <w:rsid w:val="00A25D50"/>
    <w:rsid w:val="00A30100"/>
    <w:rsid w:val="00A30BF2"/>
    <w:rsid w:val="00A31973"/>
    <w:rsid w:val="00A328B3"/>
    <w:rsid w:val="00A35608"/>
    <w:rsid w:val="00A41FBB"/>
    <w:rsid w:val="00A45B8B"/>
    <w:rsid w:val="00A50363"/>
    <w:rsid w:val="00A50564"/>
    <w:rsid w:val="00A50FCF"/>
    <w:rsid w:val="00A520DB"/>
    <w:rsid w:val="00A528D1"/>
    <w:rsid w:val="00A53200"/>
    <w:rsid w:val="00A610CD"/>
    <w:rsid w:val="00A64D80"/>
    <w:rsid w:val="00A72869"/>
    <w:rsid w:val="00A75529"/>
    <w:rsid w:val="00A758AA"/>
    <w:rsid w:val="00A77559"/>
    <w:rsid w:val="00A82F54"/>
    <w:rsid w:val="00A87E47"/>
    <w:rsid w:val="00AA09A2"/>
    <w:rsid w:val="00AA250A"/>
    <w:rsid w:val="00AA790D"/>
    <w:rsid w:val="00AA7996"/>
    <w:rsid w:val="00AB707B"/>
    <w:rsid w:val="00AC19CB"/>
    <w:rsid w:val="00AC40DE"/>
    <w:rsid w:val="00AD17F3"/>
    <w:rsid w:val="00AE5488"/>
    <w:rsid w:val="00AE5BCA"/>
    <w:rsid w:val="00AE6F91"/>
    <w:rsid w:val="00AF5571"/>
    <w:rsid w:val="00AF5C60"/>
    <w:rsid w:val="00AF6060"/>
    <w:rsid w:val="00B01489"/>
    <w:rsid w:val="00B02134"/>
    <w:rsid w:val="00B04818"/>
    <w:rsid w:val="00B07341"/>
    <w:rsid w:val="00B14B1C"/>
    <w:rsid w:val="00B1663C"/>
    <w:rsid w:val="00B22CFB"/>
    <w:rsid w:val="00B30539"/>
    <w:rsid w:val="00B314DB"/>
    <w:rsid w:val="00B31EBA"/>
    <w:rsid w:val="00B35CDB"/>
    <w:rsid w:val="00B361F2"/>
    <w:rsid w:val="00B3718B"/>
    <w:rsid w:val="00B3745F"/>
    <w:rsid w:val="00B4632A"/>
    <w:rsid w:val="00B530F1"/>
    <w:rsid w:val="00B66FF5"/>
    <w:rsid w:val="00B74418"/>
    <w:rsid w:val="00B77FD2"/>
    <w:rsid w:val="00B809A7"/>
    <w:rsid w:val="00B840FA"/>
    <w:rsid w:val="00B93D7F"/>
    <w:rsid w:val="00B95ECD"/>
    <w:rsid w:val="00BA276C"/>
    <w:rsid w:val="00BA5240"/>
    <w:rsid w:val="00BB019D"/>
    <w:rsid w:val="00BB306F"/>
    <w:rsid w:val="00BB52F2"/>
    <w:rsid w:val="00BB68F9"/>
    <w:rsid w:val="00BC2199"/>
    <w:rsid w:val="00BD0FF5"/>
    <w:rsid w:val="00BD3E44"/>
    <w:rsid w:val="00BD4B89"/>
    <w:rsid w:val="00BD5922"/>
    <w:rsid w:val="00BD7957"/>
    <w:rsid w:val="00BE320C"/>
    <w:rsid w:val="00BF02CB"/>
    <w:rsid w:val="00BF6FD8"/>
    <w:rsid w:val="00C01680"/>
    <w:rsid w:val="00C03680"/>
    <w:rsid w:val="00C054DF"/>
    <w:rsid w:val="00C2059F"/>
    <w:rsid w:val="00C21762"/>
    <w:rsid w:val="00C21FEF"/>
    <w:rsid w:val="00C23BA4"/>
    <w:rsid w:val="00C24543"/>
    <w:rsid w:val="00C256A2"/>
    <w:rsid w:val="00C25ADB"/>
    <w:rsid w:val="00C34944"/>
    <w:rsid w:val="00C432C9"/>
    <w:rsid w:val="00C43C80"/>
    <w:rsid w:val="00C4710B"/>
    <w:rsid w:val="00C51515"/>
    <w:rsid w:val="00C53BA4"/>
    <w:rsid w:val="00C5660B"/>
    <w:rsid w:val="00C62189"/>
    <w:rsid w:val="00C66B72"/>
    <w:rsid w:val="00C67B77"/>
    <w:rsid w:val="00C70D9A"/>
    <w:rsid w:val="00C83E61"/>
    <w:rsid w:val="00C84D7B"/>
    <w:rsid w:val="00C87AC4"/>
    <w:rsid w:val="00C87F89"/>
    <w:rsid w:val="00C9567A"/>
    <w:rsid w:val="00CA116E"/>
    <w:rsid w:val="00CA4422"/>
    <w:rsid w:val="00CA7B82"/>
    <w:rsid w:val="00CB212D"/>
    <w:rsid w:val="00CB2660"/>
    <w:rsid w:val="00CC5E90"/>
    <w:rsid w:val="00CD046C"/>
    <w:rsid w:val="00CD3B23"/>
    <w:rsid w:val="00CD607F"/>
    <w:rsid w:val="00CE076C"/>
    <w:rsid w:val="00CE17FA"/>
    <w:rsid w:val="00CE5199"/>
    <w:rsid w:val="00CE66D5"/>
    <w:rsid w:val="00CF5910"/>
    <w:rsid w:val="00CF637A"/>
    <w:rsid w:val="00CF7419"/>
    <w:rsid w:val="00D01CD6"/>
    <w:rsid w:val="00D03901"/>
    <w:rsid w:val="00D03BC4"/>
    <w:rsid w:val="00D049A2"/>
    <w:rsid w:val="00D059DE"/>
    <w:rsid w:val="00D05ABD"/>
    <w:rsid w:val="00D11749"/>
    <w:rsid w:val="00D11E48"/>
    <w:rsid w:val="00D13FCE"/>
    <w:rsid w:val="00D17AD7"/>
    <w:rsid w:val="00D306D1"/>
    <w:rsid w:val="00D30800"/>
    <w:rsid w:val="00D34786"/>
    <w:rsid w:val="00D36A63"/>
    <w:rsid w:val="00D37BFC"/>
    <w:rsid w:val="00D4293B"/>
    <w:rsid w:val="00D47A8E"/>
    <w:rsid w:val="00D503FD"/>
    <w:rsid w:val="00D50663"/>
    <w:rsid w:val="00D52D14"/>
    <w:rsid w:val="00D53981"/>
    <w:rsid w:val="00D61BB6"/>
    <w:rsid w:val="00D712D3"/>
    <w:rsid w:val="00D71422"/>
    <w:rsid w:val="00D72DC6"/>
    <w:rsid w:val="00D7558D"/>
    <w:rsid w:val="00D81D92"/>
    <w:rsid w:val="00D876F9"/>
    <w:rsid w:val="00D913C2"/>
    <w:rsid w:val="00D93BF4"/>
    <w:rsid w:val="00D94E73"/>
    <w:rsid w:val="00D94EE2"/>
    <w:rsid w:val="00DA4F91"/>
    <w:rsid w:val="00DA7B5F"/>
    <w:rsid w:val="00DB35CF"/>
    <w:rsid w:val="00DB54B8"/>
    <w:rsid w:val="00DB772F"/>
    <w:rsid w:val="00DB78B9"/>
    <w:rsid w:val="00DC0D1A"/>
    <w:rsid w:val="00DC11E7"/>
    <w:rsid w:val="00DC24E3"/>
    <w:rsid w:val="00DC342A"/>
    <w:rsid w:val="00DC7023"/>
    <w:rsid w:val="00DC769A"/>
    <w:rsid w:val="00DD3D86"/>
    <w:rsid w:val="00DD4AD2"/>
    <w:rsid w:val="00DE2862"/>
    <w:rsid w:val="00DE753E"/>
    <w:rsid w:val="00DF1EC4"/>
    <w:rsid w:val="00DF7462"/>
    <w:rsid w:val="00E00876"/>
    <w:rsid w:val="00E0340B"/>
    <w:rsid w:val="00E04A90"/>
    <w:rsid w:val="00E0551F"/>
    <w:rsid w:val="00E1117B"/>
    <w:rsid w:val="00E136DC"/>
    <w:rsid w:val="00E219C7"/>
    <w:rsid w:val="00E313FF"/>
    <w:rsid w:val="00E31749"/>
    <w:rsid w:val="00E31B49"/>
    <w:rsid w:val="00E36C91"/>
    <w:rsid w:val="00E37983"/>
    <w:rsid w:val="00E4118C"/>
    <w:rsid w:val="00E411D5"/>
    <w:rsid w:val="00E42719"/>
    <w:rsid w:val="00E42D7A"/>
    <w:rsid w:val="00E43157"/>
    <w:rsid w:val="00E458C9"/>
    <w:rsid w:val="00E461CE"/>
    <w:rsid w:val="00E4729B"/>
    <w:rsid w:val="00E4772F"/>
    <w:rsid w:val="00E52741"/>
    <w:rsid w:val="00E52A40"/>
    <w:rsid w:val="00E5463A"/>
    <w:rsid w:val="00E56C0C"/>
    <w:rsid w:val="00E573E4"/>
    <w:rsid w:val="00E64C3D"/>
    <w:rsid w:val="00E66075"/>
    <w:rsid w:val="00E66C54"/>
    <w:rsid w:val="00E720CA"/>
    <w:rsid w:val="00E80EF3"/>
    <w:rsid w:val="00E84908"/>
    <w:rsid w:val="00E84EB5"/>
    <w:rsid w:val="00E85662"/>
    <w:rsid w:val="00E8789F"/>
    <w:rsid w:val="00E965BD"/>
    <w:rsid w:val="00E97B71"/>
    <w:rsid w:val="00EA17CB"/>
    <w:rsid w:val="00EA3D34"/>
    <w:rsid w:val="00EA4F24"/>
    <w:rsid w:val="00EA567E"/>
    <w:rsid w:val="00EA703A"/>
    <w:rsid w:val="00EB454D"/>
    <w:rsid w:val="00EB69EA"/>
    <w:rsid w:val="00ED0B49"/>
    <w:rsid w:val="00ED31D9"/>
    <w:rsid w:val="00ED549D"/>
    <w:rsid w:val="00ED5E10"/>
    <w:rsid w:val="00ED76BE"/>
    <w:rsid w:val="00EE00E9"/>
    <w:rsid w:val="00EE1589"/>
    <w:rsid w:val="00EE4C6D"/>
    <w:rsid w:val="00EF187E"/>
    <w:rsid w:val="00EF1AAA"/>
    <w:rsid w:val="00EF45C0"/>
    <w:rsid w:val="00EF619B"/>
    <w:rsid w:val="00F00B55"/>
    <w:rsid w:val="00F02AD1"/>
    <w:rsid w:val="00F101FF"/>
    <w:rsid w:val="00F10251"/>
    <w:rsid w:val="00F253CC"/>
    <w:rsid w:val="00F25739"/>
    <w:rsid w:val="00F26A10"/>
    <w:rsid w:val="00F3461A"/>
    <w:rsid w:val="00F37106"/>
    <w:rsid w:val="00F441A0"/>
    <w:rsid w:val="00F44E25"/>
    <w:rsid w:val="00F46C11"/>
    <w:rsid w:val="00F519CF"/>
    <w:rsid w:val="00F53EA8"/>
    <w:rsid w:val="00F56BA5"/>
    <w:rsid w:val="00F56ECB"/>
    <w:rsid w:val="00F60E22"/>
    <w:rsid w:val="00F70A1C"/>
    <w:rsid w:val="00F81395"/>
    <w:rsid w:val="00F81BB8"/>
    <w:rsid w:val="00F905DC"/>
    <w:rsid w:val="00F90C64"/>
    <w:rsid w:val="00F917D1"/>
    <w:rsid w:val="00F91DE4"/>
    <w:rsid w:val="00F9653B"/>
    <w:rsid w:val="00F96D27"/>
    <w:rsid w:val="00FA0B83"/>
    <w:rsid w:val="00FA2041"/>
    <w:rsid w:val="00FA344A"/>
    <w:rsid w:val="00FA7958"/>
    <w:rsid w:val="00FB55E0"/>
    <w:rsid w:val="00FB5A6F"/>
    <w:rsid w:val="00FB62CF"/>
    <w:rsid w:val="00FC1887"/>
    <w:rsid w:val="00FD3C3B"/>
    <w:rsid w:val="00FD6DD5"/>
    <w:rsid w:val="00FD700F"/>
    <w:rsid w:val="00FE07DD"/>
    <w:rsid w:val="00FE22E8"/>
    <w:rsid w:val="00FE6B45"/>
    <w:rsid w:val="00FF05C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Parragrap,Lista vistosa - Énfasis 11,Medium Grid 1 - Accent 21,Colorful List - Accent 12"/>
    <w:link w:val="ListParagraphChar"/>
    <w:uiPriority w:val="34"/>
    <w:qFormat/>
    <w:rsid w:val="00DB772F"/>
    <w:pPr>
      <w:spacing w:before="240" w:after="240"/>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E1117B"/>
    <w:pPr>
      <w:ind w:firstLine="720"/>
      <w:jc w:val="both"/>
    </w:pPr>
    <w:rPr>
      <w:rFonts w:asciiTheme="majorHAnsi" w:eastAsia="Calibri" w:hAnsiTheme="majorHAnsi" w:cs="Calibri"/>
      <w:color w:val="000000"/>
      <w:sz w:val="16"/>
      <w:szCs w:val="16"/>
      <w:u w:color="000000"/>
      <w:lang w:val="pt-BR"/>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E1117B"/>
    <w:rPr>
      <w:rFonts w:asciiTheme="majorHAnsi" w:eastAsia="Calibri" w:hAnsiTheme="majorHAnsi" w:cs="Calibri"/>
      <w:color w:val="000000"/>
      <w:sz w:val="16"/>
      <w:szCs w:val="16"/>
      <w:u w:color="000000"/>
      <w:lang w:val="pt-BR"/>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3566"/>
    <w:rPr>
      <w:sz w:val="16"/>
      <w:szCs w:val="16"/>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5D7CC9"/>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F905D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Parragrap Char,Lista vistosa - Énfasis 11 Char,Medium Grid 1 - Accent 21 Char,Colorful List - Accent 12 Char"/>
    <w:link w:val="ListParagraph"/>
    <w:uiPriority w:val="34"/>
    <w:locked/>
    <w:rsid w:val="00F905DC"/>
    <w:rPr>
      <w:rFonts w:ascii="Cambria" w:eastAsia="Cambria" w:hAnsi="Cambria" w:cs="Cambria"/>
      <w:color w:val="000000"/>
      <w:sz w:val="24"/>
      <w:szCs w:val="24"/>
      <w:u w:color="000000"/>
      <w:lang w:val="en-US"/>
    </w:rPr>
  </w:style>
  <w:style w:type="paragraph" w:customStyle="1" w:styleId="parrafos">
    <w:name w:val="parrafos"/>
    <w:basedOn w:val="Normal"/>
    <w:qFormat/>
    <w:rsid w:val="00F905DC"/>
    <w:pPr>
      <w:numPr>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Pr>
      <w:rFonts w:asciiTheme="majorHAnsi" w:hAnsiTheme="majorHAnsi"/>
      <w:color w:val="000000" w:themeColor="text1"/>
      <w:sz w:val="20"/>
      <w:szCs w:val="20"/>
      <w:lang w:val="es-VE"/>
    </w:rPr>
  </w:style>
  <w:style w:type="paragraph" w:customStyle="1" w:styleId="paragraph">
    <w:name w:val="paragraph"/>
    <w:basedOn w:val="Normal"/>
    <w:rsid w:val="00C349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C34944"/>
  </w:style>
  <w:style w:type="character" w:customStyle="1" w:styleId="eop">
    <w:name w:val="eop"/>
    <w:basedOn w:val="DefaultParagraphFont"/>
    <w:rsid w:val="00C34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F2C79"/>
    <w:rsid w:val="001574A9"/>
    <w:rsid w:val="00200821"/>
    <w:rsid w:val="002249A1"/>
    <w:rsid w:val="0025245B"/>
    <w:rsid w:val="002A3923"/>
    <w:rsid w:val="00323DD5"/>
    <w:rsid w:val="00360876"/>
    <w:rsid w:val="00394049"/>
    <w:rsid w:val="003B0C71"/>
    <w:rsid w:val="003B6CC8"/>
    <w:rsid w:val="003E2DD8"/>
    <w:rsid w:val="003E2E91"/>
    <w:rsid w:val="004B5BBB"/>
    <w:rsid w:val="004F2DF8"/>
    <w:rsid w:val="00517E2A"/>
    <w:rsid w:val="00594B76"/>
    <w:rsid w:val="006D3128"/>
    <w:rsid w:val="006F24A1"/>
    <w:rsid w:val="007C3C2A"/>
    <w:rsid w:val="008317F3"/>
    <w:rsid w:val="00875B8A"/>
    <w:rsid w:val="008937F7"/>
    <w:rsid w:val="00894C4C"/>
    <w:rsid w:val="008953BC"/>
    <w:rsid w:val="00901503"/>
    <w:rsid w:val="00905FCC"/>
    <w:rsid w:val="009A261B"/>
    <w:rsid w:val="009E4EBF"/>
    <w:rsid w:val="00A72869"/>
    <w:rsid w:val="00AA2E17"/>
    <w:rsid w:val="00AC15A4"/>
    <w:rsid w:val="00B0336C"/>
    <w:rsid w:val="00B22CFB"/>
    <w:rsid w:val="00C01680"/>
    <w:rsid w:val="00C375FC"/>
    <w:rsid w:val="00C4710B"/>
    <w:rsid w:val="00D241E9"/>
    <w:rsid w:val="00D3126A"/>
    <w:rsid w:val="00D7750D"/>
    <w:rsid w:val="00D94EE2"/>
    <w:rsid w:val="00E66075"/>
    <w:rsid w:val="00EA4F24"/>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2907</Words>
  <Characters>16576</Characters>
  <Application>Microsoft Office Word</Application>
  <DocSecurity>0</DocSecurity>
  <Lines>138</Lines>
  <Paragraphs>38</Paragraphs>
  <ScaleCrop>false</ScaleCrop>
  <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2025-05-05T20:39:00Z</dcterms:created>
  <dcterms:modified xsi:type="dcterms:W3CDTF">2025-05-05T20:39:00Z</dcterms:modified>
</cp:coreProperties>
</file>