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1BB3" w14:textId="77777777" w:rsidR="00040C3A" w:rsidRPr="006D07D1" w:rsidRDefault="00D306D1" w:rsidP="00627C9F">
      <w:pPr>
        <w:jc w:val="both"/>
        <w:rPr>
          <w:rFonts w:ascii="Cambria" w:hAnsi="Cambria" w:cs="Univers"/>
          <w:b/>
          <w:bCs/>
          <w:sz w:val="22"/>
          <w:szCs w:val="22"/>
          <w:lang w:val="es-ES"/>
        </w:rPr>
      </w:pPr>
      <w:r w:rsidRPr="006D07D1">
        <w:rPr>
          <w:rFonts w:ascii="Cambria" w:hAnsi="Cambria"/>
          <w:noProof/>
          <w:sz w:val="22"/>
          <w:szCs w:val="22"/>
          <w:lang w:val="es-ES" w:eastAsia="es-419"/>
        </w:rPr>
        <mc:AlternateContent>
          <mc:Choice Requires="wps">
            <w:drawing>
              <wp:anchor distT="0" distB="0" distL="114300" distR="114300" simplePos="0" relativeHeight="251661311" behindDoc="0" locked="0" layoutInCell="1" allowOverlap="1" wp14:anchorId="179A3F0F" wp14:editId="1371D494">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B3F0EA3">
              <v:rect id="Rectangle 1"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a7194" stroked="f" strokeweight="2pt" w14:anchorId="4E5EA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w:pict>
          </mc:Fallback>
        </mc:AlternateContent>
      </w:r>
      <w:r w:rsidR="003E6CA1" w:rsidRPr="006D07D1">
        <w:rPr>
          <w:rFonts w:ascii="Cambria" w:hAnsi="Cambria"/>
          <w:noProof/>
          <w:sz w:val="22"/>
          <w:szCs w:val="22"/>
          <w:lang w:val="es-ES" w:eastAsia="es-419"/>
        </w:rPr>
        <mc:AlternateContent>
          <mc:Choice Requires="wps">
            <w:drawing>
              <wp:anchor distT="0" distB="0" distL="114300" distR="114300" simplePos="0" relativeHeight="251673600" behindDoc="0" locked="0" layoutInCell="1" allowOverlap="1" wp14:anchorId="10F4F91A" wp14:editId="21050AED">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4F91A"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v:textbox>
              </v:shape>
            </w:pict>
          </mc:Fallback>
        </mc:AlternateContent>
      </w:r>
    </w:p>
    <w:p w14:paraId="47386BAF" w14:textId="77777777" w:rsidR="00040C3A" w:rsidRPr="006D07D1" w:rsidRDefault="00040C3A" w:rsidP="00040C3A">
      <w:pPr>
        <w:tabs>
          <w:tab w:val="center" w:pos="5400"/>
        </w:tabs>
        <w:suppressAutoHyphens/>
        <w:jc w:val="both"/>
        <w:rPr>
          <w:rFonts w:ascii="Cambria" w:hAnsi="Cambria"/>
          <w:sz w:val="22"/>
          <w:szCs w:val="22"/>
          <w:lang w:val="es-ES"/>
        </w:rPr>
      </w:pPr>
    </w:p>
    <w:p w14:paraId="5A87E141" w14:textId="77777777" w:rsidR="00040C3A" w:rsidRPr="006D07D1" w:rsidRDefault="00040C3A" w:rsidP="00040C3A">
      <w:pPr>
        <w:tabs>
          <w:tab w:val="center" w:pos="5400"/>
        </w:tabs>
        <w:suppressAutoHyphens/>
        <w:jc w:val="both"/>
        <w:rPr>
          <w:rFonts w:ascii="Cambria" w:hAnsi="Cambria"/>
          <w:sz w:val="22"/>
          <w:szCs w:val="22"/>
          <w:lang w:val="es-ES"/>
        </w:rPr>
      </w:pPr>
    </w:p>
    <w:p w14:paraId="29D95BCC" w14:textId="77777777" w:rsidR="005128E4" w:rsidRPr="006D07D1" w:rsidRDefault="005128E4" w:rsidP="00040C3A">
      <w:pPr>
        <w:tabs>
          <w:tab w:val="center" w:pos="5400"/>
        </w:tabs>
        <w:suppressAutoHyphens/>
        <w:rPr>
          <w:rFonts w:ascii="Cambria" w:hAnsi="Cambria"/>
          <w:sz w:val="22"/>
          <w:szCs w:val="22"/>
          <w:lang w:val="es-ES"/>
        </w:rPr>
      </w:pPr>
    </w:p>
    <w:p w14:paraId="12A36B24" w14:textId="77777777" w:rsidR="005128E4" w:rsidRPr="006D07D1" w:rsidRDefault="005128E4" w:rsidP="00040C3A">
      <w:pPr>
        <w:tabs>
          <w:tab w:val="center" w:pos="5400"/>
        </w:tabs>
        <w:suppressAutoHyphens/>
        <w:rPr>
          <w:rFonts w:ascii="Cambria" w:hAnsi="Cambria"/>
          <w:sz w:val="22"/>
          <w:szCs w:val="22"/>
          <w:lang w:val="es-ES"/>
        </w:rPr>
      </w:pPr>
    </w:p>
    <w:p w14:paraId="2252093D" w14:textId="77777777" w:rsidR="005128E4" w:rsidRPr="006D07D1" w:rsidRDefault="005128E4" w:rsidP="00040C3A">
      <w:pPr>
        <w:tabs>
          <w:tab w:val="center" w:pos="5400"/>
        </w:tabs>
        <w:suppressAutoHyphens/>
        <w:rPr>
          <w:rFonts w:ascii="Cambria" w:hAnsi="Cambria"/>
          <w:sz w:val="22"/>
          <w:szCs w:val="22"/>
          <w:lang w:val="es-ES"/>
        </w:rPr>
      </w:pPr>
    </w:p>
    <w:p w14:paraId="403935BD" w14:textId="77777777" w:rsidR="00040C3A" w:rsidRPr="006D07D1" w:rsidRDefault="00040C3A" w:rsidP="005128E4">
      <w:pPr>
        <w:tabs>
          <w:tab w:val="center" w:pos="5400"/>
        </w:tabs>
        <w:suppressAutoHyphens/>
        <w:jc w:val="center"/>
        <w:rPr>
          <w:rFonts w:ascii="Cambria" w:hAnsi="Cambria"/>
          <w:sz w:val="22"/>
          <w:szCs w:val="22"/>
          <w:lang w:val="es-ES"/>
        </w:rPr>
      </w:pPr>
    </w:p>
    <w:p w14:paraId="6DCF5F8F" w14:textId="77777777" w:rsidR="00040C3A" w:rsidRPr="006D07D1" w:rsidRDefault="00040C3A" w:rsidP="005128E4">
      <w:pPr>
        <w:tabs>
          <w:tab w:val="center" w:pos="5400"/>
        </w:tabs>
        <w:suppressAutoHyphens/>
        <w:jc w:val="center"/>
        <w:rPr>
          <w:rFonts w:ascii="Cambria" w:hAnsi="Cambria"/>
          <w:sz w:val="22"/>
          <w:szCs w:val="22"/>
          <w:lang w:val="es-ES"/>
        </w:rPr>
      </w:pPr>
    </w:p>
    <w:p w14:paraId="4791F13A" w14:textId="77777777" w:rsidR="005B52B0" w:rsidRPr="006D07D1" w:rsidRDefault="005B52B0" w:rsidP="005128E4">
      <w:pPr>
        <w:tabs>
          <w:tab w:val="center" w:pos="5400"/>
        </w:tabs>
        <w:suppressAutoHyphens/>
        <w:jc w:val="center"/>
        <w:rPr>
          <w:rFonts w:ascii="Cambria" w:hAnsi="Cambria"/>
          <w:sz w:val="22"/>
          <w:szCs w:val="22"/>
          <w:lang w:val="es-ES"/>
        </w:rPr>
      </w:pPr>
    </w:p>
    <w:p w14:paraId="44E016B6" w14:textId="77777777" w:rsidR="005B52B0" w:rsidRPr="006D07D1" w:rsidRDefault="005B52B0" w:rsidP="005128E4">
      <w:pPr>
        <w:tabs>
          <w:tab w:val="center" w:pos="5400"/>
        </w:tabs>
        <w:suppressAutoHyphens/>
        <w:jc w:val="center"/>
        <w:rPr>
          <w:rFonts w:ascii="Cambria" w:hAnsi="Cambria"/>
          <w:sz w:val="22"/>
          <w:szCs w:val="22"/>
          <w:lang w:val="es-ES"/>
        </w:rPr>
      </w:pPr>
    </w:p>
    <w:p w14:paraId="63D41962" w14:textId="77777777" w:rsidR="005B52B0" w:rsidRPr="006D07D1" w:rsidRDefault="005B52B0" w:rsidP="005128E4">
      <w:pPr>
        <w:tabs>
          <w:tab w:val="center" w:pos="5400"/>
        </w:tabs>
        <w:suppressAutoHyphens/>
        <w:jc w:val="center"/>
        <w:rPr>
          <w:rFonts w:ascii="Cambria" w:hAnsi="Cambria"/>
          <w:sz w:val="22"/>
          <w:szCs w:val="22"/>
          <w:lang w:val="es-ES"/>
        </w:rPr>
      </w:pPr>
    </w:p>
    <w:p w14:paraId="5ADEB990" w14:textId="77777777" w:rsidR="00040C3A" w:rsidRPr="006D07D1" w:rsidRDefault="00040C3A" w:rsidP="00040C3A">
      <w:pPr>
        <w:tabs>
          <w:tab w:val="center" w:pos="5400"/>
        </w:tabs>
        <w:suppressAutoHyphens/>
        <w:jc w:val="center"/>
        <w:rPr>
          <w:rFonts w:ascii="Cambria" w:hAnsi="Cambria"/>
          <w:sz w:val="22"/>
          <w:szCs w:val="22"/>
          <w:lang w:val="es-ES"/>
        </w:rPr>
      </w:pPr>
    </w:p>
    <w:p w14:paraId="2D81B7E8" w14:textId="77777777" w:rsidR="00040C3A" w:rsidRPr="006D07D1" w:rsidRDefault="00040C3A" w:rsidP="00040C3A">
      <w:pPr>
        <w:tabs>
          <w:tab w:val="center" w:pos="5400"/>
        </w:tabs>
        <w:suppressAutoHyphens/>
        <w:jc w:val="center"/>
        <w:rPr>
          <w:rFonts w:ascii="Cambria" w:hAnsi="Cambria"/>
          <w:sz w:val="22"/>
          <w:szCs w:val="22"/>
          <w:lang w:val="es-ES"/>
        </w:rPr>
      </w:pPr>
    </w:p>
    <w:p w14:paraId="64791D04" w14:textId="77777777" w:rsidR="00040C3A" w:rsidRPr="006D07D1" w:rsidRDefault="003D3BC2" w:rsidP="00040C3A">
      <w:pPr>
        <w:tabs>
          <w:tab w:val="center" w:pos="5400"/>
        </w:tabs>
        <w:suppressAutoHyphens/>
        <w:jc w:val="center"/>
        <w:rPr>
          <w:rFonts w:ascii="Cambria" w:hAnsi="Cambria"/>
          <w:sz w:val="22"/>
          <w:szCs w:val="22"/>
          <w:lang w:val="es-ES"/>
        </w:rPr>
      </w:pPr>
      <w:r w:rsidRPr="006D07D1">
        <w:rPr>
          <w:rFonts w:ascii="Cambria" w:hAnsi="Cambria"/>
          <w:noProof/>
          <w:sz w:val="22"/>
          <w:szCs w:val="22"/>
          <w:lang w:val="es-ES" w:eastAsia="es-419"/>
        </w:rPr>
        <mc:AlternateContent>
          <mc:Choice Requires="wps">
            <w:drawing>
              <wp:anchor distT="0" distB="0" distL="114300" distR="114300" simplePos="0" relativeHeight="251669504" behindDoc="0" locked="0" layoutInCell="1" allowOverlap="1" wp14:anchorId="5980ED94" wp14:editId="59F42D4B">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FE29C" w14:textId="2971E480" w:rsidR="005B52B0" w:rsidRPr="00DD7333"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B31F39">
                              <w:rPr>
                                <w:rFonts w:asciiTheme="majorHAnsi" w:hAnsiTheme="majorHAnsi" w:cs="Arial"/>
                                <w:b/>
                                <w:bCs/>
                                <w:color w:val="0D0D0D" w:themeColor="text1" w:themeTint="F2"/>
                                <w:sz w:val="36"/>
                                <w:szCs w:val="22"/>
                                <w:lang w:val="es-ES_tradnl"/>
                              </w:rPr>
                              <w:t>318</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w:t>
                            </w:r>
                            <w:r w:rsidR="00B11747" w:rsidRPr="00DD7333">
                              <w:rPr>
                                <w:rFonts w:asciiTheme="majorHAnsi" w:hAnsiTheme="majorHAnsi" w:cs="Arial"/>
                                <w:b/>
                                <w:bCs/>
                                <w:color w:val="0D0D0D" w:themeColor="text1" w:themeTint="F2"/>
                                <w:sz w:val="36"/>
                                <w:szCs w:val="22"/>
                                <w:lang w:val="es-ES_tradnl"/>
                              </w:rPr>
                              <w:t>5</w:t>
                            </w:r>
                          </w:p>
                          <w:p w14:paraId="09C54AB3" w14:textId="77DA33BC" w:rsidR="007B05C4" w:rsidRDefault="005B52B0" w:rsidP="00997BC5">
                            <w:pPr>
                              <w:spacing w:line="276" w:lineRule="auto"/>
                              <w:rPr>
                                <w:rFonts w:asciiTheme="majorHAnsi" w:hAnsiTheme="majorHAnsi" w:cs="Arial"/>
                                <w:b/>
                                <w:color w:val="0D0D0D" w:themeColor="text1" w:themeTint="F2"/>
                                <w:sz w:val="36"/>
                                <w:szCs w:val="22"/>
                                <w:lang w:val="es-ES_tradnl"/>
                              </w:rPr>
                            </w:pPr>
                            <w:r w:rsidRPr="00DD7333">
                              <w:rPr>
                                <w:rFonts w:asciiTheme="majorHAnsi" w:hAnsiTheme="majorHAnsi" w:cs="Arial"/>
                                <w:b/>
                                <w:color w:val="0D0D0D" w:themeColor="text1" w:themeTint="F2"/>
                                <w:sz w:val="36"/>
                                <w:szCs w:val="22"/>
                                <w:lang w:val="es-ES_tradnl"/>
                              </w:rPr>
                              <w:t xml:space="preserve">PETICIÓN </w:t>
                            </w:r>
                            <w:r w:rsidR="00DD7333" w:rsidRPr="00DD7333">
                              <w:rPr>
                                <w:rFonts w:asciiTheme="majorHAnsi" w:hAnsiTheme="majorHAnsi" w:cs="Arial"/>
                                <w:b/>
                                <w:color w:val="0D0D0D" w:themeColor="text1" w:themeTint="F2"/>
                                <w:sz w:val="36"/>
                                <w:szCs w:val="22"/>
                                <w:lang w:val="es-ES_tradnl"/>
                              </w:rPr>
                              <w:t>1484</w:t>
                            </w:r>
                            <w:r w:rsidR="00B11747" w:rsidRPr="00DD7333">
                              <w:rPr>
                                <w:rFonts w:asciiTheme="majorHAnsi" w:hAnsiTheme="majorHAnsi" w:cs="Arial"/>
                                <w:b/>
                                <w:color w:val="0D0D0D" w:themeColor="text1" w:themeTint="F2"/>
                                <w:sz w:val="36"/>
                                <w:szCs w:val="22"/>
                                <w:lang w:val="es-ES_tradnl"/>
                              </w:rPr>
                              <w:t>-</w:t>
                            </w:r>
                            <w:r w:rsidR="00DD7333" w:rsidRPr="00DD7333">
                              <w:rPr>
                                <w:rFonts w:asciiTheme="majorHAnsi" w:hAnsiTheme="majorHAnsi" w:cs="Arial"/>
                                <w:b/>
                                <w:color w:val="0D0D0D" w:themeColor="text1" w:themeTint="F2"/>
                                <w:sz w:val="36"/>
                                <w:szCs w:val="22"/>
                                <w:lang w:val="es-ES_tradnl"/>
                              </w:rPr>
                              <w:t>15</w:t>
                            </w:r>
                          </w:p>
                          <w:p w14:paraId="70CF6833" w14:textId="760331F2"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p>
                          <w:p w14:paraId="5FDD6F0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bookmarkEnd w:id="0"/>
                          <w:p w14:paraId="01E3C4E2" w14:textId="0B14BB97" w:rsidR="00EB197F" w:rsidRPr="00DD7333" w:rsidRDefault="00DD7333" w:rsidP="00997BC5">
                            <w:pPr>
                              <w:spacing w:line="276" w:lineRule="auto"/>
                              <w:rPr>
                                <w:rFonts w:asciiTheme="majorHAnsi" w:hAnsiTheme="majorHAnsi" w:cs="Arial"/>
                                <w:color w:val="0D0D0D" w:themeColor="text1" w:themeTint="F2"/>
                                <w:szCs w:val="22"/>
                                <w:lang w:val="es-ES_tradnl"/>
                              </w:rPr>
                            </w:pPr>
                            <w:r w:rsidRPr="00DD7333">
                              <w:rPr>
                                <w:rFonts w:asciiTheme="majorHAnsi" w:hAnsiTheme="majorHAnsi" w:cs="Arial"/>
                                <w:color w:val="0D0D0D" w:themeColor="text1" w:themeTint="F2"/>
                                <w:szCs w:val="22"/>
                                <w:lang w:val="es-ES_tradnl"/>
                              </w:rPr>
                              <w:t>HÉCTOR VERGARA MALLQUI</w:t>
                            </w:r>
                          </w:p>
                          <w:p w14:paraId="575DFD52" w14:textId="013138FF" w:rsidR="005B52B0" w:rsidRPr="00EB197F" w:rsidRDefault="00DD7333" w:rsidP="007A5817">
                            <w:pPr>
                              <w:rPr>
                                <w:color w:val="0D0D0D" w:themeColor="text1" w:themeTint="F2"/>
                                <w:lang w:val="es-PE"/>
                              </w:rPr>
                            </w:pPr>
                            <w:r>
                              <w:rPr>
                                <w:rFonts w:asciiTheme="majorHAnsi" w:hAnsiTheme="majorHAnsi" w:cs="Arial"/>
                                <w:color w:val="0D0D0D" w:themeColor="text1" w:themeTint="F2"/>
                                <w:szCs w:val="22"/>
                                <w:lang w:val="es-PE"/>
                              </w:rPr>
                              <w:t>PERÚ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0ED94" id="Text Box 5" o:spid="_x0000_s1027" type="#_x0000_t202" style="position:absolute;left:0;text-align:left;margin-left:106.5pt;margin-top:8.45pt;width:349.7pt;height:17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4D9FE29C" w14:textId="2971E480" w:rsidR="005B52B0" w:rsidRPr="00DD7333"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B31F39">
                        <w:rPr>
                          <w:rFonts w:asciiTheme="majorHAnsi" w:hAnsiTheme="majorHAnsi" w:cs="Arial"/>
                          <w:b/>
                          <w:bCs/>
                          <w:color w:val="0D0D0D" w:themeColor="text1" w:themeTint="F2"/>
                          <w:sz w:val="36"/>
                          <w:szCs w:val="22"/>
                          <w:lang w:val="es-ES_tradnl"/>
                        </w:rPr>
                        <w:t>318</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w:t>
                      </w:r>
                      <w:r w:rsidR="00B11747" w:rsidRPr="00DD7333">
                        <w:rPr>
                          <w:rFonts w:asciiTheme="majorHAnsi" w:hAnsiTheme="majorHAnsi" w:cs="Arial"/>
                          <w:b/>
                          <w:bCs/>
                          <w:color w:val="0D0D0D" w:themeColor="text1" w:themeTint="F2"/>
                          <w:sz w:val="36"/>
                          <w:szCs w:val="22"/>
                          <w:lang w:val="es-ES_tradnl"/>
                        </w:rPr>
                        <w:t>5</w:t>
                      </w:r>
                    </w:p>
                    <w:p w14:paraId="09C54AB3" w14:textId="77DA33BC" w:rsidR="007B05C4" w:rsidRDefault="005B52B0" w:rsidP="00997BC5">
                      <w:pPr>
                        <w:spacing w:line="276" w:lineRule="auto"/>
                        <w:rPr>
                          <w:rFonts w:asciiTheme="majorHAnsi" w:hAnsiTheme="majorHAnsi" w:cs="Arial"/>
                          <w:b/>
                          <w:color w:val="0D0D0D" w:themeColor="text1" w:themeTint="F2"/>
                          <w:sz w:val="36"/>
                          <w:szCs w:val="22"/>
                          <w:lang w:val="es-ES_tradnl"/>
                        </w:rPr>
                      </w:pPr>
                      <w:r w:rsidRPr="00DD7333">
                        <w:rPr>
                          <w:rFonts w:asciiTheme="majorHAnsi" w:hAnsiTheme="majorHAnsi" w:cs="Arial"/>
                          <w:b/>
                          <w:color w:val="0D0D0D" w:themeColor="text1" w:themeTint="F2"/>
                          <w:sz w:val="36"/>
                          <w:szCs w:val="22"/>
                          <w:lang w:val="es-ES_tradnl"/>
                        </w:rPr>
                        <w:t xml:space="preserve">PETICIÓN </w:t>
                      </w:r>
                      <w:r w:rsidR="00DD7333" w:rsidRPr="00DD7333">
                        <w:rPr>
                          <w:rFonts w:asciiTheme="majorHAnsi" w:hAnsiTheme="majorHAnsi" w:cs="Arial"/>
                          <w:b/>
                          <w:color w:val="0D0D0D" w:themeColor="text1" w:themeTint="F2"/>
                          <w:sz w:val="36"/>
                          <w:szCs w:val="22"/>
                          <w:lang w:val="es-ES_tradnl"/>
                        </w:rPr>
                        <w:t>1484</w:t>
                      </w:r>
                      <w:r w:rsidR="00B11747" w:rsidRPr="00DD7333">
                        <w:rPr>
                          <w:rFonts w:asciiTheme="majorHAnsi" w:hAnsiTheme="majorHAnsi" w:cs="Arial"/>
                          <w:b/>
                          <w:color w:val="0D0D0D" w:themeColor="text1" w:themeTint="F2"/>
                          <w:sz w:val="36"/>
                          <w:szCs w:val="22"/>
                          <w:lang w:val="es-ES_tradnl"/>
                        </w:rPr>
                        <w:t>-</w:t>
                      </w:r>
                      <w:r w:rsidR="00DD7333" w:rsidRPr="00DD7333">
                        <w:rPr>
                          <w:rFonts w:asciiTheme="majorHAnsi" w:hAnsiTheme="majorHAnsi" w:cs="Arial"/>
                          <w:b/>
                          <w:color w:val="0D0D0D" w:themeColor="text1" w:themeTint="F2"/>
                          <w:sz w:val="36"/>
                          <w:szCs w:val="22"/>
                          <w:lang w:val="es-ES_tradnl"/>
                        </w:rPr>
                        <w:t>15</w:t>
                      </w:r>
                    </w:p>
                    <w:p w14:paraId="70CF6833" w14:textId="760331F2"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p>
                    <w:p w14:paraId="5FDD6F0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bookmarkEnd w:id="1"/>
                    <w:p w14:paraId="01E3C4E2" w14:textId="0B14BB97" w:rsidR="00EB197F" w:rsidRPr="00DD7333" w:rsidRDefault="00DD7333" w:rsidP="00997BC5">
                      <w:pPr>
                        <w:spacing w:line="276" w:lineRule="auto"/>
                        <w:rPr>
                          <w:rFonts w:asciiTheme="majorHAnsi" w:hAnsiTheme="majorHAnsi" w:cs="Arial"/>
                          <w:color w:val="0D0D0D" w:themeColor="text1" w:themeTint="F2"/>
                          <w:szCs w:val="22"/>
                          <w:lang w:val="es-ES_tradnl"/>
                        </w:rPr>
                      </w:pPr>
                      <w:r w:rsidRPr="00DD7333">
                        <w:rPr>
                          <w:rFonts w:asciiTheme="majorHAnsi" w:hAnsiTheme="majorHAnsi" w:cs="Arial"/>
                          <w:color w:val="0D0D0D" w:themeColor="text1" w:themeTint="F2"/>
                          <w:szCs w:val="22"/>
                          <w:lang w:val="es-ES_tradnl"/>
                        </w:rPr>
                        <w:t>HÉCTOR VERGARA MALLQUI</w:t>
                      </w:r>
                    </w:p>
                    <w:p w14:paraId="575DFD52" w14:textId="013138FF" w:rsidR="005B52B0" w:rsidRPr="00EB197F" w:rsidRDefault="00DD7333" w:rsidP="007A5817">
                      <w:pPr>
                        <w:rPr>
                          <w:color w:val="0D0D0D" w:themeColor="text1" w:themeTint="F2"/>
                          <w:lang w:val="es-PE"/>
                        </w:rPr>
                      </w:pPr>
                      <w:r>
                        <w:rPr>
                          <w:rFonts w:asciiTheme="majorHAnsi" w:hAnsiTheme="majorHAnsi" w:cs="Arial"/>
                          <w:color w:val="0D0D0D" w:themeColor="text1" w:themeTint="F2"/>
                          <w:szCs w:val="22"/>
                          <w:lang w:val="es-PE"/>
                        </w:rPr>
                        <w:t>PERÚ</w:t>
                      </w:r>
                    </w:p>
                  </w:txbxContent>
                </v:textbox>
              </v:shape>
            </w:pict>
          </mc:Fallback>
        </mc:AlternateContent>
      </w:r>
      <w:r w:rsidR="004E2649" w:rsidRPr="006D07D1">
        <w:rPr>
          <w:rFonts w:ascii="Cambria" w:hAnsi="Cambria"/>
          <w:noProof/>
          <w:sz w:val="22"/>
          <w:szCs w:val="22"/>
          <w:lang w:val="es-ES" w:eastAsia="es-419"/>
        </w:rPr>
        <mc:AlternateContent>
          <mc:Choice Requires="wps">
            <w:drawing>
              <wp:anchor distT="0" distB="0" distL="114300" distR="114300" simplePos="0" relativeHeight="251671552" behindDoc="0" locked="0" layoutInCell="1" allowOverlap="1" wp14:anchorId="73BE5919" wp14:editId="686CF99C">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0BAF6" w14:textId="7FF584B4" w:rsidR="00627C9F" w:rsidRPr="004E2649" w:rsidRDefault="00834D49" w:rsidP="007A5817">
                            <w:pPr>
                              <w:spacing w:line="276" w:lineRule="auto"/>
                              <w:jc w:val="right"/>
                              <w:rPr>
                                <w:rFonts w:asciiTheme="minorHAnsi" w:hAnsiTheme="minorHAnsi"/>
                                <w:color w:val="FFFFFF" w:themeColor="background1"/>
                                <w:sz w:val="22"/>
                                <w:lang w:val="pt-BR"/>
                              </w:rPr>
                            </w:pPr>
                            <w:r>
                              <w:rPr>
                                <w:rFonts w:asciiTheme="minorHAnsi" w:hAnsiTheme="minorHAnsi"/>
                                <w:color w:val="FFFFFF" w:themeColor="background1"/>
                                <w:sz w:val="22"/>
                                <w:lang w:val="pt-BR"/>
                              </w:rPr>
                              <w:t>OEA/Ser.L/V/II</w:t>
                            </w:r>
                          </w:p>
                          <w:p w14:paraId="6A41611B" w14:textId="0A898F76" w:rsidR="00627C9F" w:rsidRPr="004E2649" w:rsidRDefault="00627C9F" w:rsidP="007A5817">
                            <w:pPr>
                              <w:spacing w:line="276" w:lineRule="auto"/>
                              <w:jc w:val="right"/>
                              <w:rPr>
                                <w:rFonts w:asciiTheme="minorHAnsi" w:hAnsiTheme="minorHAnsi"/>
                                <w:color w:val="FFFFFF" w:themeColor="background1"/>
                                <w:sz w:val="22"/>
                                <w:lang w:val="pt-BR"/>
                              </w:rPr>
                            </w:pPr>
                            <w:r w:rsidRPr="004E2649">
                              <w:rPr>
                                <w:rFonts w:asciiTheme="minorHAnsi" w:hAnsiTheme="minorHAnsi"/>
                                <w:color w:val="FFFFFF" w:themeColor="background1"/>
                                <w:sz w:val="22"/>
                                <w:lang w:val="pt-BR"/>
                              </w:rPr>
                              <w:t xml:space="preserve">Doc. </w:t>
                            </w:r>
                            <w:r w:rsidR="00B31F39">
                              <w:rPr>
                                <w:rFonts w:asciiTheme="minorHAnsi" w:hAnsiTheme="minorHAnsi"/>
                                <w:color w:val="FFFFFF" w:themeColor="background1"/>
                                <w:sz w:val="22"/>
                                <w:lang w:val="pt-BR"/>
                              </w:rPr>
                              <w:t>333</w:t>
                            </w:r>
                          </w:p>
                          <w:p w14:paraId="69373ED2" w14:textId="166EC11C" w:rsidR="00627C9F" w:rsidRPr="002068C1" w:rsidRDefault="00B31F39" w:rsidP="007A5817">
                            <w:pPr>
                              <w:spacing w:line="276" w:lineRule="auto"/>
                              <w:jc w:val="right"/>
                              <w:rPr>
                                <w:rFonts w:asciiTheme="minorHAnsi" w:hAnsiTheme="minorHAnsi"/>
                                <w:color w:val="FFFFFF" w:themeColor="background1"/>
                                <w:sz w:val="22"/>
                                <w:lang w:val="pt-BR"/>
                              </w:rPr>
                            </w:pPr>
                            <w:r w:rsidRPr="002068C1">
                              <w:rPr>
                                <w:rFonts w:asciiTheme="minorHAnsi" w:hAnsiTheme="minorHAnsi"/>
                                <w:color w:val="FFFFFF" w:themeColor="background1"/>
                                <w:sz w:val="22"/>
                                <w:lang w:val="pt-BR"/>
                              </w:rPr>
                              <w:t>12 agosto</w:t>
                            </w:r>
                            <w:r w:rsidR="007B05C4" w:rsidRPr="002068C1">
                              <w:rPr>
                                <w:rFonts w:asciiTheme="minorHAnsi" w:hAnsiTheme="minorHAnsi"/>
                                <w:color w:val="FFFFFF" w:themeColor="background1"/>
                                <w:sz w:val="22"/>
                                <w:lang w:val="pt-BR"/>
                              </w:rPr>
                              <w:t xml:space="preserve"> </w:t>
                            </w:r>
                            <w:r w:rsidR="00627C9F" w:rsidRPr="002068C1">
                              <w:rPr>
                                <w:rFonts w:asciiTheme="minorHAnsi" w:hAnsiTheme="minorHAnsi"/>
                                <w:color w:val="FFFFFF" w:themeColor="background1"/>
                                <w:sz w:val="22"/>
                                <w:lang w:val="pt-BR"/>
                              </w:rPr>
                              <w:t>20</w:t>
                            </w:r>
                            <w:r w:rsidR="00C23BA4" w:rsidRPr="002068C1">
                              <w:rPr>
                                <w:rFonts w:asciiTheme="minorHAnsi" w:hAnsiTheme="minorHAnsi"/>
                                <w:color w:val="FFFFFF" w:themeColor="background1"/>
                                <w:sz w:val="22"/>
                                <w:lang w:val="pt-BR"/>
                              </w:rPr>
                              <w:t>2</w:t>
                            </w:r>
                            <w:r w:rsidR="00B11747" w:rsidRPr="002068C1">
                              <w:rPr>
                                <w:rFonts w:asciiTheme="minorHAnsi" w:hAnsiTheme="minorHAnsi"/>
                                <w:color w:val="FFFFFF" w:themeColor="background1"/>
                                <w:sz w:val="22"/>
                                <w:lang w:val="pt-BR"/>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E5919" id="Text Box 8" o:spid="_x0000_s1028" type="#_x0000_t202" style="position:absolute;left:0;text-align:left;margin-left:-27pt;margin-top:12.95pt;width:109.5pt;height:1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6CF0BAF6" w14:textId="7FF584B4" w:rsidR="00627C9F" w:rsidRPr="004E2649" w:rsidRDefault="00834D49" w:rsidP="007A5817">
                      <w:pPr>
                        <w:spacing w:line="276" w:lineRule="auto"/>
                        <w:jc w:val="right"/>
                        <w:rPr>
                          <w:rFonts w:asciiTheme="minorHAnsi" w:hAnsiTheme="minorHAnsi"/>
                          <w:color w:val="FFFFFF" w:themeColor="background1"/>
                          <w:sz w:val="22"/>
                          <w:lang w:val="pt-BR"/>
                        </w:rPr>
                      </w:pPr>
                      <w:r>
                        <w:rPr>
                          <w:rFonts w:asciiTheme="minorHAnsi" w:hAnsiTheme="minorHAnsi"/>
                          <w:color w:val="FFFFFF" w:themeColor="background1"/>
                          <w:sz w:val="22"/>
                          <w:lang w:val="pt-BR"/>
                        </w:rPr>
                        <w:t>OEA/Ser.L/V/II</w:t>
                      </w:r>
                    </w:p>
                    <w:p w14:paraId="6A41611B" w14:textId="0A898F76" w:rsidR="00627C9F" w:rsidRPr="004E2649" w:rsidRDefault="00627C9F" w:rsidP="007A5817">
                      <w:pPr>
                        <w:spacing w:line="276" w:lineRule="auto"/>
                        <w:jc w:val="right"/>
                        <w:rPr>
                          <w:rFonts w:asciiTheme="minorHAnsi" w:hAnsiTheme="minorHAnsi"/>
                          <w:color w:val="FFFFFF" w:themeColor="background1"/>
                          <w:sz w:val="22"/>
                          <w:lang w:val="pt-BR"/>
                        </w:rPr>
                      </w:pPr>
                      <w:r w:rsidRPr="004E2649">
                        <w:rPr>
                          <w:rFonts w:asciiTheme="minorHAnsi" w:hAnsiTheme="minorHAnsi"/>
                          <w:color w:val="FFFFFF" w:themeColor="background1"/>
                          <w:sz w:val="22"/>
                          <w:lang w:val="pt-BR"/>
                        </w:rPr>
                        <w:t xml:space="preserve">Doc. </w:t>
                      </w:r>
                      <w:r w:rsidR="00B31F39">
                        <w:rPr>
                          <w:rFonts w:asciiTheme="minorHAnsi" w:hAnsiTheme="minorHAnsi"/>
                          <w:color w:val="FFFFFF" w:themeColor="background1"/>
                          <w:sz w:val="22"/>
                          <w:lang w:val="pt-BR"/>
                        </w:rPr>
                        <w:t>333</w:t>
                      </w:r>
                    </w:p>
                    <w:p w14:paraId="69373ED2" w14:textId="166EC11C" w:rsidR="00627C9F" w:rsidRPr="002068C1" w:rsidRDefault="00B31F39" w:rsidP="007A5817">
                      <w:pPr>
                        <w:spacing w:line="276" w:lineRule="auto"/>
                        <w:jc w:val="right"/>
                        <w:rPr>
                          <w:rFonts w:asciiTheme="minorHAnsi" w:hAnsiTheme="minorHAnsi"/>
                          <w:color w:val="FFFFFF" w:themeColor="background1"/>
                          <w:sz w:val="22"/>
                          <w:lang w:val="pt-BR"/>
                        </w:rPr>
                      </w:pPr>
                      <w:r w:rsidRPr="002068C1">
                        <w:rPr>
                          <w:rFonts w:asciiTheme="minorHAnsi" w:hAnsiTheme="minorHAnsi"/>
                          <w:color w:val="FFFFFF" w:themeColor="background1"/>
                          <w:sz w:val="22"/>
                          <w:lang w:val="pt-BR"/>
                        </w:rPr>
                        <w:t>12 agosto</w:t>
                      </w:r>
                      <w:r w:rsidR="007B05C4" w:rsidRPr="002068C1">
                        <w:rPr>
                          <w:rFonts w:asciiTheme="minorHAnsi" w:hAnsiTheme="minorHAnsi"/>
                          <w:color w:val="FFFFFF" w:themeColor="background1"/>
                          <w:sz w:val="22"/>
                          <w:lang w:val="pt-BR"/>
                        </w:rPr>
                        <w:t xml:space="preserve"> </w:t>
                      </w:r>
                      <w:r w:rsidR="00627C9F" w:rsidRPr="002068C1">
                        <w:rPr>
                          <w:rFonts w:asciiTheme="minorHAnsi" w:hAnsiTheme="minorHAnsi"/>
                          <w:color w:val="FFFFFF" w:themeColor="background1"/>
                          <w:sz w:val="22"/>
                          <w:lang w:val="pt-BR"/>
                        </w:rPr>
                        <w:t>20</w:t>
                      </w:r>
                      <w:r w:rsidR="00C23BA4" w:rsidRPr="002068C1">
                        <w:rPr>
                          <w:rFonts w:asciiTheme="minorHAnsi" w:hAnsiTheme="minorHAnsi"/>
                          <w:color w:val="FFFFFF" w:themeColor="background1"/>
                          <w:sz w:val="22"/>
                          <w:lang w:val="pt-BR"/>
                        </w:rPr>
                        <w:t>2</w:t>
                      </w:r>
                      <w:r w:rsidR="00B11747" w:rsidRPr="002068C1">
                        <w:rPr>
                          <w:rFonts w:asciiTheme="minorHAnsi" w:hAnsiTheme="minorHAnsi"/>
                          <w:color w:val="FFFFFF" w:themeColor="background1"/>
                          <w:sz w:val="22"/>
                          <w:lang w:val="pt-BR"/>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155B0536" w14:textId="77777777" w:rsidR="00040C3A" w:rsidRPr="006D07D1" w:rsidRDefault="00040C3A" w:rsidP="00040C3A">
      <w:pPr>
        <w:tabs>
          <w:tab w:val="center" w:pos="5400"/>
        </w:tabs>
        <w:suppressAutoHyphens/>
        <w:jc w:val="center"/>
        <w:rPr>
          <w:rFonts w:ascii="Cambria" w:hAnsi="Cambria"/>
          <w:sz w:val="22"/>
          <w:szCs w:val="22"/>
          <w:lang w:val="es-ES"/>
        </w:rPr>
      </w:pPr>
    </w:p>
    <w:p w14:paraId="5FE3AB87" w14:textId="77777777" w:rsidR="00040C3A" w:rsidRPr="006D07D1" w:rsidRDefault="00040C3A" w:rsidP="00040C3A">
      <w:pPr>
        <w:tabs>
          <w:tab w:val="center" w:pos="5400"/>
        </w:tabs>
        <w:suppressAutoHyphens/>
        <w:jc w:val="center"/>
        <w:rPr>
          <w:rFonts w:ascii="Cambria" w:hAnsi="Cambria"/>
          <w:sz w:val="22"/>
          <w:szCs w:val="22"/>
          <w:lang w:val="es-ES"/>
        </w:rPr>
      </w:pPr>
    </w:p>
    <w:p w14:paraId="3C383BC0" w14:textId="77777777" w:rsidR="00040C3A" w:rsidRPr="006D07D1" w:rsidRDefault="00040C3A" w:rsidP="00040C3A">
      <w:pPr>
        <w:tabs>
          <w:tab w:val="center" w:pos="5400"/>
        </w:tabs>
        <w:suppressAutoHyphens/>
        <w:jc w:val="center"/>
        <w:rPr>
          <w:rFonts w:ascii="Cambria" w:hAnsi="Cambria" w:cs="Arial"/>
          <w:sz w:val="22"/>
          <w:szCs w:val="22"/>
          <w:lang w:val="es-ES"/>
        </w:rPr>
      </w:pPr>
    </w:p>
    <w:p w14:paraId="54590931" w14:textId="77777777" w:rsidR="00040C3A" w:rsidRPr="006D07D1" w:rsidRDefault="00040C3A" w:rsidP="00040C3A">
      <w:pPr>
        <w:tabs>
          <w:tab w:val="center" w:pos="5400"/>
        </w:tabs>
        <w:suppressAutoHyphens/>
        <w:jc w:val="center"/>
        <w:rPr>
          <w:rFonts w:ascii="Cambria" w:hAnsi="Cambria"/>
          <w:sz w:val="22"/>
          <w:szCs w:val="22"/>
          <w:lang w:val="es-ES"/>
        </w:rPr>
      </w:pPr>
    </w:p>
    <w:p w14:paraId="76C291D6" w14:textId="77777777" w:rsidR="00040C3A" w:rsidRPr="006D07D1" w:rsidRDefault="00040C3A" w:rsidP="00040C3A">
      <w:pPr>
        <w:tabs>
          <w:tab w:val="center" w:pos="5400"/>
        </w:tabs>
        <w:suppressAutoHyphens/>
        <w:jc w:val="center"/>
        <w:rPr>
          <w:rFonts w:ascii="Cambria" w:hAnsi="Cambria"/>
          <w:sz w:val="22"/>
          <w:szCs w:val="22"/>
          <w:lang w:val="es-ES"/>
        </w:rPr>
      </w:pPr>
    </w:p>
    <w:p w14:paraId="2161B44F" w14:textId="77777777" w:rsidR="00040C3A" w:rsidRPr="006D07D1" w:rsidRDefault="00040C3A" w:rsidP="00040C3A">
      <w:pPr>
        <w:tabs>
          <w:tab w:val="center" w:pos="5400"/>
        </w:tabs>
        <w:suppressAutoHyphens/>
        <w:jc w:val="center"/>
        <w:rPr>
          <w:rFonts w:ascii="Cambria" w:hAnsi="Cambria"/>
          <w:sz w:val="22"/>
          <w:szCs w:val="22"/>
          <w:lang w:val="es-ES"/>
        </w:rPr>
      </w:pPr>
    </w:p>
    <w:p w14:paraId="3C4EEE07" w14:textId="77777777" w:rsidR="00040C3A" w:rsidRPr="006D07D1" w:rsidRDefault="00040C3A" w:rsidP="00040C3A">
      <w:pPr>
        <w:tabs>
          <w:tab w:val="center" w:pos="5400"/>
        </w:tabs>
        <w:suppressAutoHyphens/>
        <w:jc w:val="center"/>
        <w:rPr>
          <w:rFonts w:ascii="Cambria" w:hAnsi="Cambria"/>
          <w:sz w:val="22"/>
          <w:szCs w:val="22"/>
          <w:lang w:val="es-ES"/>
        </w:rPr>
      </w:pPr>
    </w:p>
    <w:p w14:paraId="3B0E4647" w14:textId="77777777" w:rsidR="005128E4" w:rsidRPr="006D07D1" w:rsidRDefault="005128E4" w:rsidP="00040C3A">
      <w:pPr>
        <w:tabs>
          <w:tab w:val="center" w:pos="5400"/>
        </w:tabs>
        <w:suppressAutoHyphens/>
        <w:jc w:val="center"/>
        <w:rPr>
          <w:rFonts w:ascii="Cambria" w:hAnsi="Cambria"/>
          <w:sz w:val="22"/>
          <w:szCs w:val="22"/>
          <w:lang w:val="es-ES"/>
        </w:rPr>
      </w:pPr>
    </w:p>
    <w:p w14:paraId="2DAAF36D" w14:textId="77777777" w:rsidR="00040C3A" w:rsidRPr="006D07D1" w:rsidRDefault="00040C3A" w:rsidP="00040C3A">
      <w:pPr>
        <w:tabs>
          <w:tab w:val="center" w:pos="5400"/>
        </w:tabs>
        <w:suppressAutoHyphens/>
        <w:jc w:val="center"/>
        <w:rPr>
          <w:rFonts w:ascii="Cambria" w:hAnsi="Cambria"/>
          <w:sz w:val="22"/>
          <w:szCs w:val="22"/>
          <w:lang w:val="es-ES"/>
        </w:rPr>
      </w:pPr>
    </w:p>
    <w:p w14:paraId="12496A14" w14:textId="77777777" w:rsidR="005128E4" w:rsidRPr="006D07D1" w:rsidRDefault="005128E4" w:rsidP="00040C3A">
      <w:pPr>
        <w:tabs>
          <w:tab w:val="center" w:pos="5400"/>
        </w:tabs>
        <w:suppressAutoHyphens/>
        <w:jc w:val="center"/>
        <w:rPr>
          <w:rFonts w:ascii="Cambria" w:hAnsi="Cambria"/>
          <w:sz w:val="22"/>
          <w:szCs w:val="22"/>
          <w:lang w:val="es-ES"/>
        </w:rPr>
      </w:pPr>
    </w:p>
    <w:p w14:paraId="25772DB3" w14:textId="77777777" w:rsidR="005128E4" w:rsidRPr="006D07D1" w:rsidRDefault="005128E4" w:rsidP="00040C3A">
      <w:pPr>
        <w:tabs>
          <w:tab w:val="center" w:pos="5400"/>
        </w:tabs>
        <w:suppressAutoHyphens/>
        <w:jc w:val="center"/>
        <w:rPr>
          <w:rFonts w:ascii="Cambria" w:hAnsi="Cambria"/>
          <w:sz w:val="22"/>
          <w:szCs w:val="22"/>
          <w:lang w:val="es-ES"/>
        </w:rPr>
      </w:pPr>
    </w:p>
    <w:p w14:paraId="6820FADA" w14:textId="77777777" w:rsidR="005128E4" w:rsidRPr="006D07D1" w:rsidRDefault="005128E4" w:rsidP="00040C3A">
      <w:pPr>
        <w:tabs>
          <w:tab w:val="center" w:pos="5400"/>
        </w:tabs>
        <w:suppressAutoHyphens/>
        <w:jc w:val="center"/>
        <w:rPr>
          <w:rFonts w:ascii="Cambria" w:hAnsi="Cambria"/>
          <w:sz w:val="22"/>
          <w:szCs w:val="22"/>
          <w:lang w:val="es-ES"/>
        </w:rPr>
      </w:pPr>
    </w:p>
    <w:p w14:paraId="54445A55" w14:textId="77777777" w:rsidR="00040C3A" w:rsidRPr="006D07D1" w:rsidRDefault="00040C3A" w:rsidP="00040C3A">
      <w:pPr>
        <w:tabs>
          <w:tab w:val="center" w:pos="5400"/>
        </w:tabs>
        <w:suppressAutoHyphens/>
        <w:jc w:val="center"/>
        <w:rPr>
          <w:rFonts w:ascii="Cambria" w:hAnsi="Cambria"/>
          <w:sz w:val="22"/>
          <w:szCs w:val="22"/>
          <w:lang w:val="es-ES"/>
        </w:rPr>
      </w:pPr>
    </w:p>
    <w:p w14:paraId="5D4A4040" w14:textId="77777777" w:rsidR="00040C3A" w:rsidRPr="006D07D1" w:rsidRDefault="00040C3A" w:rsidP="00040C3A">
      <w:pPr>
        <w:tabs>
          <w:tab w:val="center" w:pos="5400"/>
        </w:tabs>
        <w:suppressAutoHyphens/>
        <w:jc w:val="center"/>
        <w:rPr>
          <w:rFonts w:ascii="Cambria" w:hAnsi="Cambria"/>
          <w:sz w:val="22"/>
          <w:szCs w:val="22"/>
          <w:lang w:val="es-ES"/>
        </w:rPr>
      </w:pPr>
    </w:p>
    <w:p w14:paraId="048FBB22" w14:textId="77777777" w:rsidR="00A50FCF" w:rsidRPr="006D07D1" w:rsidRDefault="00A50FCF" w:rsidP="00040C3A">
      <w:pPr>
        <w:tabs>
          <w:tab w:val="center" w:pos="5400"/>
        </w:tabs>
        <w:suppressAutoHyphens/>
        <w:jc w:val="center"/>
        <w:rPr>
          <w:rFonts w:ascii="Cambria" w:hAnsi="Cambria"/>
          <w:sz w:val="18"/>
          <w:szCs w:val="22"/>
          <w:lang w:val="es-ES"/>
        </w:rPr>
      </w:pPr>
    </w:p>
    <w:p w14:paraId="190ABFB3" w14:textId="77777777" w:rsidR="00A50FCF" w:rsidRPr="006D07D1" w:rsidRDefault="00A50FCF" w:rsidP="00040C3A">
      <w:pPr>
        <w:tabs>
          <w:tab w:val="center" w:pos="5400"/>
        </w:tabs>
        <w:suppressAutoHyphens/>
        <w:jc w:val="center"/>
        <w:rPr>
          <w:rFonts w:ascii="Cambria" w:hAnsi="Cambria"/>
          <w:sz w:val="18"/>
          <w:szCs w:val="22"/>
          <w:lang w:val="es-ES"/>
        </w:rPr>
      </w:pPr>
    </w:p>
    <w:p w14:paraId="4C690048" w14:textId="77777777" w:rsidR="00A50FCF" w:rsidRPr="006D07D1" w:rsidRDefault="00A50FCF" w:rsidP="00040C3A">
      <w:pPr>
        <w:tabs>
          <w:tab w:val="center" w:pos="5400"/>
        </w:tabs>
        <w:suppressAutoHyphens/>
        <w:jc w:val="center"/>
        <w:rPr>
          <w:rFonts w:ascii="Cambria" w:hAnsi="Cambria"/>
          <w:sz w:val="18"/>
          <w:szCs w:val="22"/>
          <w:lang w:val="es-ES"/>
        </w:rPr>
      </w:pPr>
    </w:p>
    <w:p w14:paraId="733CA438" w14:textId="77777777" w:rsidR="00A50FCF" w:rsidRPr="006D07D1" w:rsidRDefault="00A50FCF" w:rsidP="00040C3A">
      <w:pPr>
        <w:tabs>
          <w:tab w:val="center" w:pos="5400"/>
        </w:tabs>
        <w:suppressAutoHyphens/>
        <w:jc w:val="center"/>
        <w:rPr>
          <w:rFonts w:ascii="Cambria" w:hAnsi="Cambria"/>
          <w:sz w:val="18"/>
          <w:szCs w:val="22"/>
          <w:lang w:val="es-ES"/>
        </w:rPr>
      </w:pPr>
    </w:p>
    <w:p w14:paraId="7874DEEB" w14:textId="77777777" w:rsidR="00A50FCF" w:rsidRPr="006D07D1" w:rsidRDefault="00A50FCF" w:rsidP="00040C3A">
      <w:pPr>
        <w:tabs>
          <w:tab w:val="center" w:pos="5400"/>
        </w:tabs>
        <w:suppressAutoHyphens/>
        <w:jc w:val="center"/>
        <w:rPr>
          <w:rFonts w:ascii="Cambria" w:hAnsi="Cambria"/>
          <w:sz w:val="18"/>
          <w:szCs w:val="22"/>
          <w:lang w:val="es-ES"/>
        </w:rPr>
      </w:pPr>
    </w:p>
    <w:p w14:paraId="3698D0D6" w14:textId="77777777" w:rsidR="00A50FCF" w:rsidRPr="006D07D1" w:rsidRDefault="00A50FCF" w:rsidP="00040C3A">
      <w:pPr>
        <w:tabs>
          <w:tab w:val="center" w:pos="5400"/>
        </w:tabs>
        <w:suppressAutoHyphens/>
        <w:jc w:val="center"/>
        <w:rPr>
          <w:rFonts w:ascii="Cambria" w:hAnsi="Cambria"/>
          <w:sz w:val="18"/>
          <w:szCs w:val="22"/>
          <w:lang w:val="es-ES"/>
        </w:rPr>
      </w:pPr>
    </w:p>
    <w:p w14:paraId="1F907823" w14:textId="77777777" w:rsidR="00A50FCF" w:rsidRPr="006D07D1" w:rsidRDefault="00A50FCF" w:rsidP="00040C3A">
      <w:pPr>
        <w:tabs>
          <w:tab w:val="center" w:pos="5400"/>
        </w:tabs>
        <w:suppressAutoHyphens/>
        <w:jc w:val="center"/>
        <w:rPr>
          <w:rFonts w:ascii="Cambria" w:hAnsi="Cambria"/>
          <w:sz w:val="18"/>
          <w:szCs w:val="22"/>
          <w:lang w:val="es-ES"/>
        </w:rPr>
      </w:pPr>
    </w:p>
    <w:p w14:paraId="045D9AC1" w14:textId="77777777" w:rsidR="00A50FCF" w:rsidRPr="006D07D1" w:rsidRDefault="00A50FCF" w:rsidP="00040C3A">
      <w:pPr>
        <w:tabs>
          <w:tab w:val="center" w:pos="5400"/>
        </w:tabs>
        <w:suppressAutoHyphens/>
        <w:jc w:val="center"/>
        <w:rPr>
          <w:rFonts w:ascii="Cambria" w:hAnsi="Cambria"/>
          <w:sz w:val="18"/>
          <w:szCs w:val="22"/>
          <w:lang w:val="es-ES"/>
        </w:rPr>
      </w:pPr>
    </w:p>
    <w:p w14:paraId="16068EE5" w14:textId="77777777" w:rsidR="00A50FCF" w:rsidRPr="006D07D1" w:rsidRDefault="00A50FCF" w:rsidP="00040C3A">
      <w:pPr>
        <w:tabs>
          <w:tab w:val="center" w:pos="5400"/>
        </w:tabs>
        <w:suppressAutoHyphens/>
        <w:jc w:val="center"/>
        <w:rPr>
          <w:rFonts w:ascii="Cambria" w:hAnsi="Cambria"/>
          <w:sz w:val="18"/>
          <w:szCs w:val="22"/>
          <w:lang w:val="es-ES"/>
        </w:rPr>
      </w:pPr>
    </w:p>
    <w:p w14:paraId="14A4A430" w14:textId="77777777" w:rsidR="00A50FCF" w:rsidRPr="006D07D1" w:rsidRDefault="00A50FCF" w:rsidP="00040C3A">
      <w:pPr>
        <w:tabs>
          <w:tab w:val="center" w:pos="5400"/>
        </w:tabs>
        <w:suppressAutoHyphens/>
        <w:jc w:val="center"/>
        <w:rPr>
          <w:rFonts w:ascii="Cambria" w:hAnsi="Cambria"/>
          <w:sz w:val="18"/>
          <w:szCs w:val="22"/>
          <w:lang w:val="es-ES"/>
        </w:rPr>
      </w:pPr>
    </w:p>
    <w:p w14:paraId="0B3B735F" w14:textId="77777777" w:rsidR="00A50FCF" w:rsidRPr="006D07D1" w:rsidRDefault="00A50FCF" w:rsidP="00040C3A">
      <w:pPr>
        <w:tabs>
          <w:tab w:val="center" w:pos="5400"/>
        </w:tabs>
        <w:suppressAutoHyphens/>
        <w:jc w:val="center"/>
        <w:rPr>
          <w:rFonts w:ascii="Cambria" w:hAnsi="Cambria"/>
          <w:sz w:val="18"/>
          <w:szCs w:val="22"/>
          <w:lang w:val="es-ES"/>
        </w:rPr>
      </w:pPr>
    </w:p>
    <w:p w14:paraId="02C5C441" w14:textId="77777777" w:rsidR="00A50FCF" w:rsidRPr="006D07D1" w:rsidRDefault="00A50FCF" w:rsidP="00040C3A">
      <w:pPr>
        <w:tabs>
          <w:tab w:val="center" w:pos="5400"/>
        </w:tabs>
        <w:suppressAutoHyphens/>
        <w:jc w:val="center"/>
        <w:rPr>
          <w:rFonts w:ascii="Cambria" w:hAnsi="Cambria"/>
          <w:sz w:val="18"/>
          <w:szCs w:val="22"/>
          <w:lang w:val="es-ES"/>
        </w:rPr>
      </w:pPr>
    </w:p>
    <w:p w14:paraId="7806A2B0" w14:textId="77777777" w:rsidR="00A50FCF" w:rsidRPr="006D07D1" w:rsidRDefault="00A50FCF" w:rsidP="00040C3A">
      <w:pPr>
        <w:tabs>
          <w:tab w:val="center" w:pos="5400"/>
        </w:tabs>
        <w:suppressAutoHyphens/>
        <w:jc w:val="center"/>
        <w:rPr>
          <w:rFonts w:ascii="Cambria" w:hAnsi="Cambria"/>
          <w:sz w:val="18"/>
          <w:szCs w:val="22"/>
          <w:lang w:val="es-ES"/>
        </w:rPr>
      </w:pPr>
    </w:p>
    <w:p w14:paraId="319C392B" w14:textId="77777777" w:rsidR="00A50FCF" w:rsidRPr="006D07D1" w:rsidRDefault="00A50FCF" w:rsidP="00040C3A">
      <w:pPr>
        <w:tabs>
          <w:tab w:val="center" w:pos="5400"/>
        </w:tabs>
        <w:suppressAutoHyphens/>
        <w:jc w:val="center"/>
        <w:rPr>
          <w:rFonts w:ascii="Cambria" w:hAnsi="Cambria"/>
          <w:sz w:val="18"/>
          <w:szCs w:val="22"/>
          <w:lang w:val="es-ES"/>
        </w:rPr>
      </w:pPr>
    </w:p>
    <w:p w14:paraId="514A0182" w14:textId="77777777" w:rsidR="00A50FCF" w:rsidRPr="006D07D1" w:rsidRDefault="0090270B" w:rsidP="00040C3A">
      <w:pPr>
        <w:tabs>
          <w:tab w:val="center" w:pos="5400"/>
        </w:tabs>
        <w:suppressAutoHyphens/>
        <w:jc w:val="center"/>
        <w:rPr>
          <w:rFonts w:ascii="Cambria" w:hAnsi="Cambria"/>
          <w:sz w:val="18"/>
          <w:szCs w:val="22"/>
          <w:lang w:val="es-ES"/>
        </w:rPr>
      </w:pPr>
      <w:r w:rsidRPr="006D07D1">
        <w:rPr>
          <w:rFonts w:ascii="Cambria" w:hAnsi="Cambria"/>
          <w:noProof/>
          <w:sz w:val="22"/>
          <w:szCs w:val="22"/>
          <w:lang w:val="es-ES" w:eastAsia="es-419"/>
        </w:rPr>
        <mc:AlternateContent>
          <mc:Choice Requires="wps">
            <w:drawing>
              <wp:anchor distT="0" distB="0" distL="114300" distR="114300" simplePos="0" relativeHeight="251670528" behindDoc="0" locked="0" layoutInCell="1" allowOverlap="1" wp14:anchorId="37B0B44F" wp14:editId="1101FDFD">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F3581" w14:textId="4FA0CBAB"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B31F39">
                              <w:rPr>
                                <w:rFonts w:asciiTheme="majorHAnsi" w:hAnsiTheme="majorHAnsi"/>
                                <w:color w:val="0D0D0D" w:themeColor="text1" w:themeTint="F2"/>
                                <w:sz w:val="18"/>
                                <w:szCs w:val="22"/>
                                <w:lang w:val="es-ES"/>
                              </w:rPr>
                              <w:t>12</w:t>
                            </w:r>
                            <w:r w:rsidRPr="00890650">
                              <w:rPr>
                                <w:rFonts w:asciiTheme="majorHAnsi" w:hAnsiTheme="majorHAnsi"/>
                                <w:color w:val="0D0D0D" w:themeColor="text1" w:themeTint="F2"/>
                                <w:sz w:val="18"/>
                                <w:szCs w:val="22"/>
                                <w:lang w:val="es-ES"/>
                              </w:rPr>
                              <w:t xml:space="preserve"> de </w:t>
                            </w:r>
                            <w:r w:rsidR="00B31F39">
                              <w:rPr>
                                <w:rFonts w:asciiTheme="majorHAnsi" w:hAnsiTheme="majorHAnsi"/>
                                <w:color w:val="0D0D0D" w:themeColor="text1" w:themeTint="F2"/>
                                <w:sz w:val="18"/>
                                <w:szCs w:val="22"/>
                                <w:lang w:val="es-ES"/>
                              </w:rPr>
                              <w:t>agosto</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B31F39">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0B44F" id="Text Box 7" o:spid="_x0000_s1029" type="#_x0000_t202" style="position:absolute;left:0;text-align:left;margin-left:105.65pt;margin-top:1.8pt;width:388.5pt;height:5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4BDF3581" w14:textId="4FA0CBAB"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B31F39">
                        <w:rPr>
                          <w:rFonts w:asciiTheme="majorHAnsi" w:hAnsiTheme="majorHAnsi"/>
                          <w:color w:val="0D0D0D" w:themeColor="text1" w:themeTint="F2"/>
                          <w:sz w:val="18"/>
                          <w:szCs w:val="22"/>
                          <w:lang w:val="es-ES"/>
                        </w:rPr>
                        <w:t>12</w:t>
                      </w:r>
                      <w:r w:rsidRPr="00890650">
                        <w:rPr>
                          <w:rFonts w:asciiTheme="majorHAnsi" w:hAnsiTheme="majorHAnsi"/>
                          <w:color w:val="0D0D0D" w:themeColor="text1" w:themeTint="F2"/>
                          <w:sz w:val="18"/>
                          <w:szCs w:val="22"/>
                          <w:lang w:val="es-ES"/>
                        </w:rPr>
                        <w:t xml:space="preserve"> de </w:t>
                      </w:r>
                      <w:r w:rsidR="00B31F39">
                        <w:rPr>
                          <w:rFonts w:asciiTheme="majorHAnsi" w:hAnsiTheme="majorHAnsi"/>
                          <w:color w:val="0D0D0D" w:themeColor="text1" w:themeTint="F2"/>
                          <w:sz w:val="18"/>
                          <w:szCs w:val="22"/>
                          <w:lang w:val="es-ES"/>
                        </w:rPr>
                        <w:t>agosto</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B31F39">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1F28BEBB" w14:textId="77777777" w:rsidR="00A50FCF" w:rsidRPr="006D07D1" w:rsidRDefault="00A50FCF" w:rsidP="00040C3A">
      <w:pPr>
        <w:tabs>
          <w:tab w:val="center" w:pos="5400"/>
        </w:tabs>
        <w:suppressAutoHyphens/>
        <w:jc w:val="center"/>
        <w:rPr>
          <w:rFonts w:ascii="Cambria" w:hAnsi="Cambria"/>
          <w:sz w:val="18"/>
          <w:szCs w:val="22"/>
          <w:lang w:val="es-ES"/>
        </w:rPr>
      </w:pPr>
    </w:p>
    <w:p w14:paraId="7929D1FD" w14:textId="77777777" w:rsidR="00A50FCF" w:rsidRPr="006D07D1" w:rsidRDefault="00A50FCF" w:rsidP="00040C3A">
      <w:pPr>
        <w:tabs>
          <w:tab w:val="center" w:pos="5400"/>
        </w:tabs>
        <w:suppressAutoHyphens/>
        <w:jc w:val="center"/>
        <w:rPr>
          <w:rFonts w:ascii="Cambria" w:hAnsi="Cambria"/>
          <w:sz w:val="18"/>
          <w:szCs w:val="22"/>
          <w:lang w:val="es-ES"/>
        </w:rPr>
      </w:pPr>
    </w:p>
    <w:p w14:paraId="5469D0BE" w14:textId="77777777" w:rsidR="00A50FCF" w:rsidRPr="006D07D1" w:rsidRDefault="00A50FCF" w:rsidP="00040C3A">
      <w:pPr>
        <w:tabs>
          <w:tab w:val="center" w:pos="5400"/>
        </w:tabs>
        <w:suppressAutoHyphens/>
        <w:jc w:val="center"/>
        <w:rPr>
          <w:rFonts w:ascii="Cambria" w:hAnsi="Cambria"/>
          <w:sz w:val="18"/>
          <w:szCs w:val="22"/>
          <w:lang w:val="es-ES"/>
        </w:rPr>
      </w:pPr>
    </w:p>
    <w:p w14:paraId="7A79F059" w14:textId="77777777" w:rsidR="00A50FCF" w:rsidRPr="006D07D1" w:rsidRDefault="00A50FCF" w:rsidP="00040C3A">
      <w:pPr>
        <w:tabs>
          <w:tab w:val="center" w:pos="5400"/>
        </w:tabs>
        <w:suppressAutoHyphens/>
        <w:jc w:val="center"/>
        <w:rPr>
          <w:rFonts w:ascii="Cambria" w:hAnsi="Cambria"/>
          <w:sz w:val="18"/>
          <w:szCs w:val="22"/>
          <w:lang w:val="es-ES"/>
        </w:rPr>
      </w:pPr>
    </w:p>
    <w:p w14:paraId="330672AE" w14:textId="77777777" w:rsidR="00A50FCF" w:rsidRPr="006D07D1" w:rsidRDefault="0090270B" w:rsidP="00040C3A">
      <w:pPr>
        <w:tabs>
          <w:tab w:val="center" w:pos="5400"/>
        </w:tabs>
        <w:suppressAutoHyphens/>
        <w:jc w:val="center"/>
        <w:rPr>
          <w:rFonts w:ascii="Cambria" w:hAnsi="Cambria"/>
          <w:sz w:val="18"/>
          <w:szCs w:val="22"/>
          <w:lang w:val="es-ES"/>
        </w:rPr>
      </w:pPr>
      <w:r w:rsidRPr="006D07D1">
        <w:rPr>
          <w:rFonts w:ascii="Cambria" w:hAnsi="Cambria"/>
          <w:noProof/>
          <w:sz w:val="18"/>
          <w:szCs w:val="22"/>
          <w:lang w:val="es-ES" w:eastAsia="es-419"/>
        </w:rPr>
        <mc:AlternateContent>
          <mc:Choice Requires="wps">
            <w:drawing>
              <wp:anchor distT="0" distB="0" distL="114300" distR="114300" simplePos="0" relativeHeight="251678720" behindDoc="0" locked="0" layoutInCell="1" allowOverlap="1" wp14:anchorId="14798ABC" wp14:editId="15CC0E24">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967B04" w14:textId="77777777" w:rsidR="00B31F39"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B31F39" w:rsidRPr="00B31F39">
                              <w:rPr>
                                <w:rFonts w:asciiTheme="majorHAnsi" w:hAnsiTheme="majorHAnsi"/>
                                <w:color w:val="595959" w:themeColor="text1" w:themeTint="A6"/>
                                <w:sz w:val="18"/>
                                <w:szCs w:val="18"/>
                                <w:lang w:val="pt-BR"/>
                              </w:rPr>
                              <w:t>318</w:t>
                            </w:r>
                            <w:r w:rsidR="007B05C4" w:rsidRPr="00B31F39">
                              <w:rPr>
                                <w:rFonts w:asciiTheme="majorHAnsi" w:hAnsiTheme="majorHAnsi"/>
                                <w:color w:val="595959" w:themeColor="text1" w:themeTint="A6"/>
                                <w:sz w:val="18"/>
                                <w:szCs w:val="18"/>
                                <w:lang w:val="pt-BR"/>
                              </w:rPr>
                              <w:t>/</w:t>
                            </w:r>
                            <w:r w:rsidR="00B31F39" w:rsidRPr="00B31F39">
                              <w:rPr>
                                <w:rFonts w:asciiTheme="majorHAnsi" w:hAnsiTheme="majorHAnsi"/>
                                <w:color w:val="595959" w:themeColor="text1" w:themeTint="A6"/>
                                <w:sz w:val="18"/>
                                <w:szCs w:val="18"/>
                                <w:lang w:val="pt-BR"/>
                              </w:rPr>
                              <w:t>25</w:t>
                            </w:r>
                            <w:r w:rsidRPr="00B31F39">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ón</w:t>
                            </w:r>
                            <w:r w:rsidR="00DD7333">
                              <w:rPr>
                                <w:rFonts w:asciiTheme="majorHAnsi" w:hAnsiTheme="majorHAnsi"/>
                                <w:color w:val="595959" w:themeColor="text1" w:themeTint="A6"/>
                                <w:sz w:val="18"/>
                                <w:szCs w:val="18"/>
                                <w:lang w:val="es-ES"/>
                              </w:rPr>
                              <w:t xml:space="preserve"> 1484-15</w:t>
                            </w:r>
                            <w:r w:rsidR="000433C9">
                              <w:rPr>
                                <w:rFonts w:asciiTheme="majorHAnsi" w:hAnsiTheme="majorHAnsi"/>
                                <w:color w:val="595959" w:themeColor="text1" w:themeTint="A6"/>
                                <w:sz w:val="18"/>
                                <w:szCs w:val="18"/>
                                <w:lang w:val="es-ES"/>
                              </w:rPr>
                              <w:t xml:space="preserve">. </w:t>
                            </w:r>
                            <w:r w:rsidR="00955CCE">
                              <w:rPr>
                                <w:rFonts w:asciiTheme="majorHAnsi" w:hAnsiTheme="majorHAnsi"/>
                                <w:color w:val="595959" w:themeColor="text1" w:themeTint="A6"/>
                                <w:sz w:val="18"/>
                                <w:szCs w:val="18"/>
                                <w:lang w:val="es-ES_tradnl"/>
                              </w:rPr>
                              <w:t>Admisibilidad</w:t>
                            </w:r>
                            <w:r w:rsidRPr="00890650">
                              <w:rPr>
                                <w:rFonts w:asciiTheme="majorHAnsi" w:hAnsiTheme="majorHAnsi"/>
                                <w:color w:val="595959" w:themeColor="text1" w:themeTint="A6"/>
                                <w:sz w:val="18"/>
                                <w:szCs w:val="18"/>
                                <w:lang w:val="es-ES_tradnl"/>
                              </w:rPr>
                              <w:t xml:space="preserve">. </w:t>
                            </w:r>
                          </w:p>
                          <w:p w14:paraId="0D1B22CF" w14:textId="368455C9" w:rsidR="00113F73" w:rsidRPr="00B31F39" w:rsidRDefault="00DD7333" w:rsidP="00113F73">
                            <w:pPr>
                              <w:spacing w:line="276" w:lineRule="auto"/>
                              <w:rPr>
                                <w:rFonts w:asciiTheme="majorHAnsi" w:hAnsiTheme="majorHAnsi"/>
                                <w:color w:val="595959" w:themeColor="text1" w:themeTint="A6"/>
                                <w:sz w:val="18"/>
                                <w:szCs w:val="18"/>
                                <w:lang w:val="pt-BR"/>
                              </w:rPr>
                            </w:pPr>
                            <w:r w:rsidRPr="002068C1">
                              <w:rPr>
                                <w:rFonts w:asciiTheme="majorHAnsi" w:hAnsiTheme="majorHAnsi"/>
                                <w:color w:val="595959" w:themeColor="text1" w:themeTint="A6"/>
                                <w:sz w:val="18"/>
                                <w:szCs w:val="18"/>
                                <w:lang w:val="es-ES"/>
                              </w:rPr>
                              <w:t>Héctor Vergara Mallqui</w:t>
                            </w:r>
                            <w:r w:rsidR="00113F73" w:rsidRPr="002068C1">
                              <w:rPr>
                                <w:rFonts w:asciiTheme="majorHAnsi" w:hAnsiTheme="majorHAnsi"/>
                                <w:color w:val="595959" w:themeColor="text1" w:themeTint="A6"/>
                                <w:sz w:val="18"/>
                                <w:szCs w:val="18"/>
                                <w:lang w:val="es-ES"/>
                              </w:rPr>
                              <w:t xml:space="preserve">. </w:t>
                            </w:r>
                            <w:r w:rsidRPr="00B31F39">
                              <w:rPr>
                                <w:rFonts w:asciiTheme="majorHAnsi" w:hAnsiTheme="majorHAnsi"/>
                                <w:color w:val="595959" w:themeColor="text1" w:themeTint="A6"/>
                                <w:sz w:val="18"/>
                                <w:szCs w:val="18"/>
                                <w:lang w:val="pt-BR"/>
                              </w:rPr>
                              <w:t>Perú</w:t>
                            </w:r>
                            <w:r w:rsidR="00113F73" w:rsidRPr="00B31F39">
                              <w:rPr>
                                <w:rFonts w:asciiTheme="majorHAnsi" w:hAnsiTheme="majorHAnsi"/>
                                <w:color w:val="595959" w:themeColor="text1" w:themeTint="A6"/>
                                <w:sz w:val="18"/>
                                <w:szCs w:val="18"/>
                                <w:lang w:val="pt-BR"/>
                              </w:rPr>
                              <w:t xml:space="preserve">. </w:t>
                            </w:r>
                            <w:r w:rsidR="00B31F39" w:rsidRPr="00B31F39">
                              <w:rPr>
                                <w:rFonts w:asciiTheme="majorHAnsi" w:hAnsiTheme="majorHAnsi"/>
                                <w:color w:val="595959" w:themeColor="text1" w:themeTint="A6"/>
                                <w:sz w:val="18"/>
                                <w:szCs w:val="18"/>
                                <w:lang w:val="pt-BR"/>
                              </w:rPr>
                              <w:t>12 de agosto de 2025</w:t>
                            </w:r>
                            <w:r w:rsidR="00113F73" w:rsidRPr="00B31F39">
                              <w:rPr>
                                <w:rFonts w:asciiTheme="majorHAnsi" w:hAnsiTheme="majorHAnsi"/>
                                <w:color w:val="595959" w:themeColor="text1" w:themeTint="A6"/>
                                <w:sz w:val="18"/>
                                <w:szCs w:val="18"/>
                                <w:lang w:val="pt-B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98ABC" id="Text Box 10" o:spid="_x0000_s1030" type="#_x0000_t202" style="position:absolute;left:0;text-align:left;margin-left:105pt;margin-top:.45pt;width:389.25pt;height:5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2D967B04" w14:textId="77777777" w:rsidR="00B31F39"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B31F39" w:rsidRPr="00B31F39">
                        <w:rPr>
                          <w:rFonts w:asciiTheme="majorHAnsi" w:hAnsiTheme="majorHAnsi"/>
                          <w:color w:val="595959" w:themeColor="text1" w:themeTint="A6"/>
                          <w:sz w:val="18"/>
                          <w:szCs w:val="18"/>
                          <w:lang w:val="pt-BR"/>
                        </w:rPr>
                        <w:t>318</w:t>
                      </w:r>
                      <w:r w:rsidR="007B05C4" w:rsidRPr="00B31F39">
                        <w:rPr>
                          <w:rFonts w:asciiTheme="majorHAnsi" w:hAnsiTheme="majorHAnsi"/>
                          <w:color w:val="595959" w:themeColor="text1" w:themeTint="A6"/>
                          <w:sz w:val="18"/>
                          <w:szCs w:val="18"/>
                          <w:lang w:val="pt-BR"/>
                        </w:rPr>
                        <w:t>/</w:t>
                      </w:r>
                      <w:r w:rsidR="00B31F39" w:rsidRPr="00B31F39">
                        <w:rPr>
                          <w:rFonts w:asciiTheme="majorHAnsi" w:hAnsiTheme="majorHAnsi"/>
                          <w:color w:val="595959" w:themeColor="text1" w:themeTint="A6"/>
                          <w:sz w:val="18"/>
                          <w:szCs w:val="18"/>
                          <w:lang w:val="pt-BR"/>
                        </w:rPr>
                        <w:t>25</w:t>
                      </w:r>
                      <w:r w:rsidRPr="00B31F39">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ón</w:t>
                      </w:r>
                      <w:r w:rsidR="00DD7333">
                        <w:rPr>
                          <w:rFonts w:asciiTheme="majorHAnsi" w:hAnsiTheme="majorHAnsi"/>
                          <w:color w:val="595959" w:themeColor="text1" w:themeTint="A6"/>
                          <w:sz w:val="18"/>
                          <w:szCs w:val="18"/>
                          <w:lang w:val="es-ES"/>
                        </w:rPr>
                        <w:t xml:space="preserve"> 1484-15</w:t>
                      </w:r>
                      <w:r w:rsidR="000433C9">
                        <w:rPr>
                          <w:rFonts w:asciiTheme="majorHAnsi" w:hAnsiTheme="majorHAnsi"/>
                          <w:color w:val="595959" w:themeColor="text1" w:themeTint="A6"/>
                          <w:sz w:val="18"/>
                          <w:szCs w:val="18"/>
                          <w:lang w:val="es-ES"/>
                        </w:rPr>
                        <w:t xml:space="preserve">. </w:t>
                      </w:r>
                      <w:r w:rsidR="00955CCE">
                        <w:rPr>
                          <w:rFonts w:asciiTheme="majorHAnsi" w:hAnsiTheme="majorHAnsi"/>
                          <w:color w:val="595959" w:themeColor="text1" w:themeTint="A6"/>
                          <w:sz w:val="18"/>
                          <w:szCs w:val="18"/>
                          <w:lang w:val="es-ES_tradnl"/>
                        </w:rPr>
                        <w:t>Admisibilidad</w:t>
                      </w:r>
                      <w:r w:rsidRPr="00890650">
                        <w:rPr>
                          <w:rFonts w:asciiTheme="majorHAnsi" w:hAnsiTheme="majorHAnsi"/>
                          <w:color w:val="595959" w:themeColor="text1" w:themeTint="A6"/>
                          <w:sz w:val="18"/>
                          <w:szCs w:val="18"/>
                          <w:lang w:val="es-ES_tradnl"/>
                        </w:rPr>
                        <w:t xml:space="preserve">. </w:t>
                      </w:r>
                    </w:p>
                    <w:p w14:paraId="0D1B22CF" w14:textId="368455C9" w:rsidR="00113F73" w:rsidRPr="00B31F39" w:rsidRDefault="00DD7333" w:rsidP="00113F73">
                      <w:pPr>
                        <w:spacing w:line="276" w:lineRule="auto"/>
                        <w:rPr>
                          <w:rFonts w:asciiTheme="majorHAnsi" w:hAnsiTheme="majorHAnsi"/>
                          <w:color w:val="595959" w:themeColor="text1" w:themeTint="A6"/>
                          <w:sz w:val="18"/>
                          <w:szCs w:val="18"/>
                          <w:lang w:val="pt-BR"/>
                        </w:rPr>
                      </w:pPr>
                      <w:r w:rsidRPr="002068C1">
                        <w:rPr>
                          <w:rFonts w:asciiTheme="majorHAnsi" w:hAnsiTheme="majorHAnsi"/>
                          <w:color w:val="595959" w:themeColor="text1" w:themeTint="A6"/>
                          <w:sz w:val="18"/>
                          <w:szCs w:val="18"/>
                          <w:lang w:val="es-ES"/>
                        </w:rPr>
                        <w:t>Héctor Vergara Mallqui</w:t>
                      </w:r>
                      <w:r w:rsidR="00113F73" w:rsidRPr="002068C1">
                        <w:rPr>
                          <w:rFonts w:asciiTheme="majorHAnsi" w:hAnsiTheme="majorHAnsi"/>
                          <w:color w:val="595959" w:themeColor="text1" w:themeTint="A6"/>
                          <w:sz w:val="18"/>
                          <w:szCs w:val="18"/>
                          <w:lang w:val="es-ES"/>
                        </w:rPr>
                        <w:t xml:space="preserve">. </w:t>
                      </w:r>
                      <w:r w:rsidRPr="00B31F39">
                        <w:rPr>
                          <w:rFonts w:asciiTheme="majorHAnsi" w:hAnsiTheme="majorHAnsi"/>
                          <w:color w:val="595959" w:themeColor="text1" w:themeTint="A6"/>
                          <w:sz w:val="18"/>
                          <w:szCs w:val="18"/>
                          <w:lang w:val="pt-BR"/>
                        </w:rPr>
                        <w:t>Perú</w:t>
                      </w:r>
                      <w:r w:rsidR="00113F73" w:rsidRPr="00B31F39">
                        <w:rPr>
                          <w:rFonts w:asciiTheme="majorHAnsi" w:hAnsiTheme="majorHAnsi"/>
                          <w:color w:val="595959" w:themeColor="text1" w:themeTint="A6"/>
                          <w:sz w:val="18"/>
                          <w:szCs w:val="18"/>
                          <w:lang w:val="pt-BR"/>
                        </w:rPr>
                        <w:t xml:space="preserve">. </w:t>
                      </w:r>
                      <w:r w:rsidR="00B31F39" w:rsidRPr="00B31F39">
                        <w:rPr>
                          <w:rFonts w:asciiTheme="majorHAnsi" w:hAnsiTheme="majorHAnsi"/>
                          <w:color w:val="595959" w:themeColor="text1" w:themeTint="A6"/>
                          <w:sz w:val="18"/>
                          <w:szCs w:val="18"/>
                          <w:lang w:val="pt-BR"/>
                        </w:rPr>
                        <w:t>12 de agosto de 2025</w:t>
                      </w:r>
                      <w:r w:rsidR="00113F73" w:rsidRPr="00B31F39">
                        <w:rPr>
                          <w:rFonts w:asciiTheme="majorHAnsi" w:hAnsiTheme="majorHAnsi"/>
                          <w:color w:val="595959" w:themeColor="text1" w:themeTint="A6"/>
                          <w:sz w:val="18"/>
                          <w:szCs w:val="18"/>
                          <w:lang w:val="pt-BR"/>
                        </w:rPr>
                        <w:t>.</w:t>
                      </w:r>
                    </w:p>
                  </w:txbxContent>
                </v:textbox>
              </v:shape>
            </w:pict>
          </mc:Fallback>
        </mc:AlternateContent>
      </w:r>
    </w:p>
    <w:p w14:paraId="196A49DE" w14:textId="77777777" w:rsidR="00A50FCF" w:rsidRPr="006D07D1" w:rsidRDefault="00A50FCF" w:rsidP="00040C3A">
      <w:pPr>
        <w:tabs>
          <w:tab w:val="center" w:pos="5400"/>
        </w:tabs>
        <w:suppressAutoHyphens/>
        <w:jc w:val="center"/>
        <w:rPr>
          <w:rFonts w:ascii="Cambria" w:hAnsi="Cambria"/>
          <w:sz w:val="18"/>
          <w:szCs w:val="22"/>
          <w:lang w:val="es-ES"/>
        </w:rPr>
      </w:pPr>
    </w:p>
    <w:p w14:paraId="1DA07629" w14:textId="77777777" w:rsidR="0090270B" w:rsidRPr="006D07D1" w:rsidRDefault="00D306D1" w:rsidP="005516A1">
      <w:pPr>
        <w:tabs>
          <w:tab w:val="center" w:pos="5400"/>
        </w:tabs>
        <w:suppressAutoHyphens/>
        <w:jc w:val="center"/>
        <w:rPr>
          <w:rFonts w:ascii="Cambria" w:hAnsi="Cambria"/>
          <w:b/>
          <w:sz w:val="20"/>
          <w:lang w:val="es-ES"/>
        </w:rPr>
      </w:pPr>
      <w:r w:rsidRPr="006D07D1">
        <w:rPr>
          <w:rFonts w:ascii="Cambria" w:hAnsi="Cambria"/>
          <w:noProof/>
          <w:sz w:val="18"/>
          <w:szCs w:val="22"/>
          <w:lang w:val="es-ES" w:eastAsia="es-419"/>
        </w:rPr>
        <mc:AlternateContent>
          <mc:Choice Requires="wps">
            <w:drawing>
              <wp:anchor distT="0" distB="0" distL="114300" distR="114300" simplePos="0" relativeHeight="251680768" behindDoc="0" locked="0" layoutInCell="1" allowOverlap="1" wp14:anchorId="50472543" wp14:editId="546D5F4B">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1ECD3C" w14:textId="51694A6D" w:rsidR="00D72DC6" w:rsidRPr="00D72DC6" w:rsidRDefault="00B31F39" w:rsidP="00F02AD1">
                            <w:pPr>
                              <w:rPr>
                                <w:color w:val="FFFFFF" w:themeColor="background1"/>
                                <w14:textFill>
                                  <w14:noFill/>
                                </w14:textFill>
                              </w:rPr>
                            </w:pPr>
                            <w:r>
                              <w:rPr>
                                <w:noProof/>
                                <w:color w:val="FFFFFF" w:themeColor="background1"/>
                              </w:rPr>
                              <w:drawing>
                                <wp:inline distT="0" distB="0" distL="0" distR="0" wp14:anchorId="4F5909F1" wp14:editId="25DF544B">
                                  <wp:extent cx="1216325" cy="469265"/>
                                  <wp:effectExtent l="0" t="0" r="317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2"/>
                                          <a:srcRect r="33328"/>
                                          <a:stretch>
                                            <a:fillRect/>
                                          </a:stretch>
                                        </pic:blipFill>
                                        <pic:spPr bwMode="auto">
                                          <a:xfrm>
                                            <a:off x="0" y="0"/>
                                            <a:ext cx="1216325" cy="46926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72543" id="Text Box 9" o:spid="_x0000_s1031" type="#_x0000_t202" style="position:absolute;left:0;text-align:left;margin-left:104.7pt;margin-top:50.3pt;width:322.55pt;height:4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2A1ECD3C" w14:textId="51694A6D" w:rsidR="00D72DC6" w:rsidRPr="00D72DC6" w:rsidRDefault="00B31F39" w:rsidP="00F02AD1">
                      <w:pPr>
                        <w:rPr>
                          <w:color w:val="FFFFFF" w:themeColor="background1"/>
                          <w14:textFill>
                            <w14:noFill/>
                          </w14:textFill>
                        </w:rPr>
                      </w:pPr>
                      <w:r>
                        <w:rPr>
                          <w:noProof/>
                          <w:color w:val="FFFFFF" w:themeColor="background1"/>
                        </w:rPr>
                        <w:drawing>
                          <wp:inline distT="0" distB="0" distL="0" distR="0" wp14:anchorId="4F5909F1" wp14:editId="25DF544B">
                            <wp:extent cx="1216325" cy="469265"/>
                            <wp:effectExtent l="0" t="0" r="317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2"/>
                                    <a:srcRect r="33328"/>
                                    <a:stretch>
                                      <a:fillRect/>
                                    </a:stretch>
                                  </pic:blipFill>
                                  <pic:spPr bwMode="auto">
                                    <a:xfrm>
                                      <a:off x="0" y="0"/>
                                      <a:ext cx="1216325" cy="469265"/>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Pr="006D07D1">
        <w:rPr>
          <w:rFonts w:ascii="Cambria" w:hAnsi="Cambria"/>
          <w:noProof/>
          <w:sz w:val="22"/>
          <w:szCs w:val="22"/>
          <w:lang w:val="es-ES" w:eastAsia="es-419"/>
        </w:rPr>
        <mc:AlternateContent>
          <mc:Choice Requires="wps">
            <w:drawing>
              <wp:anchor distT="0" distB="0" distL="114300" distR="114300" simplePos="0" relativeHeight="251682816" behindDoc="0" locked="0" layoutInCell="1" allowOverlap="1" wp14:anchorId="02EDA5EE" wp14:editId="72033B3A">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DA5EE" id="Text Box 4" o:spid="_x0000_s1032" type="#_x0000_t202" style="position:absolute;left:0;text-align:left;margin-left:-21.45pt;margin-top:72.05pt;width:93pt;height:2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2FE1B253" w14:textId="4E43B8E7" w:rsidR="0070697F" w:rsidRPr="006D07D1" w:rsidRDefault="004A6A54" w:rsidP="005516A1">
      <w:pPr>
        <w:tabs>
          <w:tab w:val="center" w:pos="5400"/>
        </w:tabs>
        <w:suppressAutoHyphens/>
        <w:jc w:val="center"/>
        <w:rPr>
          <w:rFonts w:ascii="Cambria" w:hAnsi="Cambria"/>
          <w:b/>
          <w:sz w:val="20"/>
          <w:lang w:val="es-ES"/>
        </w:rPr>
        <w:sectPr w:rsidR="0070697F" w:rsidRPr="006D07D1" w:rsidSect="00C054DF">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r w:rsidRPr="006D07D1">
        <w:rPr>
          <w:rFonts w:ascii="Cambria" w:hAnsi="Cambria"/>
          <w:b/>
          <w:sz w:val="20"/>
          <w:lang w:val="es-ES"/>
        </w:rPr>
        <w:tab/>
      </w:r>
    </w:p>
    <w:p w14:paraId="376DDC8B" w14:textId="77777777" w:rsidR="003239B8" w:rsidRPr="008E478B" w:rsidRDefault="003239B8" w:rsidP="004A6A54">
      <w:pPr>
        <w:spacing w:after="240"/>
        <w:ind w:firstLine="720"/>
        <w:jc w:val="both"/>
        <w:rPr>
          <w:rFonts w:asciiTheme="majorHAnsi" w:hAnsiTheme="majorHAnsi"/>
          <w:b/>
          <w:bCs/>
          <w:sz w:val="20"/>
          <w:szCs w:val="20"/>
          <w:lang w:val="es-ES"/>
        </w:rPr>
      </w:pPr>
      <w:r w:rsidRPr="006D07D1">
        <w:rPr>
          <w:rFonts w:ascii="Cambria" w:hAnsi="Cambria"/>
          <w:b/>
          <w:bCs/>
          <w:sz w:val="20"/>
          <w:szCs w:val="20"/>
          <w:lang w:val="es-ES"/>
        </w:rPr>
        <w:lastRenderedPageBreak/>
        <w:t>I.</w:t>
      </w:r>
      <w:r w:rsidRPr="006D07D1">
        <w:rPr>
          <w:rFonts w:ascii="Cambria" w:hAnsi="Cambria"/>
          <w:b/>
          <w:bCs/>
          <w:sz w:val="20"/>
          <w:szCs w:val="20"/>
          <w:lang w:val="es-ES"/>
        </w:rPr>
        <w:tab/>
      </w:r>
      <w:r w:rsidRPr="008E478B">
        <w:rPr>
          <w:rFonts w:asciiTheme="majorHAnsi" w:hAnsiTheme="majorHAnsi"/>
          <w:b/>
          <w:bCs/>
          <w:sz w:val="20"/>
          <w:szCs w:val="20"/>
          <w:lang w:val="es-ES"/>
        </w:rPr>
        <w:t xml:space="preserve">DATOS DE LA PETICIÓN </w:t>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3239B8" w:rsidRPr="008E478B" w14:paraId="5A79D1F7" w14:textId="77777777" w:rsidTr="004A6A54">
        <w:tc>
          <w:tcPr>
            <w:tcW w:w="3600" w:type="dxa"/>
            <w:tcBorders>
              <w:top w:val="single" w:sz="4" w:space="0" w:color="auto"/>
              <w:bottom w:val="single" w:sz="6" w:space="0" w:color="auto"/>
            </w:tcBorders>
            <w:shd w:val="clear" w:color="auto" w:fill="386294"/>
            <w:vAlign w:val="center"/>
          </w:tcPr>
          <w:p w14:paraId="0CB2A43B" w14:textId="77777777" w:rsidR="003239B8" w:rsidRPr="008E478B" w:rsidRDefault="003239B8">
            <w:pPr>
              <w:jc w:val="center"/>
              <w:rPr>
                <w:rFonts w:asciiTheme="majorHAnsi" w:hAnsiTheme="majorHAnsi"/>
                <w:b/>
                <w:bCs/>
                <w:color w:val="FFFFFF" w:themeColor="background1"/>
                <w:sz w:val="20"/>
                <w:szCs w:val="20"/>
                <w:lang w:val="es-ES"/>
              </w:rPr>
            </w:pPr>
            <w:r w:rsidRPr="008E478B">
              <w:rPr>
                <w:rFonts w:asciiTheme="majorHAnsi" w:hAnsiTheme="majorHAnsi"/>
                <w:b/>
                <w:bCs/>
                <w:color w:val="FFFFFF" w:themeColor="background1"/>
                <w:sz w:val="20"/>
                <w:szCs w:val="20"/>
                <w:lang w:val="es-ES"/>
              </w:rPr>
              <w:t>Parte peticionaria:</w:t>
            </w:r>
          </w:p>
        </w:tc>
        <w:tc>
          <w:tcPr>
            <w:tcW w:w="5760" w:type="dxa"/>
            <w:vAlign w:val="center"/>
          </w:tcPr>
          <w:p w14:paraId="3C5315D8" w14:textId="5014B09A" w:rsidR="003239B8" w:rsidRPr="008E478B" w:rsidRDefault="00D62167" w:rsidP="00D13530">
            <w:pPr>
              <w:jc w:val="both"/>
              <w:rPr>
                <w:rFonts w:asciiTheme="majorHAnsi" w:hAnsiTheme="majorHAnsi"/>
                <w:bCs/>
                <w:sz w:val="20"/>
                <w:szCs w:val="20"/>
                <w:lang w:val="es-ES"/>
              </w:rPr>
            </w:pPr>
            <w:r w:rsidRPr="008E478B">
              <w:rPr>
                <w:rFonts w:asciiTheme="majorHAnsi" w:hAnsiTheme="majorHAnsi"/>
                <w:bCs/>
                <w:sz w:val="20"/>
                <w:szCs w:val="20"/>
                <w:lang w:val="es-ES"/>
              </w:rPr>
              <w:t>Jairo Enrique Herrera Pérez</w:t>
            </w:r>
          </w:p>
        </w:tc>
      </w:tr>
      <w:tr w:rsidR="003239B8" w:rsidRPr="008E478B" w14:paraId="593A7E45" w14:textId="77777777" w:rsidTr="004A6A54">
        <w:tc>
          <w:tcPr>
            <w:tcW w:w="3600" w:type="dxa"/>
            <w:tcBorders>
              <w:top w:val="single" w:sz="6" w:space="0" w:color="auto"/>
              <w:bottom w:val="single" w:sz="6" w:space="0" w:color="auto"/>
            </w:tcBorders>
            <w:shd w:val="clear" w:color="auto" w:fill="386294"/>
            <w:vAlign w:val="center"/>
          </w:tcPr>
          <w:p w14:paraId="0E78CA0C" w14:textId="77777777" w:rsidR="003239B8" w:rsidRPr="008E478B" w:rsidRDefault="00B5307C">
            <w:pPr>
              <w:jc w:val="center"/>
              <w:rPr>
                <w:rFonts w:asciiTheme="majorHAnsi" w:hAnsiTheme="majorHAnsi"/>
                <w:b/>
                <w:bCs/>
                <w:color w:val="FFFFFF" w:themeColor="background1"/>
                <w:sz w:val="20"/>
                <w:szCs w:val="20"/>
                <w:lang w:val="es-ES"/>
              </w:rPr>
            </w:pPr>
            <w:sdt>
              <w:sdtPr>
                <w:rPr>
                  <w:rFonts w:asciiTheme="majorHAnsi" w:hAnsiTheme="majorHAnsi"/>
                  <w:b/>
                  <w:bCs/>
                  <w:color w:val="FFFFFF" w:themeColor="background1"/>
                  <w:sz w:val="20"/>
                  <w:szCs w:val="20"/>
                  <w:lang w:val="es-ES"/>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3239B8" w:rsidRPr="008E478B">
                  <w:rPr>
                    <w:rFonts w:asciiTheme="majorHAnsi" w:hAnsiTheme="majorHAnsi"/>
                    <w:b/>
                    <w:bCs/>
                    <w:color w:val="FFFFFF" w:themeColor="background1"/>
                    <w:sz w:val="20"/>
                    <w:szCs w:val="20"/>
                    <w:lang w:val="es-ES"/>
                  </w:rPr>
                  <w:t>Presunta víctima</w:t>
                </w:r>
              </w:sdtContent>
            </w:sdt>
            <w:r w:rsidR="003239B8" w:rsidRPr="008E478B">
              <w:rPr>
                <w:rFonts w:asciiTheme="majorHAnsi" w:hAnsiTheme="majorHAnsi"/>
                <w:b/>
                <w:bCs/>
                <w:color w:val="FFFFFF" w:themeColor="background1"/>
                <w:sz w:val="20"/>
                <w:szCs w:val="20"/>
                <w:lang w:val="es-ES"/>
              </w:rPr>
              <w:t>:</w:t>
            </w:r>
          </w:p>
        </w:tc>
        <w:tc>
          <w:tcPr>
            <w:tcW w:w="5760" w:type="dxa"/>
            <w:vAlign w:val="center"/>
          </w:tcPr>
          <w:p w14:paraId="4AEBF59E" w14:textId="77733C2B" w:rsidR="003239B8" w:rsidRPr="008E478B" w:rsidRDefault="00D62167">
            <w:pPr>
              <w:jc w:val="both"/>
              <w:rPr>
                <w:rFonts w:asciiTheme="majorHAnsi" w:hAnsiTheme="majorHAnsi"/>
                <w:bCs/>
                <w:sz w:val="20"/>
                <w:szCs w:val="20"/>
                <w:lang w:val="es-ES"/>
              </w:rPr>
            </w:pPr>
            <w:r w:rsidRPr="008E478B">
              <w:rPr>
                <w:rFonts w:asciiTheme="majorHAnsi" w:hAnsiTheme="majorHAnsi"/>
                <w:bCs/>
                <w:sz w:val="20"/>
                <w:szCs w:val="20"/>
                <w:lang w:val="es-ES"/>
              </w:rPr>
              <w:t>Héctor Vergara Mallqui</w:t>
            </w:r>
          </w:p>
        </w:tc>
      </w:tr>
      <w:tr w:rsidR="003239B8" w:rsidRPr="008E478B" w14:paraId="3E62E1D3" w14:textId="77777777" w:rsidTr="004A6A54">
        <w:tc>
          <w:tcPr>
            <w:tcW w:w="3600" w:type="dxa"/>
            <w:tcBorders>
              <w:top w:val="single" w:sz="6" w:space="0" w:color="auto"/>
              <w:bottom w:val="single" w:sz="6" w:space="0" w:color="auto"/>
            </w:tcBorders>
            <w:shd w:val="clear" w:color="auto" w:fill="386294"/>
            <w:vAlign w:val="center"/>
          </w:tcPr>
          <w:p w14:paraId="340B0F09" w14:textId="77777777" w:rsidR="003239B8" w:rsidRPr="008E478B" w:rsidRDefault="003239B8">
            <w:pPr>
              <w:jc w:val="center"/>
              <w:rPr>
                <w:rFonts w:asciiTheme="majorHAnsi" w:hAnsiTheme="majorHAnsi"/>
                <w:b/>
                <w:bCs/>
                <w:color w:val="FFFFFF" w:themeColor="background1"/>
                <w:sz w:val="20"/>
                <w:szCs w:val="20"/>
                <w:lang w:val="es-ES"/>
              </w:rPr>
            </w:pPr>
            <w:r w:rsidRPr="008E478B">
              <w:rPr>
                <w:rFonts w:asciiTheme="majorHAnsi" w:hAnsiTheme="majorHAnsi"/>
                <w:b/>
                <w:bCs/>
                <w:color w:val="FFFFFF" w:themeColor="background1"/>
                <w:sz w:val="20"/>
                <w:szCs w:val="20"/>
                <w:lang w:val="es-ES"/>
              </w:rPr>
              <w:t>Estado denunciado:</w:t>
            </w:r>
          </w:p>
        </w:tc>
        <w:tc>
          <w:tcPr>
            <w:tcW w:w="5760" w:type="dxa"/>
            <w:vAlign w:val="center"/>
          </w:tcPr>
          <w:p w14:paraId="274C8A50" w14:textId="57BF8D24" w:rsidR="003239B8" w:rsidRPr="008E478B" w:rsidRDefault="00394091">
            <w:pPr>
              <w:jc w:val="both"/>
              <w:rPr>
                <w:rFonts w:asciiTheme="majorHAnsi" w:hAnsiTheme="majorHAnsi"/>
                <w:bCs/>
                <w:sz w:val="20"/>
                <w:szCs w:val="20"/>
                <w:lang w:val="es-ES"/>
              </w:rPr>
            </w:pPr>
            <w:r w:rsidRPr="008E478B">
              <w:rPr>
                <w:rFonts w:asciiTheme="majorHAnsi" w:hAnsiTheme="majorHAnsi"/>
                <w:bCs/>
                <w:sz w:val="20"/>
                <w:szCs w:val="20"/>
                <w:lang w:val="es-ES"/>
              </w:rPr>
              <w:t>Perú</w:t>
            </w:r>
          </w:p>
        </w:tc>
      </w:tr>
      <w:tr w:rsidR="00223A29" w:rsidRPr="00383F87" w14:paraId="632511BC" w14:textId="77777777" w:rsidTr="004A6A54">
        <w:tc>
          <w:tcPr>
            <w:tcW w:w="3600" w:type="dxa"/>
            <w:tcBorders>
              <w:top w:val="single" w:sz="6" w:space="0" w:color="auto"/>
              <w:bottom w:val="single" w:sz="6" w:space="0" w:color="auto"/>
            </w:tcBorders>
            <w:shd w:val="clear" w:color="auto" w:fill="386294"/>
            <w:vAlign w:val="center"/>
          </w:tcPr>
          <w:p w14:paraId="727E2F6B" w14:textId="60AEE329" w:rsidR="00223A29" w:rsidRPr="008E478B" w:rsidRDefault="001B3A00" w:rsidP="00E4118C">
            <w:pPr>
              <w:jc w:val="center"/>
              <w:rPr>
                <w:rFonts w:asciiTheme="majorHAnsi" w:hAnsiTheme="majorHAnsi"/>
                <w:b/>
                <w:bCs/>
                <w:color w:val="FFFFFF" w:themeColor="background1"/>
                <w:sz w:val="20"/>
                <w:szCs w:val="20"/>
                <w:lang w:val="es-ES"/>
              </w:rPr>
            </w:pPr>
            <w:r w:rsidRPr="008E478B">
              <w:rPr>
                <w:rFonts w:asciiTheme="majorHAnsi" w:hAnsiTheme="majorHAnsi"/>
                <w:b/>
                <w:bCs/>
                <w:color w:val="FFFFFF" w:themeColor="background1"/>
                <w:sz w:val="20"/>
                <w:szCs w:val="20"/>
                <w:lang w:val="es-ES"/>
              </w:rPr>
              <w:t xml:space="preserve">Derechos </w:t>
            </w:r>
            <w:r w:rsidR="00E4118C" w:rsidRPr="008E478B">
              <w:rPr>
                <w:rFonts w:asciiTheme="majorHAnsi" w:hAnsiTheme="majorHAnsi"/>
                <w:b/>
                <w:bCs/>
                <w:color w:val="FFFFFF" w:themeColor="background1"/>
                <w:sz w:val="20"/>
                <w:szCs w:val="20"/>
                <w:lang w:val="es-ES"/>
              </w:rPr>
              <w:t>invocados</w:t>
            </w:r>
            <w:r w:rsidRPr="008E478B">
              <w:rPr>
                <w:rFonts w:asciiTheme="majorHAnsi" w:hAnsiTheme="majorHAnsi"/>
                <w:b/>
                <w:bCs/>
                <w:color w:val="FFFFFF" w:themeColor="background1"/>
                <w:sz w:val="20"/>
                <w:szCs w:val="20"/>
                <w:lang w:val="es-ES"/>
              </w:rPr>
              <w:t>:</w:t>
            </w:r>
          </w:p>
        </w:tc>
        <w:tc>
          <w:tcPr>
            <w:tcW w:w="5760" w:type="dxa"/>
            <w:vAlign w:val="center"/>
          </w:tcPr>
          <w:p w14:paraId="6DEE1EEB" w14:textId="7602DD66" w:rsidR="00223A29" w:rsidRPr="008E478B" w:rsidRDefault="00CF332A">
            <w:pPr>
              <w:jc w:val="both"/>
              <w:rPr>
                <w:rFonts w:asciiTheme="majorHAnsi" w:hAnsiTheme="majorHAnsi"/>
                <w:bCs/>
                <w:sz w:val="20"/>
                <w:szCs w:val="20"/>
                <w:lang w:val="es-ES"/>
              </w:rPr>
            </w:pPr>
            <w:r w:rsidRPr="008E478B">
              <w:rPr>
                <w:rFonts w:asciiTheme="majorHAnsi" w:hAnsiTheme="majorHAnsi"/>
                <w:bCs/>
                <w:sz w:val="20"/>
                <w:szCs w:val="20"/>
                <w:lang w:val="es-ES"/>
              </w:rPr>
              <w:t xml:space="preserve">Artículos </w:t>
            </w:r>
            <w:r w:rsidR="008B550C" w:rsidRPr="008E478B">
              <w:rPr>
                <w:rFonts w:asciiTheme="majorHAnsi" w:hAnsiTheme="majorHAnsi"/>
                <w:bCs/>
                <w:sz w:val="20"/>
                <w:szCs w:val="20"/>
                <w:lang w:val="es-ES"/>
              </w:rPr>
              <w:t>8 (garantías judiciales)</w:t>
            </w:r>
            <w:r w:rsidR="00D408D6" w:rsidRPr="008E478B">
              <w:rPr>
                <w:rFonts w:asciiTheme="majorHAnsi" w:hAnsiTheme="majorHAnsi"/>
                <w:bCs/>
                <w:sz w:val="20"/>
                <w:szCs w:val="20"/>
                <w:lang w:val="es-ES"/>
              </w:rPr>
              <w:t xml:space="preserve"> </w:t>
            </w:r>
            <w:r w:rsidR="008B550C" w:rsidRPr="008E478B">
              <w:rPr>
                <w:rFonts w:asciiTheme="majorHAnsi" w:hAnsiTheme="majorHAnsi"/>
                <w:bCs/>
                <w:sz w:val="20"/>
                <w:szCs w:val="20"/>
                <w:lang w:val="es-ES"/>
              </w:rPr>
              <w:t>y 25 (protección judicial)</w:t>
            </w:r>
            <w:r w:rsidRPr="008E478B">
              <w:rPr>
                <w:rFonts w:asciiTheme="majorHAnsi" w:hAnsiTheme="majorHAnsi"/>
                <w:bCs/>
                <w:sz w:val="20"/>
                <w:szCs w:val="20"/>
                <w:lang w:val="es-ES"/>
              </w:rPr>
              <w:t xml:space="preserve"> de la Convención Americana sobre Derechos Humanos</w:t>
            </w:r>
            <w:r w:rsidRPr="008E478B">
              <w:rPr>
                <w:rStyle w:val="FootnoteReference"/>
                <w:rFonts w:asciiTheme="majorHAnsi" w:hAnsiTheme="majorHAnsi"/>
                <w:bCs/>
                <w:sz w:val="20"/>
                <w:szCs w:val="20"/>
                <w:lang w:val="es-ES"/>
              </w:rPr>
              <w:footnoteReference w:id="2"/>
            </w:r>
          </w:p>
        </w:tc>
      </w:tr>
    </w:tbl>
    <w:p w14:paraId="20263696" w14:textId="77777777" w:rsidR="003239B8" w:rsidRPr="008E478B" w:rsidRDefault="003239B8" w:rsidP="003239B8">
      <w:pPr>
        <w:spacing w:before="240" w:after="240"/>
        <w:ind w:firstLine="720"/>
        <w:jc w:val="both"/>
        <w:rPr>
          <w:rFonts w:asciiTheme="majorHAnsi" w:hAnsiTheme="majorHAnsi"/>
          <w:b/>
          <w:bCs/>
          <w:sz w:val="20"/>
          <w:szCs w:val="20"/>
          <w:lang w:val="es-ES"/>
        </w:rPr>
      </w:pPr>
      <w:r w:rsidRPr="008E478B">
        <w:rPr>
          <w:rFonts w:asciiTheme="majorHAnsi" w:hAnsiTheme="majorHAnsi"/>
          <w:b/>
          <w:bCs/>
          <w:sz w:val="20"/>
          <w:szCs w:val="20"/>
          <w:lang w:val="es-ES"/>
        </w:rPr>
        <w:t>II.</w:t>
      </w:r>
      <w:r w:rsidRPr="008E478B">
        <w:rPr>
          <w:rFonts w:asciiTheme="majorHAnsi" w:hAnsiTheme="majorHAnsi"/>
          <w:b/>
          <w:bCs/>
          <w:sz w:val="20"/>
          <w:szCs w:val="20"/>
          <w:lang w:val="es-ES"/>
        </w:rPr>
        <w:tab/>
        <w:t>TRÁMITE ANTE LA CIDH</w:t>
      </w:r>
      <w:r w:rsidR="008E3BFE" w:rsidRPr="008E478B">
        <w:rPr>
          <w:rStyle w:val="FootnoteReference"/>
          <w:rFonts w:asciiTheme="majorHAnsi" w:hAnsiTheme="majorHAnsi"/>
          <w:b/>
          <w:sz w:val="20"/>
          <w:szCs w:val="20"/>
          <w:lang w:val="es-ES"/>
        </w:rPr>
        <w:footnoteReference w:id="3"/>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4C2312" w:rsidRPr="008E478B" w14:paraId="306EFCB0" w14:textId="77777777" w:rsidTr="004A6A54">
        <w:tc>
          <w:tcPr>
            <w:tcW w:w="3600" w:type="dxa"/>
            <w:tcBorders>
              <w:top w:val="single" w:sz="6" w:space="0" w:color="auto"/>
              <w:bottom w:val="single" w:sz="6" w:space="0" w:color="auto"/>
            </w:tcBorders>
            <w:shd w:val="clear" w:color="auto" w:fill="386294"/>
            <w:vAlign w:val="center"/>
          </w:tcPr>
          <w:p w14:paraId="7508D16F" w14:textId="653461D7" w:rsidR="004C2312" w:rsidRPr="008E478B" w:rsidRDefault="004A6A54" w:rsidP="004A6A54">
            <w:pPr>
              <w:jc w:val="center"/>
              <w:rPr>
                <w:rFonts w:asciiTheme="majorHAnsi" w:hAnsiTheme="majorHAnsi"/>
                <w:b/>
                <w:bCs/>
                <w:color w:val="FFFFFF" w:themeColor="background1"/>
                <w:sz w:val="20"/>
                <w:szCs w:val="20"/>
                <w:lang w:val="es-ES"/>
              </w:rPr>
            </w:pPr>
            <w:r w:rsidRPr="008E478B">
              <w:rPr>
                <w:rFonts w:asciiTheme="majorHAnsi" w:hAnsiTheme="majorHAnsi"/>
                <w:b/>
                <w:bCs/>
                <w:color w:val="FFFFFF" w:themeColor="background1"/>
                <w:sz w:val="20"/>
                <w:szCs w:val="20"/>
                <w:lang w:val="es-ES"/>
              </w:rPr>
              <w:t>P</w:t>
            </w:r>
            <w:r w:rsidR="004C2312" w:rsidRPr="008E478B">
              <w:rPr>
                <w:rFonts w:asciiTheme="majorHAnsi" w:hAnsiTheme="majorHAnsi"/>
                <w:b/>
                <w:bCs/>
                <w:color w:val="FFFFFF" w:themeColor="background1"/>
                <w:sz w:val="20"/>
                <w:szCs w:val="20"/>
                <w:lang w:val="es-ES"/>
              </w:rPr>
              <w:t>resentación de la petición:</w:t>
            </w:r>
          </w:p>
        </w:tc>
        <w:tc>
          <w:tcPr>
            <w:tcW w:w="5760" w:type="dxa"/>
            <w:vAlign w:val="center"/>
          </w:tcPr>
          <w:p w14:paraId="6E579153" w14:textId="78D018DA" w:rsidR="004C2312" w:rsidRPr="008E478B" w:rsidRDefault="003D0DD1">
            <w:pPr>
              <w:jc w:val="both"/>
              <w:rPr>
                <w:rFonts w:asciiTheme="majorHAnsi" w:hAnsiTheme="majorHAnsi"/>
                <w:bCs/>
                <w:sz w:val="20"/>
                <w:szCs w:val="20"/>
                <w:lang w:val="es-ES"/>
              </w:rPr>
            </w:pPr>
            <w:r w:rsidRPr="008E478B">
              <w:rPr>
                <w:rFonts w:asciiTheme="majorHAnsi" w:hAnsiTheme="majorHAnsi"/>
                <w:bCs/>
                <w:sz w:val="20"/>
                <w:szCs w:val="20"/>
                <w:lang w:val="es-ES"/>
              </w:rPr>
              <w:t>18 de septiembre de 2015</w:t>
            </w:r>
          </w:p>
        </w:tc>
      </w:tr>
      <w:tr w:rsidR="00131425" w:rsidRPr="008E478B" w14:paraId="337129E8" w14:textId="77777777" w:rsidTr="004A6A54">
        <w:tc>
          <w:tcPr>
            <w:tcW w:w="3600" w:type="dxa"/>
            <w:tcBorders>
              <w:top w:val="single" w:sz="6" w:space="0" w:color="auto"/>
              <w:bottom w:val="single" w:sz="6" w:space="0" w:color="auto"/>
            </w:tcBorders>
            <w:shd w:val="clear" w:color="auto" w:fill="386294"/>
            <w:vAlign w:val="center"/>
          </w:tcPr>
          <w:p w14:paraId="3D52E482" w14:textId="0FA8B3B3" w:rsidR="00131425" w:rsidRPr="008E478B" w:rsidRDefault="00131425" w:rsidP="004A6A54">
            <w:pPr>
              <w:jc w:val="center"/>
              <w:rPr>
                <w:rFonts w:asciiTheme="majorHAnsi" w:hAnsiTheme="majorHAnsi"/>
                <w:b/>
                <w:bCs/>
                <w:color w:val="FFFFFF" w:themeColor="background1"/>
                <w:sz w:val="20"/>
                <w:szCs w:val="20"/>
                <w:lang w:val="es-ES"/>
              </w:rPr>
            </w:pPr>
            <w:r w:rsidRPr="008E478B">
              <w:rPr>
                <w:rFonts w:asciiTheme="majorHAnsi" w:hAnsiTheme="majorHAnsi"/>
                <w:b/>
                <w:bCs/>
                <w:color w:val="FFFFFF" w:themeColor="background1"/>
                <w:sz w:val="20"/>
                <w:szCs w:val="20"/>
                <w:lang w:val="es-ES"/>
              </w:rPr>
              <w:t>Información adicional recibida durante la etapa de estudio:</w:t>
            </w:r>
          </w:p>
        </w:tc>
        <w:tc>
          <w:tcPr>
            <w:tcW w:w="5760" w:type="dxa"/>
            <w:vAlign w:val="center"/>
          </w:tcPr>
          <w:p w14:paraId="30151270" w14:textId="59EF798D" w:rsidR="00131425" w:rsidRPr="008E478B" w:rsidRDefault="00FF573A">
            <w:pPr>
              <w:jc w:val="both"/>
              <w:rPr>
                <w:rFonts w:asciiTheme="majorHAnsi" w:hAnsiTheme="majorHAnsi"/>
                <w:bCs/>
                <w:sz w:val="20"/>
                <w:szCs w:val="20"/>
                <w:lang w:val="es-ES"/>
              </w:rPr>
            </w:pPr>
            <w:r w:rsidRPr="008E478B">
              <w:rPr>
                <w:rFonts w:asciiTheme="majorHAnsi" w:hAnsiTheme="majorHAnsi"/>
                <w:bCs/>
                <w:sz w:val="20"/>
                <w:szCs w:val="20"/>
                <w:lang w:val="es-ES"/>
              </w:rPr>
              <w:t>19 de septiembre de 2015</w:t>
            </w:r>
          </w:p>
        </w:tc>
      </w:tr>
      <w:tr w:rsidR="004C2312" w:rsidRPr="008E478B" w14:paraId="1BDCD5C6" w14:textId="77777777" w:rsidTr="008363A5">
        <w:trPr>
          <w:trHeight w:val="370"/>
        </w:trPr>
        <w:tc>
          <w:tcPr>
            <w:tcW w:w="3600" w:type="dxa"/>
            <w:tcBorders>
              <w:top w:val="single" w:sz="6" w:space="0" w:color="auto"/>
              <w:bottom w:val="single" w:sz="6" w:space="0" w:color="auto"/>
            </w:tcBorders>
            <w:shd w:val="clear" w:color="auto" w:fill="386294"/>
            <w:vAlign w:val="center"/>
          </w:tcPr>
          <w:p w14:paraId="7A18664F" w14:textId="73FE510C" w:rsidR="004C2312" w:rsidRPr="008E478B" w:rsidRDefault="004A6A54" w:rsidP="004A6A54">
            <w:pPr>
              <w:jc w:val="center"/>
              <w:rPr>
                <w:rFonts w:asciiTheme="majorHAnsi" w:hAnsiTheme="majorHAnsi"/>
                <w:b/>
                <w:bCs/>
                <w:color w:val="FFFFFF" w:themeColor="background1"/>
                <w:sz w:val="20"/>
                <w:szCs w:val="20"/>
                <w:lang w:val="es-ES"/>
              </w:rPr>
            </w:pPr>
            <w:r w:rsidRPr="008E478B">
              <w:rPr>
                <w:rFonts w:asciiTheme="majorHAnsi" w:hAnsiTheme="majorHAnsi"/>
                <w:b/>
                <w:color w:val="FFFFFF" w:themeColor="background1"/>
                <w:sz w:val="20"/>
                <w:szCs w:val="20"/>
                <w:lang w:val="es-ES"/>
              </w:rPr>
              <w:t>N</w:t>
            </w:r>
            <w:r w:rsidR="004C2312" w:rsidRPr="008E478B">
              <w:rPr>
                <w:rFonts w:asciiTheme="majorHAnsi" w:hAnsiTheme="majorHAnsi"/>
                <w:b/>
                <w:color w:val="FFFFFF" w:themeColor="background1"/>
                <w:sz w:val="20"/>
                <w:szCs w:val="20"/>
                <w:lang w:val="es-ES"/>
              </w:rPr>
              <w:t>otificación de la petición al Estado:</w:t>
            </w:r>
          </w:p>
        </w:tc>
        <w:tc>
          <w:tcPr>
            <w:tcW w:w="5760" w:type="dxa"/>
            <w:vAlign w:val="center"/>
          </w:tcPr>
          <w:p w14:paraId="1519DA6A" w14:textId="3D0512AF" w:rsidR="004C2312" w:rsidRPr="008E478B" w:rsidRDefault="00FF630C">
            <w:pPr>
              <w:jc w:val="both"/>
              <w:rPr>
                <w:rFonts w:asciiTheme="majorHAnsi" w:hAnsiTheme="majorHAnsi"/>
                <w:bCs/>
                <w:sz w:val="20"/>
                <w:szCs w:val="20"/>
                <w:lang w:val="es-ES"/>
              </w:rPr>
            </w:pPr>
            <w:r w:rsidRPr="008E478B">
              <w:rPr>
                <w:rFonts w:asciiTheme="majorHAnsi" w:hAnsiTheme="majorHAnsi"/>
                <w:bCs/>
                <w:sz w:val="20"/>
                <w:szCs w:val="20"/>
                <w:lang w:val="es-ES"/>
              </w:rPr>
              <w:t>5 de septiembre de 2019</w:t>
            </w:r>
          </w:p>
        </w:tc>
      </w:tr>
      <w:tr w:rsidR="004C2312" w:rsidRPr="008E478B" w14:paraId="6147A8D5" w14:textId="77777777" w:rsidTr="008363A5">
        <w:trPr>
          <w:trHeight w:val="402"/>
        </w:trPr>
        <w:tc>
          <w:tcPr>
            <w:tcW w:w="3600" w:type="dxa"/>
            <w:tcBorders>
              <w:top w:val="single" w:sz="6" w:space="0" w:color="auto"/>
              <w:bottom w:val="single" w:sz="6" w:space="0" w:color="auto"/>
            </w:tcBorders>
            <w:shd w:val="clear" w:color="auto" w:fill="386294"/>
            <w:vAlign w:val="center"/>
          </w:tcPr>
          <w:p w14:paraId="0201C86D" w14:textId="4A5EC6F9" w:rsidR="004C2312" w:rsidRPr="008E478B" w:rsidRDefault="004A6A54" w:rsidP="004A6A54">
            <w:pPr>
              <w:jc w:val="center"/>
              <w:rPr>
                <w:rFonts w:asciiTheme="majorHAnsi" w:hAnsiTheme="majorHAnsi"/>
                <w:b/>
                <w:bCs/>
                <w:color w:val="FFFFFF" w:themeColor="background1"/>
                <w:sz w:val="20"/>
                <w:szCs w:val="20"/>
                <w:lang w:val="es-ES"/>
              </w:rPr>
            </w:pPr>
            <w:r w:rsidRPr="008E478B">
              <w:rPr>
                <w:rFonts w:asciiTheme="majorHAnsi" w:hAnsiTheme="majorHAnsi"/>
                <w:b/>
                <w:color w:val="FFFFFF" w:themeColor="background1"/>
                <w:sz w:val="20"/>
                <w:szCs w:val="20"/>
                <w:lang w:val="es-ES"/>
              </w:rPr>
              <w:t>P</w:t>
            </w:r>
            <w:r w:rsidR="004C2312" w:rsidRPr="008E478B">
              <w:rPr>
                <w:rFonts w:asciiTheme="majorHAnsi" w:hAnsiTheme="majorHAnsi"/>
                <w:b/>
                <w:color w:val="FFFFFF" w:themeColor="background1"/>
                <w:sz w:val="20"/>
                <w:szCs w:val="20"/>
                <w:lang w:val="es-ES"/>
              </w:rPr>
              <w:t>rimera respuesta del Estado:</w:t>
            </w:r>
          </w:p>
        </w:tc>
        <w:tc>
          <w:tcPr>
            <w:tcW w:w="5760" w:type="dxa"/>
            <w:vAlign w:val="center"/>
          </w:tcPr>
          <w:p w14:paraId="1972B99E" w14:textId="7EC2E57B" w:rsidR="004C2312" w:rsidRPr="008E478B" w:rsidRDefault="003E5991">
            <w:pPr>
              <w:jc w:val="both"/>
              <w:rPr>
                <w:rFonts w:asciiTheme="majorHAnsi" w:hAnsiTheme="majorHAnsi"/>
                <w:bCs/>
                <w:sz w:val="20"/>
                <w:szCs w:val="20"/>
                <w:lang w:val="es-ES"/>
              </w:rPr>
            </w:pPr>
            <w:r w:rsidRPr="008E478B">
              <w:rPr>
                <w:rFonts w:asciiTheme="majorHAnsi" w:hAnsiTheme="majorHAnsi"/>
                <w:bCs/>
                <w:sz w:val="20"/>
                <w:szCs w:val="20"/>
                <w:lang w:val="es-ES"/>
              </w:rPr>
              <w:t>30 de enero de 2020</w:t>
            </w:r>
          </w:p>
        </w:tc>
      </w:tr>
      <w:tr w:rsidR="004C2312" w:rsidRPr="00383F87" w14:paraId="322668B6" w14:textId="77777777" w:rsidTr="004A6A54">
        <w:tc>
          <w:tcPr>
            <w:tcW w:w="3600" w:type="dxa"/>
            <w:tcBorders>
              <w:top w:val="single" w:sz="6" w:space="0" w:color="auto"/>
              <w:bottom w:val="single" w:sz="6" w:space="0" w:color="auto"/>
            </w:tcBorders>
            <w:shd w:val="clear" w:color="auto" w:fill="386294"/>
            <w:vAlign w:val="center"/>
          </w:tcPr>
          <w:p w14:paraId="1524DA55" w14:textId="77777777" w:rsidR="004C2312" w:rsidRPr="008E478B" w:rsidRDefault="008E3BFE" w:rsidP="008E3BFE">
            <w:pPr>
              <w:jc w:val="center"/>
              <w:rPr>
                <w:rFonts w:asciiTheme="majorHAnsi" w:hAnsiTheme="majorHAnsi"/>
                <w:b/>
                <w:bCs/>
                <w:color w:val="FFFFFF" w:themeColor="background1"/>
                <w:sz w:val="20"/>
                <w:szCs w:val="20"/>
                <w:lang w:val="es-ES"/>
              </w:rPr>
            </w:pPr>
            <w:r w:rsidRPr="008E478B">
              <w:rPr>
                <w:rFonts w:asciiTheme="majorHAnsi" w:hAnsiTheme="majorHAnsi"/>
                <w:b/>
                <w:bCs/>
                <w:color w:val="FFFFFF" w:themeColor="background1"/>
                <w:sz w:val="20"/>
                <w:szCs w:val="20"/>
                <w:lang w:val="es-ES"/>
              </w:rPr>
              <w:t>Observaciones adicionales de la parte peticionaria:</w:t>
            </w:r>
          </w:p>
        </w:tc>
        <w:tc>
          <w:tcPr>
            <w:tcW w:w="5760" w:type="dxa"/>
            <w:vAlign w:val="center"/>
          </w:tcPr>
          <w:p w14:paraId="41D8B862" w14:textId="4B2B75F7" w:rsidR="004C2312" w:rsidRPr="008E478B" w:rsidRDefault="00AE1F8C">
            <w:pPr>
              <w:jc w:val="both"/>
              <w:rPr>
                <w:rFonts w:asciiTheme="majorHAnsi" w:hAnsiTheme="majorHAnsi"/>
                <w:bCs/>
                <w:sz w:val="20"/>
                <w:szCs w:val="20"/>
                <w:lang w:val="es-ES"/>
              </w:rPr>
            </w:pPr>
            <w:r w:rsidRPr="008E478B">
              <w:rPr>
                <w:rFonts w:asciiTheme="majorHAnsi" w:hAnsiTheme="majorHAnsi"/>
                <w:bCs/>
                <w:sz w:val="20"/>
                <w:szCs w:val="20"/>
                <w:lang w:val="es-ES"/>
              </w:rPr>
              <w:t>14 de marzo de 2020</w:t>
            </w:r>
            <w:r w:rsidR="00AF619D" w:rsidRPr="008E478B">
              <w:rPr>
                <w:rFonts w:asciiTheme="majorHAnsi" w:hAnsiTheme="majorHAnsi"/>
                <w:bCs/>
                <w:sz w:val="20"/>
                <w:szCs w:val="20"/>
                <w:lang w:val="es-ES"/>
              </w:rPr>
              <w:t xml:space="preserve"> y</w:t>
            </w:r>
            <w:r w:rsidR="00062F4C" w:rsidRPr="008E478B">
              <w:rPr>
                <w:rFonts w:asciiTheme="majorHAnsi" w:hAnsiTheme="majorHAnsi"/>
                <w:bCs/>
                <w:sz w:val="20"/>
                <w:szCs w:val="20"/>
                <w:lang w:val="es-ES"/>
              </w:rPr>
              <w:t xml:space="preserve"> 23 de junio de </w:t>
            </w:r>
            <w:r w:rsidR="001502A6" w:rsidRPr="008E478B">
              <w:rPr>
                <w:rFonts w:asciiTheme="majorHAnsi" w:hAnsiTheme="majorHAnsi"/>
                <w:bCs/>
                <w:sz w:val="20"/>
                <w:szCs w:val="20"/>
                <w:lang w:val="es-ES"/>
              </w:rPr>
              <w:t>2020</w:t>
            </w:r>
          </w:p>
        </w:tc>
      </w:tr>
      <w:tr w:rsidR="004C2312" w:rsidRPr="00383F87" w14:paraId="291ACE7A" w14:textId="77777777" w:rsidTr="004A6A54">
        <w:tc>
          <w:tcPr>
            <w:tcW w:w="3600" w:type="dxa"/>
            <w:tcBorders>
              <w:top w:val="single" w:sz="6" w:space="0" w:color="auto"/>
              <w:bottom w:val="single" w:sz="6" w:space="0" w:color="auto"/>
            </w:tcBorders>
            <w:shd w:val="clear" w:color="auto" w:fill="386294"/>
            <w:vAlign w:val="center"/>
          </w:tcPr>
          <w:p w14:paraId="068BD12F" w14:textId="77777777" w:rsidR="004C2312" w:rsidRPr="008E478B" w:rsidRDefault="004C2312" w:rsidP="008E3BFE">
            <w:pPr>
              <w:jc w:val="center"/>
              <w:rPr>
                <w:rFonts w:asciiTheme="majorHAnsi" w:hAnsiTheme="majorHAnsi"/>
                <w:b/>
                <w:bCs/>
                <w:color w:val="FFFFFF" w:themeColor="background1"/>
                <w:sz w:val="20"/>
                <w:szCs w:val="20"/>
                <w:lang w:val="es-ES"/>
              </w:rPr>
            </w:pPr>
            <w:r w:rsidRPr="008E478B">
              <w:rPr>
                <w:rFonts w:asciiTheme="majorHAnsi" w:hAnsiTheme="majorHAnsi"/>
                <w:b/>
                <w:bCs/>
                <w:color w:val="FFFFFF" w:themeColor="background1"/>
                <w:sz w:val="20"/>
                <w:szCs w:val="20"/>
                <w:lang w:val="es-ES"/>
              </w:rPr>
              <w:t>Observaciones adicionales del Estado:</w:t>
            </w:r>
          </w:p>
        </w:tc>
        <w:tc>
          <w:tcPr>
            <w:tcW w:w="5760" w:type="dxa"/>
            <w:vAlign w:val="center"/>
          </w:tcPr>
          <w:p w14:paraId="3CE49AFE" w14:textId="010615C4" w:rsidR="004C2312" w:rsidRPr="008E478B" w:rsidRDefault="005A2276">
            <w:pPr>
              <w:jc w:val="both"/>
              <w:rPr>
                <w:rFonts w:asciiTheme="majorHAnsi" w:hAnsiTheme="majorHAnsi"/>
                <w:bCs/>
                <w:sz w:val="20"/>
                <w:szCs w:val="20"/>
                <w:lang w:val="es-ES"/>
              </w:rPr>
            </w:pPr>
            <w:r w:rsidRPr="008E478B">
              <w:rPr>
                <w:rFonts w:asciiTheme="majorHAnsi" w:hAnsiTheme="majorHAnsi"/>
                <w:bCs/>
                <w:sz w:val="20"/>
                <w:szCs w:val="20"/>
                <w:lang w:val="es-ES"/>
              </w:rPr>
              <w:t>14 de noviembre de 2020</w:t>
            </w:r>
            <w:r w:rsidR="005E122D" w:rsidRPr="008E478B">
              <w:rPr>
                <w:rFonts w:asciiTheme="majorHAnsi" w:hAnsiTheme="majorHAnsi"/>
                <w:bCs/>
                <w:sz w:val="20"/>
                <w:szCs w:val="20"/>
                <w:lang w:val="es-ES"/>
              </w:rPr>
              <w:t xml:space="preserve">, </w:t>
            </w:r>
            <w:r w:rsidR="009434F7" w:rsidRPr="008E478B">
              <w:rPr>
                <w:rFonts w:asciiTheme="majorHAnsi" w:hAnsiTheme="majorHAnsi"/>
                <w:bCs/>
                <w:sz w:val="20"/>
                <w:szCs w:val="20"/>
                <w:lang w:val="es-ES"/>
              </w:rPr>
              <w:t>25 de abril de 2022</w:t>
            </w:r>
            <w:r w:rsidR="005E122D" w:rsidRPr="008E478B">
              <w:rPr>
                <w:rFonts w:asciiTheme="majorHAnsi" w:hAnsiTheme="majorHAnsi"/>
                <w:bCs/>
                <w:sz w:val="20"/>
                <w:szCs w:val="20"/>
                <w:lang w:val="es-ES"/>
              </w:rPr>
              <w:t xml:space="preserve"> y 19 de junio de 2025</w:t>
            </w:r>
          </w:p>
        </w:tc>
      </w:tr>
      <w:tr w:rsidR="001E49E7" w:rsidRPr="008E478B" w14:paraId="0F502B44" w14:textId="77777777" w:rsidTr="004A6A54">
        <w:tc>
          <w:tcPr>
            <w:tcW w:w="3600" w:type="dxa"/>
            <w:tcBorders>
              <w:top w:val="single" w:sz="6" w:space="0" w:color="auto"/>
              <w:bottom w:val="single" w:sz="6" w:space="0" w:color="auto"/>
            </w:tcBorders>
            <w:shd w:val="clear" w:color="auto" w:fill="386294"/>
            <w:vAlign w:val="center"/>
          </w:tcPr>
          <w:p w14:paraId="046FEDC0" w14:textId="71E42F00" w:rsidR="001E49E7" w:rsidRPr="008E478B" w:rsidRDefault="004A6A54" w:rsidP="00DD4AD2">
            <w:pPr>
              <w:jc w:val="center"/>
              <w:rPr>
                <w:rFonts w:asciiTheme="majorHAnsi" w:hAnsiTheme="majorHAnsi"/>
                <w:b/>
                <w:bCs/>
                <w:color w:val="FFFFFF" w:themeColor="background1"/>
                <w:sz w:val="20"/>
                <w:szCs w:val="20"/>
                <w:lang w:val="es-ES"/>
              </w:rPr>
            </w:pPr>
            <w:r w:rsidRPr="008E478B">
              <w:rPr>
                <w:rFonts w:asciiTheme="majorHAnsi" w:hAnsiTheme="majorHAnsi"/>
                <w:b/>
                <w:bCs/>
                <w:color w:val="FFFFFF" w:themeColor="background1"/>
                <w:sz w:val="20"/>
                <w:szCs w:val="20"/>
                <w:lang w:val="es-ES"/>
              </w:rPr>
              <w:t>A</w:t>
            </w:r>
            <w:r w:rsidR="001E49E7" w:rsidRPr="008E478B">
              <w:rPr>
                <w:rFonts w:asciiTheme="majorHAnsi" w:hAnsiTheme="majorHAnsi"/>
                <w:b/>
                <w:bCs/>
                <w:color w:val="FFFFFF" w:themeColor="background1"/>
                <w:sz w:val="20"/>
                <w:szCs w:val="20"/>
                <w:lang w:val="es-ES"/>
              </w:rPr>
              <w:t>dvertencia sobre posible archivo:</w:t>
            </w:r>
          </w:p>
        </w:tc>
        <w:tc>
          <w:tcPr>
            <w:tcW w:w="5760" w:type="dxa"/>
            <w:vAlign w:val="center"/>
          </w:tcPr>
          <w:p w14:paraId="5500808B" w14:textId="67B6185B" w:rsidR="001E49E7" w:rsidRPr="008E478B" w:rsidRDefault="00FA6636">
            <w:pPr>
              <w:jc w:val="both"/>
              <w:rPr>
                <w:rFonts w:asciiTheme="majorHAnsi" w:hAnsiTheme="majorHAnsi"/>
                <w:bCs/>
                <w:sz w:val="20"/>
                <w:szCs w:val="20"/>
                <w:lang w:val="es-ES"/>
              </w:rPr>
            </w:pPr>
            <w:r w:rsidRPr="008E478B">
              <w:rPr>
                <w:rFonts w:asciiTheme="majorHAnsi" w:hAnsiTheme="majorHAnsi"/>
                <w:bCs/>
                <w:sz w:val="20"/>
                <w:szCs w:val="20"/>
                <w:lang w:val="es-ES"/>
              </w:rPr>
              <w:t>20 de agosto de 2024</w:t>
            </w:r>
          </w:p>
        </w:tc>
      </w:tr>
      <w:tr w:rsidR="001E49E7" w:rsidRPr="008E478B" w14:paraId="789A7AF7" w14:textId="77777777" w:rsidTr="004A6A54">
        <w:tc>
          <w:tcPr>
            <w:tcW w:w="3600" w:type="dxa"/>
            <w:tcBorders>
              <w:top w:val="single" w:sz="6" w:space="0" w:color="auto"/>
              <w:bottom w:val="single" w:sz="6" w:space="0" w:color="auto"/>
            </w:tcBorders>
            <w:shd w:val="clear" w:color="auto" w:fill="386294"/>
            <w:vAlign w:val="center"/>
          </w:tcPr>
          <w:p w14:paraId="11989038" w14:textId="59EC032B" w:rsidR="001E49E7" w:rsidRPr="008E478B" w:rsidRDefault="004A6A54" w:rsidP="004A6A54">
            <w:pPr>
              <w:jc w:val="center"/>
              <w:rPr>
                <w:rFonts w:asciiTheme="majorHAnsi" w:hAnsiTheme="majorHAnsi"/>
                <w:b/>
                <w:bCs/>
                <w:color w:val="FFFFFF" w:themeColor="background1"/>
                <w:sz w:val="20"/>
                <w:szCs w:val="20"/>
                <w:lang w:val="es-ES"/>
              </w:rPr>
            </w:pPr>
            <w:r w:rsidRPr="008E478B">
              <w:rPr>
                <w:rFonts w:asciiTheme="majorHAnsi" w:hAnsiTheme="majorHAnsi"/>
                <w:b/>
                <w:bCs/>
                <w:color w:val="FFFFFF" w:themeColor="background1"/>
                <w:sz w:val="20"/>
                <w:szCs w:val="20"/>
                <w:lang w:val="es-ES"/>
              </w:rPr>
              <w:t>R</w:t>
            </w:r>
            <w:r w:rsidR="001E49E7" w:rsidRPr="008E478B">
              <w:rPr>
                <w:rFonts w:asciiTheme="majorHAnsi" w:hAnsiTheme="majorHAnsi"/>
                <w:b/>
                <w:bCs/>
                <w:color w:val="FFFFFF" w:themeColor="background1"/>
                <w:sz w:val="20"/>
                <w:szCs w:val="20"/>
                <w:lang w:val="es-ES"/>
              </w:rPr>
              <w:t xml:space="preserve">espuesta de la parte peticionaria ante advertencia </w:t>
            </w:r>
            <w:r w:rsidR="00DD4AD2" w:rsidRPr="008E478B">
              <w:rPr>
                <w:rFonts w:asciiTheme="majorHAnsi" w:hAnsiTheme="majorHAnsi"/>
                <w:b/>
                <w:bCs/>
                <w:color w:val="FFFFFF" w:themeColor="background1"/>
                <w:sz w:val="20"/>
                <w:szCs w:val="20"/>
                <w:lang w:val="es-ES"/>
              </w:rPr>
              <w:t xml:space="preserve">de </w:t>
            </w:r>
            <w:r w:rsidR="001E49E7" w:rsidRPr="008E478B">
              <w:rPr>
                <w:rFonts w:asciiTheme="majorHAnsi" w:hAnsiTheme="majorHAnsi"/>
                <w:b/>
                <w:bCs/>
                <w:color w:val="FFFFFF" w:themeColor="background1"/>
                <w:sz w:val="20"/>
                <w:szCs w:val="20"/>
                <w:lang w:val="es-ES"/>
              </w:rPr>
              <w:t>posible archivo:</w:t>
            </w:r>
          </w:p>
        </w:tc>
        <w:tc>
          <w:tcPr>
            <w:tcW w:w="5760" w:type="dxa"/>
            <w:vAlign w:val="center"/>
          </w:tcPr>
          <w:p w14:paraId="24E176E2" w14:textId="7A2750CE" w:rsidR="001E49E7" w:rsidRPr="008E478B" w:rsidRDefault="009434F7">
            <w:pPr>
              <w:jc w:val="both"/>
              <w:rPr>
                <w:rFonts w:asciiTheme="majorHAnsi" w:hAnsiTheme="majorHAnsi"/>
                <w:bCs/>
                <w:sz w:val="20"/>
                <w:szCs w:val="20"/>
                <w:lang w:val="es-ES"/>
              </w:rPr>
            </w:pPr>
            <w:r w:rsidRPr="008E478B">
              <w:rPr>
                <w:rFonts w:asciiTheme="majorHAnsi" w:hAnsiTheme="majorHAnsi"/>
                <w:bCs/>
                <w:sz w:val="20"/>
                <w:szCs w:val="20"/>
                <w:lang w:val="es-ES"/>
              </w:rPr>
              <w:t>3 de septiembre de 2024</w:t>
            </w:r>
          </w:p>
        </w:tc>
      </w:tr>
    </w:tbl>
    <w:p w14:paraId="21DAA666" w14:textId="77777777" w:rsidR="003239B8" w:rsidRPr="008E478B" w:rsidRDefault="003239B8" w:rsidP="003239B8">
      <w:pPr>
        <w:spacing w:before="240" w:after="240"/>
        <w:ind w:firstLine="720"/>
        <w:jc w:val="both"/>
        <w:rPr>
          <w:rFonts w:asciiTheme="majorHAnsi" w:hAnsiTheme="majorHAnsi"/>
          <w:b/>
          <w:bCs/>
          <w:sz w:val="20"/>
          <w:szCs w:val="20"/>
          <w:lang w:val="es-ES"/>
        </w:rPr>
      </w:pPr>
      <w:r w:rsidRPr="008E478B">
        <w:rPr>
          <w:rFonts w:asciiTheme="majorHAnsi" w:hAnsiTheme="majorHAnsi"/>
          <w:b/>
          <w:bCs/>
          <w:sz w:val="20"/>
          <w:szCs w:val="20"/>
          <w:lang w:val="es-ES"/>
        </w:rPr>
        <w:t xml:space="preserve">III. </w:t>
      </w:r>
      <w:r w:rsidRPr="008E478B">
        <w:rPr>
          <w:rFonts w:asciiTheme="majorHAnsi" w:hAnsiTheme="majorHAnsi"/>
          <w:b/>
          <w:bCs/>
          <w:sz w:val="20"/>
          <w:szCs w:val="20"/>
          <w:lang w:val="es-ES"/>
        </w:rPr>
        <w:tab/>
        <w:t>COMPETENCIA</w:t>
      </w:r>
      <w:r w:rsidR="00EE00E9" w:rsidRPr="008E478B">
        <w:rPr>
          <w:rFonts w:asciiTheme="majorHAnsi" w:hAnsiTheme="majorHAnsi"/>
          <w:b/>
          <w:bCs/>
          <w:sz w:val="20"/>
          <w:szCs w:val="20"/>
          <w:lang w:val="es-ES"/>
        </w:rPr>
        <w:t xml:space="preserve"> </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7"/>
        <w:gridCol w:w="5770"/>
      </w:tblGrid>
      <w:tr w:rsidR="003239B8" w:rsidRPr="008E478B" w14:paraId="072532AD" w14:textId="77777777" w:rsidTr="00224EC1">
        <w:trPr>
          <w:cantSplit/>
        </w:trPr>
        <w:tc>
          <w:tcPr>
            <w:tcW w:w="3567" w:type="dxa"/>
            <w:tcBorders>
              <w:top w:val="single" w:sz="4" w:space="0" w:color="auto"/>
              <w:bottom w:val="single" w:sz="6" w:space="0" w:color="auto"/>
            </w:tcBorders>
            <w:shd w:val="clear" w:color="auto" w:fill="386294"/>
            <w:vAlign w:val="center"/>
          </w:tcPr>
          <w:p w14:paraId="5C2E4B34" w14:textId="77777777" w:rsidR="003239B8" w:rsidRPr="008E478B" w:rsidRDefault="003239B8">
            <w:pPr>
              <w:jc w:val="center"/>
              <w:rPr>
                <w:rFonts w:asciiTheme="majorHAnsi" w:hAnsiTheme="majorHAnsi"/>
                <w:b/>
                <w:bCs/>
                <w:i/>
                <w:color w:val="FFFFFF" w:themeColor="background1"/>
                <w:sz w:val="20"/>
                <w:szCs w:val="20"/>
                <w:lang w:val="es-ES"/>
              </w:rPr>
            </w:pPr>
            <w:r w:rsidRPr="008E478B">
              <w:rPr>
                <w:rFonts w:asciiTheme="majorHAnsi" w:hAnsiTheme="majorHAnsi"/>
                <w:b/>
                <w:bCs/>
                <w:color w:val="FFFFFF" w:themeColor="background1"/>
                <w:sz w:val="20"/>
                <w:szCs w:val="20"/>
                <w:lang w:val="es-ES"/>
              </w:rPr>
              <w:t>Competencia</w:t>
            </w:r>
            <w:r w:rsidRPr="008E478B">
              <w:rPr>
                <w:rFonts w:asciiTheme="majorHAnsi" w:hAnsiTheme="majorHAnsi"/>
                <w:b/>
                <w:bCs/>
                <w:i/>
                <w:color w:val="FFFFFF" w:themeColor="background1"/>
                <w:sz w:val="20"/>
                <w:szCs w:val="20"/>
                <w:lang w:val="es-ES"/>
              </w:rPr>
              <w:t xml:space="preserve"> Ratione personae:</w:t>
            </w:r>
          </w:p>
        </w:tc>
        <w:tc>
          <w:tcPr>
            <w:tcW w:w="5770" w:type="dxa"/>
            <w:vAlign w:val="center"/>
          </w:tcPr>
          <w:p w14:paraId="7707F3E9" w14:textId="56691E17" w:rsidR="003239B8" w:rsidRPr="008E478B" w:rsidRDefault="00363D3F">
            <w:pPr>
              <w:rPr>
                <w:rFonts w:asciiTheme="majorHAnsi" w:hAnsiTheme="majorHAnsi"/>
                <w:bCs/>
                <w:sz w:val="20"/>
                <w:szCs w:val="20"/>
                <w:lang w:val="es-ES"/>
              </w:rPr>
            </w:pPr>
            <w:r w:rsidRPr="008E478B">
              <w:rPr>
                <w:rFonts w:asciiTheme="majorHAnsi" w:hAnsiTheme="majorHAnsi"/>
                <w:bCs/>
                <w:sz w:val="20"/>
                <w:szCs w:val="20"/>
                <w:lang w:val="es-ES"/>
              </w:rPr>
              <w:t>Sí</w:t>
            </w:r>
          </w:p>
        </w:tc>
      </w:tr>
      <w:tr w:rsidR="003239B8" w:rsidRPr="008E478B" w14:paraId="4B8802DA" w14:textId="77777777" w:rsidTr="00224EC1">
        <w:trPr>
          <w:cantSplit/>
        </w:trPr>
        <w:tc>
          <w:tcPr>
            <w:tcW w:w="3567" w:type="dxa"/>
            <w:tcBorders>
              <w:top w:val="single" w:sz="6" w:space="0" w:color="auto"/>
              <w:bottom w:val="single" w:sz="6" w:space="0" w:color="auto"/>
            </w:tcBorders>
            <w:shd w:val="clear" w:color="auto" w:fill="386294"/>
            <w:vAlign w:val="center"/>
          </w:tcPr>
          <w:p w14:paraId="3915C23B" w14:textId="77777777" w:rsidR="003239B8" w:rsidRPr="008E478B" w:rsidRDefault="003239B8">
            <w:pPr>
              <w:jc w:val="center"/>
              <w:rPr>
                <w:rFonts w:asciiTheme="majorHAnsi" w:hAnsiTheme="majorHAnsi"/>
                <w:b/>
                <w:bCs/>
                <w:color w:val="FFFFFF" w:themeColor="background1"/>
                <w:sz w:val="20"/>
                <w:szCs w:val="20"/>
                <w:lang w:val="es-ES"/>
              </w:rPr>
            </w:pPr>
            <w:r w:rsidRPr="008E478B">
              <w:rPr>
                <w:rFonts w:asciiTheme="majorHAnsi" w:hAnsiTheme="majorHAnsi"/>
                <w:b/>
                <w:bCs/>
                <w:color w:val="FFFFFF" w:themeColor="background1"/>
                <w:sz w:val="20"/>
                <w:szCs w:val="20"/>
                <w:lang w:val="es-ES"/>
              </w:rPr>
              <w:t>Competencia</w:t>
            </w:r>
            <w:r w:rsidRPr="008E478B">
              <w:rPr>
                <w:rFonts w:asciiTheme="majorHAnsi" w:hAnsiTheme="majorHAnsi"/>
                <w:b/>
                <w:bCs/>
                <w:i/>
                <w:color w:val="FFFFFF" w:themeColor="background1"/>
                <w:sz w:val="20"/>
                <w:szCs w:val="20"/>
                <w:lang w:val="es-ES"/>
              </w:rPr>
              <w:t xml:space="preserve"> Ratione loci</w:t>
            </w:r>
            <w:r w:rsidRPr="008E478B">
              <w:rPr>
                <w:rFonts w:asciiTheme="majorHAnsi" w:hAnsiTheme="majorHAnsi"/>
                <w:b/>
                <w:bCs/>
                <w:color w:val="FFFFFF" w:themeColor="background1"/>
                <w:sz w:val="20"/>
                <w:szCs w:val="20"/>
                <w:lang w:val="es-ES"/>
              </w:rPr>
              <w:t>:</w:t>
            </w:r>
          </w:p>
        </w:tc>
        <w:tc>
          <w:tcPr>
            <w:tcW w:w="5770" w:type="dxa"/>
            <w:vAlign w:val="center"/>
          </w:tcPr>
          <w:p w14:paraId="12C931CB" w14:textId="1B816623" w:rsidR="003239B8" w:rsidRPr="008E478B" w:rsidRDefault="00363D3F">
            <w:pPr>
              <w:rPr>
                <w:rFonts w:asciiTheme="majorHAnsi" w:hAnsiTheme="majorHAnsi"/>
                <w:bCs/>
                <w:sz w:val="20"/>
                <w:szCs w:val="20"/>
                <w:lang w:val="es-ES"/>
              </w:rPr>
            </w:pPr>
            <w:r w:rsidRPr="008E478B">
              <w:rPr>
                <w:rFonts w:asciiTheme="majorHAnsi" w:hAnsiTheme="majorHAnsi"/>
                <w:bCs/>
                <w:sz w:val="20"/>
                <w:szCs w:val="20"/>
                <w:lang w:val="es-ES"/>
              </w:rPr>
              <w:t>Sí</w:t>
            </w:r>
          </w:p>
        </w:tc>
      </w:tr>
      <w:tr w:rsidR="003239B8" w:rsidRPr="008E478B" w14:paraId="4362FDF3" w14:textId="77777777" w:rsidTr="00224EC1">
        <w:trPr>
          <w:cantSplit/>
        </w:trPr>
        <w:tc>
          <w:tcPr>
            <w:tcW w:w="3567" w:type="dxa"/>
            <w:tcBorders>
              <w:top w:val="single" w:sz="6" w:space="0" w:color="auto"/>
              <w:bottom w:val="single" w:sz="6" w:space="0" w:color="auto"/>
            </w:tcBorders>
            <w:shd w:val="clear" w:color="auto" w:fill="386294"/>
            <w:vAlign w:val="center"/>
          </w:tcPr>
          <w:p w14:paraId="3BE23153" w14:textId="77777777" w:rsidR="003239B8" w:rsidRPr="008E478B" w:rsidRDefault="003239B8">
            <w:pPr>
              <w:jc w:val="center"/>
              <w:rPr>
                <w:rFonts w:asciiTheme="majorHAnsi" w:hAnsiTheme="majorHAnsi"/>
                <w:b/>
                <w:bCs/>
                <w:color w:val="FFFFFF" w:themeColor="background1"/>
                <w:sz w:val="20"/>
                <w:szCs w:val="20"/>
                <w:lang w:val="es-ES"/>
              </w:rPr>
            </w:pPr>
            <w:r w:rsidRPr="008E478B">
              <w:rPr>
                <w:rFonts w:asciiTheme="majorHAnsi" w:hAnsiTheme="majorHAnsi"/>
                <w:b/>
                <w:bCs/>
                <w:color w:val="FFFFFF" w:themeColor="background1"/>
                <w:sz w:val="20"/>
                <w:szCs w:val="20"/>
                <w:lang w:val="es-ES"/>
              </w:rPr>
              <w:t>Competencia</w:t>
            </w:r>
            <w:r w:rsidRPr="008E478B">
              <w:rPr>
                <w:rFonts w:asciiTheme="majorHAnsi" w:hAnsiTheme="majorHAnsi"/>
                <w:b/>
                <w:bCs/>
                <w:i/>
                <w:color w:val="FFFFFF" w:themeColor="background1"/>
                <w:sz w:val="20"/>
                <w:szCs w:val="20"/>
                <w:lang w:val="es-ES"/>
              </w:rPr>
              <w:t xml:space="preserve"> Ratione temporis</w:t>
            </w:r>
            <w:r w:rsidRPr="008E478B">
              <w:rPr>
                <w:rFonts w:asciiTheme="majorHAnsi" w:hAnsiTheme="majorHAnsi"/>
                <w:b/>
                <w:bCs/>
                <w:color w:val="FFFFFF" w:themeColor="background1"/>
                <w:sz w:val="20"/>
                <w:szCs w:val="20"/>
                <w:lang w:val="es-ES"/>
              </w:rPr>
              <w:t>:</w:t>
            </w:r>
          </w:p>
        </w:tc>
        <w:tc>
          <w:tcPr>
            <w:tcW w:w="5770" w:type="dxa"/>
            <w:vAlign w:val="center"/>
          </w:tcPr>
          <w:p w14:paraId="6F8B059B" w14:textId="4C2ECF6D" w:rsidR="003239B8" w:rsidRPr="008E478B" w:rsidRDefault="00363D3F">
            <w:pPr>
              <w:rPr>
                <w:rFonts w:asciiTheme="majorHAnsi" w:hAnsiTheme="majorHAnsi"/>
                <w:bCs/>
                <w:sz w:val="20"/>
                <w:szCs w:val="20"/>
                <w:lang w:val="es-ES"/>
              </w:rPr>
            </w:pPr>
            <w:r w:rsidRPr="008E478B">
              <w:rPr>
                <w:rFonts w:asciiTheme="majorHAnsi" w:hAnsiTheme="majorHAnsi"/>
                <w:bCs/>
                <w:sz w:val="20"/>
                <w:szCs w:val="20"/>
                <w:lang w:val="es-ES"/>
              </w:rPr>
              <w:t>Sí</w:t>
            </w:r>
          </w:p>
        </w:tc>
      </w:tr>
      <w:tr w:rsidR="00363D3F" w:rsidRPr="00383F87" w14:paraId="30ABEC3E" w14:textId="77777777" w:rsidTr="00224EC1">
        <w:trPr>
          <w:cantSplit/>
        </w:trPr>
        <w:tc>
          <w:tcPr>
            <w:tcW w:w="3567" w:type="dxa"/>
            <w:tcBorders>
              <w:top w:val="single" w:sz="6" w:space="0" w:color="auto"/>
              <w:bottom w:val="single" w:sz="6" w:space="0" w:color="auto"/>
            </w:tcBorders>
            <w:shd w:val="clear" w:color="auto" w:fill="386294"/>
            <w:vAlign w:val="center"/>
          </w:tcPr>
          <w:p w14:paraId="47B529D2" w14:textId="77777777" w:rsidR="00363D3F" w:rsidRPr="008E478B" w:rsidRDefault="00363D3F" w:rsidP="00363D3F">
            <w:pPr>
              <w:jc w:val="center"/>
              <w:rPr>
                <w:rFonts w:asciiTheme="majorHAnsi" w:hAnsiTheme="majorHAnsi"/>
                <w:b/>
                <w:bCs/>
                <w:color w:val="FFFFFF" w:themeColor="background1"/>
                <w:sz w:val="20"/>
                <w:szCs w:val="20"/>
                <w:lang w:val="es-ES"/>
              </w:rPr>
            </w:pPr>
            <w:r w:rsidRPr="008E478B">
              <w:rPr>
                <w:rFonts w:asciiTheme="majorHAnsi" w:hAnsiTheme="majorHAnsi"/>
                <w:b/>
                <w:bCs/>
                <w:color w:val="FFFFFF" w:themeColor="background1"/>
                <w:sz w:val="20"/>
                <w:szCs w:val="20"/>
                <w:lang w:val="es-ES"/>
              </w:rPr>
              <w:t>Competencia</w:t>
            </w:r>
            <w:r w:rsidRPr="008E478B">
              <w:rPr>
                <w:rFonts w:asciiTheme="majorHAnsi" w:hAnsiTheme="majorHAnsi"/>
                <w:b/>
                <w:bCs/>
                <w:i/>
                <w:color w:val="FFFFFF" w:themeColor="background1"/>
                <w:sz w:val="20"/>
                <w:szCs w:val="20"/>
                <w:lang w:val="es-ES"/>
              </w:rPr>
              <w:t xml:space="preserve"> Ratione materiae</w:t>
            </w:r>
            <w:r w:rsidRPr="008E478B">
              <w:rPr>
                <w:rFonts w:asciiTheme="majorHAnsi" w:hAnsiTheme="majorHAnsi"/>
                <w:b/>
                <w:bCs/>
                <w:color w:val="FFFFFF" w:themeColor="background1"/>
                <w:sz w:val="20"/>
                <w:szCs w:val="20"/>
                <w:lang w:val="es-ES"/>
              </w:rPr>
              <w:t>:</w:t>
            </w:r>
          </w:p>
        </w:tc>
        <w:tc>
          <w:tcPr>
            <w:tcW w:w="5770" w:type="dxa"/>
            <w:vAlign w:val="center"/>
          </w:tcPr>
          <w:p w14:paraId="0C122F44" w14:textId="63A0314D" w:rsidR="00363D3F" w:rsidRPr="008E478B" w:rsidRDefault="00E643B0" w:rsidP="00363D3F">
            <w:pPr>
              <w:jc w:val="both"/>
              <w:rPr>
                <w:rFonts w:asciiTheme="majorHAnsi" w:hAnsiTheme="majorHAnsi"/>
                <w:bCs/>
                <w:sz w:val="20"/>
                <w:szCs w:val="20"/>
                <w:lang w:val="es-ES"/>
              </w:rPr>
            </w:pPr>
            <w:r w:rsidRPr="008E478B">
              <w:rPr>
                <w:rFonts w:asciiTheme="majorHAnsi" w:hAnsiTheme="majorHAnsi"/>
                <w:bCs/>
                <w:sz w:val="20"/>
                <w:szCs w:val="20"/>
                <w:lang w:val="es-ES"/>
              </w:rPr>
              <w:t xml:space="preserve">Sí, </w:t>
            </w:r>
            <w:r w:rsidR="00363D3F" w:rsidRPr="008E478B">
              <w:rPr>
                <w:rFonts w:asciiTheme="majorHAnsi" w:hAnsiTheme="majorHAnsi"/>
                <w:bCs/>
                <w:sz w:val="20"/>
                <w:szCs w:val="20"/>
                <w:lang w:val="es-ES"/>
              </w:rPr>
              <w:t>Convención Americana (depósito del instrumento de ratificación realizado el 28 de julio de 1978)</w:t>
            </w:r>
          </w:p>
        </w:tc>
      </w:tr>
    </w:tbl>
    <w:p w14:paraId="4E92C444" w14:textId="140CB1E7" w:rsidR="003239B8" w:rsidRPr="008E478B" w:rsidRDefault="003239B8" w:rsidP="003239B8">
      <w:pPr>
        <w:spacing w:before="240" w:after="240"/>
        <w:ind w:firstLine="720"/>
        <w:jc w:val="both"/>
        <w:rPr>
          <w:rFonts w:asciiTheme="majorHAnsi" w:hAnsiTheme="majorHAnsi"/>
          <w:b/>
          <w:bCs/>
          <w:sz w:val="20"/>
          <w:szCs w:val="20"/>
          <w:lang w:val="es-ES"/>
        </w:rPr>
      </w:pPr>
      <w:r w:rsidRPr="008E478B">
        <w:rPr>
          <w:rFonts w:asciiTheme="majorHAnsi" w:hAnsiTheme="majorHAnsi"/>
          <w:b/>
          <w:bCs/>
          <w:sz w:val="20"/>
          <w:szCs w:val="20"/>
          <w:lang w:val="es-ES"/>
        </w:rPr>
        <w:t xml:space="preserve">IV. </w:t>
      </w:r>
      <w:r w:rsidRPr="008E478B">
        <w:rPr>
          <w:rFonts w:asciiTheme="majorHAnsi" w:hAnsiTheme="majorHAnsi"/>
          <w:b/>
          <w:bCs/>
          <w:sz w:val="20"/>
          <w:szCs w:val="20"/>
          <w:lang w:val="es-ES"/>
        </w:rPr>
        <w:tab/>
      </w:r>
      <w:r w:rsidR="00EE00E9" w:rsidRPr="008E478B">
        <w:rPr>
          <w:rFonts w:asciiTheme="majorHAnsi" w:hAnsiTheme="majorHAnsi"/>
          <w:b/>
          <w:bCs/>
          <w:sz w:val="20"/>
          <w:szCs w:val="20"/>
          <w:lang w:val="es-ES"/>
        </w:rPr>
        <w:t>DUPLICACIÓN</w:t>
      </w:r>
      <w:r w:rsidR="00EE00E9" w:rsidRPr="008E478B">
        <w:rPr>
          <w:rFonts w:asciiTheme="majorHAnsi" w:hAnsiTheme="majorHAnsi"/>
          <w:b/>
          <w:bCs/>
          <w:color w:val="FFFFFF" w:themeColor="background1"/>
          <w:sz w:val="20"/>
          <w:szCs w:val="20"/>
          <w:lang w:val="es-ES"/>
        </w:rPr>
        <w:t xml:space="preserve"> </w:t>
      </w:r>
      <w:r w:rsidR="00EE00E9" w:rsidRPr="008E478B">
        <w:rPr>
          <w:rFonts w:asciiTheme="majorHAnsi" w:hAnsiTheme="majorHAnsi"/>
          <w:b/>
          <w:bCs/>
          <w:sz w:val="20"/>
          <w:szCs w:val="20"/>
          <w:lang w:val="es-ES"/>
        </w:rPr>
        <w:t>DE PROCEDIMIENTOS Y COSA JUZGADA</w:t>
      </w:r>
      <w:r w:rsidR="00EE00E9" w:rsidRPr="008E478B">
        <w:rPr>
          <w:rFonts w:asciiTheme="majorHAnsi" w:hAnsiTheme="majorHAnsi"/>
          <w:b/>
          <w:bCs/>
          <w:i/>
          <w:sz w:val="20"/>
          <w:szCs w:val="20"/>
          <w:lang w:val="es-ES"/>
        </w:rPr>
        <w:t xml:space="preserve"> </w:t>
      </w:r>
      <w:r w:rsidR="00EE00E9" w:rsidRPr="008E478B">
        <w:rPr>
          <w:rFonts w:asciiTheme="majorHAnsi" w:hAnsiTheme="majorHAnsi"/>
          <w:b/>
          <w:bCs/>
          <w:sz w:val="20"/>
          <w:szCs w:val="20"/>
          <w:lang w:val="es-ES"/>
        </w:rPr>
        <w:t>INTERNACIONAL</w:t>
      </w:r>
      <w:r w:rsidR="005D38F9" w:rsidRPr="008E478B">
        <w:rPr>
          <w:rFonts w:asciiTheme="majorHAnsi" w:hAnsiTheme="majorHAnsi"/>
          <w:b/>
          <w:bCs/>
          <w:sz w:val="20"/>
          <w:szCs w:val="20"/>
          <w:lang w:val="es-ES"/>
        </w:rPr>
        <w:t>,</w:t>
      </w:r>
      <w:r w:rsidRPr="008E478B">
        <w:rPr>
          <w:rFonts w:asciiTheme="majorHAnsi" w:hAnsiTheme="majorHAnsi"/>
          <w:b/>
          <w:bCs/>
          <w:sz w:val="20"/>
          <w:szCs w:val="20"/>
          <w:lang w:val="es-ES"/>
        </w:rPr>
        <w:t xml:space="preserve"> CARACTERIZACIÓN, </w:t>
      </w:r>
      <w:r w:rsidRPr="008E478B">
        <w:rPr>
          <w:rFonts w:asciiTheme="majorHAnsi" w:hAnsiTheme="majorHAnsi"/>
          <w:b/>
          <w:sz w:val="20"/>
          <w:szCs w:val="20"/>
          <w:lang w:val="es-ES"/>
        </w:rPr>
        <w:t>AGOTAMIENTO DE LOS RECURSOS INTERNOS Y PLAZO DE PRESENTACIÓN</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5"/>
        <w:gridCol w:w="5772"/>
      </w:tblGrid>
      <w:tr w:rsidR="00EE00E9" w:rsidRPr="008E478B" w14:paraId="1231C988" w14:textId="77777777" w:rsidTr="00224EC1">
        <w:trPr>
          <w:cantSplit/>
        </w:trPr>
        <w:tc>
          <w:tcPr>
            <w:tcW w:w="3565" w:type="dxa"/>
            <w:tcBorders>
              <w:top w:val="single" w:sz="4" w:space="0" w:color="auto"/>
              <w:bottom w:val="single" w:sz="6" w:space="0" w:color="auto"/>
            </w:tcBorders>
            <w:shd w:val="clear" w:color="auto" w:fill="386294"/>
            <w:vAlign w:val="center"/>
          </w:tcPr>
          <w:p w14:paraId="6F8031F4" w14:textId="77777777" w:rsidR="00EE00E9" w:rsidRPr="008E478B" w:rsidRDefault="00EE00E9">
            <w:pPr>
              <w:jc w:val="center"/>
              <w:rPr>
                <w:rFonts w:asciiTheme="majorHAnsi" w:hAnsiTheme="majorHAnsi"/>
                <w:b/>
                <w:bCs/>
                <w:color w:val="FFFFFF" w:themeColor="background1"/>
                <w:sz w:val="20"/>
                <w:szCs w:val="20"/>
                <w:lang w:val="es-ES"/>
              </w:rPr>
            </w:pPr>
            <w:r w:rsidRPr="008E478B">
              <w:rPr>
                <w:rFonts w:asciiTheme="majorHAnsi" w:hAnsiTheme="majorHAnsi"/>
                <w:b/>
                <w:bCs/>
                <w:color w:val="FFFFFF" w:themeColor="background1"/>
                <w:sz w:val="20"/>
                <w:szCs w:val="20"/>
                <w:lang w:val="es-ES"/>
              </w:rPr>
              <w:t>Duplicación de procedimientos y cosa juzgada internacional:</w:t>
            </w:r>
          </w:p>
        </w:tc>
        <w:tc>
          <w:tcPr>
            <w:tcW w:w="5772" w:type="dxa"/>
            <w:vAlign w:val="center"/>
          </w:tcPr>
          <w:p w14:paraId="240941E6" w14:textId="546ED905" w:rsidR="00EE00E9" w:rsidRPr="008E478B" w:rsidRDefault="00E643B0">
            <w:pPr>
              <w:jc w:val="both"/>
              <w:rPr>
                <w:rFonts w:asciiTheme="majorHAnsi" w:hAnsiTheme="majorHAnsi"/>
                <w:bCs/>
                <w:sz w:val="20"/>
                <w:szCs w:val="20"/>
                <w:lang w:val="es-ES"/>
              </w:rPr>
            </w:pPr>
            <w:r w:rsidRPr="008E478B">
              <w:rPr>
                <w:rFonts w:asciiTheme="majorHAnsi" w:hAnsiTheme="majorHAnsi"/>
                <w:bCs/>
                <w:sz w:val="20"/>
                <w:szCs w:val="20"/>
                <w:lang w:val="es-ES"/>
              </w:rPr>
              <w:t>No</w:t>
            </w:r>
          </w:p>
        </w:tc>
      </w:tr>
      <w:tr w:rsidR="003239B8" w:rsidRPr="00383F87" w14:paraId="15FAA7D1" w14:textId="77777777" w:rsidTr="00224EC1">
        <w:trPr>
          <w:cantSplit/>
        </w:trPr>
        <w:tc>
          <w:tcPr>
            <w:tcW w:w="3565" w:type="dxa"/>
            <w:tcBorders>
              <w:top w:val="single" w:sz="4" w:space="0" w:color="auto"/>
              <w:bottom w:val="single" w:sz="6" w:space="0" w:color="auto"/>
            </w:tcBorders>
            <w:shd w:val="clear" w:color="auto" w:fill="386294"/>
            <w:vAlign w:val="center"/>
          </w:tcPr>
          <w:p w14:paraId="1B0D29FF" w14:textId="77777777" w:rsidR="003239B8" w:rsidRPr="008E478B" w:rsidRDefault="003239B8">
            <w:pPr>
              <w:jc w:val="center"/>
              <w:rPr>
                <w:rFonts w:asciiTheme="majorHAnsi" w:hAnsiTheme="majorHAnsi"/>
                <w:b/>
                <w:bCs/>
                <w:i/>
                <w:color w:val="FFFFFF" w:themeColor="background1"/>
                <w:sz w:val="20"/>
                <w:szCs w:val="20"/>
                <w:lang w:val="es-ES"/>
              </w:rPr>
            </w:pPr>
            <w:r w:rsidRPr="008E478B">
              <w:rPr>
                <w:rFonts w:asciiTheme="majorHAnsi" w:hAnsiTheme="majorHAnsi"/>
                <w:b/>
                <w:bCs/>
                <w:color w:val="FFFFFF" w:themeColor="background1"/>
                <w:sz w:val="20"/>
                <w:szCs w:val="20"/>
                <w:lang w:val="es-ES"/>
              </w:rPr>
              <w:t>Derechos declarados admisibles</w:t>
            </w:r>
            <w:r w:rsidRPr="008E478B">
              <w:rPr>
                <w:rFonts w:asciiTheme="majorHAnsi" w:hAnsiTheme="majorHAnsi"/>
                <w:b/>
                <w:bCs/>
                <w:i/>
                <w:color w:val="FFFFFF" w:themeColor="background1"/>
                <w:sz w:val="20"/>
                <w:szCs w:val="20"/>
                <w:lang w:val="es-ES"/>
              </w:rPr>
              <w:t>:</w:t>
            </w:r>
          </w:p>
        </w:tc>
        <w:tc>
          <w:tcPr>
            <w:tcW w:w="5772" w:type="dxa"/>
            <w:vAlign w:val="center"/>
          </w:tcPr>
          <w:p w14:paraId="6310C8F7" w14:textId="6DA17B1D" w:rsidR="003239B8" w:rsidRPr="008E478B" w:rsidRDefault="00E643B0">
            <w:pPr>
              <w:jc w:val="both"/>
              <w:rPr>
                <w:rFonts w:asciiTheme="majorHAnsi" w:hAnsiTheme="majorHAnsi"/>
                <w:bCs/>
                <w:sz w:val="20"/>
                <w:szCs w:val="20"/>
                <w:lang w:val="es-ES"/>
              </w:rPr>
            </w:pPr>
            <w:r w:rsidRPr="008E478B">
              <w:rPr>
                <w:rFonts w:asciiTheme="majorHAnsi" w:hAnsiTheme="majorHAnsi"/>
                <w:bCs/>
                <w:sz w:val="20"/>
                <w:szCs w:val="20"/>
                <w:lang w:val="es-ES"/>
              </w:rPr>
              <w:t xml:space="preserve">Artículos </w:t>
            </w:r>
            <w:r w:rsidR="00AE1BAE" w:rsidRPr="008E478B">
              <w:rPr>
                <w:rFonts w:asciiTheme="majorHAnsi" w:hAnsiTheme="majorHAnsi"/>
                <w:sz w:val="20"/>
                <w:szCs w:val="20"/>
                <w:lang w:val="es-ES_tradnl"/>
              </w:rPr>
              <w:t xml:space="preserve">8 (garantías judiciales), </w:t>
            </w:r>
            <w:r w:rsidR="00AE1BAE" w:rsidRPr="008E478B">
              <w:rPr>
                <w:rFonts w:asciiTheme="majorHAnsi" w:hAnsiTheme="majorHAnsi"/>
                <w:sz w:val="20"/>
                <w:szCs w:val="20"/>
                <w:lang w:val="es-PE"/>
              </w:rPr>
              <w:t>23 (derechos políticos)</w:t>
            </w:r>
            <w:r w:rsidR="00D458F5" w:rsidRPr="008E478B">
              <w:rPr>
                <w:rFonts w:asciiTheme="majorHAnsi" w:hAnsiTheme="majorHAnsi"/>
                <w:sz w:val="20"/>
                <w:szCs w:val="20"/>
                <w:lang w:val="es-PE"/>
              </w:rPr>
              <w:t>,</w:t>
            </w:r>
            <w:r w:rsidR="00AE1BAE" w:rsidRPr="008E478B">
              <w:rPr>
                <w:rFonts w:asciiTheme="majorHAnsi" w:hAnsiTheme="majorHAnsi"/>
                <w:sz w:val="20"/>
                <w:szCs w:val="20"/>
                <w:lang w:val="es-ES_tradnl"/>
              </w:rPr>
              <w:t xml:space="preserve"> 25 (protección judicial) y 26 (derecho al trabajo)</w:t>
            </w:r>
            <w:r w:rsidR="00AE1BAE" w:rsidRPr="008E478B">
              <w:rPr>
                <w:rFonts w:asciiTheme="majorHAnsi" w:hAnsiTheme="majorHAnsi"/>
                <w:sz w:val="20"/>
                <w:szCs w:val="20"/>
                <w:lang w:val="es-PE"/>
              </w:rPr>
              <w:t xml:space="preserve"> de la Convención Americana</w:t>
            </w:r>
            <w:r w:rsidR="00EF7517" w:rsidRPr="008E478B">
              <w:rPr>
                <w:rFonts w:asciiTheme="majorHAnsi" w:hAnsiTheme="majorHAnsi"/>
                <w:sz w:val="20"/>
                <w:szCs w:val="20"/>
                <w:lang w:val="es-PE"/>
              </w:rPr>
              <w:t>, en relación con su artículo 1.1 (obligación de respetar los derechos)</w:t>
            </w:r>
          </w:p>
        </w:tc>
      </w:tr>
      <w:tr w:rsidR="003239B8" w:rsidRPr="00383F87" w14:paraId="4EFD141E" w14:textId="77777777" w:rsidTr="00224EC1">
        <w:trPr>
          <w:cantSplit/>
        </w:trPr>
        <w:tc>
          <w:tcPr>
            <w:tcW w:w="3565" w:type="dxa"/>
            <w:tcBorders>
              <w:top w:val="single" w:sz="6" w:space="0" w:color="auto"/>
              <w:bottom w:val="single" w:sz="6" w:space="0" w:color="auto"/>
            </w:tcBorders>
            <w:shd w:val="clear" w:color="auto" w:fill="386294"/>
            <w:vAlign w:val="center"/>
          </w:tcPr>
          <w:p w14:paraId="4C04A89C" w14:textId="77777777" w:rsidR="003239B8" w:rsidRPr="008E478B" w:rsidRDefault="003239B8">
            <w:pPr>
              <w:jc w:val="center"/>
              <w:rPr>
                <w:rFonts w:asciiTheme="majorHAnsi" w:hAnsiTheme="majorHAnsi"/>
                <w:b/>
                <w:bCs/>
                <w:color w:val="FFFFFF" w:themeColor="background1"/>
                <w:sz w:val="20"/>
                <w:szCs w:val="20"/>
                <w:lang w:val="es-ES"/>
              </w:rPr>
            </w:pPr>
            <w:r w:rsidRPr="008E478B">
              <w:rPr>
                <w:rFonts w:asciiTheme="majorHAnsi" w:hAnsiTheme="majorHAnsi"/>
                <w:b/>
                <w:bCs/>
                <w:color w:val="FFFFFF" w:themeColor="background1"/>
                <w:sz w:val="20"/>
                <w:szCs w:val="20"/>
                <w:lang w:val="es-ES"/>
              </w:rPr>
              <w:t>Agotamiento de recursos internos</w:t>
            </w:r>
            <w:r w:rsidR="00EE00E9" w:rsidRPr="008E478B">
              <w:rPr>
                <w:rFonts w:asciiTheme="majorHAnsi" w:hAnsiTheme="majorHAnsi"/>
                <w:b/>
                <w:bCs/>
                <w:color w:val="FFFFFF" w:themeColor="background1"/>
                <w:sz w:val="20"/>
                <w:szCs w:val="20"/>
                <w:lang w:val="es-ES"/>
              </w:rPr>
              <w:t xml:space="preserve"> o procedencia de una excepción</w:t>
            </w:r>
            <w:r w:rsidRPr="008E478B">
              <w:rPr>
                <w:rFonts w:asciiTheme="majorHAnsi" w:hAnsiTheme="majorHAnsi"/>
                <w:b/>
                <w:bCs/>
                <w:color w:val="FFFFFF" w:themeColor="background1"/>
                <w:sz w:val="20"/>
                <w:szCs w:val="20"/>
                <w:lang w:val="es-ES"/>
              </w:rPr>
              <w:t>:</w:t>
            </w:r>
          </w:p>
        </w:tc>
        <w:tc>
          <w:tcPr>
            <w:tcW w:w="5772" w:type="dxa"/>
            <w:vAlign w:val="center"/>
          </w:tcPr>
          <w:p w14:paraId="69C53E8A" w14:textId="4E6F92A6" w:rsidR="003239B8" w:rsidRPr="008E478B" w:rsidRDefault="00E643B0">
            <w:pPr>
              <w:rPr>
                <w:rFonts w:asciiTheme="majorHAnsi" w:hAnsiTheme="majorHAnsi"/>
                <w:bCs/>
                <w:sz w:val="20"/>
                <w:szCs w:val="20"/>
                <w:lang w:val="es-ES"/>
              </w:rPr>
            </w:pPr>
            <w:r w:rsidRPr="008E478B">
              <w:rPr>
                <w:rFonts w:asciiTheme="majorHAnsi" w:hAnsiTheme="majorHAnsi"/>
                <w:bCs/>
                <w:sz w:val="20"/>
                <w:szCs w:val="20"/>
                <w:lang w:val="es-ES"/>
              </w:rPr>
              <w:t>Sí, en los términos de la sección VI</w:t>
            </w:r>
          </w:p>
        </w:tc>
      </w:tr>
      <w:tr w:rsidR="003239B8" w:rsidRPr="00383F87" w14:paraId="52B5BA17" w14:textId="77777777" w:rsidTr="00224EC1">
        <w:trPr>
          <w:cantSplit/>
        </w:trPr>
        <w:tc>
          <w:tcPr>
            <w:tcW w:w="3565" w:type="dxa"/>
            <w:tcBorders>
              <w:top w:val="single" w:sz="6" w:space="0" w:color="auto"/>
              <w:bottom w:val="single" w:sz="6" w:space="0" w:color="auto"/>
            </w:tcBorders>
            <w:shd w:val="clear" w:color="auto" w:fill="386294"/>
            <w:vAlign w:val="center"/>
          </w:tcPr>
          <w:p w14:paraId="5DF99086" w14:textId="77777777" w:rsidR="003239B8" w:rsidRPr="008E478B" w:rsidRDefault="003239B8">
            <w:pPr>
              <w:jc w:val="center"/>
              <w:rPr>
                <w:rFonts w:asciiTheme="majorHAnsi" w:hAnsiTheme="majorHAnsi"/>
                <w:b/>
                <w:bCs/>
                <w:color w:val="FFFFFF" w:themeColor="background1"/>
                <w:sz w:val="20"/>
                <w:szCs w:val="20"/>
                <w:lang w:val="es-ES"/>
              </w:rPr>
            </w:pPr>
            <w:r w:rsidRPr="008E478B">
              <w:rPr>
                <w:rFonts w:asciiTheme="majorHAnsi" w:hAnsiTheme="majorHAnsi"/>
                <w:b/>
                <w:bCs/>
                <w:color w:val="FFFFFF" w:themeColor="background1"/>
                <w:sz w:val="20"/>
                <w:szCs w:val="20"/>
                <w:lang w:val="es-ES"/>
              </w:rPr>
              <w:t>Presentación dentro de plazo:</w:t>
            </w:r>
          </w:p>
        </w:tc>
        <w:tc>
          <w:tcPr>
            <w:tcW w:w="5772" w:type="dxa"/>
            <w:vAlign w:val="center"/>
          </w:tcPr>
          <w:p w14:paraId="4A2A4569" w14:textId="4F06D59D" w:rsidR="003239B8" w:rsidRPr="008E478B" w:rsidRDefault="00E643B0">
            <w:pPr>
              <w:rPr>
                <w:rFonts w:asciiTheme="majorHAnsi" w:hAnsiTheme="majorHAnsi"/>
                <w:bCs/>
                <w:sz w:val="20"/>
                <w:szCs w:val="20"/>
                <w:lang w:val="es-ES"/>
              </w:rPr>
            </w:pPr>
            <w:r w:rsidRPr="008E478B">
              <w:rPr>
                <w:rFonts w:asciiTheme="majorHAnsi" w:hAnsiTheme="majorHAnsi"/>
                <w:bCs/>
                <w:sz w:val="20"/>
                <w:szCs w:val="20"/>
                <w:lang w:val="es-ES"/>
              </w:rPr>
              <w:t>Sí, en los términos de la sección VI</w:t>
            </w:r>
          </w:p>
        </w:tc>
      </w:tr>
    </w:tbl>
    <w:p w14:paraId="67F0E3C3" w14:textId="77777777" w:rsidR="00EF7517" w:rsidRPr="008E478B" w:rsidRDefault="00EF7517" w:rsidP="00EF76F5">
      <w:pPr>
        <w:spacing w:before="240" w:after="240"/>
        <w:ind w:firstLine="720"/>
        <w:jc w:val="both"/>
        <w:rPr>
          <w:rFonts w:asciiTheme="majorHAnsi" w:hAnsiTheme="majorHAnsi"/>
          <w:b/>
          <w:sz w:val="20"/>
          <w:szCs w:val="20"/>
          <w:lang w:val="es-ES"/>
        </w:rPr>
      </w:pPr>
    </w:p>
    <w:p w14:paraId="0941E4F9" w14:textId="77777777" w:rsidR="00EF7517" w:rsidRPr="008E478B" w:rsidRDefault="00EF7517" w:rsidP="00EF76F5">
      <w:pPr>
        <w:spacing w:before="240" w:after="240"/>
        <w:ind w:firstLine="720"/>
        <w:jc w:val="both"/>
        <w:rPr>
          <w:rFonts w:asciiTheme="majorHAnsi" w:hAnsiTheme="majorHAnsi"/>
          <w:b/>
          <w:sz w:val="20"/>
          <w:szCs w:val="20"/>
          <w:lang w:val="es-ES"/>
        </w:rPr>
      </w:pPr>
    </w:p>
    <w:p w14:paraId="18E6423B" w14:textId="1F5E8C87" w:rsidR="003239B8" w:rsidRPr="00E80949" w:rsidRDefault="00223A29" w:rsidP="00EF76F5">
      <w:pPr>
        <w:spacing w:before="240" w:after="240"/>
        <w:ind w:firstLine="720"/>
        <w:jc w:val="both"/>
        <w:rPr>
          <w:rFonts w:asciiTheme="majorHAnsi" w:hAnsiTheme="majorHAnsi"/>
          <w:b/>
          <w:sz w:val="20"/>
          <w:szCs w:val="20"/>
          <w:lang w:val="es-ES"/>
        </w:rPr>
      </w:pPr>
      <w:r w:rsidRPr="008E478B">
        <w:rPr>
          <w:rFonts w:asciiTheme="majorHAnsi" w:hAnsiTheme="majorHAnsi"/>
          <w:b/>
          <w:sz w:val="20"/>
          <w:szCs w:val="20"/>
          <w:lang w:val="es-ES"/>
        </w:rPr>
        <w:lastRenderedPageBreak/>
        <w:t xml:space="preserve">V. </w:t>
      </w:r>
      <w:r w:rsidRPr="008E478B">
        <w:rPr>
          <w:rFonts w:asciiTheme="majorHAnsi" w:hAnsiTheme="majorHAnsi"/>
          <w:b/>
          <w:sz w:val="20"/>
          <w:szCs w:val="20"/>
          <w:lang w:val="es-ES"/>
        </w:rPr>
        <w:tab/>
      </w:r>
      <w:r w:rsidR="00867314" w:rsidRPr="00E80949">
        <w:rPr>
          <w:rFonts w:asciiTheme="majorHAnsi" w:hAnsiTheme="majorHAnsi"/>
          <w:b/>
          <w:sz w:val="20"/>
          <w:szCs w:val="20"/>
          <w:lang w:val="es-ES"/>
        </w:rPr>
        <w:t>POSICIÓN DE LAS PARTES</w:t>
      </w:r>
    </w:p>
    <w:p w14:paraId="16FB6418" w14:textId="1B9FA9BD" w:rsidR="0083100C" w:rsidRPr="00E80949" w:rsidRDefault="005E4B63" w:rsidP="00EF76F5">
      <w:pPr>
        <w:spacing w:before="240" w:after="240"/>
        <w:ind w:firstLine="720"/>
        <w:jc w:val="both"/>
        <w:rPr>
          <w:rFonts w:asciiTheme="majorHAnsi" w:hAnsiTheme="majorHAnsi"/>
          <w:b/>
          <w:sz w:val="20"/>
          <w:szCs w:val="20"/>
          <w:lang w:val="es-ES"/>
        </w:rPr>
      </w:pPr>
      <w:r w:rsidRPr="00E80949">
        <w:rPr>
          <w:rFonts w:asciiTheme="majorHAnsi" w:hAnsiTheme="majorHAnsi"/>
          <w:b/>
          <w:sz w:val="20"/>
          <w:szCs w:val="20"/>
          <w:lang w:val="es-ES"/>
        </w:rPr>
        <w:t>L</w:t>
      </w:r>
      <w:r w:rsidR="0083100C" w:rsidRPr="00E80949">
        <w:rPr>
          <w:rFonts w:asciiTheme="majorHAnsi" w:hAnsiTheme="majorHAnsi"/>
          <w:b/>
          <w:sz w:val="20"/>
          <w:szCs w:val="20"/>
          <w:lang w:val="es-ES"/>
        </w:rPr>
        <w:t>a parte peticionaria</w:t>
      </w:r>
    </w:p>
    <w:p w14:paraId="7E4B2DE9" w14:textId="2416B39A" w:rsidR="00ED1F71" w:rsidRPr="00E80949" w:rsidRDefault="00E643B0" w:rsidP="007E0CBD">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E80949">
        <w:rPr>
          <w:rFonts w:asciiTheme="majorHAnsi" w:hAnsiTheme="majorHAnsi"/>
          <w:sz w:val="20"/>
          <w:szCs w:val="20"/>
          <w:lang w:val="es-ES"/>
        </w:rPr>
        <w:t xml:space="preserve">La parte peticionaria </w:t>
      </w:r>
      <w:r w:rsidR="00FC63F6" w:rsidRPr="00E80949">
        <w:rPr>
          <w:rFonts w:asciiTheme="majorHAnsi" w:hAnsiTheme="majorHAnsi"/>
          <w:sz w:val="20"/>
          <w:szCs w:val="20"/>
          <w:lang w:val="es-ES"/>
        </w:rPr>
        <w:t xml:space="preserve">denuncia </w:t>
      </w:r>
      <w:r w:rsidR="00631AA7" w:rsidRPr="00E80949">
        <w:rPr>
          <w:rFonts w:asciiTheme="majorHAnsi" w:hAnsiTheme="majorHAnsi"/>
          <w:sz w:val="20"/>
          <w:szCs w:val="20"/>
          <w:lang w:val="es-ES"/>
        </w:rPr>
        <w:t xml:space="preserve">que el Consejo Nacional de la Magistratura (en adelante, </w:t>
      </w:r>
      <w:r w:rsidR="00AF619D" w:rsidRPr="00E80949">
        <w:rPr>
          <w:rFonts w:asciiTheme="majorHAnsi" w:hAnsiTheme="majorHAnsi"/>
          <w:sz w:val="20"/>
          <w:szCs w:val="20"/>
          <w:lang w:val="es-ES"/>
        </w:rPr>
        <w:t xml:space="preserve">el </w:t>
      </w:r>
      <w:r w:rsidR="00B33EA8" w:rsidRPr="00E80949">
        <w:rPr>
          <w:rFonts w:asciiTheme="majorHAnsi" w:hAnsiTheme="majorHAnsi"/>
          <w:sz w:val="20"/>
          <w:szCs w:val="20"/>
          <w:lang w:val="es-ES"/>
        </w:rPr>
        <w:t xml:space="preserve">CNM) </w:t>
      </w:r>
      <w:r w:rsidR="00B33EA8" w:rsidRPr="00E80949" w:rsidDel="00631AA7">
        <w:rPr>
          <w:rFonts w:asciiTheme="majorHAnsi" w:hAnsiTheme="majorHAnsi"/>
          <w:sz w:val="20"/>
          <w:szCs w:val="20"/>
          <w:lang w:val="es-ES"/>
        </w:rPr>
        <w:t>no</w:t>
      </w:r>
      <w:r w:rsidR="00631AA7" w:rsidRPr="00E80949">
        <w:rPr>
          <w:rFonts w:asciiTheme="majorHAnsi" w:hAnsiTheme="majorHAnsi"/>
          <w:sz w:val="20"/>
          <w:szCs w:val="20"/>
          <w:lang w:val="es-ES"/>
        </w:rPr>
        <w:t xml:space="preserve"> ratificó a</w:t>
      </w:r>
      <w:r w:rsidR="00B15D24" w:rsidRPr="00E80949">
        <w:rPr>
          <w:rFonts w:asciiTheme="majorHAnsi" w:hAnsiTheme="majorHAnsi"/>
          <w:sz w:val="20"/>
          <w:szCs w:val="20"/>
          <w:lang w:val="es-ES"/>
        </w:rPr>
        <w:t>l señor Héctor Vergara Mallqui (en adelante también “Sr. Vergara” o “la presunta víctima”)</w:t>
      </w:r>
      <w:r w:rsidR="00FC63F6" w:rsidRPr="00E80949">
        <w:rPr>
          <w:rFonts w:asciiTheme="majorHAnsi" w:hAnsiTheme="majorHAnsi"/>
          <w:sz w:val="20"/>
          <w:szCs w:val="20"/>
          <w:lang w:val="es-ES"/>
        </w:rPr>
        <w:t xml:space="preserve"> </w:t>
      </w:r>
      <w:r w:rsidR="00631AA7" w:rsidRPr="00E80949">
        <w:rPr>
          <w:rFonts w:asciiTheme="majorHAnsi" w:hAnsiTheme="majorHAnsi"/>
          <w:sz w:val="20"/>
          <w:szCs w:val="20"/>
          <w:lang w:val="es-ES"/>
        </w:rPr>
        <w:t xml:space="preserve">en </w:t>
      </w:r>
      <w:r w:rsidR="00A018A7" w:rsidRPr="00E80949">
        <w:rPr>
          <w:rFonts w:asciiTheme="majorHAnsi" w:hAnsiTheme="majorHAnsi"/>
          <w:sz w:val="20"/>
          <w:szCs w:val="20"/>
          <w:lang w:val="es-ES"/>
        </w:rPr>
        <w:t xml:space="preserve">su cargo como juez, mediante una resolución que </w:t>
      </w:r>
      <w:r w:rsidR="003E634A" w:rsidRPr="00E80949">
        <w:rPr>
          <w:rFonts w:asciiTheme="majorHAnsi" w:hAnsiTheme="majorHAnsi"/>
          <w:sz w:val="20"/>
          <w:szCs w:val="20"/>
          <w:lang w:val="es-ES"/>
        </w:rPr>
        <w:t>no se encuentra motivad</w:t>
      </w:r>
      <w:r w:rsidR="00250EB7" w:rsidRPr="00E80949">
        <w:rPr>
          <w:rFonts w:asciiTheme="majorHAnsi" w:hAnsiTheme="majorHAnsi"/>
          <w:sz w:val="20"/>
          <w:szCs w:val="20"/>
          <w:lang w:val="es-ES"/>
        </w:rPr>
        <w:t>a</w:t>
      </w:r>
      <w:r w:rsidR="00631AA7" w:rsidRPr="00E80949">
        <w:rPr>
          <w:rFonts w:asciiTheme="majorHAnsi" w:hAnsiTheme="majorHAnsi"/>
          <w:sz w:val="20"/>
          <w:szCs w:val="20"/>
          <w:lang w:val="es-ES"/>
        </w:rPr>
        <w:t xml:space="preserve"> y que no siguió el debido proceso</w:t>
      </w:r>
      <w:r w:rsidR="00A018A7" w:rsidRPr="00E80949">
        <w:rPr>
          <w:rFonts w:asciiTheme="majorHAnsi" w:hAnsiTheme="majorHAnsi"/>
          <w:sz w:val="20"/>
          <w:szCs w:val="20"/>
          <w:lang w:val="es-ES"/>
        </w:rPr>
        <w:t>.</w:t>
      </w:r>
      <w:r w:rsidR="002F34BD" w:rsidRPr="00E80949">
        <w:rPr>
          <w:rFonts w:asciiTheme="majorHAnsi" w:hAnsiTheme="majorHAnsi"/>
          <w:sz w:val="20"/>
          <w:szCs w:val="20"/>
          <w:lang w:val="es-ES"/>
        </w:rPr>
        <w:t xml:space="preserve"> </w:t>
      </w:r>
      <w:r w:rsidR="006C2F17" w:rsidRPr="00E80949">
        <w:rPr>
          <w:rFonts w:asciiTheme="majorHAnsi" w:hAnsiTheme="majorHAnsi"/>
          <w:sz w:val="20"/>
          <w:szCs w:val="20"/>
          <w:lang w:val="es-ES"/>
        </w:rPr>
        <w:t>Cuestiona que el</w:t>
      </w:r>
      <w:r w:rsidR="00631AA7" w:rsidRPr="00E80949">
        <w:rPr>
          <w:rFonts w:asciiTheme="majorHAnsi" w:hAnsiTheme="majorHAnsi"/>
          <w:sz w:val="20"/>
          <w:szCs w:val="20"/>
          <w:lang w:val="es-ES"/>
        </w:rPr>
        <w:t xml:space="preserve"> citado</w:t>
      </w:r>
      <w:r w:rsidR="006C2F17" w:rsidRPr="00E80949">
        <w:rPr>
          <w:rFonts w:asciiTheme="majorHAnsi" w:hAnsiTheme="majorHAnsi"/>
          <w:sz w:val="20"/>
          <w:szCs w:val="20"/>
          <w:lang w:val="es-ES"/>
        </w:rPr>
        <w:t xml:space="preserve"> órgano </w:t>
      </w:r>
      <w:r w:rsidR="00631AA7" w:rsidRPr="00E80949">
        <w:rPr>
          <w:rFonts w:asciiTheme="majorHAnsi" w:hAnsiTheme="majorHAnsi"/>
          <w:sz w:val="20"/>
          <w:szCs w:val="20"/>
          <w:lang w:val="es-ES"/>
        </w:rPr>
        <w:t xml:space="preserve">ignoró </w:t>
      </w:r>
      <w:r w:rsidR="006C2F17" w:rsidRPr="00E80949">
        <w:rPr>
          <w:rFonts w:asciiTheme="majorHAnsi" w:hAnsiTheme="majorHAnsi"/>
          <w:sz w:val="20"/>
          <w:szCs w:val="20"/>
          <w:lang w:val="es-ES"/>
        </w:rPr>
        <w:t>las normas procesales establecidas en su propio Reglamento</w:t>
      </w:r>
      <w:r w:rsidR="001D4408" w:rsidRPr="00E80949">
        <w:rPr>
          <w:rFonts w:asciiTheme="majorHAnsi" w:hAnsiTheme="majorHAnsi"/>
          <w:sz w:val="20"/>
          <w:szCs w:val="20"/>
          <w:lang w:val="es-ES"/>
        </w:rPr>
        <w:t xml:space="preserve"> y que los órganos de justicia no realizaron un debido control posterior. </w:t>
      </w:r>
    </w:p>
    <w:p w14:paraId="732BBFCE" w14:textId="706A2E2E" w:rsidR="004A4D1E" w:rsidRPr="00E80949" w:rsidRDefault="004A4D1E" w:rsidP="004A4D1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720"/>
        <w:jc w:val="both"/>
        <w:rPr>
          <w:rFonts w:asciiTheme="majorHAnsi" w:hAnsiTheme="majorHAnsi"/>
          <w:i/>
          <w:iCs/>
          <w:sz w:val="20"/>
          <w:szCs w:val="20"/>
          <w:lang w:val="es-ES"/>
        </w:rPr>
      </w:pPr>
      <w:r w:rsidRPr="00E80949">
        <w:rPr>
          <w:rFonts w:asciiTheme="majorHAnsi" w:hAnsiTheme="majorHAnsi"/>
          <w:i/>
          <w:iCs/>
          <w:sz w:val="20"/>
          <w:szCs w:val="20"/>
          <w:lang w:val="es-ES"/>
        </w:rPr>
        <w:t>Sobre el CNM y el inicio de la evaluación</w:t>
      </w:r>
    </w:p>
    <w:p w14:paraId="210EAD16" w14:textId="1F733960" w:rsidR="00AF0661" w:rsidRPr="00E80949" w:rsidRDefault="008A5524" w:rsidP="00531B34">
      <w:pPr>
        <w:pStyle w:val="ListParagraph"/>
        <w:numPr>
          <w:ilvl w:val="0"/>
          <w:numId w:val="55"/>
        </w:numPr>
        <w:jc w:val="both"/>
        <w:rPr>
          <w:rFonts w:asciiTheme="majorHAnsi" w:eastAsia="Arial Unicode MS" w:hAnsiTheme="majorHAnsi" w:cs="Times New Roman"/>
          <w:color w:val="auto"/>
          <w:sz w:val="20"/>
          <w:szCs w:val="20"/>
          <w:lang w:val="es-ES" w:eastAsia="en-US"/>
        </w:rPr>
      </w:pPr>
      <w:r w:rsidRPr="00E80949">
        <w:rPr>
          <w:rFonts w:asciiTheme="majorHAnsi" w:eastAsia="Arial Unicode MS" w:hAnsiTheme="majorHAnsi" w:cs="Times New Roman"/>
          <w:color w:val="auto"/>
          <w:sz w:val="20"/>
          <w:szCs w:val="20"/>
          <w:lang w:val="es-ES" w:eastAsia="en-US"/>
        </w:rPr>
        <w:t>Argumenta</w:t>
      </w:r>
      <w:r w:rsidR="0068128B" w:rsidRPr="00E80949">
        <w:rPr>
          <w:rFonts w:asciiTheme="majorHAnsi" w:eastAsia="Arial Unicode MS" w:hAnsiTheme="majorHAnsi" w:cs="Times New Roman"/>
          <w:color w:val="auto"/>
          <w:sz w:val="20"/>
          <w:szCs w:val="20"/>
          <w:lang w:val="es-ES" w:eastAsia="en-US"/>
        </w:rPr>
        <w:t xml:space="preserve"> que e</w:t>
      </w:r>
      <w:r w:rsidR="00AF0661" w:rsidRPr="00E80949">
        <w:rPr>
          <w:rFonts w:asciiTheme="majorHAnsi" w:eastAsia="Arial Unicode MS" w:hAnsiTheme="majorHAnsi" w:cs="Times New Roman"/>
          <w:color w:val="auto"/>
          <w:sz w:val="20"/>
          <w:szCs w:val="20"/>
          <w:lang w:val="es-ES" w:eastAsia="en-US"/>
        </w:rPr>
        <w:t>l CNM cuenta con competencia constitucional para llevar a cabo los procesos de evaluación integral y ratificación de jueces y fiscales cada siete años</w:t>
      </w:r>
      <w:r w:rsidR="00AF0661" w:rsidRPr="00E80949">
        <w:rPr>
          <w:rStyle w:val="FootnoteReference"/>
          <w:rFonts w:asciiTheme="majorHAnsi" w:hAnsiTheme="majorHAnsi"/>
          <w:color w:val="000000" w:themeColor="text1"/>
          <w:sz w:val="20"/>
          <w:szCs w:val="20"/>
          <w:lang w:val="es-ES"/>
        </w:rPr>
        <w:footnoteReference w:id="4"/>
      </w:r>
      <w:r w:rsidR="00AF0661" w:rsidRPr="00E80949">
        <w:rPr>
          <w:rFonts w:asciiTheme="majorHAnsi" w:eastAsia="Arial Unicode MS" w:hAnsiTheme="majorHAnsi" w:cs="Times New Roman"/>
          <w:color w:val="auto"/>
          <w:sz w:val="20"/>
          <w:szCs w:val="20"/>
          <w:lang w:val="es-ES" w:eastAsia="en-US"/>
        </w:rPr>
        <w:t>. Según la parte peticionaria, la presunta víctima</w:t>
      </w:r>
      <w:r w:rsidR="0068128B" w:rsidRPr="00E80949">
        <w:rPr>
          <w:rFonts w:asciiTheme="majorHAnsi" w:eastAsia="Arial Unicode MS" w:hAnsiTheme="majorHAnsi" w:cs="Times New Roman"/>
          <w:color w:val="auto"/>
          <w:sz w:val="20"/>
          <w:szCs w:val="20"/>
          <w:lang w:val="es-ES" w:eastAsia="en-US"/>
        </w:rPr>
        <w:t xml:space="preserve"> —</w:t>
      </w:r>
      <w:r w:rsidR="00AF0661" w:rsidRPr="00E80949">
        <w:rPr>
          <w:rFonts w:asciiTheme="majorHAnsi" w:eastAsia="Arial Unicode MS" w:hAnsiTheme="majorHAnsi" w:cs="Times New Roman"/>
          <w:color w:val="auto"/>
          <w:sz w:val="20"/>
          <w:szCs w:val="20"/>
          <w:lang w:val="es-ES" w:eastAsia="en-US"/>
        </w:rPr>
        <w:t>quien se desempeñaba como Juez del Tercer Juzgado de Instrucción de la Provincia de Huánuco desde su ratificación el 20 de noviembre de 200</w:t>
      </w:r>
      <w:r w:rsidR="0068128B" w:rsidRPr="00E80949">
        <w:rPr>
          <w:rFonts w:asciiTheme="majorHAnsi" w:eastAsia="Arial Unicode MS" w:hAnsiTheme="majorHAnsi" w:cs="Times New Roman"/>
          <w:color w:val="auto"/>
          <w:sz w:val="20"/>
          <w:szCs w:val="20"/>
          <w:lang w:val="es-ES" w:eastAsia="en-US"/>
        </w:rPr>
        <w:t>2–</w:t>
      </w:r>
      <w:r w:rsidR="001F04E5" w:rsidRPr="00E80949">
        <w:rPr>
          <w:rFonts w:asciiTheme="majorHAnsi" w:eastAsia="Arial Unicode MS" w:hAnsiTheme="majorHAnsi" w:cs="Times New Roman"/>
          <w:color w:val="auto"/>
          <w:sz w:val="20"/>
          <w:szCs w:val="20"/>
          <w:lang w:val="es-PE" w:eastAsia="en-US"/>
        </w:rPr>
        <w:t xml:space="preserve"> fue</w:t>
      </w:r>
      <w:r w:rsidR="00AF0661" w:rsidRPr="00E80949">
        <w:rPr>
          <w:rFonts w:asciiTheme="majorHAnsi" w:eastAsia="Arial Unicode MS" w:hAnsiTheme="majorHAnsi" w:cs="Times New Roman"/>
          <w:color w:val="auto"/>
          <w:sz w:val="20"/>
          <w:szCs w:val="20"/>
          <w:lang w:val="es-ES" w:eastAsia="en-US"/>
        </w:rPr>
        <w:t xml:space="preserve"> incluida en el proceso convocado mediante la Convocatoria N.º 009-2011-CNM</w:t>
      </w:r>
      <w:r w:rsidR="002C1F6F" w:rsidRPr="00E80949">
        <w:rPr>
          <w:rFonts w:asciiTheme="majorHAnsi" w:eastAsia="Arial Unicode MS" w:hAnsiTheme="majorHAnsi" w:cs="Times New Roman"/>
          <w:color w:val="auto"/>
          <w:sz w:val="20"/>
          <w:szCs w:val="20"/>
          <w:lang w:val="es-ES" w:eastAsia="en-US"/>
        </w:rPr>
        <w:t xml:space="preserve"> del</w:t>
      </w:r>
      <w:r w:rsidR="00AF0661" w:rsidRPr="00E80949">
        <w:rPr>
          <w:rFonts w:asciiTheme="majorHAnsi" w:eastAsia="Arial Unicode MS" w:hAnsiTheme="majorHAnsi" w:cs="Times New Roman"/>
          <w:color w:val="auto"/>
          <w:sz w:val="20"/>
          <w:szCs w:val="20"/>
          <w:lang w:val="es-ES" w:eastAsia="en-US"/>
        </w:rPr>
        <w:t xml:space="preserve"> 18 de septiembre de 2011</w:t>
      </w:r>
      <w:r w:rsidR="008A6534" w:rsidRPr="00E80949">
        <w:rPr>
          <w:rFonts w:asciiTheme="majorHAnsi" w:eastAsia="Arial Unicode MS" w:hAnsiTheme="majorHAnsi" w:cs="Times New Roman"/>
          <w:color w:val="auto"/>
          <w:sz w:val="20"/>
          <w:szCs w:val="20"/>
          <w:lang w:val="es-ES" w:eastAsia="en-US"/>
        </w:rPr>
        <w:t xml:space="preserve">, </w:t>
      </w:r>
      <w:r w:rsidR="008A6534" w:rsidRPr="00E80949">
        <w:rPr>
          <w:rFonts w:asciiTheme="majorHAnsi" w:eastAsia="Arial Unicode MS" w:hAnsiTheme="majorHAnsi" w:cs="Times New Roman"/>
          <w:color w:val="auto"/>
          <w:sz w:val="20"/>
          <w:szCs w:val="20"/>
          <w:lang w:val="es-PE" w:eastAsia="en-US"/>
        </w:rPr>
        <w:t>orientada a revisar la permanencia de magistrados en el cargo. Alega que dicho proce</w:t>
      </w:r>
      <w:r w:rsidR="001060F2" w:rsidRPr="00E80949">
        <w:rPr>
          <w:rFonts w:asciiTheme="majorHAnsi" w:eastAsia="Arial Unicode MS" w:hAnsiTheme="majorHAnsi" w:cs="Times New Roman"/>
          <w:color w:val="auto"/>
          <w:sz w:val="20"/>
          <w:szCs w:val="20"/>
          <w:lang w:val="es-PE" w:eastAsia="en-US"/>
        </w:rPr>
        <w:t>dimiento</w:t>
      </w:r>
      <w:r w:rsidR="008A6534" w:rsidRPr="00E80949">
        <w:rPr>
          <w:rFonts w:asciiTheme="majorHAnsi" w:eastAsia="Arial Unicode MS" w:hAnsiTheme="majorHAnsi" w:cs="Times New Roman"/>
          <w:color w:val="auto"/>
          <w:sz w:val="20"/>
          <w:szCs w:val="20"/>
          <w:lang w:val="es-PE" w:eastAsia="en-US"/>
        </w:rPr>
        <w:t xml:space="preserve"> se inició nueve años después de su </w:t>
      </w:r>
      <w:r w:rsidR="00273DCF" w:rsidRPr="00E80949">
        <w:rPr>
          <w:rFonts w:asciiTheme="majorHAnsi" w:eastAsia="Arial Unicode MS" w:hAnsiTheme="majorHAnsi" w:cs="Times New Roman"/>
          <w:color w:val="auto"/>
          <w:sz w:val="20"/>
          <w:szCs w:val="20"/>
          <w:lang w:val="es-PE" w:eastAsia="en-US"/>
        </w:rPr>
        <w:t>último examen</w:t>
      </w:r>
      <w:r w:rsidR="008A6534" w:rsidRPr="00E80949">
        <w:rPr>
          <w:rFonts w:asciiTheme="majorHAnsi" w:eastAsia="Arial Unicode MS" w:hAnsiTheme="majorHAnsi" w:cs="Times New Roman"/>
          <w:color w:val="auto"/>
          <w:sz w:val="20"/>
          <w:szCs w:val="20"/>
          <w:lang w:val="es-PE" w:eastAsia="en-US"/>
        </w:rPr>
        <w:t>, pese a que el plazo fijado por la Constitución es de siete años. No obstante, el CNM programó la entrevista del Sr. Vergara para el 5 de diciembre de 2011.</w:t>
      </w:r>
    </w:p>
    <w:p w14:paraId="62B15228" w14:textId="77777777" w:rsidR="00531B34" w:rsidRPr="00E80949" w:rsidRDefault="00531B34" w:rsidP="00531B34">
      <w:pPr>
        <w:pStyle w:val="ListParagraph"/>
        <w:jc w:val="both"/>
        <w:rPr>
          <w:rFonts w:asciiTheme="majorHAnsi" w:eastAsia="Arial Unicode MS" w:hAnsiTheme="majorHAnsi" w:cs="Times New Roman"/>
          <w:color w:val="auto"/>
          <w:sz w:val="20"/>
          <w:szCs w:val="20"/>
          <w:lang w:val="es-ES" w:eastAsia="en-US"/>
        </w:rPr>
      </w:pPr>
    </w:p>
    <w:p w14:paraId="4DD8E0A4" w14:textId="46B42C04" w:rsidR="00E63698" w:rsidRPr="00E80949" w:rsidRDefault="00E63698" w:rsidP="00AF066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720"/>
        <w:jc w:val="both"/>
        <w:rPr>
          <w:rFonts w:asciiTheme="majorHAnsi" w:hAnsiTheme="majorHAnsi"/>
          <w:sz w:val="20"/>
          <w:szCs w:val="20"/>
          <w:lang w:val="es-ES"/>
        </w:rPr>
      </w:pPr>
      <w:r w:rsidRPr="00E80949">
        <w:rPr>
          <w:rFonts w:asciiTheme="majorHAnsi" w:hAnsiTheme="majorHAnsi"/>
          <w:i/>
          <w:iCs/>
          <w:sz w:val="20"/>
          <w:szCs w:val="20"/>
          <w:lang w:val="es-ES"/>
        </w:rPr>
        <w:t xml:space="preserve">Cuestionamientos al proceso de evaluación y decisión de no ratificar </w:t>
      </w:r>
      <w:r w:rsidR="00892F9B" w:rsidRPr="00E80949">
        <w:rPr>
          <w:rFonts w:asciiTheme="majorHAnsi" w:hAnsiTheme="majorHAnsi"/>
          <w:i/>
          <w:iCs/>
          <w:sz w:val="20"/>
          <w:szCs w:val="20"/>
          <w:lang w:val="es-ES"/>
        </w:rPr>
        <w:t>al Sr. Vargas</w:t>
      </w:r>
    </w:p>
    <w:p w14:paraId="3AC6DDD1" w14:textId="53B64499" w:rsidR="00631AA7" w:rsidRPr="00E80949" w:rsidRDefault="008171A0" w:rsidP="007E0CBD">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color w:val="000000" w:themeColor="text1"/>
          <w:sz w:val="20"/>
          <w:szCs w:val="20"/>
          <w:lang w:val="es-ES"/>
        </w:rPr>
      </w:pPr>
      <w:r w:rsidRPr="00E80949">
        <w:rPr>
          <w:rFonts w:asciiTheme="majorHAnsi" w:hAnsiTheme="majorHAnsi"/>
          <w:color w:val="000000" w:themeColor="text1"/>
          <w:sz w:val="20"/>
          <w:szCs w:val="20"/>
          <w:lang w:val="es-ES"/>
        </w:rPr>
        <w:t xml:space="preserve">De acuerdo con los anexos </w:t>
      </w:r>
      <w:r w:rsidR="00EF55D9" w:rsidRPr="00E80949">
        <w:rPr>
          <w:rFonts w:asciiTheme="majorHAnsi" w:hAnsiTheme="majorHAnsi"/>
          <w:color w:val="000000" w:themeColor="text1"/>
          <w:sz w:val="20"/>
          <w:szCs w:val="20"/>
          <w:lang w:val="es-ES"/>
        </w:rPr>
        <w:t xml:space="preserve">aportados </w:t>
      </w:r>
      <w:r w:rsidRPr="00E80949">
        <w:rPr>
          <w:rFonts w:asciiTheme="majorHAnsi" w:hAnsiTheme="majorHAnsi"/>
          <w:color w:val="000000" w:themeColor="text1"/>
          <w:sz w:val="20"/>
          <w:szCs w:val="20"/>
          <w:lang w:val="es-ES"/>
        </w:rPr>
        <w:t xml:space="preserve">por </w:t>
      </w:r>
      <w:r w:rsidR="00892F9B" w:rsidRPr="00E80949">
        <w:rPr>
          <w:rFonts w:asciiTheme="majorHAnsi" w:hAnsiTheme="majorHAnsi"/>
          <w:color w:val="000000" w:themeColor="text1"/>
          <w:sz w:val="20"/>
          <w:szCs w:val="20"/>
          <w:lang w:val="es-ES"/>
        </w:rPr>
        <w:t>el peticionario</w:t>
      </w:r>
      <w:r w:rsidRPr="00E80949">
        <w:rPr>
          <w:rFonts w:asciiTheme="majorHAnsi" w:hAnsiTheme="majorHAnsi"/>
          <w:color w:val="000000" w:themeColor="text1"/>
          <w:sz w:val="20"/>
          <w:szCs w:val="20"/>
          <w:lang w:val="es-ES"/>
        </w:rPr>
        <w:t xml:space="preserve">, </w:t>
      </w:r>
      <w:r w:rsidR="00293484" w:rsidRPr="00E80949">
        <w:rPr>
          <w:rFonts w:asciiTheme="majorHAnsi" w:hAnsiTheme="majorHAnsi"/>
          <w:color w:val="000000" w:themeColor="text1"/>
          <w:sz w:val="20"/>
          <w:szCs w:val="20"/>
          <w:lang w:val="es-ES"/>
        </w:rPr>
        <w:t>e</w:t>
      </w:r>
      <w:r w:rsidR="00F0517C" w:rsidRPr="00E80949">
        <w:rPr>
          <w:rFonts w:asciiTheme="majorHAnsi" w:hAnsiTheme="majorHAnsi"/>
          <w:color w:val="000000" w:themeColor="text1"/>
          <w:sz w:val="20"/>
          <w:szCs w:val="20"/>
          <w:lang w:val="es-ES"/>
        </w:rPr>
        <w:t xml:space="preserve">l proceso </w:t>
      </w:r>
      <w:r w:rsidR="003B4427" w:rsidRPr="00E80949">
        <w:rPr>
          <w:rFonts w:asciiTheme="majorHAnsi" w:hAnsiTheme="majorHAnsi"/>
          <w:color w:val="000000" w:themeColor="text1"/>
          <w:sz w:val="20"/>
          <w:szCs w:val="20"/>
          <w:lang w:val="es-ES"/>
        </w:rPr>
        <w:t>permite que</w:t>
      </w:r>
      <w:r w:rsidRPr="00E80949">
        <w:rPr>
          <w:rFonts w:asciiTheme="majorHAnsi" w:hAnsiTheme="majorHAnsi"/>
          <w:color w:val="000000" w:themeColor="text1"/>
          <w:sz w:val="20"/>
          <w:szCs w:val="20"/>
          <w:lang w:val="es-ES"/>
        </w:rPr>
        <w:t xml:space="preserve"> </w:t>
      </w:r>
      <w:r w:rsidR="003B4427" w:rsidRPr="00E80949">
        <w:rPr>
          <w:rFonts w:asciiTheme="majorHAnsi" w:hAnsiTheme="majorHAnsi"/>
          <w:color w:val="000000" w:themeColor="text1"/>
          <w:sz w:val="20"/>
          <w:szCs w:val="20"/>
          <w:lang w:val="es-ES"/>
        </w:rPr>
        <w:t>ciudadanos y</w:t>
      </w:r>
      <w:r w:rsidRPr="00E80949">
        <w:rPr>
          <w:rFonts w:asciiTheme="majorHAnsi" w:hAnsiTheme="majorHAnsi"/>
          <w:color w:val="000000" w:themeColor="text1"/>
          <w:sz w:val="20"/>
          <w:szCs w:val="20"/>
          <w:lang w:val="es-ES"/>
        </w:rPr>
        <w:t xml:space="preserve"> entidades públicas </w:t>
      </w:r>
      <w:r w:rsidR="003B4427" w:rsidRPr="00E80949">
        <w:rPr>
          <w:rFonts w:asciiTheme="majorHAnsi" w:hAnsiTheme="majorHAnsi"/>
          <w:color w:val="000000" w:themeColor="text1"/>
          <w:sz w:val="20"/>
          <w:szCs w:val="20"/>
          <w:lang w:val="es-ES"/>
        </w:rPr>
        <w:t>o</w:t>
      </w:r>
      <w:r w:rsidRPr="00E80949">
        <w:rPr>
          <w:rFonts w:asciiTheme="majorHAnsi" w:hAnsiTheme="majorHAnsi"/>
          <w:color w:val="000000" w:themeColor="text1"/>
          <w:sz w:val="20"/>
          <w:szCs w:val="20"/>
          <w:lang w:val="es-ES"/>
        </w:rPr>
        <w:t xml:space="preserve"> privadas </w:t>
      </w:r>
      <w:r w:rsidR="003B4427" w:rsidRPr="00E80949">
        <w:rPr>
          <w:rFonts w:asciiTheme="majorHAnsi" w:hAnsiTheme="majorHAnsi"/>
          <w:color w:val="000000" w:themeColor="text1"/>
          <w:sz w:val="20"/>
          <w:szCs w:val="20"/>
          <w:lang w:val="es-ES"/>
        </w:rPr>
        <w:t>aporten</w:t>
      </w:r>
      <w:r w:rsidRPr="00E80949">
        <w:rPr>
          <w:rFonts w:asciiTheme="majorHAnsi" w:hAnsiTheme="majorHAnsi"/>
          <w:color w:val="000000" w:themeColor="text1"/>
          <w:sz w:val="20"/>
          <w:szCs w:val="20"/>
          <w:lang w:val="es-ES"/>
        </w:rPr>
        <w:t xml:space="preserve"> información relevante sobre la conducta e idoneidad </w:t>
      </w:r>
      <w:r w:rsidR="00235873" w:rsidRPr="00E80949">
        <w:rPr>
          <w:rFonts w:asciiTheme="majorHAnsi" w:hAnsiTheme="majorHAnsi"/>
          <w:color w:val="000000" w:themeColor="text1"/>
          <w:sz w:val="20"/>
          <w:szCs w:val="20"/>
          <w:lang w:val="es-ES"/>
        </w:rPr>
        <w:t>del juez</w:t>
      </w:r>
      <w:r w:rsidRPr="00E80949">
        <w:rPr>
          <w:rFonts w:asciiTheme="majorHAnsi" w:hAnsiTheme="majorHAnsi"/>
          <w:color w:val="000000" w:themeColor="text1"/>
          <w:sz w:val="20"/>
          <w:szCs w:val="20"/>
          <w:lang w:val="es-ES"/>
        </w:rPr>
        <w:t xml:space="preserve">, </w:t>
      </w:r>
      <w:r w:rsidR="003B4427" w:rsidRPr="00E80949">
        <w:rPr>
          <w:rFonts w:asciiTheme="majorHAnsi" w:hAnsiTheme="majorHAnsi"/>
          <w:color w:val="000000" w:themeColor="text1"/>
          <w:sz w:val="20"/>
          <w:szCs w:val="20"/>
          <w:lang w:val="es-ES"/>
        </w:rPr>
        <w:t>con el fin de respaldar</w:t>
      </w:r>
      <w:r w:rsidRPr="00E80949">
        <w:rPr>
          <w:rFonts w:asciiTheme="majorHAnsi" w:hAnsiTheme="majorHAnsi"/>
          <w:color w:val="000000" w:themeColor="text1"/>
          <w:sz w:val="20"/>
          <w:szCs w:val="20"/>
          <w:lang w:val="es-ES"/>
        </w:rPr>
        <w:t xml:space="preserve"> o </w:t>
      </w:r>
      <w:r w:rsidR="003B4427" w:rsidRPr="00E80949">
        <w:rPr>
          <w:rFonts w:asciiTheme="majorHAnsi" w:hAnsiTheme="majorHAnsi"/>
          <w:color w:val="000000" w:themeColor="text1"/>
          <w:sz w:val="20"/>
          <w:szCs w:val="20"/>
          <w:lang w:val="es-ES"/>
        </w:rPr>
        <w:t>cuestionar</w:t>
      </w:r>
      <w:r w:rsidRPr="00E80949">
        <w:rPr>
          <w:rFonts w:asciiTheme="majorHAnsi" w:hAnsiTheme="majorHAnsi"/>
          <w:color w:val="000000" w:themeColor="text1"/>
          <w:sz w:val="20"/>
          <w:szCs w:val="20"/>
          <w:lang w:val="es-ES"/>
        </w:rPr>
        <w:t xml:space="preserve"> la continuidad </w:t>
      </w:r>
      <w:r w:rsidR="003B4427" w:rsidRPr="00E80949">
        <w:rPr>
          <w:rFonts w:asciiTheme="majorHAnsi" w:hAnsiTheme="majorHAnsi"/>
          <w:color w:val="000000" w:themeColor="text1"/>
          <w:sz w:val="20"/>
          <w:szCs w:val="20"/>
          <w:lang w:val="es-ES"/>
        </w:rPr>
        <w:t>en el</w:t>
      </w:r>
      <w:r w:rsidRPr="00E80949">
        <w:rPr>
          <w:rFonts w:asciiTheme="majorHAnsi" w:hAnsiTheme="majorHAnsi"/>
          <w:color w:val="000000" w:themeColor="text1"/>
          <w:sz w:val="20"/>
          <w:szCs w:val="20"/>
          <w:lang w:val="es-ES"/>
        </w:rPr>
        <w:t xml:space="preserve"> cargo</w:t>
      </w:r>
      <w:r w:rsidR="00422D2E" w:rsidRPr="00E80949">
        <w:rPr>
          <w:rFonts w:asciiTheme="majorHAnsi" w:hAnsiTheme="majorHAnsi"/>
          <w:color w:val="000000" w:themeColor="text1"/>
          <w:sz w:val="20"/>
          <w:szCs w:val="20"/>
          <w:lang w:val="es-ES"/>
        </w:rPr>
        <w:t xml:space="preserve">, </w:t>
      </w:r>
      <w:r w:rsidR="003B4427" w:rsidRPr="00E80949">
        <w:rPr>
          <w:rFonts w:asciiTheme="majorHAnsi" w:hAnsiTheme="majorHAnsi"/>
          <w:color w:val="000000" w:themeColor="text1"/>
          <w:sz w:val="20"/>
          <w:szCs w:val="20"/>
          <w:lang w:val="es-ES"/>
        </w:rPr>
        <w:t>dentro de los</w:t>
      </w:r>
      <w:r w:rsidR="00422D2E" w:rsidRPr="00E80949">
        <w:rPr>
          <w:rFonts w:asciiTheme="majorHAnsi" w:hAnsiTheme="majorHAnsi"/>
          <w:color w:val="000000" w:themeColor="text1"/>
          <w:sz w:val="20"/>
          <w:szCs w:val="20"/>
          <w:lang w:val="es-ES"/>
        </w:rPr>
        <w:t xml:space="preserve"> </w:t>
      </w:r>
      <w:r w:rsidR="00892F9B" w:rsidRPr="00E80949">
        <w:rPr>
          <w:rFonts w:asciiTheme="majorHAnsi" w:hAnsiTheme="majorHAnsi"/>
          <w:color w:val="000000" w:themeColor="text1"/>
          <w:sz w:val="20"/>
          <w:szCs w:val="20"/>
          <w:lang w:val="es-ES"/>
        </w:rPr>
        <w:t>15</w:t>
      </w:r>
      <w:r w:rsidR="00422D2E" w:rsidRPr="00E80949">
        <w:rPr>
          <w:rFonts w:asciiTheme="majorHAnsi" w:hAnsiTheme="majorHAnsi"/>
          <w:color w:val="000000" w:themeColor="text1"/>
          <w:sz w:val="20"/>
          <w:szCs w:val="20"/>
          <w:lang w:val="es-ES"/>
        </w:rPr>
        <w:t xml:space="preserve"> </w:t>
      </w:r>
      <w:r w:rsidR="003C3084" w:rsidRPr="00E80949">
        <w:rPr>
          <w:rFonts w:asciiTheme="majorHAnsi" w:hAnsiTheme="majorHAnsi"/>
          <w:color w:val="000000" w:themeColor="text1"/>
          <w:sz w:val="20"/>
          <w:szCs w:val="20"/>
          <w:lang w:val="es-ES"/>
        </w:rPr>
        <w:t xml:space="preserve">días </w:t>
      </w:r>
      <w:r w:rsidR="003B4427" w:rsidRPr="00E80949">
        <w:rPr>
          <w:rFonts w:asciiTheme="majorHAnsi" w:hAnsiTheme="majorHAnsi"/>
          <w:color w:val="000000" w:themeColor="text1"/>
          <w:sz w:val="20"/>
          <w:szCs w:val="20"/>
          <w:lang w:val="es-ES"/>
        </w:rPr>
        <w:t>posteriores a la convocatoria. El magistrado puede contradecir dicha información en un plazo de tres días hábiles</w:t>
      </w:r>
      <w:r w:rsidR="003B4427" w:rsidRPr="00E80949">
        <w:rPr>
          <w:rStyle w:val="FootnoteReference"/>
          <w:rFonts w:asciiTheme="majorHAnsi" w:hAnsiTheme="majorHAnsi"/>
          <w:color w:val="000000" w:themeColor="text1"/>
          <w:sz w:val="20"/>
          <w:szCs w:val="20"/>
          <w:lang w:val="es-ES"/>
        </w:rPr>
        <w:footnoteReference w:id="5"/>
      </w:r>
      <w:r w:rsidR="003B4427" w:rsidRPr="00E80949">
        <w:rPr>
          <w:rFonts w:asciiTheme="majorHAnsi" w:hAnsiTheme="majorHAnsi"/>
          <w:color w:val="000000" w:themeColor="text1"/>
          <w:sz w:val="20"/>
          <w:szCs w:val="20"/>
          <w:lang w:val="es-ES"/>
        </w:rPr>
        <w:t xml:space="preserve">. La parte peticionaria </w:t>
      </w:r>
      <w:r w:rsidR="00B9416F" w:rsidRPr="00E80949">
        <w:rPr>
          <w:rFonts w:asciiTheme="majorHAnsi" w:hAnsiTheme="majorHAnsi"/>
          <w:color w:val="000000" w:themeColor="text1"/>
          <w:sz w:val="20"/>
          <w:szCs w:val="20"/>
          <w:lang w:val="es-ES"/>
        </w:rPr>
        <w:t>aclara</w:t>
      </w:r>
      <w:r w:rsidR="003B4427" w:rsidRPr="00E80949">
        <w:rPr>
          <w:rFonts w:asciiTheme="majorHAnsi" w:hAnsiTheme="majorHAnsi"/>
          <w:color w:val="000000" w:themeColor="text1"/>
          <w:sz w:val="20"/>
          <w:szCs w:val="20"/>
          <w:lang w:val="es-ES"/>
        </w:rPr>
        <w:t xml:space="preserve"> </w:t>
      </w:r>
      <w:r w:rsidR="00B33EA8" w:rsidRPr="00E80949">
        <w:rPr>
          <w:rFonts w:asciiTheme="majorHAnsi" w:hAnsiTheme="majorHAnsi"/>
          <w:color w:val="000000" w:themeColor="text1"/>
          <w:sz w:val="20"/>
          <w:szCs w:val="20"/>
          <w:lang w:val="es-ES"/>
        </w:rPr>
        <w:t>que</w:t>
      </w:r>
      <w:r w:rsidR="000F7BC4" w:rsidRPr="00E80949">
        <w:rPr>
          <w:rFonts w:asciiTheme="majorHAnsi" w:hAnsiTheme="majorHAnsi"/>
          <w:color w:val="000000" w:themeColor="text1"/>
          <w:sz w:val="20"/>
          <w:szCs w:val="20"/>
          <w:lang w:val="es-ES"/>
        </w:rPr>
        <w:t>,</w:t>
      </w:r>
      <w:r w:rsidR="00631AA7" w:rsidRPr="00E80949">
        <w:rPr>
          <w:rFonts w:asciiTheme="majorHAnsi" w:hAnsiTheme="majorHAnsi"/>
          <w:color w:val="000000" w:themeColor="text1"/>
          <w:sz w:val="20"/>
          <w:szCs w:val="20"/>
          <w:lang w:val="es-ES"/>
        </w:rPr>
        <w:t xml:space="preserve"> aunque</w:t>
      </w:r>
      <w:r w:rsidR="003B4427" w:rsidRPr="00E80949">
        <w:rPr>
          <w:rFonts w:asciiTheme="majorHAnsi" w:hAnsiTheme="majorHAnsi"/>
          <w:color w:val="000000" w:themeColor="text1"/>
          <w:sz w:val="20"/>
          <w:szCs w:val="20"/>
          <w:lang w:val="es-ES"/>
        </w:rPr>
        <w:t xml:space="preserve"> dicho plazo vencía el 7 de octubre de 2011</w:t>
      </w:r>
      <w:r w:rsidR="00892F9B" w:rsidRPr="00E80949">
        <w:rPr>
          <w:rFonts w:asciiTheme="majorHAnsi" w:hAnsiTheme="majorHAnsi"/>
          <w:color w:val="000000" w:themeColor="text1"/>
          <w:sz w:val="20"/>
          <w:szCs w:val="20"/>
          <w:lang w:val="es-ES"/>
        </w:rPr>
        <w:t>,</w:t>
      </w:r>
      <w:r w:rsidR="001773D4" w:rsidRPr="00E80949">
        <w:rPr>
          <w:rFonts w:asciiTheme="majorHAnsi" w:hAnsiTheme="majorHAnsi"/>
          <w:color w:val="000000" w:themeColor="text1"/>
          <w:sz w:val="20"/>
          <w:szCs w:val="20"/>
          <w:lang w:val="es-ES"/>
        </w:rPr>
        <w:t xml:space="preserve"> el 28 de noviembre de 2011</w:t>
      </w:r>
      <w:r w:rsidR="003B4427" w:rsidRPr="00E80949">
        <w:rPr>
          <w:rFonts w:asciiTheme="majorHAnsi" w:hAnsiTheme="majorHAnsi"/>
          <w:color w:val="000000" w:themeColor="text1"/>
          <w:sz w:val="20"/>
          <w:szCs w:val="20"/>
          <w:lang w:val="es-ES"/>
        </w:rPr>
        <w:t xml:space="preserve"> </w:t>
      </w:r>
      <w:r w:rsidR="007F455B" w:rsidRPr="00E80949">
        <w:rPr>
          <w:rFonts w:asciiTheme="majorHAnsi" w:hAnsiTheme="majorHAnsi"/>
          <w:color w:val="000000" w:themeColor="text1"/>
          <w:sz w:val="20"/>
          <w:szCs w:val="20"/>
          <w:lang w:val="es-ES"/>
        </w:rPr>
        <w:t>se admitió u</w:t>
      </w:r>
      <w:r w:rsidR="00EF55D9" w:rsidRPr="00E80949">
        <w:rPr>
          <w:rFonts w:asciiTheme="majorHAnsi" w:hAnsiTheme="majorHAnsi"/>
          <w:color w:val="000000" w:themeColor="text1"/>
          <w:sz w:val="20"/>
          <w:szCs w:val="20"/>
          <w:lang w:val="es-ES"/>
        </w:rPr>
        <w:t>n escrito del Instituto Promoviendo Desarrollo Social (</w:t>
      </w:r>
      <w:r w:rsidR="00631AA7" w:rsidRPr="00E80949">
        <w:rPr>
          <w:rFonts w:asciiTheme="majorHAnsi" w:hAnsiTheme="majorHAnsi"/>
          <w:color w:val="000000" w:themeColor="text1"/>
          <w:sz w:val="20"/>
          <w:szCs w:val="20"/>
          <w:lang w:val="es-ES"/>
        </w:rPr>
        <w:t>en adelante</w:t>
      </w:r>
      <w:r w:rsidR="007C1E3B" w:rsidRPr="00E80949">
        <w:rPr>
          <w:rFonts w:asciiTheme="majorHAnsi" w:hAnsiTheme="majorHAnsi"/>
          <w:color w:val="000000" w:themeColor="text1"/>
          <w:sz w:val="20"/>
          <w:szCs w:val="20"/>
          <w:lang w:val="es-ES"/>
        </w:rPr>
        <w:t>, el</w:t>
      </w:r>
      <w:r w:rsidR="00631AA7" w:rsidRPr="00E80949">
        <w:rPr>
          <w:rFonts w:asciiTheme="majorHAnsi" w:hAnsiTheme="majorHAnsi"/>
          <w:color w:val="000000" w:themeColor="text1"/>
          <w:sz w:val="20"/>
          <w:szCs w:val="20"/>
          <w:lang w:val="es-ES"/>
        </w:rPr>
        <w:t xml:space="preserve"> </w:t>
      </w:r>
      <w:r w:rsidR="00EF55D9" w:rsidRPr="00E80949">
        <w:rPr>
          <w:rFonts w:asciiTheme="majorHAnsi" w:hAnsiTheme="majorHAnsi"/>
          <w:color w:val="000000" w:themeColor="text1"/>
          <w:sz w:val="20"/>
          <w:szCs w:val="20"/>
          <w:lang w:val="es-ES"/>
        </w:rPr>
        <w:t>IPRODES)</w:t>
      </w:r>
      <w:r w:rsidR="00500442" w:rsidRPr="00E80949">
        <w:rPr>
          <w:rFonts w:asciiTheme="majorHAnsi" w:hAnsiTheme="majorHAnsi"/>
          <w:color w:val="000000" w:themeColor="text1"/>
          <w:sz w:val="20"/>
          <w:szCs w:val="20"/>
          <w:lang w:val="es-ES"/>
        </w:rPr>
        <w:t xml:space="preserve">. </w:t>
      </w:r>
      <w:r w:rsidR="00892F9B" w:rsidRPr="00E80949">
        <w:rPr>
          <w:rFonts w:asciiTheme="majorHAnsi" w:hAnsiTheme="majorHAnsi"/>
          <w:color w:val="000000" w:themeColor="text1"/>
          <w:sz w:val="20"/>
          <w:szCs w:val="20"/>
          <w:lang w:val="es-ES"/>
        </w:rPr>
        <w:t>L</w:t>
      </w:r>
      <w:r w:rsidR="007F455B" w:rsidRPr="00E80949">
        <w:rPr>
          <w:rFonts w:asciiTheme="majorHAnsi" w:hAnsiTheme="majorHAnsi"/>
          <w:color w:val="000000" w:themeColor="text1"/>
          <w:sz w:val="20"/>
          <w:szCs w:val="20"/>
          <w:lang w:val="es-ES"/>
        </w:rPr>
        <w:t xml:space="preserve">a presunta víctima </w:t>
      </w:r>
      <w:r w:rsidR="00044174" w:rsidRPr="00E80949">
        <w:rPr>
          <w:rFonts w:asciiTheme="majorHAnsi" w:hAnsiTheme="majorHAnsi"/>
          <w:color w:val="000000" w:themeColor="text1"/>
          <w:sz w:val="20"/>
          <w:szCs w:val="20"/>
          <w:lang w:val="es-ES"/>
        </w:rPr>
        <w:t xml:space="preserve">recién </w:t>
      </w:r>
      <w:r w:rsidR="00892F9B" w:rsidRPr="00E80949">
        <w:rPr>
          <w:rFonts w:asciiTheme="majorHAnsi" w:hAnsiTheme="majorHAnsi"/>
          <w:color w:val="000000" w:themeColor="text1"/>
          <w:sz w:val="20"/>
          <w:szCs w:val="20"/>
          <w:lang w:val="es-ES"/>
        </w:rPr>
        <w:t>conoció</w:t>
      </w:r>
      <w:r w:rsidR="00044174" w:rsidRPr="00E80949">
        <w:rPr>
          <w:rFonts w:asciiTheme="majorHAnsi" w:hAnsiTheme="majorHAnsi"/>
          <w:color w:val="000000" w:themeColor="text1"/>
          <w:sz w:val="20"/>
          <w:szCs w:val="20"/>
          <w:lang w:val="es-ES"/>
        </w:rPr>
        <w:t xml:space="preserve"> de</w:t>
      </w:r>
      <w:r w:rsidR="001773D4" w:rsidRPr="00E80949">
        <w:rPr>
          <w:rFonts w:asciiTheme="majorHAnsi" w:hAnsiTheme="majorHAnsi"/>
          <w:color w:val="000000" w:themeColor="text1"/>
          <w:sz w:val="20"/>
          <w:szCs w:val="20"/>
          <w:lang w:val="es-ES"/>
        </w:rPr>
        <w:t xml:space="preserve"> este </w:t>
      </w:r>
      <w:r w:rsidR="00044174" w:rsidRPr="00E80949">
        <w:rPr>
          <w:rFonts w:asciiTheme="majorHAnsi" w:hAnsiTheme="majorHAnsi"/>
          <w:color w:val="000000" w:themeColor="text1"/>
          <w:sz w:val="20"/>
          <w:szCs w:val="20"/>
          <w:lang w:val="es-ES"/>
        </w:rPr>
        <w:t>documento el 1 de diciembre de 2011, apenas dos días hábiles antes de su entrevista</w:t>
      </w:r>
      <w:r w:rsidR="00055A76" w:rsidRPr="00E80949">
        <w:rPr>
          <w:rFonts w:asciiTheme="majorHAnsi" w:hAnsiTheme="majorHAnsi"/>
          <w:color w:val="000000" w:themeColor="text1"/>
          <w:sz w:val="20"/>
          <w:szCs w:val="20"/>
          <w:lang w:val="es-ES"/>
        </w:rPr>
        <w:t xml:space="preserve">. </w:t>
      </w:r>
    </w:p>
    <w:p w14:paraId="3E902405" w14:textId="0FC4E416" w:rsidR="00E214F4" w:rsidRPr="00E80949" w:rsidRDefault="001773D4" w:rsidP="007E0CBD">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color w:val="000000" w:themeColor="text1"/>
          <w:sz w:val="20"/>
          <w:szCs w:val="20"/>
          <w:lang w:val="es-ES"/>
        </w:rPr>
      </w:pPr>
      <w:r w:rsidRPr="00E80949">
        <w:rPr>
          <w:rFonts w:asciiTheme="majorHAnsi" w:hAnsiTheme="majorHAnsi"/>
          <w:color w:val="000000" w:themeColor="text1"/>
          <w:sz w:val="20"/>
          <w:szCs w:val="20"/>
          <w:lang w:val="es-ES"/>
        </w:rPr>
        <w:t>El escrito</w:t>
      </w:r>
      <w:r w:rsidR="00BE62CB" w:rsidRPr="00E80949">
        <w:rPr>
          <w:rFonts w:asciiTheme="majorHAnsi" w:hAnsiTheme="majorHAnsi"/>
          <w:color w:val="000000" w:themeColor="text1"/>
          <w:sz w:val="20"/>
          <w:szCs w:val="20"/>
          <w:lang w:val="es-ES"/>
        </w:rPr>
        <w:t xml:space="preserve"> en mención </w:t>
      </w:r>
      <w:r w:rsidR="007D362D" w:rsidRPr="00E80949">
        <w:rPr>
          <w:rFonts w:asciiTheme="majorHAnsi" w:hAnsiTheme="majorHAnsi"/>
          <w:color w:val="000000" w:themeColor="text1"/>
          <w:sz w:val="20"/>
          <w:szCs w:val="20"/>
          <w:lang w:val="es-ES"/>
        </w:rPr>
        <w:t>cuestionaba algunas de las</w:t>
      </w:r>
      <w:r w:rsidR="00BE62CB" w:rsidRPr="00E80949">
        <w:rPr>
          <w:rFonts w:asciiTheme="majorHAnsi" w:hAnsiTheme="majorHAnsi"/>
          <w:color w:val="000000" w:themeColor="text1"/>
          <w:sz w:val="20"/>
          <w:szCs w:val="20"/>
          <w:lang w:val="es-ES"/>
        </w:rPr>
        <w:t xml:space="preserve"> resoluciones dictadas por la presunta víctima, en las que absolvió a personas acusadas de delitos </w:t>
      </w:r>
      <w:r w:rsidR="007D362D" w:rsidRPr="00E80949">
        <w:rPr>
          <w:rFonts w:asciiTheme="majorHAnsi" w:hAnsiTheme="majorHAnsi"/>
          <w:color w:val="000000" w:themeColor="text1"/>
          <w:sz w:val="20"/>
          <w:szCs w:val="20"/>
          <w:lang w:val="es-ES"/>
        </w:rPr>
        <w:t>de</w:t>
      </w:r>
      <w:r w:rsidR="00BE62CB" w:rsidRPr="00E80949">
        <w:rPr>
          <w:rFonts w:asciiTheme="majorHAnsi" w:hAnsiTheme="majorHAnsi"/>
          <w:color w:val="000000" w:themeColor="text1"/>
          <w:sz w:val="20"/>
          <w:szCs w:val="20"/>
          <w:lang w:val="es-ES"/>
        </w:rPr>
        <w:t xml:space="preserve"> violencia sexual y tráfico ilícito de drogas, las cuales fueron anuladas por un tribunal de alzada debido a supuestos errores en la motivación y en la valoración de la prueba. </w:t>
      </w:r>
      <w:r w:rsidR="007D362D" w:rsidRPr="00E80949">
        <w:rPr>
          <w:rFonts w:asciiTheme="majorHAnsi" w:hAnsiTheme="majorHAnsi"/>
          <w:color w:val="000000" w:themeColor="text1"/>
          <w:sz w:val="20"/>
          <w:szCs w:val="20"/>
          <w:lang w:val="es-ES"/>
        </w:rPr>
        <w:t>Aunque la parte peticionaria reconoce la sensibilidad de estas críticas, resalta que esto no justifica</w:t>
      </w:r>
      <w:r w:rsidR="003C3084" w:rsidRPr="00E80949">
        <w:rPr>
          <w:rFonts w:asciiTheme="majorHAnsi" w:hAnsiTheme="majorHAnsi"/>
          <w:color w:val="000000" w:themeColor="text1"/>
          <w:sz w:val="20"/>
          <w:szCs w:val="20"/>
          <w:lang w:val="es-ES"/>
        </w:rPr>
        <w:t xml:space="preserve"> abandonar las normas procesales que garantizan una defensa adecuada en un momento procesal oportuno. </w:t>
      </w:r>
    </w:p>
    <w:p w14:paraId="0461BD27" w14:textId="71B95380" w:rsidR="00EF4D45" w:rsidRPr="00E80949" w:rsidRDefault="00E80949" w:rsidP="007E0CBD">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color w:val="000000" w:themeColor="text1"/>
          <w:sz w:val="20"/>
          <w:szCs w:val="20"/>
          <w:lang w:val="es-ES"/>
        </w:rPr>
      </w:pPr>
      <w:r w:rsidRPr="00E80949">
        <w:rPr>
          <w:rFonts w:asciiTheme="majorHAnsi" w:hAnsiTheme="majorHAnsi"/>
          <w:color w:val="000000" w:themeColor="text1"/>
          <w:sz w:val="20"/>
          <w:szCs w:val="20"/>
          <w:lang w:val="es-ES"/>
        </w:rPr>
        <w:t xml:space="preserve">El peticionario indica </w:t>
      </w:r>
      <w:r w:rsidR="00D16E6A" w:rsidRPr="00E80949">
        <w:rPr>
          <w:rFonts w:asciiTheme="majorHAnsi" w:hAnsiTheme="majorHAnsi"/>
          <w:color w:val="000000" w:themeColor="text1"/>
          <w:sz w:val="20"/>
          <w:szCs w:val="20"/>
          <w:lang w:val="es-ES"/>
        </w:rPr>
        <w:t xml:space="preserve">que el Sr. Vergara presentó su </w:t>
      </w:r>
      <w:r w:rsidR="007849D1" w:rsidRPr="00E80949">
        <w:rPr>
          <w:rFonts w:asciiTheme="majorHAnsi" w:hAnsiTheme="majorHAnsi"/>
          <w:color w:val="000000" w:themeColor="text1"/>
          <w:sz w:val="20"/>
          <w:szCs w:val="20"/>
          <w:lang w:val="es-ES"/>
        </w:rPr>
        <w:t xml:space="preserve">escrito de </w:t>
      </w:r>
      <w:r w:rsidR="00D16E6A" w:rsidRPr="00E80949">
        <w:rPr>
          <w:rFonts w:asciiTheme="majorHAnsi" w:hAnsiTheme="majorHAnsi"/>
          <w:color w:val="000000" w:themeColor="text1"/>
          <w:sz w:val="20"/>
          <w:szCs w:val="20"/>
          <w:lang w:val="es-ES"/>
        </w:rPr>
        <w:t xml:space="preserve">descargo el mismo día de su entrevista, pero subraya que el escaso tiempo </w:t>
      </w:r>
      <w:r w:rsidR="00B62852" w:rsidRPr="00E80949">
        <w:rPr>
          <w:rFonts w:asciiTheme="majorHAnsi" w:hAnsiTheme="majorHAnsi"/>
          <w:color w:val="000000" w:themeColor="text1"/>
          <w:sz w:val="20"/>
          <w:szCs w:val="20"/>
          <w:lang w:val="es-ES"/>
        </w:rPr>
        <w:t>que tuvo</w:t>
      </w:r>
      <w:r w:rsidR="00D16E6A" w:rsidRPr="00E80949">
        <w:rPr>
          <w:rFonts w:asciiTheme="majorHAnsi" w:hAnsiTheme="majorHAnsi"/>
          <w:color w:val="000000" w:themeColor="text1"/>
          <w:sz w:val="20"/>
          <w:szCs w:val="20"/>
          <w:lang w:val="es-ES"/>
        </w:rPr>
        <w:t xml:space="preserve"> para responder sobre</w:t>
      </w:r>
      <w:r w:rsidR="00B62852" w:rsidRPr="00E80949">
        <w:rPr>
          <w:rFonts w:asciiTheme="majorHAnsi" w:hAnsiTheme="majorHAnsi"/>
          <w:color w:val="000000" w:themeColor="text1"/>
          <w:sz w:val="20"/>
          <w:szCs w:val="20"/>
          <w:lang w:val="es-ES"/>
        </w:rPr>
        <w:t xml:space="preserve"> los cuestionamientos a</w:t>
      </w:r>
      <w:r w:rsidR="00D16E6A" w:rsidRPr="00E80949">
        <w:rPr>
          <w:rFonts w:asciiTheme="majorHAnsi" w:hAnsiTheme="majorHAnsi"/>
          <w:color w:val="000000" w:themeColor="text1"/>
          <w:sz w:val="20"/>
          <w:szCs w:val="20"/>
          <w:lang w:val="es-ES"/>
        </w:rPr>
        <w:t xml:space="preserve"> procesos tramitados años atrás le representó una dificultad considerable. </w:t>
      </w:r>
      <w:r w:rsidR="00B62852" w:rsidRPr="00E80949">
        <w:rPr>
          <w:rFonts w:asciiTheme="majorHAnsi" w:hAnsiTheme="majorHAnsi"/>
          <w:color w:val="000000" w:themeColor="text1"/>
          <w:sz w:val="20"/>
          <w:szCs w:val="20"/>
          <w:lang w:val="es-ES"/>
        </w:rPr>
        <w:t>Aun así</w:t>
      </w:r>
      <w:r w:rsidR="00D16E6A" w:rsidRPr="00E80949">
        <w:rPr>
          <w:rFonts w:asciiTheme="majorHAnsi" w:hAnsiTheme="majorHAnsi"/>
          <w:color w:val="000000" w:themeColor="text1"/>
          <w:sz w:val="20"/>
          <w:szCs w:val="20"/>
          <w:lang w:val="es-ES"/>
        </w:rPr>
        <w:t>, durante la entrevista se le continuó cuestionando sobre el escrito presentado por</w:t>
      </w:r>
      <w:r w:rsidR="007C1E3B" w:rsidRPr="00E80949">
        <w:rPr>
          <w:rFonts w:asciiTheme="majorHAnsi" w:hAnsiTheme="majorHAnsi"/>
          <w:color w:val="000000" w:themeColor="text1"/>
          <w:sz w:val="20"/>
          <w:szCs w:val="20"/>
          <w:lang w:val="es-ES"/>
        </w:rPr>
        <w:t xml:space="preserve"> el</w:t>
      </w:r>
      <w:r w:rsidR="00D16E6A" w:rsidRPr="00E80949">
        <w:rPr>
          <w:rFonts w:asciiTheme="majorHAnsi" w:hAnsiTheme="majorHAnsi"/>
          <w:color w:val="000000" w:themeColor="text1"/>
          <w:sz w:val="20"/>
          <w:szCs w:val="20"/>
          <w:lang w:val="es-ES"/>
        </w:rPr>
        <w:t xml:space="preserve"> IPRODES.</w:t>
      </w:r>
    </w:p>
    <w:p w14:paraId="4F993ACB" w14:textId="29347CDF" w:rsidR="00EF4D45" w:rsidRPr="00E80949" w:rsidRDefault="00EF4D45" w:rsidP="007E0CBD">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color w:val="000000" w:themeColor="text1"/>
          <w:sz w:val="20"/>
          <w:szCs w:val="20"/>
          <w:lang w:val="es-ES"/>
        </w:rPr>
      </w:pPr>
      <w:r w:rsidRPr="00E80949">
        <w:rPr>
          <w:rFonts w:asciiTheme="majorHAnsi" w:hAnsiTheme="majorHAnsi"/>
          <w:color w:val="000000" w:themeColor="text1"/>
          <w:sz w:val="20"/>
          <w:szCs w:val="20"/>
          <w:lang w:val="es-ES"/>
        </w:rPr>
        <w:lastRenderedPageBreak/>
        <w:t>Como resultado de dicha actuación, el 5 de diciembre de 2011 el CNM</w:t>
      </w:r>
      <w:r w:rsidR="00AE0008" w:rsidRPr="00E80949">
        <w:rPr>
          <w:rFonts w:asciiTheme="majorHAnsi" w:hAnsiTheme="majorHAnsi"/>
          <w:color w:val="000000" w:themeColor="text1"/>
          <w:sz w:val="20"/>
          <w:szCs w:val="20"/>
          <w:lang w:val="es-ES"/>
        </w:rPr>
        <w:t xml:space="preserve"> —</w:t>
      </w:r>
      <w:r w:rsidRPr="00E80949">
        <w:rPr>
          <w:rFonts w:asciiTheme="majorHAnsi" w:hAnsiTheme="majorHAnsi"/>
          <w:color w:val="000000" w:themeColor="text1"/>
          <w:sz w:val="20"/>
          <w:szCs w:val="20"/>
          <w:lang w:val="es-ES"/>
        </w:rPr>
        <w:t>mediante Resolución N.º 684-2011-PCN</w:t>
      </w:r>
      <w:r w:rsidR="00C82652" w:rsidRPr="00E80949">
        <w:rPr>
          <w:rFonts w:asciiTheme="majorHAnsi" w:hAnsiTheme="majorHAnsi"/>
          <w:color w:val="000000" w:themeColor="text1"/>
          <w:sz w:val="20"/>
          <w:szCs w:val="20"/>
          <w:lang w:val="es-ES"/>
        </w:rPr>
        <w:t>M—</w:t>
      </w:r>
      <w:r w:rsidRPr="00E80949">
        <w:rPr>
          <w:rFonts w:asciiTheme="majorHAnsi" w:hAnsiTheme="majorHAnsi"/>
          <w:color w:val="000000" w:themeColor="text1"/>
          <w:sz w:val="20"/>
          <w:szCs w:val="20"/>
          <w:lang w:val="es-ES"/>
        </w:rPr>
        <w:t xml:space="preserve"> resolvió no ratificar a la presunta víctima en el cargo. Según la parte peticionaria, la decisión se sustentó en información inexacta, como apercibimientos ya rehabilitados, la indebida atribución de un proceso de hábeas corpus y una sentencia por tráfico ilícito de drogas que no le correspondía. </w:t>
      </w:r>
      <w:r w:rsidR="00C82652" w:rsidRPr="00E80949">
        <w:rPr>
          <w:rFonts w:asciiTheme="majorHAnsi" w:hAnsiTheme="majorHAnsi"/>
          <w:color w:val="000000" w:themeColor="text1"/>
          <w:sz w:val="20"/>
          <w:szCs w:val="20"/>
          <w:lang w:val="es-ES"/>
        </w:rPr>
        <w:t>Aduce</w:t>
      </w:r>
      <w:r w:rsidRPr="00E80949">
        <w:rPr>
          <w:rFonts w:asciiTheme="majorHAnsi" w:hAnsiTheme="majorHAnsi"/>
          <w:color w:val="000000" w:themeColor="text1"/>
          <w:sz w:val="20"/>
          <w:szCs w:val="20"/>
          <w:lang w:val="es-ES"/>
        </w:rPr>
        <w:t>, además, un trato diferenciado respecto de otros dos jueces que integraron el mismo tribunal que emitió la sentencia de hábeas corpus cuestionada; la descalificación de su criterio de dosificación de pena en una sentencia previamente valorada de forma positiva; la omisión de la evaluación favorable emitida por los asesores del CNM y de su examen psicométrico; así como la falta de motivación en la desestimación de sus descargos y del respaldo del Colegio de Abogados.</w:t>
      </w:r>
    </w:p>
    <w:p w14:paraId="3ABDF87B" w14:textId="34A240B5" w:rsidR="00631AA7" w:rsidRPr="00E80949" w:rsidRDefault="00631AA7" w:rsidP="00EF4D4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720"/>
        <w:jc w:val="both"/>
        <w:rPr>
          <w:rFonts w:asciiTheme="majorHAnsi" w:hAnsiTheme="majorHAnsi"/>
          <w:color w:val="000000" w:themeColor="text1"/>
          <w:sz w:val="20"/>
          <w:szCs w:val="20"/>
          <w:lang w:val="es-ES"/>
        </w:rPr>
      </w:pPr>
      <w:r w:rsidRPr="00E80949">
        <w:rPr>
          <w:rFonts w:asciiTheme="majorHAnsi" w:hAnsiTheme="majorHAnsi"/>
          <w:i/>
          <w:iCs/>
          <w:color w:val="000000" w:themeColor="text1"/>
          <w:sz w:val="20"/>
          <w:szCs w:val="20"/>
          <w:lang w:val="es-ES"/>
        </w:rPr>
        <w:t>Recurso extraordinario y proceso de amparo</w:t>
      </w:r>
    </w:p>
    <w:p w14:paraId="5DCFB172" w14:textId="1ECABE60" w:rsidR="00F36383" w:rsidRPr="00E80949" w:rsidRDefault="00E1621B" w:rsidP="00F90827">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color w:val="000000" w:themeColor="text1"/>
          <w:sz w:val="20"/>
          <w:szCs w:val="20"/>
          <w:lang w:val="es-ES"/>
        </w:rPr>
      </w:pPr>
      <w:r w:rsidRPr="00E80949">
        <w:rPr>
          <w:rFonts w:asciiTheme="majorHAnsi" w:hAnsiTheme="majorHAnsi"/>
          <w:color w:val="000000" w:themeColor="text1"/>
          <w:sz w:val="20"/>
          <w:szCs w:val="20"/>
          <w:lang w:val="es-ES"/>
        </w:rPr>
        <w:t xml:space="preserve">Contra </w:t>
      </w:r>
      <w:r w:rsidR="00A3663D" w:rsidRPr="00E80949">
        <w:rPr>
          <w:rFonts w:asciiTheme="majorHAnsi" w:hAnsiTheme="majorHAnsi"/>
          <w:color w:val="000000" w:themeColor="text1"/>
          <w:sz w:val="20"/>
          <w:szCs w:val="20"/>
          <w:lang w:val="es-ES"/>
        </w:rPr>
        <w:t>esta</w:t>
      </w:r>
      <w:r w:rsidRPr="00E80949">
        <w:rPr>
          <w:rFonts w:asciiTheme="majorHAnsi" w:hAnsiTheme="majorHAnsi"/>
          <w:color w:val="000000" w:themeColor="text1"/>
          <w:sz w:val="20"/>
          <w:szCs w:val="20"/>
          <w:lang w:val="es-ES"/>
        </w:rPr>
        <w:t xml:space="preserve"> </w:t>
      </w:r>
      <w:r w:rsidR="00AE0AC5" w:rsidRPr="00E80949">
        <w:rPr>
          <w:rFonts w:asciiTheme="majorHAnsi" w:hAnsiTheme="majorHAnsi"/>
          <w:color w:val="000000" w:themeColor="text1"/>
          <w:sz w:val="20"/>
          <w:szCs w:val="20"/>
          <w:lang w:val="es-ES"/>
        </w:rPr>
        <w:t>decisión</w:t>
      </w:r>
      <w:r w:rsidR="001243E4" w:rsidRPr="00E80949">
        <w:rPr>
          <w:rFonts w:asciiTheme="majorHAnsi" w:hAnsiTheme="majorHAnsi"/>
          <w:color w:val="000000" w:themeColor="text1"/>
          <w:sz w:val="20"/>
          <w:szCs w:val="20"/>
          <w:lang w:val="es-ES"/>
        </w:rPr>
        <w:t>,</w:t>
      </w:r>
      <w:r w:rsidR="00265BA1" w:rsidRPr="00E80949">
        <w:rPr>
          <w:rFonts w:asciiTheme="majorHAnsi" w:hAnsiTheme="majorHAnsi"/>
          <w:color w:val="000000" w:themeColor="text1"/>
          <w:sz w:val="20"/>
          <w:szCs w:val="20"/>
          <w:lang w:val="es-ES"/>
        </w:rPr>
        <w:t xml:space="preserve"> </w:t>
      </w:r>
      <w:r w:rsidR="00B9416F" w:rsidRPr="00E80949">
        <w:rPr>
          <w:rFonts w:asciiTheme="majorHAnsi" w:hAnsiTheme="majorHAnsi"/>
          <w:color w:val="000000" w:themeColor="text1"/>
          <w:sz w:val="20"/>
          <w:szCs w:val="20"/>
          <w:lang w:val="es-ES"/>
        </w:rPr>
        <w:t xml:space="preserve">la </w:t>
      </w:r>
      <w:r w:rsidR="00AE0AC5" w:rsidRPr="00E80949">
        <w:rPr>
          <w:rFonts w:asciiTheme="majorHAnsi" w:hAnsiTheme="majorHAnsi"/>
          <w:color w:val="000000" w:themeColor="text1"/>
          <w:sz w:val="20"/>
          <w:szCs w:val="20"/>
          <w:lang w:val="es-ES"/>
        </w:rPr>
        <w:t>presunta</w:t>
      </w:r>
      <w:r w:rsidR="00B9416F" w:rsidRPr="00E80949">
        <w:rPr>
          <w:rFonts w:asciiTheme="majorHAnsi" w:hAnsiTheme="majorHAnsi"/>
          <w:color w:val="000000" w:themeColor="text1"/>
          <w:sz w:val="20"/>
          <w:szCs w:val="20"/>
          <w:lang w:val="es-ES"/>
        </w:rPr>
        <w:t xml:space="preserve"> víctima </w:t>
      </w:r>
      <w:r w:rsidRPr="00E80949">
        <w:rPr>
          <w:rFonts w:asciiTheme="majorHAnsi" w:hAnsiTheme="majorHAnsi"/>
          <w:color w:val="000000" w:themeColor="text1"/>
          <w:sz w:val="20"/>
          <w:szCs w:val="20"/>
          <w:lang w:val="es-ES"/>
        </w:rPr>
        <w:t xml:space="preserve">interpuso </w:t>
      </w:r>
      <w:r w:rsidR="00216709" w:rsidRPr="00E80949">
        <w:rPr>
          <w:rFonts w:asciiTheme="majorHAnsi" w:hAnsiTheme="majorHAnsi"/>
          <w:color w:val="000000" w:themeColor="text1"/>
          <w:sz w:val="20"/>
          <w:szCs w:val="20"/>
          <w:lang w:val="es-ES"/>
        </w:rPr>
        <w:t xml:space="preserve">el 16 de febrero de 2012 </w:t>
      </w:r>
      <w:r w:rsidR="004C405D" w:rsidRPr="00E80949">
        <w:rPr>
          <w:rFonts w:asciiTheme="majorHAnsi" w:hAnsiTheme="majorHAnsi"/>
          <w:color w:val="000000" w:themeColor="text1"/>
          <w:sz w:val="20"/>
          <w:szCs w:val="20"/>
          <w:lang w:val="es-ES"/>
        </w:rPr>
        <w:t xml:space="preserve">un </w:t>
      </w:r>
      <w:r w:rsidRPr="00E80949">
        <w:rPr>
          <w:rFonts w:asciiTheme="majorHAnsi" w:hAnsiTheme="majorHAnsi"/>
          <w:color w:val="000000" w:themeColor="text1"/>
          <w:sz w:val="20"/>
          <w:szCs w:val="20"/>
          <w:lang w:val="es-ES"/>
        </w:rPr>
        <w:t xml:space="preserve">recurso extraordinario </w:t>
      </w:r>
      <w:r w:rsidR="00B9416F" w:rsidRPr="00E80949">
        <w:rPr>
          <w:rFonts w:asciiTheme="majorHAnsi" w:hAnsiTheme="majorHAnsi"/>
          <w:color w:val="000000" w:themeColor="text1"/>
          <w:sz w:val="20"/>
          <w:szCs w:val="20"/>
          <w:lang w:val="es-ES"/>
        </w:rPr>
        <w:t xml:space="preserve">por la </w:t>
      </w:r>
      <w:r w:rsidR="00AE0AC5" w:rsidRPr="00E80949">
        <w:rPr>
          <w:rFonts w:asciiTheme="majorHAnsi" w:hAnsiTheme="majorHAnsi"/>
          <w:color w:val="000000" w:themeColor="text1"/>
          <w:sz w:val="20"/>
          <w:szCs w:val="20"/>
          <w:lang w:val="es-ES"/>
        </w:rPr>
        <w:t>supuesta vulneración</w:t>
      </w:r>
      <w:r w:rsidR="00B9416F" w:rsidRPr="00E80949">
        <w:rPr>
          <w:rFonts w:asciiTheme="majorHAnsi" w:hAnsiTheme="majorHAnsi"/>
          <w:color w:val="000000" w:themeColor="text1"/>
          <w:sz w:val="20"/>
          <w:szCs w:val="20"/>
          <w:lang w:val="es-ES"/>
        </w:rPr>
        <w:t xml:space="preserve"> del debido proceso, conforme el artículo 41 del Reglamento de Evaluación Integral y Ratificación de Jueces del Poder Judicial y Fiscales del Ministerio Público</w:t>
      </w:r>
      <w:r w:rsidR="00B9416F" w:rsidRPr="00E80949">
        <w:rPr>
          <w:rStyle w:val="FootnoteReference"/>
          <w:rFonts w:asciiTheme="majorHAnsi" w:hAnsiTheme="majorHAnsi"/>
          <w:color w:val="000000" w:themeColor="text1"/>
          <w:sz w:val="20"/>
          <w:szCs w:val="20"/>
          <w:lang w:val="es-ES"/>
        </w:rPr>
        <w:footnoteReference w:id="6"/>
      </w:r>
      <w:r w:rsidR="00B9416F" w:rsidRPr="00E80949">
        <w:rPr>
          <w:rFonts w:asciiTheme="majorHAnsi" w:hAnsiTheme="majorHAnsi"/>
          <w:color w:val="000000" w:themeColor="text1"/>
          <w:sz w:val="20"/>
          <w:szCs w:val="20"/>
          <w:lang w:val="es-ES"/>
        </w:rPr>
        <w:t>.</w:t>
      </w:r>
      <w:r w:rsidR="00AE0AC5" w:rsidRPr="00E80949">
        <w:rPr>
          <w:rFonts w:asciiTheme="majorHAnsi" w:hAnsiTheme="majorHAnsi"/>
          <w:color w:val="000000" w:themeColor="text1"/>
          <w:sz w:val="20"/>
          <w:szCs w:val="20"/>
          <w:lang w:val="es-ES"/>
        </w:rPr>
        <w:t xml:space="preserve"> El 19 de marzo de 2012, tras </w:t>
      </w:r>
      <w:r w:rsidR="004C405D" w:rsidRPr="00E80949">
        <w:rPr>
          <w:rFonts w:asciiTheme="majorHAnsi" w:hAnsiTheme="majorHAnsi"/>
          <w:color w:val="000000" w:themeColor="text1"/>
          <w:sz w:val="20"/>
          <w:szCs w:val="20"/>
          <w:lang w:val="es-ES"/>
        </w:rPr>
        <w:t xml:space="preserve">una </w:t>
      </w:r>
      <w:r w:rsidR="00AE0AC5" w:rsidRPr="00E80949">
        <w:rPr>
          <w:rFonts w:asciiTheme="majorHAnsi" w:hAnsiTheme="majorHAnsi"/>
          <w:color w:val="000000" w:themeColor="text1"/>
          <w:sz w:val="20"/>
          <w:szCs w:val="20"/>
          <w:lang w:val="es-ES"/>
        </w:rPr>
        <w:t xml:space="preserve">audiencia celebrada ese mismo día, el CNM </w:t>
      </w:r>
      <w:r w:rsidR="00E63698" w:rsidRPr="00E80949">
        <w:rPr>
          <w:rFonts w:asciiTheme="majorHAnsi" w:hAnsiTheme="majorHAnsi"/>
          <w:color w:val="000000" w:themeColor="text1"/>
          <w:sz w:val="20"/>
          <w:szCs w:val="20"/>
          <w:lang w:val="es-ES"/>
        </w:rPr>
        <w:t xml:space="preserve">lo </w:t>
      </w:r>
      <w:r w:rsidR="00AE0AC5" w:rsidRPr="00E80949">
        <w:rPr>
          <w:rFonts w:asciiTheme="majorHAnsi" w:hAnsiTheme="majorHAnsi"/>
          <w:color w:val="000000" w:themeColor="text1"/>
          <w:sz w:val="20"/>
          <w:szCs w:val="20"/>
          <w:lang w:val="es-ES"/>
        </w:rPr>
        <w:t xml:space="preserve">declaró infundado a través de la resolución N.º </w:t>
      </w:r>
      <w:r w:rsidR="00987A56" w:rsidRPr="00E80949">
        <w:rPr>
          <w:rFonts w:asciiTheme="majorHAnsi" w:hAnsiTheme="majorHAnsi"/>
          <w:color w:val="000000" w:themeColor="text1"/>
          <w:sz w:val="20"/>
          <w:szCs w:val="20"/>
          <w:lang w:val="es-ES"/>
        </w:rPr>
        <w:t>158</w:t>
      </w:r>
      <w:r w:rsidR="00AE0AC5" w:rsidRPr="00E80949">
        <w:rPr>
          <w:rFonts w:asciiTheme="majorHAnsi" w:hAnsiTheme="majorHAnsi"/>
          <w:color w:val="000000" w:themeColor="text1"/>
          <w:sz w:val="20"/>
          <w:szCs w:val="20"/>
          <w:lang w:val="es-ES"/>
        </w:rPr>
        <w:t>-2012-PCNM</w:t>
      </w:r>
      <w:r w:rsidR="00ED1F71" w:rsidRPr="00E80949">
        <w:rPr>
          <w:rFonts w:asciiTheme="majorHAnsi" w:hAnsiTheme="majorHAnsi"/>
          <w:color w:val="000000" w:themeColor="text1"/>
          <w:sz w:val="20"/>
          <w:szCs w:val="20"/>
          <w:lang w:val="es-ES"/>
        </w:rPr>
        <w:t xml:space="preserve"> </w:t>
      </w:r>
      <w:r w:rsidR="007E0CBD" w:rsidRPr="00E80949">
        <w:rPr>
          <w:rFonts w:asciiTheme="majorHAnsi" w:hAnsiTheme="majorHAnsi"/>
          <w:color w:val="000000" w:themeColor="text1"/>
          <w:sz w:val="20"/>
          <w:szCs w:val="20"/>
          <w:lang w:val="es-ES"/>
        </w:rPr>
        <w:t>argumentando</w:t>
      </w:r>
      <w:r w:rsidR="008F02B1" w:rsidRPr="00E80949">
        <w:rPr>
          <w:rFonts w:asciiTheme="majorHAnsi" w:hAnsiTheme="majorHAnsi"/>
          <w:color w:val="000000" w:themeColor="text1"/>
          <w:sz w:val="20"/>
          <w:szCs w:val="20"/>
          <w:lang w:val="es-ES"/>
        </w:rPr>
        <w:t xml:space="preserve"> que la evaluación </w:t>
      </w:r>
      <w:r w:rsidR="004C405D" w:rsidRPr="00E80949">
        <w:rPr>
          <w:rFonts w:asciiTheme="majorHAnsi" w:hAnsiTheme="majorHAnsi"/>
          <w:color w:val="000000" w:themeColor="text1"/>
          <w:sz w:val="20"/>
          <w:szCs w:val="20"/>
          <w:lang w:val="es-ES"/>
        </w:rPr>
        <w:t>estaba</w:t>
      </w:r>
      <w:r w:rsidR="008F02B1" w:rsidRPr="00E80949">
        <w:rPr>
          <w:rFonts w:asciiTheme="majorHAnsi" w:hAnsiTheme="majorHAnsi"/>
          <w:color w:val="000000" w:themeColor="text1"/>
          <w:sz w:val="20"/>
          <w:szCs w:val="20"/>
          <w:lang w:val="es-ES"/>
        </w:rPr>
        <w:t xml:space="preserve"> motivad</w:t>
      </w:r>
      <w:r w:rsidR="007A1028" w:rsidRPr="00E80949">
        <w:rPr>
          <w:rFonts w:asciiTheme="majorHAnsi" w:hAnsiTheme="majorHAnsi"/>
          <w:color w:val="000000" w:themeColor="text1"/>
          <w:sz w:val="20"/>
          <w:szCs w:val="20"/>
          <w:lang w:val="es-ES"/>
        </w:rPr>
        <w:t>a.</w:t>
      </w:r>
      <w:r w:rsidR="008F02B1" w:rsidRPr="00E80949">
        <w:rPr>
          <w:rFonts w:asciiTheme="majorHAnsi" w:hAnsiTheme="majorHAnsi"/>
          <w:color w:val="000000" w:themeColor="text1"/>
          <w:sz w:val="20"/>
          <w:szCs w:val="20"/>
          <w:lang w:val="es-ES"/>
        </w:rPr>
        <w:t xml:space="preserve"> </w:t>
      </w:r>
    </w:p>
    <w:p w14:paraId="41C886E3" w14:textId="0DC09AEA" w:rsidR="00613A0C" w:rsidRPr="00E80949" w:rsidRDefault="00E63698" w:rsidP="007E0CBD">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color w:val="000000" w:themeColor="text1"/>
          <w:sz w:val="20"/>
          <w:szCs w:val="20"/>
          <w:lang w:val="es-ES"/>
        </w:rPr>
      </w:pPr>
      <w:r w:rsidRPr="00E80949">
        <w:rPr>
          <w:rFonts w:asciiTheme="majorHAnsi" w:hAnsiTheme="majorHAnsi"/>
          <w:color w:val="000000" w:themeColor="text1"/>
          <w:sz w:val="20"/>
          <w:szCs w:val="20"/>
          <w:lang w:val="es-ES"/>
        </w:rPr>
        <w:t xml:space="preserve">Ante esto </w:t>
      </w:r>
      <w:r w:rsidR="00B75BA3" w:rsidRPr="00E80949">
        <w:rPr>
          <w:rFonts w:asciiTheme="majorHAnsi" w:hAnsiTheme="majorHAnsi"/>
          <w:color w:val="000000" w:themeColor="text1"/>
          <w:sz w:val="20"/>
          <w:szCs w:val="20"/>
          <w:lang w:val="es-ES"/>
        </w:rPr>
        <w:t xml:space="preserve">el Sr. Vergara </w:t>
      </w:r>
      <w:r w:rsidR="003D5D5E" w:rsidRPr="00E80949">
        <w:rPr>
          <w:rFonts w:asciiTheme="majorHAnsi" w:hAnsiTheme="majorHAnsi"/>
          <w:color w:val="000000" w:themeColor="text1"/>
          <w:sz w:val="20"/>
          <w:szCs w:val="20"/>
          <w:lang w:val="es-ES"/>
        </w:rPr>
        <w:t>interpuso una demanda de amparo</w:t>
      </w:r>
      <w:r w:rsidR="009B7BD0" w:rsidRPr="00E80949">
        <w:rPr>
          <w:rFonts w:asciiTheme="majorHAnsi" w:hAnsiTheme="majorHAnsi"/>
          <w:color w:val="000000" w:themeColor="text1"/>
          <w:sz w:val="20"/>
          <w:szCs w:val="20"/>
          <w:lang w:val="es-ES"/>
        </w:rPr>
        <w:t xml:space="preserve"> el 2 de agosto de 2012</w:t>
      </w:r>
      <w:r w:rsidR="00B75BA3" w:rsidRPr="00E80949">
        <w:rPr>
          <w:rFonts w:asciiTheme="majorHAnsi" w:hAnsiTheme="majorHAnsi"/>
          <w:color w:val="000000" w:themeColor="text1"/>
          <w:sz w:val="20"/>
          <w:szCs w:val="20"/>
          <w:lang w:val="es-ES"/>
        </w:rPr>
        <w:t>.</w:t>
      </w:r>
      <w:r w:rsidRPr="00E80949">
        <w:rPr>
          <w:rFonts w:asciiTheme="majorHAnsi" w:hAnsiTheme="majorHAnsi"/>
          <w:color w:val="000000" w:themeColor="text1"/>
          <w:sz w:val="20"/>
          <w:szCs w:val="20"/>
          <w:lang w:val="es-ES"/>
        </w:rPr>
        <w:t xml:space="preserve"> </w:t>
      </w:r>
      <w:r w:rsidR="008C3B4E" w:rsidRPr="00E80949">
        <w:rPr>
          <w:rFonts w:asciiTheme="majorHAnsi" w:hAnsiTheme="majorHAnsi"/>
          <w:color w:val="000000" w:themeColor="text1"/>
          <w:sz w:val="20"/>
          <w:szCs w:val="20"/>
          <w:lang w:val="es-ES"/>
        </w:rPr>
        <w:t>Sin embargo</w:t>
      </w:r>
      <w:r w:rsidR="00B75BA3" w:rsidRPr="00E80949">
        <w:rPr>
          <w:rFonts w:asciiTheme="majorHAnsi" w:hAnsiTheme="majorHAnsi"/>
          <w:color w:val="000000" w:themeColor="text1"/>
          <w:sz w:val="20"/>
          <w:szCs w:val="20"/>
          <w:lang w:val="es-ES"/>
        </w:rPr>
        <w:t xml:space="preserve">, </w:t>
      </w:r>
      <w:r w:rsidR="008C3B4E" w:rsidRPr="00E80949">
        <w:rPr>
          <w:rFonts w:asciiTheme="majorHAnsi" w:hAnsiTheme="majorHAnsi"/>
          <w:color w:val="000000" w:themeColor="text1"/>
          <w:sz w:val="20"/>
          <w:szCs w:val="20"/>
          <w:lang w:val="es-ES"/>
        </w:rPr>
        <w:t>el</w:t>
      </w:r>
      <w:r w:rsidR="00B75BA3" w:rsidRPr="00E80949">
        <w:rPr>
          <w:rFonts w:asciiTheme="majorHAnsi" w:hAnsiTheme="majorHAnsi"/>
          <w:color w:val="000000" w:themeColor="text1"/>
          <w:sz w:val="20"/>
          <w:szCs w:val="20"/>
          <w:lang w:val="es-ES"/>
        </w:rPr>
        <w:t xml:space="preserve"> 10 de agosto de 2012 </w:t>
      </w:r>
      <w:r w:rsidR="008C3B4E" w:rsidRPr="00E80949">
        <w:rPr>
          <w:rFonts w:asciiTheme="majorHAnsi" w:hAnsiTheme="majorHAnsi"/>
          <w:color w:val="000000" w:themeColor="text1"/>
          <w:sz w:val="20"/>
          <w:szCs w:val="20"/>
          <w:lang w:val="es-ES"/>
        </w:rPr>
        <w:t xml:space="preserve">el Juzgado Mixto de Huánuco la </w:t>
      </w:r>
      <w:r w:rsidR="003D5D5E" w:rsidRPr="00E80949">
        <w:rPr>
          <w:rFonts w:asciiTheme="majorHAnsi" w:hAnsiTheme="majorHAnsi"/>
          <w:color w:val="000000" w:themeColor="text1"/>
          <w:sz w:val="20"/>
          <w:szCs w:val="20"/>
          <w:lang w:val="es-ES"/>
        </w:rPr>
        <w:t>declaró improceden</w:t>
      </w:r>
      <w:r w:rsidR="008C3B4E" w:rsidRPr="00E80949">
        <w:rPr>
          <w:rFonts w:asciiTheme="majorHAnsi" w:hAnsiTheme="majorHAnsi"/>
          <w:color w:val="000000" w:themeColor="text1"/>
          <w:sz w:val="20"/>
          <w:szCs w:val="20"/>
          <w:lang w:val="es-ES"/>
        </w:rPr>
        <w:t>te</w:t>
      </w:r>
      <w:r w:rsidR="003D5D5E" w:rsidRPr="00E80949">
        <w:rPr>
          <w:rFonts w:asciiTheme="majorHAnsi" w:hAnsiTheme="majorHAnsi"/>
          <w:color w:val="000000" w:themeColor="text1"/>
          <w:sz w:val="20"/>
          <w:szCs w:val="20"/>
          <w:lang w:val="es-ES"/>
        </w:rPr>
        <w:t xml:space="preserve"> </w:t>
      </w:r>
      <w:r w:rsidR="00B75BA3" w:rsidRPr="00E80949">
        <w:rPr>
          <w:rFonts w:asciiTheme="majorHAnsi" w:hAnsiTheme="majorHAnsi"/>
          <w:i/>
          <w:iCs/>
          <w:color w:val="000000" w:themeColor="text1"/>
          <w:sz w:val="20"/>
          <w:szCs w:val="20"/>
          <w:lang w:val="es-ES"/>
        </w:rPr>
        <w:t>in limine</w:t>
      </w:r>
      <w:r w:rsidR="00EA06E3" w:rsidRPr="00E80949">
        <w:rPr>
          <w:rFonts w:asciiTheme="majorHAnsi" w:hAnsiTheme="majorHAnsi"/>
          <w:color w:val="000000" w:themeColor="text1"/>
          <w:sz w:val="20"/>
          <w:szCs w:val="20"/>
          <w:lang w:val="es-ES"/>
        </w:rPr>
        <w:t xml:space="preserve">, </w:t>
      </w:r>
      <w:r w:rsidR="00432D0C" w:rsidRPr="00E80949">
        <w:rPr>
          <w:rFonts w:asciiTheme="majorHAnsi" w:hAnsiTheme="majorHAnsi"/>
          <w:color w:val="000000" w:themeColor="text1"/>
          <w:sz w:val="20"/>
          <w:szCs w:val="20"/>
          <w:lang w:val="es-ES"/>
        </w:rPr>
        <w:t xml:space="preserve">al considerar que los hechos invocados en el recurso exigían la actuación de medios probatorios contenidos en el expediente administrativo de ratificación, lo cual no podía llevarse a cabo </w:t>
      </w:r>
      <w:r w:rsidR="007E0CBD" w:rsidRPr="00E80949">
        <w:rPr>
          <w:rFonts w:asciiTheme="majorHAnsi" w:hAnsiTheme="majorHAnsi"/>
          <w:color w:val="000000" w:themeColor="text1"/>
          <w:sz w:val="20"/>
          <w:szCs w:val="20"/>
          <w:lang w:val="es-ES"/>
        </w:rPr>
        <w:t>en la</w:t>
      </w:r>
      <w:r w:rsidR="00432D0C" w:rsidRPr="00E80949">
        <w:rPr>
          <w:rFonts w:asciiTheme="majorHAnsi" w:hAnsiTheme="majorHAnsi"/>
          <w:color w:val="000000" w:themeColor="text1"/>
          <w:sz w:val="20"/>
          <w:szCs w:val="20"/>
          <w:lang w:val="es-ES"/>
        </w:rPr>
        <w:t xml:space="preserve"> vía</w:t>
      </w:r>
      <w:r w:rsidR="007E0CBD" w:rsidRPr="00E80949">
        <w:rPr>
          <w:rFonts w:asciiTheme="majorHAnsi" w:hAnsiTheme="majorHAnsi"/>
          <w:color w:val="000000" w:themeColor="text1"/>
          <w:sz w:val="20"/>
          <w:szCs w:val="20"/>
          <w:lang w:val="es-ES"/>
        </w:rPr>
        <w:t xml:space="preserve"> </w:t>
      </w:r>
      <w:r w:rsidR="004B55BE" w:rsidRPr="00E80949">
        <w:rPr>
          <w:rFonts w:asciiTheme="majorHAnsi" w:hAnsiTheme="majorHAnsi"/>
          <w:color w:val="000000" w:themeColor="text1"/>
          <w:sz w:val="20"/>
          <w:szCs w:val="20"/>
          <w:lang w:val="es-ES"/>
        </w:rPr>
        <w:t>constitucional</w:t>
      </w:r>
      <w:r w:rsidR="00432D0C" w:rsidRPr="00E80949">
        <w:rPr>
          <w:rFonts w:asciiTheme="majorHAnsi" w:hAnsiTheme="majorHAnsi"/>
          <w:color w:val="000000" w:themeColor="text1"/>
          <w:sz w:val="20"/>
          <w:szCs w:val="20"/>
          <w:lang w:val="es-ES"/>
        </w:rPr>
        <w:t xml:space="preserve">. </w:t>
      </w:r>
      <w:r w:rsidR="004B55BE" w:rsidRPr="00E80949">
        <w:rPr>
          <w:rFonts w:asciiTheme="majorHAnsi" w:hAnsiTheme="majorHAnsi"/>
          <w:color w:val="000000" w:themeColor="text1"/>
          <w:sz w:val="20"/>
          <w:szCs w:val="20"/>
          <w:lang w:val="es-ES"/>
        </w:rPr>
        <w:t xml:space="preserve">El 22 de febrero de 2013 </w:t>
      </w:r>
      <w:r w:rsidR="00EA06E3" w:rsidRPr="00E80949">
        <w:rPr>
          <w:rFonts w:asciiTheme="majorHAnsi" w:hAnsiTheme="majorHAnsi"/>
          <w:color w:val="000000" w:themeColor="text1"/>
          <w:sz w:val="20"/>
          <w:szCs w:val="20"/>
          <w:lang w:val="es-ES"/>
        </w:rPr>
        <w:t xml:space="preserve">la Sala Penal de Apelaciones y Civil de Emergencia </w:t>
      </w:r>
      <w:r w:rsidR="00B75BA3" w:rsidRPr="00E80949">
        <w:rPr>
          <w:rFonts w:asciiTheme="majorHAnsi" w:hAnsiTheme="majorHAnsi"/>
          <w:color w:val="000000" w:themeColor="text1"/>
          <w:sz w:val="20"/>
          <w:szCs w:val="20"/>
          <w:lang w:val="es-ES"/>
        </w:rPr>
        <w:t>confirmó</w:t>
      </w:r>
      <w:r w:rsidR="004B55BE" w:rsidRPr="00E80949">
        <w:rPr>
          <w:rFonts w:asciiTheme="majorHAnsi" w:hAnsiTheme="majorHAnsi"/>
          <w:color w:val="000000" w:themeColor="text1"/>
          <w:sz w:val="20"/>
          <w:szCs w:val="20"/>
          <w:lang w:val="es-ES"/>
        </w:rPr>
        <w:t xml:space="preserve"> en segunda instancia</w:t>
      </w:r>
      <w:r w:rsidR="00B75BA3" w:rsidRPr="00E80949">
        <w:rPr>
          <w:rFonts w:asciiTheme="majorHAnsi" w:hAnsiTheme="majorHAnsi"/>
          <w:color w:val="000000" w:themeColor="text1"/>
          <w:sz w:val="20"/>
          <w:szCs w:val="20"/>
          <w:lang w:val="es-ES"/>
        </w:rPr>
        <w:t xml:space="preserve"> la improcedencia. </w:t>
      </w:r>
      <w:r w:rsidR="008D2880" w:rsidRPr="00E80949">
        <w:rPr>
          <w:rFonts w:asciiTheme="majorHAnsi" w:hAnsiTheme="majorHAnsi"/>
          <w:color w:val="000000" w:themeColor="text1"/>
          <w:sz w:val="20"/>
          <w:szCs w:val="20"/>
          <w:lang w:val="es-ES"/>
        </w:rPr>
        <w:t xml:space="preserve">Finalmente, </w:t>
      </w:r>
      <w:r w:rsidR="004B55BE" w:rsidRPr="00E80949">
        <w:rPr>
          <w:rFonts w:asciiTheme="majorHAnsi" w:hAnsiTheme="majorHAnsi"/>
          <w:color w:val="000000" w:themeColor="text1"/>
          <w:sz w:val="20"/>
          <w:szCs w:val="20"/>
          <w:lang w:val="es-ES"/>
        </w:rPr>
        <w:t xml:space="preserve">el 27 de agosto de 2014 </w:t>
      </w:r>
      <w:r w:rsidR="008D2880" w:rsidRPr="00E80949">
        <w:rPr>
          <w:rFonts w:asciiTheme="majorHAnsi" w:hAnsiTheme="majorHAnsi"/>
          <w:color w:val="000000" w:themeColor="text1"/>
          <w:sz w:val="20"/>
          <w:szCs w:val="20"/>
          <w:lang w:val="es-ES"/>
        </w:rPr>
        <w:t>el Tribunal Constitucional</w:t>
      </w:r>
      <w:r w:rsidR="00AB19C2" w:rsidRPr="00E80949">
        <w:rPr>
          <w:rFonts w:asciiTheme="majorHAnsi" w:hAnsiTheme="majorHAnsi"/>
          <w:color w:val="000000" w:themeColor="text1"/>
          <w:sz w:val="20"/>
          <w:szCs w:val="20"/>
          <w:lang w:val="es-ES"/>
        </w:rPr>
        <w:t xml:space="preserve"> </w:t>
      </w:r>
      <w:r w:rsidR="0002393E" w:rsidRPr="00E80949">
        <w:rPr>
          <w:rFonts w:asciiTheme="majorHAnsi" w:hAnsiTheme="majorHAnsi"/>
          <w:color w:val="000000" w:themeColor="text1"/>
          <w:sz w:val="20"/>
          <w:szCs w:val="20"/>
          <w:lang w:val="es-ES"/>
        </w:rPr>
        <w:t>ratificó la inadmisibilidad de la demanda</w:t>
      </w:r>
      <w:r w:rsidR="008D2880" w:rsidRPr="00E80949">
        <w:rPr>
          <w:rFonts w:asciiTheme="majorHAnsi" w:hAnsiTheme="majorHAnsi"/>
          <w:color w:val="000000" w:themeColor="text1"/>
          <w:sz w:val="20"/>
          <w:szCs w:val="20"/>
          <w:lang w:val="es-ES"/>
        </w:rPr>
        <w:t xml:space="preserve">, </w:t>
      </w:r>
      <w:r w:rsidR="0002393E" w:rsidRPr="00E80949">
        <w:rPr>
          <w:rFonts w:asciiTheme="majorHAnsi" w:hAnsiTheme="majorHAnsi"/>
          <w:color w:val="000000" w:themeColor="text1"/>
          <w:sz w:val="20"/>
          <w:szCs w:val="20"/>
          <w:lang w:val="es-ES"/>
        </w:rPr>
        <w:t>notifica</w:t>
      </w:r>
      <w:r w:rsidR="008F02B1" w:rsidRPr="00E80949">
        <w:rPr>
          <w:rFonts w:asciiTheme="majorHAnsi" w:hAnsiTheme="majorHAnsi"/>
          <w:color w:val="000000" w:themeColor="text1"/>
          <w:sz w:val="20"/>
          <w:szCs w:val="20"/>
          <w:lang w:val="es-ES"/>
        </w:rPr>
        <w:t>n</w:t>
      </w:r>
      <w:r w:rsidR="0002393E" w:rsidRPr="00E80949">
        <w:rPr>
          <w:rFonts w:asciiTheme="majorHAnsi" w:hAnsiTheme="majorHAnsi"/>
          <w:color w:val="000000" w:themeColor="text1"/>
          <w:sz w:val="20"/>
          <w:szCs w:val="20"/>
          <w:lang w:val="es-ES"/>
        </w:rPr>
        <w:t xml:space="preserve">do </w:t>
      </w:r>
      <w:r w:rsidRPr="00E80949">
        <w:rPr>
          <w:rFonts w:asciiTheme="majorHAnsi" w:hAnsiTheme="majorHAnsi"/>
          <w:color w:val="000000" w:themeColor="text1"/>
          <w:sz w:val="20"/>
          <w:szCs w:val="20"/>
          <w:lang w:val="es-ES"/>
        </w:rPr>
        <w:t xml:space="preserve">esta determinación </w:t>
      </w:r>
      <w:r w:rsidR="00432D0C" w:rsidRPr="00E80949">
        <w:rPr>
          <w:rFonts w:asciiTheme="majorHAnsi" w:hAnsiTheme="majorHAnsi"/>
          <w:color w:val="000000" w:themeColor="text1"/>
          <w:sz w:val="20"/>
          <w:szCs w:val="20"/>
          <w:lang w:val="es-ES"/>
        </w:rPr>
        <w:t>a la presunta víctima el</w:t>
      </w:r>
      <w:r w:rsidR="0002393E" w:rsidRPr="00E80949">
        <w:rPr>
          <w:rFonts w:asciiTheme="majorHAnsi" w:hAnsiTheme="majorHAnsi"/>
          <w:color w:val="000000" w:themeColor="text1"/>
          <w:sz w:val="20"/>
          <w:szCs w:val="20"/>
          <w:lang w:val="es-ES"/>
        </w:rPr>
        <w:t xml:space="preserve"> 18 de marzo de 2015</w:t>
      </w:r>
      <w:r w:rsidR="00B75BA3" w:rsidRPr="00E80949">
        <w:rPr>
          <w:rFonts w:asciiTheme="majorHAnsi" w:hAnsiTheme="majorHAnsi"/>
          <w:color w:val="000000" w:themeColor="text1"/>
          <w:sz w:val="20"/>
          <w:szCs w:val="20"/>
          <w:lang w:val="es-ES"/>
        </w:rPr>
        <w:t>.</w:t>
      </w:r>
      <w:r w:rsidR="008F02B1" w:rsidRPr="00E80949">
        <w:rPr>
          <w:rFonts w:asciiTheme="majorHAnsi" w:hAnsiTheme="majorHAnsi"/>
          <w:color w:val="000000" w:themeColor="text1"/>
          <w:sz w:val="20"/>
          <w:szCs w:val="20"/>
          <w:lang w:val="es-ES"/>
        </w:rPr>
        <w:t xml:space="preserve"> Dicho órgano resolvió lo siguiente: </w:t>
      </w:r>
    </w:p>
    <w:p w14:paraId="6E71BF34" w14:textId="6EABCB8B" w:rsidR="008F02B1" w:rsidRPr="00E80949" w:rsidRDefault="008F02B1" w:rsidP="00F9082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720" w:right="720"/>
        <w:jc w:val="both"/>
        <w:rPr>
          <w:rFonts w:asciiTheme="majorHAnsi" w:hAnsiTheme="majorHAnsi"/>
          <w:color w:val="000000" w:themeColor="text1"/>
          <w:sz w:val="18"/>
          <w:szCs w:val="18"/>
          <w:lang w:val="es-ES"/>
        </w:rPr>
      </w:pPr>
      <w:r w:rsidRPr="00E80949">
        <w:rPr>
          <w:rFonts w:asciiTheme="majorHAnsi" w:hAnsiTheme="majorHAnsi"/>
          <w:color w:val="000000" w:themeColor="text1"/>
          <w:sz w:val="18"/>
          <w:szCs w:val="18"/>
          <w:lang w:val="es-ES"/>
        </w:rPr>
        <w:t>[</w:t>
      </w:r>
      <w:r w:rsidR="00AB70EC" w:rsidRPr="00E80949">
        <w:rPr>
          <w:rFonts w:asciiTheme="majorHAnsi" w:hAnsiTheme="majorHAnsi"/>
          <w:color w:val="000000" w:themeColor="text1"/>
          <w:sz w:val="18"/>
          <w:szCs w:val="18"/>
          <w:lang w:val="es-ES"/>
        </w:rPr>
        <w:t>E</w:t>
      </w:r>
      <w:r w:rsidR="00F90827" w:rsidRPr="00E80949">
        <w:rPr>
          <w:rFonts w:asciiTheme="majorHAnsi" w:hAnsiTheme="majorHAnsi"/>
          <w:color w:val="000000" w:themeColor="text1"/>
          <w:sz w:val="18"/>
          <w:szCs w:val="18"/>
          <w:lang w:val="es-ES"/>
        </w:rPr>
        <w:t>l tribunal</w:t>
      </w:r>
      <w:r w:rsidRPr="00E80949">
        <w:rPr>
          <w:rFonts w:asciiTheme="majorHAnsi" w:hAnsiTheme="majorHAnsi"/>
          <w:color w:val="000000" w:themeColor="text1"/>
          <w:sz w:val="18"/>
          <w:szCs w:val="18"/>
          <w:lang w:val="es-ES"/>
        </w:rPr>
        <w:t>] observa que la decisión de no ratificación se encuentra debidamente motivada, de manera adecuada, suficiente y congruente puesto que se expresan una serie de hechos atribuidos al recurrente en el ejercicio de su cargo que han motivado que al finalizar el proceso de evaluación se disponga su no ratificación en el cargo de Juez del Tercer Juzgado de Instrucción.</w:t>
      </w:r>
    </w:p>
    <w:p w14:paraId="221EEDBA" w14:textId="6524D00D" w:rsidR="004D1426" w:rsidRPr="00E80949" w:rsidRDefault="004D1426" w:rsidP="004D142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720"/>
        <w:jc w:val="both"/>
        <w:rPr>
          <w:rFonts w:asciiTheme="majorHAnsi" w:hAnsiTheme="majorHAnsi"/>
          <w:i/>
          <w:iCs/>
          <w:color w:val="000000" w:themeColor="text1"/>
          <w:sz w:val="20"/>
          <w:szCs w:val="20"/>
          <w:lang w:val="es-ES"/>
        </w:rPr>
      </w:pPr>
      <w:r w:rsidRPr="00E80949">
        <w:rPr>
          <w:rFonts w:asciiTheme="majorHAnsi" w:hAnsiTheme="majorHAnsi"/>
          <w:i/>
          <w:iCs/>
          <w:color w:val="000000" w:themeColor="text1"/>
          <w:sz w:val="20"/>
          <w:szCs w:val="20"/>
          <w:lang w:val="es-ES"/>
        </w:rPr>
        <w:t>Consideraciones finales</w:t>
      </w:r>
    </w:p>
    <w:p w14:paraId="2A408FB8" w14:textId="4C6A1709" w:rsidR="004D1426" w:rsidRPr="00E80949" w:rsidRDefault="00B75EFA" w:rsidP="007E0CBD">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color w:val="000000" w:themeColor="text1"/>
          <w:sz w:val="20"/>
          <w:szCs w:val="20"/>
          <w:lang w:val="es-ES"/>
        </w:rPr>
      </w:pPr>
      <w:r w:rsidRPr="00E80949">
        <w:rPr>
          <w:rFonts w:asciiTheme="majorHAnsi" w:hAnsiTheme="majorHAnsi"/>
          <w:color w:val="000000" w:themeColor="text1"/>
          <w:sz w:val="20"/>
          <w:szCs w:val="20"/>
          <w:lang w:val="es-ES"/>
        </w:rPr>
        <w:t>Con base en los hechos antes expuest</w:t>
      </w:r>
      <w:r w:rsidR="00851071" w:rsidRPr="00E80949">
        <w:rPr>
          <w:rFonts w:asciiTheme="majorHAnsi" w:hAnsiTheme="majorHAnsi"/>
          <w:color w:val="000000" w:themeColor="text1"/>
          <w:sz w:val="20"/>
          <w:szCs w:val="20"/>
          <w:lang w:val="es-ES"/>
        </w:rPr>
        <w:t>o</w:t>
      </w:r>
      <w:r w:rsidRPr="00E80949">
        <w:rPr>
          <w:rFonts w:asciiTheme="majorHAnsi" w:hAnsiTheme="majorHAnsi"/>
          <w:color w:val="000000" w:themeColor="text1"/>
          <w:sz w:val="20"/>
          <w:szCs w:val="20"/>
          <w:lang w:val="es-ES"/>
        </w:rPr>
        <w:t xml:space="preserve">s, la parte peticionaria </w:t>
      </w:r>
      <w:r w:rsidR="00E80949" w:rsidRPr="00E80949">
        <w:rPr>
          <w:rFonts w:asciiTheme="majorHAnsi" w:hAnsiTheme="majorHAnsi"/>
          <w:color w:val="000000" w:themeColor="text1"/>
          <w:sz w:val="20"/>
          <w:szCs w:val="20"/>
          <w:lang w:val="es-ES"/>
        </w:rPr>
        <w:t>reclama</w:t>
      </w:r>
      <w:r w:rsidRPr="00E80949">
        <w:rPr>
          <w:rFonts w:asciiTheme="majorHAnsi" w:hAnsiTheme="majorHAnsi"/>
          <w:color w:val="000000" w:themeColor="text1"/>
          <w:sz w:val="20"/>
          <w:szCs w:val="20"/>
          <w:lang w:val="es-ES"/>
        </w:rPr>
        <w:t xml:space="preserve"> que </w:t>
      </w:r>
      <w:r w:rsidR="0053730E" w:rsidRPr="00E80949">
        <w:rPr>
          <w:rFonts w:asciiTheme="majorHAnsi" w:hAnsiTheme="majorHAnsi"/>
          <w:color w:val="000000" w:themeColor="text1"/>
          <w:sz w:val="20"/>
          <w:szCs w:val="20"/>
          <w:lang w:val="es-ES"/>
        </w:rPr>
        <w:t>Perú</w:t>
      </w:r>
      <w:r w:rsidRPr="00E80949">
        <w:rPr>
          <w:rFonts w:asciiTheme="majorHAnsi" w:hAnsiTheme="majorHAnsi"/>
          <w:color w:val="000000" w:themeColor="text1"/>
          <w:sz w:val="20"/>
          <w:szCs w:val="20"/>
          <w:lang w:val="es-ES"/>
        </w:rPr>
        <w:t xml:space="preserve"> vulneró los derechos del Sr. Vergara al: i) admitir </w:t>
      </w:r>
      <w:r w:rsidR="00851071" w:rsidRPr="00E80949">
        <w:rPr>
          <w:rFonts w:asciiTheme="majorHAnsi" w:hAnsiTheme="majorHAnsi"/>
          <w:color w:val="000000" w:themeColor="text1"/>
          <w:sz w:val="20"/>
          <w:szCs w:val="20"/>
          <w:lang w:val="es-ES"/>
        </w:rPr>
        <w:t>la presentación extemporánea del escrito de</w:t>
      </w:r>
      <w:r w:rsidR="007C1E3B" w:rsidRPr="00E80949">
        <w:rPr>
          <w:rFonts w:asciiTheme="majorHAnsi" w:hAnsiTheme="majorHAnsi"/>
          <w:color w:val="000000" w:themeColor="text1"/>
          <w:sz w:val="20"/>
          <w:szCs w:val="20"/>
          <w:lang w:val="es-ES"/>
        </w:rPr>
        <w:t>l</w:t>
      </w:r>
      <w:r w:rsidRPr="00E80949">
        <w:rPr>
          <w:rFonts w:asciiTheme="majorHAnsi" w:hAnsiTheme="majorHAnsi"/>
          <w:color w:val="000000" w:themeColor="text1"/>
          <w:sz w:val="20"/>
          <w:szCs w:val="20"/>
          <w:lang w:val="es-ES"/>
        </w:rPr>
        <w:t xml:space="preserve"> IPRODES; ii) no </w:t>
      </w:r>
      <w:r w:rsidR="00851071" w:rsidRPr="00E80949">
        <w:rPr>
          <w:rFonts w:asciiTheme="majorHAnsi" w:hAnsiTheme="majorHAnsi"/>
          <w:color w:val="000000" w:themeColor="text1"/>
          <w:sz w:val="20"/>
          <w:szCs w:val="20"/>
          <w:lang w:val="es-ES"/>
        </w:rPr>
        <w:t>concederle</w:t>
      </w:r>
      <w:r w:rsidRPr="00E80949">
        <w:rPr>
          <w:rFonts w:asciiTheme="majorHAnsi" w:hAnsiTheme="majorHAnsi"/>
          <w:color w:val="000000" w:themeColor="text1"/>
          <w:sz w:val="20"/>
          <w:szCs w:val="20"/>
          <w:lang w:val="es-ES"/>
        </w:rPr>
        <w:t xml:space="preserve"> el término reglamentario de tres días hábiles, más el término de distancia, para </w:t>
      </w:r>
      <w:r w:rsidR="00851071" w:rsidRPr="00E80949">
        <w:rPr>
          <w:rFonts w:asciiTheme="majorHAnsi" w:hAnsiTheme="majorHAnsi"/>
          <w:color w:val="000000" w:themeColor="text1"/>
          <w:sz w:val="20"/>
          <w:szCs w:val="20"/>
          <w:lang w:val="es-ES"/>
        </w:rPr>
        <w:t>ejercer su derecho de réplica</w:t>
      </w:r>
      <w:r w:rsidR="00432D0C" w:rsidRPr="00E80949">
        <w:rPr>
          <w:rFonts w:asciiTheme="majorHAnsi" w:hAnsiTheme="majorHAnsi"/>
          <w:color w:val="000000" w:themeColor="text1"/>
          <w:sz w:val="20"/>
          <w:szCs w:val="20"/>
          <w:lang w:val="es-ES"/>
        </w:rPr>
        <w:t xml:space="preserve"> por escrito</w:t>
      </w:r>
      <w:r w:rsidR="00E214F4" w:rsidRPr="00E80949">
        <w:rPr>
          <w:rFonts w:asciiTheme="majorHAnsi" w:hAnsiTheme="majorHAnsi"/>
          <w:color w:val="000000" w:themeColor="text1"/>
          <w:sz w:val="20"/>
          <w:szCs w:val="20"/>
          <w:lang w:val="es-ES"/>
        </w:rPr>
        <w:t xml:space="preserve">, y </w:t>
      </w:r>
      <w:r w:rsidR="006358F6" w:rsidRPr="00E80949">
        <w:rPr>
          <w:rFonts w:asciiTheme="majorHAnsi" w:hAnsiTheme="majorHAnsi"/>
          <w:color w:val="000000" w:themeColor="text1"/>
          <w:sz w:val="20"/>
          <w:szCs w:val="20"/>
          <w:lang w:val="es-ES"/>
        </w:rPr>
        <w:t>aun</w:t>
      </w:r>
      <w:r w:rsidR="00E214F4" w:rsidRPr="00E80949">
        <w:rPr>
          <w:rFonts w:asciiTheme="majorHAnsi" w:hAnsiTheme="majorHAnsi"/>
          <w:color w:val="000000" w:themeColor="text1"/>
          <w:sz w:val="20"/>
          <w:szCs w:val="20"/>
          <w:lang w:val="es-ES"/>
        </w:rPr>
        <w:t xml:space="preserve"> así interrogarlo al respecto durante </w:t>
      </w:r>
      <w:r w:rsidR="009B1BFF" w:rsidRPr="00E80949">
        <w:rPr>
          <w:rFonts w:asciiTheme="majorHAnsi" w:hAnsiTheme="majorHAnsi"/>
          <w:color w:val="000000" w:themeColor="text1"/>
          <w:sz w:val="20"/>
          <w:szCs w:val="20"/>
          <w:lang w:val="es-ES"/>
        </w:rPr>
        <w:t>la</w:t>
      </w:r>
      <w:r w:rsidR="00432D0C" w:rsidRPr="00E80949">
        <w:rPr>
          <w:rFonts w:asciiTheme="majorHAnsi" w:hAnsiTheme="majorHAnsi"/>
          <w:color w:val="000000" w:themeColor="text1"/>
          <w:sz w:val="20"/>
          <w:szCs w:val="20"/>
          <w:lang w:val="es-ES"/>
        </w:rPr>
        <w:t xml:space="preserve"> audiencia</w:t>
      </w:r>
      <w:r w:rsidRPr="00E80949">
        <w:rPr>
          <w:rFonts w:asciiTheme="majorHAnsi" w:hAnsiTheme="majorHAnsi"/>
          <w:color w:val="000000" w:themeColor="text1"/>
          <w:sz w:val="20"/>
          <w:szCs w:val="20"/>
          <w:lang w:val="es-ES"/>
        </w:rPr>
        <w:t xml:space="preserve">; </w:t>
      </w:r>
      <w:r w:rsidR="00235873" w:rsidRPr="00E80949">
        <w:rPr>
          <w:rFonts w:asciiTheme="majorHAnsi" w:hAnsiTheme="majorHAnsi"/>
          <w:color w:val="000000" w:themeColor="text1"/>
          <w:sz w:val="20"/>
          <w:szCs w:val="20"/>
          <w:lang w:val="es-ES"/>
        </w:rPr>
        <w:t xml:space="preserve">iii) </w:t>
      </w:r>
      <w:r w:rsidR="008F02B1" w:rsidRPr="00E80949">
        <w:rPr>
          <w:rFonts w:asciiTheme="majorHAnsi" w:hAnsiTheme="majorHAnsi"/>
          <w:color w:val="000000" w:themeColor="text1"/>
          <w:sz w:val="20"/>
          <w:szCs w:val="20"/>
          <w:lang w:val="es-ES"/>
        </w:rPr>
        <w:t xml:space="preserve">emitir la resolución con base en información inexacta; </w:t>
      </w:r>
      <w:r w:rsidR="00D84C44" w:rsidRPr="00E80949">
        <w:rPr>
          <w:rFonts w:asciiTheme="majorHAnsi" w:hAnsiTheme="majorHAnsi"/>
          <w:color w:val="000000" w:themeColor="text1"/>
          <w:sz w:val="20"/>
          <w:szCs w:val="20"/>
          <w:lang w:val="es-ES"/>
        </w:rPr>
        <w:t>iv</w:t>
      </w:r>
      <w:r w:rsidR="001F20A8" w:rsidRPr="00E80949">
        <w:rPr>
          <w:rFonts w:asciiTheme="majorHAnsi" w:hAnsiTheme="majorHAnsi"/>
          <w:color w:val="000000" w:themeColor="text1"/>
          <w:sz w:val="20"/>
          <w:szCs w:val="20"/>
          <w:lang w:val="es-ES"/>
        </w:rPr>
        <w:t xml:space="preserve">) </w:t>
      </w:r>
      <w:r w:rsidR="008F02B1" w:rsidRPr="00E80949">
        <w:rPr>
          <w:rFonts w:asciiTheme="majorHAnsi" w:hAnsiTheme="majorHAnsi"/>
          <w:color w:val="000000" w:themeColor="text1"/>
          <w:sz w:val="20"/>
          <w:szCs w:val="20"/>
          <w:lang w:val="es-ES"/>
        </w:rPr>
        <w:t xml:space="preserve">aplicar un trato diferenciado respecto de otros jueces que integraron el mismo tribunal; </w:t>
      </w:r>
      <w:r w:rsidR="001F20A8" w:rsidRPr="00E80949">
        <w:rPr>
          <w:rFonts w:asciiTheme="majorHAnsi" w:hAnsiTheme="majorHAnsi"/>
          <w:color w:val="000000" w:themeColor="text1"/>
          <w:sz w:val="20"/>
          <w:szCs w:val="20"/>
          <w:lang w:val="es-ES"/>
        </w:rPr>
        <w:t xml:space="preserve">v) </w:t>
      </w:r>
      <w:r w:rsidR="008F02B1" w:rsidRPr="00E80949">
        <w:rPr>
          <w:rFonts w:asciiTheme="majorHAnsi" w:hAnsiTheme="majorHAnsi"/>
          <w:color w:val="000000" w:themeColor="text1"/>
          <w:sz w:val="20"/>
          <w:szCs w:val="20"/>
          <w:lang w:val="es-ES"/>
        </w:rPr>
        <w:t xml:space="preserve">descalificar una sentencia previamente valorada de forma positiva por su criterio de dosificación de pena; e </w:t>
      </w:r>
      <w:r w:rsidR="001F20A8" w:rsidRPr="00E80949">
        <w:rPr>
          <w:rFonts w:asciiTheme="majorHAnsi" w:hAnsiTheme="majorHAnsi"/>
          <w:color w:val="000000" w:themeColor="text1"/>
          <w:sz w:val="20"/>
          <w:szCs w:val="20"/>
          <w:lang w:val="es-ES"/>
        </w:rPr>
        <w:t xml:space="preserve">vi) </w:t>
      </w:r>
      <w:r w:rsidR="008F02B1" w:rsidRPr="00E80949">
        <w:rPr>
          <w:rFonts w:asciiTheme="majorHAnsi" w:hAnsiTheme="majorHAnsi"/>
          <w:color w:val="000000" w:themeColor="text1"/>
          <w:sz w:val="20"/>
          <w:szCs w:val="20"/>
          <w:lang w:val="es-ES"/>
        </w:rPr>
        <w:t>ignorar la evaluación favorable emitida por los asesores especializados del CNM.</w:t>
      </w:r>
    </w:p>
    <w:p w14:paraId="1D57E3E0" w14:textId="65BF6283" w:rsidR="006C468D" w:rsidRPr="00E80949" w:rsidRDefault="004347A1" w:rsidP="007E0CBD">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color w:val="000000" w:themeColor="text1"/>
          <w:sz w:val="20"/>
          <w:szCs w:val="20"/>
          <w:lang w:val="es-ES"/>
        </w:rPr>
      </w:pPr>
      <w:r w:rsidRPr="00E80949">
        <w:rPr>
          <w:rFonts w:asciiTheme="majorHAnsi" w:hAnsiTheme="majorHAnsi"/>
          <w:color w:val="000000" w:themeColor="text1"/>
          <w:sz w:val="20"/>
          <w:szCs w:val="20"/>
          <w:lang w:val="es-ES"/>
        </w:rPr>
        <w:t>Plantea además</w:t>
      </w:r>
      <w:r w:rsidR="006C468D" w:rsidRPr="00E80949">
        <w:rPr>
          <w:rFonts w:asciiTheme="majorHAnsi" w:hAnsiTheme="majorHAnsi"/>
          <w:color w:val="000000" w:themeColor="text1"/>
          <w:sz w:val="20"/>
          <w:szCs w:val="20"/>
          <w:lang w:val="es-ES"/>
        </w:rPr>
        <w:t xml:space="preserve"> que después del recurso extraordinario, el proceso de amparo </w:t>
      </w:r>
      <w:r w:rsidR="00C82962" w:rsidRPr="00E80949">
        <w:rPr>
          <w:rFonts w:asciiTheme="majorHAnsi" w:hAnsiTheme="majorHAnsi"/>
          <w:color w:val="000000" w:themeColor="text1"/>
          <w:sz w:val="20"/>
          <w:szCs w:val="20"/>
          <w:lang w:val="es-ES"/>
        </w:rPr>
        <w:t>constituye</w:t>
      </w:r>
      <w:r w:rsidR="006C468D" w:rsidRPr="00E80949">
        <w:rPr>
          <w:rFonts w:asciiTheme="majorHAnsi" w:hAnsiTheme="majorHAnsi"/>
          <w:color w:val="000000" w:themeColor="text1"/>
          <w:sz w:val="20"/>
          <w:szCs w:val="20"/>
          <w:lang w:val="es-ES"/>
        </w:rPr>
        <w:t xml:space="preserve"> el </w:t>
      </w:r>
      <w:r w:rsidR="00DD66A1" w:rsidRPr="00E80949">
        <w:rPr>
          <w:rFonts w:asciiTheme="majorHAnsi" w:hAnsiTheme="majorHAnsi"/>
          <w:color w:val="000000" w:themeColor="text1"/>
          <w:sz w:val="20"/>
          <w:szCs w:val="20"/>
          <w:lang w:val="es-ES"/>
        </w:rPr>
        <w:t xml:space="preserve">único </w:t>
      </w:r>
      <w:r w:rsidR="006C468D" w:rsidRPr="00E80949">
        <w:rPr>
          <w:rFonts w:asciiTheme="majorHAnsi" w:hAnsiTheme="majorHAnsi"/>
          <w:color w:val="000000" w:themeColor="text1"/>
          <w:sz w:val="20"/>
          <w:szCs w:val="20"/>
          <w:lang w:val="es-ES"/>
        </w:rPr>
        <w:t>recurso para cuestionar la vulneración al debido proceso</w:t>
      </w:r>
      <w:r w:rsidR="004916E1" w:rsidRPr="00E80949">
        <w:rPr>
          <w:rFonts w:asciiTheme="majorHAnsi" w:hAnsiTheme="majorHAnsi"/>
          <w:color w:val="000000" w:themeColor="text1"/>
          <w:sz w:val="20"/>
          <w:szCs w:val="20"/>
          <w:lang w:val="es-ES"/>
        </w:rPr>
        <w:t xml:space="preserve"> y no existe</w:t>
      </w:r>
      <w:r w:rsidR="002D51BC" w:rsidRPr="00E80949">
        <w:rPr>
          <w:rFonts w:asciiTheme="majorHAnsi" w:hAnsiTheme="majorHAnsi"/>
          <w:color w:val="000000" w:themeColor="text1"/>
          <w:sz w:val="20"/>
          <w:szCs w:val="20"/>
          <w:lang w:val="es-ES"/>
        </w:rPr>
        <w:t xml:space="preserve"> otro</w:t>
      </w:r>
      <w:r w:rsidR="004916E1" w:rsidRPr="00E80949">
        <w:rPr>
          <w:rFonts w:asciiTheme="majorHAnsi" w:hAnsiTheme="majorHAnsi"/>
          <w:color w:val="000000" w:themeColor="text1"/>
          <w:sz w:val="20"/>
          <w:szCs w:val="20"/>
          <w:lang w:val="es-ES"/>
        </w:rPr>
        <w:t xml:space="preserve"> mecanismo legal en la jurisdicción ordinaria</w:t>
      </w:r>
      <w:r w:rsidR="006C468D" w:rsidRPr="00E80949">
        <w:rPr>
          <w:rFonts w:asciiTheme="majorHAnsi" w:hAnsiTheme="majorHAnsi"/>
          <w:color w:val="000000" w:themeColor="text1"/>
          <w:sz w:val="20"/>
          <w:szCs w:val="20"/>
          <w:lang w:val="es-ES"/>
        </w:rPr>
        <w:t xml:space="preserve">, conforme </w:t>
      </w:r>
      <w:r w:rsidR="004916E1" w:rsidRPr="00E80949">
        <w:rPr>
          <w:rFonts w:asciiTheme="majorHAnsi" w:hAnsiTheme="majorHAnsi"/>
          <w:color w:val="000000" w:themeColor="text1"/>
          <w:sz w:val="20"/>
          <w:szCs w:val="20"/>
          <w:lang w:val="es-ES"/>
        </w:rPr>
        <w:t>la limitación del</w:t>
      </w:r>
      <w:r w:rsidR="006C468D" w:rsidRPr="00E80949">
        <w:rPr>
          <w:rFonts w:asciiTheme="majorHAnsi" w:hAnsiTheme="majorHAnsi"/>
          <w:color w:val="000000" w:themeColor="text1"/>
          <w:sz w:val="20"/>
          <w:szCs w:val="20"/>
          <w:lang w:val="es-ES"/>
        </w:rPr>
        <w:t xml:space="preserve"> artículo 142 de la Constitución</w:t>
      </w:r>
      <w:r w:rsidR="006C468D" w:rsidRPr="00E80949">
        <w:rPr>
          <w:rStyle w:val="FootnoteReference"/>
          <w:rFonts w:asciiTheme="majorHAnsi" w:hAnsiTheme="majorHAnsi"/>
          <w:color w:val="000000" w:themeColor="text1"/>
          <w:sz w:val="20"/>
          <w:szCs w:val="20"/>
          <w:lang w:val="es-ES"/>
        </w:rPr>
        <w:footnoteReference w:id="7"/>
      </w:r>
      <w:r w:rsidR="006C468D" w:rsidRPr="00E80949">
        <w:rPr>
          <w:rFonts w:asciiTheme="majorHAnsi" w:hAnsiTheme="majorHAnsi"/>
          <w:color w:val="000000" w:themeColor="text1"/>
          <w:sz w:val="20"/>
          <w:szCs w:val="20"/>
          <w:lang w:val="es-ES"/>
        </w:rPr>
        <w:t>, el artículo 5 del Código Procesal Constitucional</w:t>
      </w:r>
      <w:r w:rsidR="006C468D" w:rsidRPr="00E80949">
        <w:rPr>
          <w:rStyle w:val="FootnoteReference"/>
          <w:rFonts w:asciiTheme="majorHAnsi" w:hAnsiTheme="majorHAnsi"/>
          <w:color w:val="000000" w:themeColor="text1"/>
          <w:sz w:val="20"/>
          <w:szCs w:val="20"/>
          <w:lang w:val="es-ES"/>
        </w:rPr>
        <w:footnoteReference w:id="8"/>
      </w:r>
      <w:r w:rsidR="006C468D" w:rsidRPr="00E80949">
        <w:rPr>
          <w:rFonts w:asciiTheme="majorHAnsi" w:hAnsiTheme="majorHAnsi"/>
          <w:color w:val="000000" w:themeColor="text1"/>
          <w:sz w:val="20"/>
          <w:szCs w:val="20"/>
          <w:lang w:val="es-ES"/>
        </w:rPr>
        <w:t xml:space="preserve"> y la jurisprudencia del Tribunal Constitucional</w:t>
      </w:r>
      <w:r w:rsidR="00601049" w:rsidRPr="00E80949">
        <w:rPr>
          <w:rFonts w:asciiTheme="majorHAnsi" w:hAnsiTheme="majorHAnsi"/>
          <w:color w:val="000000" w:themeColor="text1"/>
          <w:sz w:val="20"/>
          <w:szCs w:val="20"/>
          <w:lang w:val="es-ES"/>
        </w:rPr>
        <w:t>;</w:t>
      </w:r>
      <w:r w:rsidR="006C468D" w:rsidRPr="00E80949">
        <w:rPr>
          <w:rFonts w:asciiTheme="majorHAnsi" w:hAnsiTheme="majorHAnsi"/>
          <w:color w:val="000000" w:themeColor="text1"/>
          <w:sz w:val="20"/>
          <w:szCs w:val="20"/>
          <w:lang w:val="es-ES"/>
        </w:rPr>
        <w:t xml:space="preserve"> que</w:t>
      </w:r>
      <w:r w:rsidR="00C82962" w:rsidRPr="00E80949">
        <w:rPr>
          <w:rFonts w:asciiTheme="majorHAnsi" w:hAnsiTheme="majorHAnsi"/>
          <w:color w:val="000000" w:themeColor="text1"/>
          <w:sz w:val="20"/>
          <w:szCs w:val="20"/>
          <w:lang w:val="es-ES"/>
        </w:rPr>
        <w:t>, en sentencia de amparo del 12 de noviembre de 2014</w:t>
      </w:r>
      <w:r w:rsidR="006358F6" w:rsidRPr="00E80949">
        <w:rPr>
          <w:rFonts w:asciiTheme="majorHAnsi" w:hAnsiTheme="majorHAnsi"/>
          <w:color w:val="000000" w:themeColor="text1"/>
          <w:sz w:val="20"/>
          <w:szCs w:val="20"/>
          <w:lang w:val="es-ES"/>
        </w:rPr>
        <w:t xml:space="preserve">, </w:t>
      </w:r>
      <w:r w:rsidR="004D5CFB" w:rsidRPr="00E80949">
        <w:rPr>
          <w:rFonts w:asciiTheme="majorHAnsi" w:hAnsiTheme="majorHAnsi"/>
          <w:color w:val="000000" w:themeColor="text1"/>
          <w:sz w:val="20"/>
          <w:szCs w:val="20"/>
          <w:lang w:val="es-ES"/>
        </w:rPr>
        <w:t>recaída</w:t>
      </w:r>
      <w:r w:rsidR="006358F6" w:rsidRPr="00E80949">
        <w:rPr>
          <w:rFonts w:asciiTheme="majorHAnsi" w:hAnsiTheme="majorHAnsi"/>
          <w:color w:val="000000" w:themeColor="text1"/>
          <w:sz w:val="20"/>
          <w:szCs w:val="20"/>
          <w:lang w:val="es-ES"/>
        </w:rPr>
        <w:t xml:space="preserve"> en el </w:t>
      </w:r>
      <w:r w:rsidR="00C82962" w:rsidRPr="00E80949">
        <w:rPr>
          <w:rFonts w:asciiTheme="majorHAnsi" w:hAnsiTheme="majorHAnsi"/>
          <w:color w:val="000000" w:themeColor="text1"/>
          <w:sz w:val="20"/>
          <w:szCs w:val="20"/>
          <w:lang w:val="es-ES"/>
        </w:rPr>
        <w:t>expediente 07956-2013,</w:t>
      </w:r>
      <w:r w:rsidR="006C468D" w:rsidRPr="00E80949">
        <w:rPr>
          <w:rFonts w:asciiTheme="majorHAnsi" w:hAnsiTheme="majorHAnsi"/>
          <w:color w:val="000000" w:themeColor="text1"/>
          <w:sz w:val="20"/>
          <w:szCs w:val="20"/>
          <w:lang w:val="es-ES"/>
        </w:rPr>
        <w:t xml:space="preserve"> </w:t>
      </w:r>
      <w:r w:rsidR="00C82962" w:rsidRPr="00E80949">
        <w:rPr>
          <w:rFonts w:asciiTheme="majorHAnsi" w:hAnsiTheme="majorHAnsi"/>
          <w:color w:val="000000" w:themeColor="text1"/>
          <w:sz w:val="20"/>
          <w:szCs w:val="20"/>
          <w:lang w:val="es-ES"/>
        </w:rPr>
        <w:t xml:space="preserve">ratificó que </w:t>
      </w:r>
      <w:r w:rsidR="006C468D" w:rsidRPr="00E80949">
        <w:rPr>
          <w:rFonts w:asciiTheme="majorHAnsi" w:hAnsiTheme="majorHAnsi"/>
          <w:color w:val="000000" w:themeColor="text1"/>
          <w:sz w:val="20"/>
          <w:szCs w:val="20"/>
          <w:lang w:val="es-ES"/>
        </w:rPr>
        <w:t>la justicia constitucional</w:t>
      </w:r>
      <w:r w:rsidR="00C82962" w:rsidRPr="00E80949">
        <w:rPr>
          <w:rFonts w:asciiTheme="majorHAnsi" w:hAnsiTheme="majorHAnsi"/>
          <w:color w:val="000000" w:themeColor="text1"/>
          <w:sz w:val="20"/>
          <w:szCs w:val="20"/>
          <w:lang w:val="es-ES"/>
        </w:rPr>
        <w:t xml:space="preserve"> puede </w:t>
      </w:r>
      <w:r w:rsidR="006C468D" w:rsidRPr="00E80949">
        <w:rPr>
          <w:rFonts w:asciiTheme="majorHAnsi" w:hAnsiTheme="majorHAnsi"/>
          <w:color w:val="000000" w:themeColor="text1"/>
          <w:sz w:val="20"/>
          <w:szCs w:val="20"/>
          <w:lang w:val="es-ES"/>
        </w:rPr>
        <w:t xml:space="preserve">revisar </w:t>
      </w:r>
      <w:r w:rsidR="006C468D" w:rsidRPr="00E80949">
        <w:rPr>
          <w:rFonts w:asciiTheme="majorHAnsi" w:hAnsiTheme="majorHAnsi"/>
          <w:color w:val="000000" w:themeColor="text1"/>
          <w:sz w:val="20"/>
          <w:szCs w:val="20"/>
          <w:lang w:val="es-ES"/>
        </w:rPr>
        <w:lastRenderedPageBreak/>
        <w:t>decisiones del CNM en procesos de evaluación y ratificación cuando afecten dicho derecho</w:t>
      </w:r>
      <w:r w:rsidR="00C82962" w:rsidRPr="00E80949">
        <w:rPr>
          <w:rFonts w:asciiTheme="majorHAnsi" w:hAnsiTheme="majorHAnsi"/>
          <w:color w:val="000000" w:themeColor="text1"/>
          <w:sz w:val="20"/>
          <w:szCs w:val="20"/>
          <w:lang w:val="es-ES"/>
        </w:rPr>
        <w:t>.</w:t>
      </w:r>
      <w:r w:rsidR="00FF141B" w:rsidRPr="00E80949">
        <w:rPr>
          <w:rFonts w:asciiTheme="majorHAnsi" w:hAnsiTheme="majorHAnsi"/>
          <w:color w:val="000000" w:themeColor="text1"/>
          <w:sz w:val="20"/>
          <w:szCs w:val="20"/>
          <w:lang w:val="es-ES"/>
        </w:rPr>
        <w:t xml:space="preserve"> </w:t>
      </w:r>
      <w:r w:rsidR="00C82962" w:rsidRPr="00E80949">
        <w:rPr>
          <w:rFonts w:asciiTheme="majorHAnsi" w:hAnsiTheme="majorHAnsi"/>
          <w:color w:val="000000" w:themeColor="text1"/>
          <w:sz w:val="20"/>
          <w:szCs w:val="20"/>
          <w:lang w:val="es-ES"/>
        </w:rPr>
        <w:t>Por lo tanto,</w:t>
      </w:r>
      <w:r w:rsidR="00E314E5" w:rsidRPr="00E80949">
        <w:rPr>
          <w:rFonts w:asciiTheme="majorHAnsi" w:hAnsiTheme="majorHAnsi"/>
          <w:color w:val="000000" w:themeColor="text1"/>
          <w:sz w:val="20"/>
          <w:szCs w:val="20"/>
          <w:lang w:val="es-ES"/>
        </w:rPr>
        <w:t xml:space="preserve"> </w:t>
      </w:r>
      <w:r w:rsidR="00E25E32" w:rsidRPr="00E80949">
        <w:rPr>
          <w:rFonts w:asciiTheme="majorHAnsi" w:hAnsiTheme="majorHAnsi"/>
          <w:color w:val="000000" w:themeColor="text1"/>
          <w:sz w:val="20"/>
          <w:szCs w:val="20"/>
          <w:lang w:val="es-ES"/>
        </w:rPr>
        <w:t>el peticionario sostiene que frente a la CIDH se</w:t>
      </w:r>
      <w:r w:rsidR="00C82962" w:rsidRPr="00E80949">
        <w:rPr>
          <w:rFonts w:asciiTheme="majorHAnsi" w:hAnsiTheme="majorHAnsi"/>
          <w:color w:val="000000" w:themeColor="text1"/>
          <w:sz w:val="20"/>
          <w:szCs w:val="20"/>
          <w:lang w:val="es-ES"/>
        </w:rPr>
        <w:t xml:space="preserve"> ha</w:t>
      </w:r>
      <w:r w:rsidR="00E25E32" w:rsidRPr="00E80949">
        <w:rPr>
          <w:rFonts w:asciiTheme="majorHAnsi" w:hAnsiTheme="majorHAnsi"/>
          <w:color w:val="000000" w:themeColor="text1"/>
          <w:sz w:val="20"/>
          <w:szCs w:val="20"/>
          <w:lang w:val="es-ES"/>
        </w:rPr>
        <w:t>n</w:t>
      </w:r>
      <w:r w:rsidR="00C82962" w:rsidRPr="00E80949">
        <w:rPr>
          <w:rFonts w:asciiTheme="majorHAnsi" w:hAnsiTheme="majorHAnsi"/>
          <w:color w:val="000000" w:themeColor="text1"/>
          <w:sz w:val="20"/>
          <w:szCs w:val="20"/>
          <w:lang w:val="es-ES"/>
        </w:rPr>
        <w:t xml:space="preserve"> agotado todos los recursos internos.</w:t>
      </w:r>
    </w:p>
    <w:p w14:paraId="57BA829D" w14:textId="750C816D" w:rsidR="007F455B" w:rsidRPr="00E80949" w:rsidRDefault="00250EB7" w:rsidP="007E0CBD">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color w:val="000000" w:themeColor="text1"/>
          <w:sz w:val="20"/>
          <w:szCs w:val="20"/>
          <w:lang w:val="es-ES"/>
        </w:rPr>
      </w:pPr>
      <w:r w:rsidRPr="00E80949">
        <w:rPr>
          <w:rFonts w:asciiTheme="majorHAnsi" w:hAnsiTheme="majorHAnsi"/>
          <w:color w:val="000000" w:themeColor="text1"/>
          <w:sz w:val="20"/>
          <w:szCs w:val="20"/>
          <w:lang w:val="es-ES"/>
        </w:rPr>
        <w:t xml:space="preserve">A modo de contexto, la parte peticionaria </w:t>
      </w:r>
      <w:r w:rsidR="00810006" w:rsidRPr="00E80949">
        <w:rPr>
          <w:rFonts w:asciiTheme="majorHAnsi" w:hAnsiTheme="majorHAnsi"/>
          <w:color w:val="000000" w:themeColor="text1"/>
          <w:sz w:val="20"/>
          <w:szCs w:val="20"/>
          <w:lang w:val="es-ES"/>
        </w:rPr>
        <w:t xml:space="preserve">aduce </w:t>
      </w:r>
      <w:r w:rsidRPr="00E80949">
        <w:rPr>
          <w:rFonts w:asciiTheme="majorHAnsi" w:hAnsiTheme="majorHAnsi"/>
          <w:color w:val="000000" w:themeColor="text1"/>
          <w:sz w:val="20"/>
          <w:szCs w:val="20"/>
          <w:lang w:val="es-ES"/>
        </w:rPr>
        <w:t xml:space="preserve">que el órgano estatal responsable de la evaluación y ratificación judicial en el Perú actúa con autonomía absoluta, sin control jurisdiccional ni posibilidad de revisión de sus decisiones, a pesar de que estas afectan la permanencia de </w:t>
      </w:r>
      <w:r w:rsidR="00235873" w:rsidRPr="00E80949">
        <w:rPr>
          <w:rFonts w:asciiTheme="majorHAnsi" w:hAnsiTheme="majorHAnsi"/>
          <w:color w:val="000000" w:themeColor="text1"/>
          <w:sz w:val="20"/>
          <w:szCs w:val="20"/>
          <w:lang w:val="es-ES"/>
        </w:rPr>
        <w:t>jueces</w:t>
      </w:r>
      <w:r w:rsidRPr="00E80949">
        <w:rPr>
          <w:rFonts w:asciiTheme="majorHAnsi" w:hAnsiTheme="majorHAnsi"/>
          <w:color w:val="000000" w:themeColor="text1"/>
          <w:sz w:val="20"/>
          <w:szCs w:val="20"/>
          <w:lang w:val="es-ES"/>
        </w:rPr>
        <w:t xml:space="preserve"> en sus cargos. </w:t>
      </w:r>
      <w:r w:rsidR="007F455B" w:rsidRPr="00E80949">
        <w:rPr>
          <w:rFonts w:asciiTheme="majorHAnsi" w:hAnsiTheme="majorHAnsi"/>
          <w:color w:val="000000" w:themeColor="text1"/>
          <w:sz w:val="20"/>
          <w:szCs w:val="20"/>
          <w:lang w:val="es-ES"/>
        </w:rPr>
        <w:t>Además, alega que los procedimientos del CNM han sido cuestionados por la falta de criterios objetivos y de motivación, lo que ha quedado evidenciado a lo largo de los años en votos singulares, renuncias de consejeros y audios que revelaron tráfico de influencias, derivando en una crisis institucional. Añade que el Estado ha reconocido su responsabilidad internacional en casos similares por no garantizar la tutela judicial efectiva en procesos de ratificación</w:t>
      </w:r>
      <w:r w:rsidR="007F455B" w:rsidRPr="00E80949">
        <w:rPr>
          <w:rStyle w:val="FootnoteReference"/>
          <w:rFonts w:asciiTheme="majorHAnsi" w:hAnsiTheme="majorHAnsi"/>
          <w:color w:val="000000" w:themeColor="text1"/>
          <w:sz w:val="20"/>
          <w:szCs w:val="20"/>
          <w:lang w:val="es-ES"/>
        </w:rPr>
        <w:footnoteReference w:id="9"/>
      </w:r>
      <w:r w:rsidR="007F455B" w:rsidRPr="00E80949">
        <w:rPr>
          <w:rFonts w:asciiTheme="majorHAnsi" w:hAnsiTheme="majorHAnsi"/>
          <w:color w:val="000000" w:themeColor="text1"/>
          <w:sz w:val="20"/>
          <w:szCs w:val="20"/>
          <w:lang w:val="es-ES"/>
        </w:rPr>
        <w:t>.</w:t>
      </w:r>
    </w:p>
    <w:p w14:paraId="129AF6A6" w14:textId="564760E8" w:rsidR="00EF76F5" w:rsidRPr="00E80949" w:rsidRDefault="00CC1180" w:rsidP="00EF76F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720"/>
        <w:jc w:val="both"/>
        <w:rPr>
          <w:rFonts w:asciiTheme="majorHAnsi" w:hAnsiTheme="majorHAnsi"/>
          <w:b/>
          <w:bCs/>
          <w:sz w:val="20"/>
          <w:szCs w:val="20"/>
          <w:lang w:val="es-ES"/>
        </w:rPr>
      </w:pPr>
      <w:r w:rsidRPr="00E80949">
        <w:rPr>
          <w:rFonts w:asciiTheme="majorHAnsi" w:hAnsiTheme="majorHAnsi"/>
          <w:b/>
          <w:bCs/>
          <w:sz w:val="20"/>
          <w:szCs w:val="20"/>
          <w:lang w:val="es-ES"/>
        </w:rPr>
        <w:t>E</w:t>
      </w:r>
      <w:r w:rsidR="005E4B63" w:rsidRPr="00E80949">
        <w:rPr>
          <w:rFonts w:asciiTheme="majorHAnsi" w:hAnsiTheme="majorHAnsi"/>
          <w:b/>
          <w:bCs/>
          <w:sz w:val="20"/>
          <w:szCs w:val="20"/>
          <w:lang w:val="es-ES"/>
        </w:rPr>
        <w:t>l Estado peruano</w:t>
      </w:r>
    </w:p>
    <w:p w14:paraId="637F5481" w14:textId="0731C68E" w:rsidR="00E67F15" w:rsidRPr="00E80949" w:rsidRDefault="00F20E40" w:rsidP="0014358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color w:val="000000" w:themeColor="text1"/>
          <w:sz w:val="20"/>
          <w:szCs w:val="20"/>
          <w:lang w:val="es-ES"/>
        </w:rPr>
      </w:pPr>
      <w:r w:rsidRPr="00E80949">
        <w:rPr>
          <w:rFonts w:asciiTheme="majorHAnsi" w:hAnsiTheme="majorHAnsi"/>
          <w:sz w:val="20"/>
          <w:szCs w:val="20"/>
          <w:lang w:val="es-ES"/>
        </w:rPr>
        <w:t xml:space="preserve">Por su parte, el Estado replica que </w:t>
      </w:r>
      <w:r w:rsidR="003C6964" w:rsidRPr="00E80949">
        <w:rPr>
          <w:rFonts w:asciiTheme="majorHAnsi" w:hAnsiTheme="majorHAnsi"/>
          <w:color w:val="000000" w:themeColor="text1"/>
          <w:sz w:val="20"/>
          <w:szCs w:val="20"/>
          <w:lang w:val="es-ES"/>
        </w:rPr>
        <w:t>la petición es inadmisible por falta de agotamiento de la jurisdicción interna.</w:t>
      </w:r>
      <w:r w:rsidR="00B55547" w:rsidRPr="00E80949">
        <w:rPr>
          <w:rFonts w:asciiTheme="majorHAnsi" w:hAnsiTheme="majorHAnsi"/>
          <w:color w:val="000000" w:themeColor="text1"/>
          <w:sz w:val="20"/>
          <w:szCs w:val="20"/>
          <w:lang w:val="es-ES"/>
        </w:rPr>
        <w:t xml:space="preserve"> </w:t>
      </w:r>
      <w:r w:rsidR="00943207" w:rsidRPr="00E80949">
        <w:rPr>
          <w:rFonts w:asciiTheme="majorHAnsi" w:hAnsiTheme="majorHAnsi"/>
          <w:color w:val="000000" w:themeColor="text1"/>
          <w:sz w:val="20"/>
          <w:szCs w:val="20"/>
          <w:lang w:val="es-ES"/>
        </w:rPr>
        <w:t xml:space="preserve">A su juicio, </w:t>
      </w:r>
      <w:r w:rsidR="005E4B63" w:rsidRPr="00E80949">
        <w:rPr>
          <w:rFonts w:asciiTheme="majorHAnsi" w:hAnsiTheme="majorHAnsi"/>
          <w:color w:val="000000" w:themeColor="text1"/>
          <w:sz w:val="20"/>
          <w:szCs w:val="20"/>
          <w:lang w:val="es-ES"/>
        </w:rPr>
        <w:t>el peticionario</w:t>
      </w:r>
      <w:r w:rsidR="00943207" w:rsidRPr="00E80949">
        <w:rPr>
          <w:rFonts w:asciiTheme="majorHAnsi" w:hAnsiTheme="majorHAnsi"/>
          <w:color w:val="000000" w:themeColor="text1"/>
          <w:sz w:val="20"/>
          <w:szCs w:val="20"/>
          <w:lang w:val="es-ES"/>
        </w:rPr>
        <w:t xml:space="preserve"> no denunció una </w:t>
      </w:r>
      <w:r w:rsidR="002A4E88" w:rsidRPr="00E80949">
        <w:rPr>
          <w:rFonts w:asciiTheme="majorHAnsi" w:hAnsiTheme="majorHAnsi"/>
          <w:color w:val="000000" w:themeColor="text1"/>
          <w:sz w:val="20"/>
          <w:szCs w:val="20"/>
          <w:lang w:val="es-ES"/>
        </w:rPr>
        <w:t>falta</w:t>
      </w:r>
      <w:r w:rsidR="00943207" w:rsidRPr="00E80949">
        <w:rPr>
          <w:rFonts w:asciiTheme="majorHAnsi" w:hAnsiTheme="majorHAnsi"/>
          <w:color w:val="000000" w:themeColor="text1"/>
          <w:sz w:val="20"/>
          <w:szCs w:val="20"/>
          <w:lang w:val="es-ES"/>
        </w:rPr>
        <w:t xml:space="preserve"> de motivación sino una </w:t>
      </w:r>
      <w:r w:rsidR="00E63698" w:rsidRPr="00E80949">
        <w:rPr>
          <w:rFonts w:asciiTheme="majorHAnsi" w:hAnsiTheme="majorHAnsi"/>
          <w:color w:val="000000" w:themeColor="text1"/>
          <w:sz w:val="20"/>
          <w:szCs w:val="20"/>
          <w:lang w:val="es-ES"/>
        </w:rPr>
        <w:t xml:space="preserve">fundamentación </w:t>
      </w:r>
      <w:r w:rsidR="00943207" w:rsidRPr="00E80949">
        <w:rPr>
          <w:rFonts w:asciiTheme="majorHAnsi" w:hAnsiTheme="majorHAnsi"/>
          <w:color w:val="000000" w:themeColor="text1"/>
          <w:sz w:val="20"/>
          <w:szCs w:val="20"/>
          <w:lang w:val="es-ES"/>
        </w:rPr>
        <w:t>indebida, incorrecta o aparente</w:t>
      </w:r>
      <w:r w:rsidR="00EA02FB" w:rsidRPr="00E80949">
        <w:rPr>
          <w:rFonts w:asciiTheme="majorHAnsi" w:hAnsiTheme="majorHAnsi"/>
          <w:color w:val="000000" w:themeColor="text1"/>
          <w:sz w:val="20"/>
          <w:szCs w:val="20"/>
          <w:lang w:val="es-ES"/>
        </w:rPr>
        <w:t>;</w:t>
      </w:r>
      <w:r w:rsidR="00943207" w:rsidRPr="00E80949">
        <w:rPr>
          <w:rFonts w:asciiTheme="majorHAnsi" w:hAnsiTheme="majorHAnsi"/>
          <w:color w:val="000000" w:themeColor="text1"/>
          <w:sz w:val="20"/>
          <w:szCs w:val="20"/>
          <w:lang w:val="es-ES"/>
        </w:rPr>
        <w:t xml:space="preserve"> y por ello sus argumentos solo reflejan una mera discrepancia con la decisión del CNM, cuestión que corresponde ventilar en la </w:t>
      </w:r>
      <w:r w:rsidR="00200CE9" w:rsidRPr="00E80949">
        <w:rPr>
          <w:rFonts w:asciiTheme="majorHAnsi" w:hAnsiTheme="majorHAnsi"/>
          <w:color w:val="000000" w:themeColor="text1"/>
          <w:sz w:val="20"/>
          <w:szCs w:val="20"/>
          <w:lang w:val="es-ES"/>
        </w:rPr>
        <w:t>jurisdicción</w:t>
      </w:r>
      <w:r w:rsidR="00943207" w:rsidRPr="00E80949">
        <w:rPr>
          <w:rFonts w:asciiTheme="majorHAnsi" w:hAnsiTheme="majorHAnsi"/>
          <w:color w:val="000000" w:themeColor="text1"/>
          <w:sz w:val="20"/>
          <w:szCs w:val="20"/>
          <w:lang w:val="es-ES"/>
        </w:rPr>
        <w:t xml:space="preserve"> contencioso-administrativa</w:t>
      </w:r>
      <w:r w:rsidR="003B2566" w:rsidRPr="00E80949">
        <w:rPr>
          <w:rFonts w:asciiTheme="majorHAnsi" w:hAnsiTheme="majorHAnsi"/>
          <w:color w:val="000000" w:themeColor="text1"/>
          <w:sz w:val="20"/>
          <w:szCs w:val="20"/>
          <w:lang w:val="es-ES"/>
        </w:rPr>
        <w:t>, la cual no se agotó</w:t>
      </w:r>
      <w:r w:rsidR="00943207" w:rsidRPr="00E80949">
        <w:rPr>
          <w:rFonts w:asciiTheme="majorHAnsi" w:hAnsiTheme="majorHAnsi"/>
          <w:color w:val="000000" w:themeColor="text1"/>
          <w:sz w:val="20"/>
          <w:szCs w:val="20"/>
          <w:lang w:val="es-ES"/>
        </w:rPr>
        <w:t>.</w:t>
      </w:r>
      <w:r w:rsidR="00EF18B3" w:rsidRPr="00E80949">
        <w:rPr>
          <w:rFonts w:asciiTheme="majorHAnsi" w:hAnsiTheme="majorHAnsi"/>
          <w:color w:val="000000" w:themeColor="text1"/>
          <w:sz w:val="20"/>
          <w:szCs w:val="20"/>
          <w:lang w:val="es-ES"/>
        </w:rPr>
        <w:t xml:space="preserve"> Destaca que dicha vía resulta adecuada y eficaz, dado que su función era idónea para proteger la situación jurídica posiblemente infringida y era capaz de producir el resultado para el que se ha concebido.</w:t>
      </w:r>
      <w:r w:rsidR="00E67F15" w:rsidRPr="00E80949">
        <w:rPr>
          <w:rFonts w:asciiTheme="majorHAnsi" w:hAnsiTheme="majorHAnsi"/>
          <w:color w:val="000000" w:themeColor="text1"/>
          <w:sz w:val="20"/>
          <w:szCs w:val="20"/>
          <w:lang w:val="es-ES"/>
        </w:rPr>
        <w:t xml:space="preserve"> Este criterio se alinea con la jurisprudencia del Tribunal Constitucional</w:t>
      </w:r>
      <w:r w:rsidR="00B05D5A" w:rsidRPr="00E80949">
        <w:rPr>
          <w:rFonts w:asciiTheme="majorHAnsi" w:hAnsiTheme="majorHAnsi"/>
          <w:color w:val="000000" w:themeColor="text1"/>
          <w:sz w:val="20"/>
          <w:szCs w:val="20"/>
          <w:lang w:val="es-ES"/>
        </w:rPr>
        <w:t xml:space="preserve"> de Perú</w:t>
      </w:r>
      <w:r w:rsidR="00E67F15" w:rsidRPr="00E80949">
        <w:rPr>
          <w:rStyle w:val="FootnoteReference"/>
          <w:rFonts w:asciiTheme="majorHAnsi" w:hAnsiTheme="majorHAnsi"/>
          <w:color w:val="000000" w:themeColor="text1"/>
          <w:sz w:val="20"/>
          <w:szCs w:val="20"/>
          <w:lang w:val="es-ES"/>
        </w:rPr>
        <w:footnoteReference w:id="10"/>
      </w:r>
      <w:r w:rsidR="00E67F15" w:rsidRPr="00E80949">
        <w:rPr>
          <w:rFonts w:asciiTheme="majorHAnsi" w:hAnsiTheme="majorHAnsi"/>
          <w:color w:val="000000" w:themeColor="text1"/>
          <w:sz w:val="20"/>
          <w:szCs w:val="20"/>
          <w:lang w:val="es-ES"/>
        </w:rPr>
        <w:t>.</w:t>
      </w:r>
    </w:p>
    <w:p w14:paraId="49BD9914" w14:textId="246DCF3D" w:rsidR="00CF70D1" w:rsidRPr="00E80949" w:rsidRDefault="00CF70D1" w:rsidP="007E0CBD">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color w:val="000000" w:themeColor="text1"/>
          <w:sz w:val="20"/>
          <w:szCs w:val="20"/>
          <w:lang w:val="es-ES"/>
        </w:rPr>
      </w:pPr>
      <w:r w:rsidRPr="00E80949">
        <w:rPr>
          <w:rFonts w:asciiTheme="majorHAnsi" w:hAnsiTheme="majorHAnsi"/>
          <w:color w:val="000000" w:themeColor="text1"/>
          <w:sz w:val="20"/>
          <w:szCs w:val="20"/>
          <w:lang w:val="es-PE"/>
        </w:rPr>
        <w:t xml:space="preserve">Asimismo, </w:t>
      </w:r>
      <w:r w:rsidR="00E80949" w:rsidRPr="00E80949">
        <w:rPr>
          <w:rFonts w:asciiTheme="majorHAnsi" w:hAnsiTheme="majorHAnsi"/>
          <w:color w:val="000000" w:themeColor="text1"/>
          <w:sz w:val="20"/>
          <w:szCs w:val="20"/>
          <w:lang w:val="es-PE"/>
        </w:rPr>
        <w:t>plantea</w:t>
      </w:r>
      <w:r w:rsidRPr="00E80949">
        <w:rPr>
          <w:rFonts w:asciiTheme="majorHAnsi" w:hAnsiTheme="majorHAnsi"/>
          <w:color w:val="000000" w:themeColor="text1"/>
          <w:sz w:val="20"/>
          <w:szCs w:val="20"/>
          <w:lang w:val="es-PE"/>
        </w:rPr>
        <w:t xml:space="preserve"> que los hechos descritos por la parte peticionaria, relacionados con el plazo de convocatoria (nueve años en lugar de siete), la inexactitud de los apercibimientos mencionados en la resolución de no ratificación y la atribución errónea de una sentencia por tráfico ilícito de drogas dictada por otro juez, no fueron cuestionados en sede judicial. En particular, </w:t>
      </w:r>
      <w:r w:rsidR="00382147" w:rsidRPr="00E80949">
        <w:rPr>
          <w:rFonts w:asciiTheme="majorHAnsi" w:hAnsiTheme="majorHAnsi"/>
          <w:color w:val="000000" w:themeColor="text1"/>
          <w:sz w:val="20"/>
          <w:szCs w:val="20"/>
          <w:lang w:val="es-PE"/>
        </w:rPr>
        <w:t>señala</w:t>
      </w:r>
      <w:r w:rsidRPr="00E80949">
        <w:rPr>
          <w:rFonts w:asciiTheme="majorHAnsi" w:hAnsiTheme="majorHAnsi"/>
          <w:color w:val="000000" w:themeColor="text1"/>
          <w:sz w:val="20"/>
          <w:szCs w:val="20"/>
          <w:lang w:val="es-PE"/>
        </w:rPr>
        <w:t xml:space="preserve"> que la presunta víctima únicamente impugnó la inexactitud sobre los apercibimientos en sede administrativa ante el propio CNM.</w:t>
      </w:r>
    </w:p>
    <w:p w14:paraId="69175904" w14:textId="30E44FC5" w:rsidR="00EE0F57" w:rsidRPr="00E80949" w:rsidRDefault="00EE0F57" w:rsidP="007E0CBD">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color w:val="000000" w:themeColor="text1"/>
          <w:sz w:val="20"/>
          <w:szCs w:val="20"/>
          <w:lang w:val="es-ES"/>
        </w:rPr>
      </w:pPr>
      <w:r w:rsidRPr="00E80949">
        <w:rPr>
          <w:rFonts w:asciiTheme="majorHAnsi" w:hAnsiTheme="majorHAnsi"/>
          <w:color w:val="000000" w:themeColor="text1"/>
          <w:sz w:val="20"/>
          <w:szCs w:val="20"/>
          <w:lang w:val="es-ES"/>
        </w:rPr>
        <w:t xml:space="preserve">Sin perjuicio de lo anterior, en caso de que la Comisión considere que el peticionario agotó correctamente la jurisdicción interna, Perú </w:t>
      </w:r>
      <w:r w:rsidR="003C5C2D" w:rsidRPr="00E80949">
        <w:rPr>
          <w:rFonts w:asciiTheme="majorHAnsi" w:hAnsiTheme="majorHAnsi"/>
          <w:color w:val="000000" w:themeColor="text1"/>
          <w:sz w:val="20"/>
          <w:szCs w:val="20"/>
          <w:lang w:val="es-ES"/>
        </w:rPr>
        <w:t xml:space="preserve">responde </w:t>
      </w:r>
      <w:r w:rsidRPr="00E80949">
        <w:rPr>
          <w:rFonts w:asciiTheme="majorHAnsi" w:hAnsiTheme="majorHAnsi"/>
          <w:color w:val="000000" w:themeColor="text1"/>
          <w:sz w:val="20"/>
          <w:szCs w:val="20"/>
          <w:lang w:val="es-ES"/>
        </w:rPr>
        <w:t>que la petición seguiría siendo inadmisible, pues las alegaciones del peticionario carecen de sustento suficiente para caracterizar una posible violación de los derechos humanos establecidos en la Convención.</w:t>
      </w:r>
    </w:p>
    <w:p w14:paraId="76B18BC5" w14:textId="0F5D7FAB" w:rsidR="00C15F20" w:rsidRPr="00E80949" w:rsidRDefault="00956F9C" w:rsidP="007E0CBD">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color w:val="000000" w:themeColor="text1"/>
          <w:sz w:val="20"/>
          <w:szCs w:val="20"/>
          <w:lang w:val="es-ES"/>
        </w:rPr>
      </w:pPr>
      <w:r w:rsidRPr="00E80949">
        <w:rPr>
          <w:rFonts w:asciiTheme="majorHAnsi" w:hAnsiTheme="majorHAnsi"/>
          <w:color w:val="000000" w:themeColor="text1"/>
          <w:sz w:val="20"/>
          <w:szCs w:val="20"/>
          <w:lang w:val="es-ES"/>
        </w:rPr>
        <w:t>El Estado</w:t>
      </w:r>
      <w:r w:rsidR="00923A1C" w:rsidRPr="00E80949">
        <w:rPr>
          <w:rFonts w:asciiTheme="majorHAnsi" w:hAnsiTheme="majorHAnsi"/>
          <w:color w:val="000000" w:themeColor="text1"/>
          <w:sz w:val="20"/>
          <w:szCs w:val="20"/>
          <w:lang w:val="es-ES"/>
        </w:rPr>
        <w:t xml:space="preserve"> alega </w:t>
      </w:r>
      <w:r w:rsidR="007849D1" w:rsidRPr="00E80949">
        <w:rPr>
          <w:rFonts w:asciiTheme="majorHAnsi" w:hAnsiTheme="majorHAnsi"/>
          <w:color w:val="000000" w:themeColor="text1"/>
          <w:sz w:val="20"/>
          <w:szCs w:val="20"/>
          <w:lang w:val="es-ES"/>
        </w:rPr>
        <w:t>que</w:t>
      </w:r>
      <w:r w:rsidR="0065316B" w:rsidRPr="00E80949">
        <w:rPr>
          <w:rFonts w:asciiTheme="majorHAnsi" w:hAnsiTheme="majorHAnsi"/>
          <w:color w:val="000000" w:themeColor="text1"/>
          <w:sz w:val="20"/>
          <w:szCs w:val="20"/>
          <w:lang w:val="es-ES"/>
        </w:rPr>
        <w:t xml:space="preserve"> </w:t>
      </w:r>
      <w:r w:rsidR="007849D1" w:rsidRPr="00E80949">
        <w:rPr>
          <w:rFonts w:asciiTheme="majorHAnsi" w:hAnsiTheme="majorHAnsi"/>
          <w:color w:val="000000" w:themeColor="text1"/>
          <w:sz w:val="20"/>
          <w:szCs w:val="20"/>
          <w:lang w:val="es-ES"/>
        </w:rPr>
        <w:t>el Sr. Vergara conocía plenamente la información</w:t>
      </w:r>
      <w:r w:rsidR="0065316B" w:rsidRPr="00E80949">
        <w:rPr>
          <w:rFonts w:asciiTheme="majorHAnsi" w:hAnsiTheme="majorHAnsi"/>
          <w:color w:val="000000" w:themeColor="text1"/>
          <w:sz w:val="20"/>
          <w:szCs w:val="20"/>
          <w:lang w:val="es-ES"/>
        </w:rPr>
        <w:t xml:space="preserve"> </w:t>
      </w:r>
      <w:r w:rsidR="007849D1" w:rsidRPr="00E80949">
        <w:rPr>
          <w:rFonts w:asciiTheme="majorHAnsi" w:hAnsiTheme="majorHAnsi"/>
          <w:color w:val="000000" w:themeColor="text1"/>
          <w:sz w:val="20"/>
          <w:szCs w:val="20"/>
          <w:lang w:val="es-ES"/>
        </w:rPr>
        <w:t>utilizada en su entrevista personal, así como la que sirvió de fundamento de las resoluciones de no ratificación y el recurso extraordinario del CNM. En su opinión, ello se evidenci</w:t>
      </w:r>
      <w:r w:rsidR="00E63698" w:rsidRPr="00E80949">
        <w:rPr>
          <w:rFonts w:asciiTheme="majorHAnsi" w:hAnsiTheme="majorHAnsi"/>
          <w:color w:val="000000" w:themeColor="text1"/>
          <w:sz w:val="20"/>
          <w:szCs w:val="20"/>
          <w:lang w:val="es-ES"/>
        </w:rPr>
        <w:t>ó</w:t>
      </w:r>
      <w:r w:rsidR="007849D1" w:rsidRPr="00E80949">
        <w:rPr>
          <w:rFonts w:asciiTheme="majorHAnsi" w:hAnsiTheme="majorHAnsi"/>
          <w:color w:val="000000" w:themeColor="text1"/>
          <w:sz w:val="20"/>
          <w:szCs w:val="20"/>
          <w:lang w:val="es-ES"/>
        </w:rPr>
        <w:t xml:space="preserve"> en su capacidad para responder a todos los cuestionamientos formulados durante la entrevista</w:t>
      </w:r>
      <w:r w:rsidR="002720BB" w:rsidRPr="00E80949">
        <w:rPr>
          <w:rFonts w:asciiTheme="majorHAnsi" w:hAnsiTheme="majorHAnsi"/>
          <w:color w:val="000000" w:themeColor="text1"/>
          <w:sz w:val="20"/>
          <w:szCs w:val="20"/>
          <w:lang w:val="es-ES"/>
        </w:rPr>
        <w:t xml:space="preserve">, </w:t>
      </w:r>
      <w:r w:rsidR="007849D1" w:rsidRPr="00E80949">
        <w:rPr>
          <w:rFonts w:asciiTheme="majorHAnsi" w:hAnsiTheme="majorHAnsi"/>
          <w:color w:val="000000" w:themeColor="text1"/>
          <w:sz w:val="20"/>
          <w:szCs w:val="20"/>
          <w:lang w:val="es-ES"/>
        </w:rPr>
        <w:t>en el escrito de descargo que presentó ante la Comisión de Evaluación Integral y Ratificación del CNM el 5 de diciembre de 2011</w:t>
      </w:r>
      <w:r w:rsidR="002720BB" w:rsidRPr="00E80949">
        <w:rPr>
          <w:rFonts w:asciiTheme="majorHAnsi" w:hAnsiTheme="majorHAnsi"/>
          <w:color w:val="000000" w:themeColor="text1"/>
          <w:sz w:val="20"/>
          <w:szCs w:val="20"/>
          <w:lang w:val="es-ES"/>
        </w:rPr>
        <w:t xml:space="preserve"> y en el Acta de Lectura del expediente de 2 de diciembre de 2011</w:t>
      </w:r>
      <w:r w:rsidR="007849D1" w:rsidRPr="00E80949">
        <w:rPr>
          <w:rFonts w:asciiTheme="majorHAnsi" w:hAnsiTheme="majorHAnsi"/>
          <w:color w:val="000000" w:themeColor="text1"/>
          <w:sz w:val="20"/>
          <w:szCs w:val="20"/>
          <w:lang w:val="es-ES"/>
        </w:rPr>
        <w:t xml:space="preserve">. </w:t>
      </w:r>
      <w:r w:rsidR="00C15F20" w:rsidRPr="00E80949">
        <w:rPr>
          <w:rFonts w:asciiTheme="majorHAnsi" w:hAnsiTheme="majorHAnsi"/>
          <w:color w:val="000000" w:themeColor="text1"/>
          <w:sz w:val="20"/>
          <w:szCs w:val="20"/>
          <w:lang w:val="es-ES"/>
        </w:rPr>
        <w:t xml:space="preserve">Concluye que no existe vulneración de derechos, </w:t>
      </w:r>
      <w:r w:rsidR="00C14F13" w:rsidRPr="00E80949">
        <w:rPr>
          <w:rFonts w:asciiTheme="majorHAnsi" w:hAnsiTheme="majorHAnsi"/>
          <w:color w:val="000000" w:themeColor="text1"/>
          <w:sz w:val="20"/>
          <w:szCs w:val="20"/>
          <w:lang w:val="es-ES"/>
        </w:rPr>
        <w:t xml:space="preserve">pues </w:t>
      </w:r>
      <w:r w:rsidR="00C15F20" w:rsidRPr="00E80949">
        <w:rPr>
          <w:rFonts w:asciiTheme="majorHAnsi" w:hAnsiTheme="majorHAnsi"/>
          <w:color w:val="000000" w:themeColor="text1"/>
          <w:sz w:val="20"/>
          <w:szCs w:val="20"/>
          <w:lang w:val="es-ES"/>
        </w:rPr>
        <w:t>se garantizó en el proceso la comunicación previa de los cargos, el tiempo y el espacio para que ejerza su defensa.</w:t>
      </w:r>
    </w:p>
    <w:p w14:paraId="1741B819" w14:textId="5BAC2E13" w:rsidR="00923A1C" w:rsidRPr="00E80949" w:rsidRDefault="00050D32" w:rsidP="007E0CBD">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color w:val="000000" w:themeColor="text1"/>
          <w:sz w:val="20"/>
          <w:szCs w:val="20"/>
          <w:lang w:val="es-ES"/>
        </w:rPr>
      </w:pPr>
      <w:r w:rsidRPr="00E80949">
        <w:rPr>
          <w:rFonts w:asciiTheme="majorHAnsi" w:hAnsiTheme="majorHAnsi"/>
          <w:color w:val="000000" w:themeColor="text1"/>
          <w:sz w:val="20"/>
          <w:szCs w:val="20"/>
          <w:lang w:val="es-ES"/>
        </w:rPr>
        <w:t>Sobre la admisibilidad del escrito de</w:t>
      </w:r>
      <w:r w:rsidR="007C1E3B" w:rsidRPr="00E80949">
        <w:rPr>
          <w:rFonts w:asciiTheme="majorHAnsi" w:hAnsiTheme="majorHAnsi"/>
          <w:color w:val="000000" w:themeColor="text1"/>
          <w:sz w:val="20"/>
          <w:szCs w:val="20"/>
          <w:lang w:val="es-ES"/>
        </w:rPr>
        <w:t>l</w:t>
      </w:r>
      <w:r w:rsidRPr="00E80949">
        <w:rPr>
          <w:rFonts w:asciiTheme="majorHAnsi" w:hAnsiTheme="majorHAnsi"/>
          <w:color w:val="000000" w:themeColor="text1"/>
          <w:sz w:val="20"/>
          <w:szCs w:val="20"/>
          <w:lang w:val="es-ES"/>
        </w:rPr>
        <w:t xml:space="preserve"> IPRODES, </w:t>
      </w:r>
      <w:r w:rsidR="000F10E3" w:rsidRPr="00E80949">
        <w:rPr>
          <w:rFonts w:asciiTheme="majorHAnsi" w:hAnsiTheme="majorHAnsi"/>
          <w:color w:val="000000" w:themeColor="text1"/>
          <w:sz w:val="20"/>
          <w:szCs w:val="20"/>
          <w:lang w:val="es-ES"/>
        </w:rPr>
        <w:t>Perú a</w:t>
      </w:r>
      <w:r w:rsidR="0065316B" w:rsidRPr="00E80949">
        <w:rPr>
          <w:rFonts w:asciiTheme="majorHAnsi" w:hAnsiTheme="majorHAnsi"/>
          <w:color w:val="000000" w:themeColor="text1"/>
          <w:sz w:val="20"/>
          <w:szCs w:val="20"/>
          <w:lang w:val="es-ES"/>
        </w:rPr>
        <w:t xml:space="preserve">firma que la información contenida era de carácter público, revestía relevancia y abordaba temas sensibles, como la violencia sexual contra menores de edad, el tráfico ilícito de drogas y otros. </w:t>
      </w:r>
    </w:p>
    <w:p w14:paraId="2FC9CC56" w14:textId="2DE39AE6" w:rsidR="002720BB" w:rsidRPr="00E80949" w:rsidRDefault="0098643D" w:rsidP="007E0CBD">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E80949">
        <w:rPr>
          <w:rFonts w:asciiTheme="majorHAnsi" w:hAnsiTheme="majorHAnsi"/>
          <w:color w:val="000000" w:themeColor="text1"/>
          <w:sz w:val="20"/>
          <w:szCs w:val="20"/>
          <w:lang w:val="es-ES"/>
        </w:rPr>
        <w:t xml:space="preserve">Alude que la decisión adoptada por el CNM, mediante la cual se resolvió no ratificar al señor Vergara, está debidamente motivada con base en hechos, fundamentos normativos y razones jurídicas que, según afirma, se ajustan al estándar de garantía de inamovilidad judicial, conforme lo determinó la jurisdicción interna. </w:t>
      </w:r>
    </w:p>
    <w:p w14:paraId="1B014C3B" w14:textId="77777777" w:rsidR="002720BB" w:rsidRPr="00E80949" w:rsidRDefault="002720BB" w:rsidP="007E0CBD">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color w:val="000000" w:themeColor="text1"/>
          <w:sz w:val="20"/>
          <w:szCs w:val="20"/>
          <w:lang w:val="es-ES"/>
        </w:rPr>
      </w:pPr>
      <w:r w:rsidRPr="00E80949">
        <w:rPr>
          <w:rFonts w:asciiTheme="majorHAnsi" w:hAnsiTheme="majorHAnsi"/>
          <w:color w:val="000000" w:themeColor="text1"/>
          <w:sz w:val="20"/>
          <w:szCs w:val="20"/>
          <w:lang w:val="es-ES"/>
        </w:rPr>
        <w:lastRenderedPageBreak/>
        <w:t>En cuanto a la supuesta omisión de los pronunciamientos del Colegio de Abogados y del criterio de los asesores especializados del CNM en la decisión de no ratificación, el Estado sostiene que tales elementos no configuran una vulneración al debido proceso.</w:t>
      </w:r>
    </w:p>
    <w:p w14:paraId="488BC75A" w14:textId="735272FE" w:rsidR="0098643D" w:rsidRPr="00E80949" w:rsidRDefault="00DE6316" w:rsidP="00932E7B">
      <w:pPr>
        <w:numPr>
          <w:ilvl w:val="0"/>
          <w:numId w:val="55"/>
        </w:numPr>
        <w:suppressAutoHyphens/>
        <w:spacing w:after="240"/>
        <w:jc w:val="both"/>
        <w:rPr>
          <w:rFonts w:asciiTheme="majorHAnsi" w:hAnsiTheme="majorHAnsi"/>
          <w:color w:val="000000" w:themeColor="text1"/>
          <w:sz w:val="20"/>
          <w:szCs w:val="20"/>
          <w:lang w:val="es-PE"/>
        </w:rPr>
      </w:pPr>
      <w:r w:rsidRPr="00E80949">
        <w:rPr>
          <w:rFonts w:asciiTheme="majorHAnsi" w:hAnsiTheme="majorHAnsi"/>
          <w:color w:val="000000" w:themeColor="text1"/>
          <w:sz w:val="20"/>
          <w:szCs w:val="20"/>
          <w:lang w:val="es-ES"/>
        </w:rPr>
        <w:t>Con respecto al</w:t>
      </w:r>
      <w:r w:rsidR="00932E7B" w:rsidRPr="00E80949">
        <w:rPr>
          <w:rFonts w:asciiTheme="majorHAnsi" w:hAnsiTheme="majorHAnsi"/>
          <w:color w:val="000000" w:themeColor="text1"/>
          <w:sz w:val="20"/>
          <w:szCs w:val="20"/>
          <w:lang w:val="es-PE"/>
        </w:rPr>
        <w:t xml:space="preserve"> presunto trato desigual alegado por la parte peticionaria, el Estado señala que no resulta válida la comparación con otros magistrados que integraron el mismo tribunal que el señor Vergara. Explica que, si bien se cuestionó la actuación de dicho tribunal en una sentencia específica, uno de los jueces que también participó en esa decisión no fue sometido a evaluación porque su proceso de ratificación ya se había realizado antes del 31 de marzo de 2010. En consecuencia, no existía una coincidencia temporal entre ambos procesos, por lo que las situaciones no eran comparables ni podían ser evaluadas dentro del mismo procedimiento, descartando así la existencia de un trato desigual. </w:t>
      </w:r>
    </w:p>
    <w:p w14:paraId="560BA5CC" w14:textId="7E1FFBEB" w:rsidR="0098643D" w:rsidRPr="00E80949" w:rsidRDefault="0098643D" w:rsidP="007E0CBD">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E80949">
        <w:rPr>
          <w:rFonts w:asciiTheme="majorHAnsi" w:hAnsiTheme="majorHAnsi"/>
          <w:sz w:val="20"/>
          <w:szCs w:val="20"/>
          <w:lang w:val="es-ES"/>
        </w:rPr>
        <w:t>En relación con los recursos administrativos y judiciales interpuestos por el señor Vergara, enfatiza que las autoridades competentes emitieron pronunciamientos conforme a derecho y permitieron su impugnación ante instancias superiores. Añade que la actividad argumentativa y la valoración probatoria forman parte del ejercicio legítimo de la independencia judicial. En consecuencia, afirma que el proceso de amparo promovido por el peticionario se tramitó regularmente y con pleno respeto de las garantías del debido proceso.</w:t>
      </w:r>
    </w:p>
    <w:p w14:paraId="5A8A7A1B" w14:textId="5F12E41A" w:rsidR="005E6347" w:rsidRPr="00E80949" w:rsidRDefault="00161C7F" w:rsidP="008C32CC">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E80949">
        <w:rPr>
          <w:rFonts w:asciiTheme="majorHAnsi" w:hAnsiTheme="majorHAnsi"/>
          <w:sz w:val="20"/>
          <w:szCs w:val="20"/>
          <w:lang w:val="es-ES"/>
        </w:rPr>
        <w:t>El Estado indica que la parte peticionaria no ha formulado argumentos específicos sobre una presunta vulneración al derecho a la protección judicial, por lo que no corresponde pronunciarse sobre dicho extremo.</w:t>
      </w:r>
      <w:r w:rsidR="008C32CC" w:rsidRPr="00E80949">
        <w:rPr>
          <w:rFonts w:asciiTheme="majorHAnsi" w:hAnsiTheme="majorHAnsi"/>
          <w:sz w:val="20"/>
          <w:szCs w:val="20"/>
          <w:lang w:val="es-ES"/>
        </w:rPr>
        <w:t xml:space="preserve"> </w:t>
      </w:r>
      <w:r w:rsidR="00DB5C54" w:rsidRPr="00E80949">
        <w:rPr>
          <w:rFonts w:asciiTheme="majorHAnsi" w:hAnsiTheme="majorHAnsi"/>
          <w:color w:val="000000" w:themeColor="text1"/>
          <w:sz w:val="20"/>
          <w:szCs w:val="20"/>
          <w:lang w:val="es-ES"/>
        </w:rPr>
        <w:t>Finalmente</w:t>
      </w:r>
      <w:r w:rsidR="00D27292" w:rsidRPr="00E80949">
        <w:rPr>
          <w:rFonts w:asciiTheme="majorHAnsi" w:hAnsiTheme="majorHAnsi"/>
          <w:color w:val="000000" w:themeColor="text1"/>
          <w:sz w:val="20"/>
          <w:szCs w:val="20"/>
          <w:lang w:val="es-ES"/>
        </w:rPr>
        <w:t xml:space="preserve">, advierte que los hechos referidos por la parte peticionaria a modo de contexto no guardan una vinculación directa con el caso ni presentan relación temporal con los hechos alegados, </w:t>
      </w:r>
      <w:r w:rsidR="00B409E3" w:rsidRPr="00E80949">
        <w:rPr>
          <w:rFonts w:asciiTheme="majorHAnsi" w:hAnsiTheme="majorHAnsi"/>
          <w:color w:val="000000" w:themeColor="text1"/>
          <w:sz w:val="20"/>
          <w:szCs w:val="20"/>
          <w:lang w:val="es-ES"/>
        </w:rPr>
        <w:t>por lo que</w:t>
      </w:r>
      <w:r w:rsidR="00D27292" w:rsidRPr="00E80949">
        <w:rPr>
          <w:rFonts w:asciiTheme="majorHAnsi" w:hAnsiTheme="majorHAnsi"/>
          <w:color w:val="000000" w:themeColor="text1"/>
          <w:sz w:val="20"/>
          <w:szCs w:val="20"/>
          <w:lang w:val="es-ES"/>
        </w:rPr>
        <w:t xml:space="preserve"> no deben ser considerados por la Comisión</w:t>
      </w:r>
      <w:r w:rsidR="00D27292" w:rsidRPr="00E80949">
        <w:rPr>
          <w:rFonts w:asciiTheme="majorHAnsi" w:hAnsiTheme="majorHAnsi"/>
          <w:sz w:val="20"/>
          <w:szCs w:val="20"/>
          <w:lang w:val="es-ES"/>
        </w:rPr>
        <w:t>.</w:t>
      </w:r>
    </w:p>
    <w:p w14:paraId="6A7154CB" w14:textId="41D502D2" w:rsidR="00F410CD" w:rsidRPr="00E80949" w:rsidRDefault="00F410CD" w:rsidP="00F410CD">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E80949">
        <w:rPr>
          <w:rFonts w:asciiTheme="majorHAnsi" w:hAnsiTheme="majorHAnsi"/>
          <w:sz w:val="20"/>
          <w:szCs w:val="20"/>
          <w:lang w:val="es-ES"/>
        </w:rPr>
        <w:t xml:space="preserve">Finalmente, </w:t>
      </w:r>
      <w:r w:rsidR="00734683" w:rsidRPr="00E80949">
        <w:rPr>
          <w:rFonts w:asciiTheme="majorHAnsi" w:hAnsiTheme="majorHAnsi"/>
          <w:sz w:val="20"/>
          <w:szCs w:val="20"/>
          <w:lang w:val="es-ES"/>
        </w:rPr>
        <w:t>Perú estima</w:t>
      </w:r>
      <w:r w:rsidRPr="00E80949">
        <w:rPr>
          <w:rFonts w:asciiTheme="majorHAnsi" w:hAnsiTheme="majorHAnsi"/>
          <w:sz w:val="20"/>
          <w:szCs w:val="20"/>
          <w:lang w:val="es-ES"/>
        </w:rPr>
        <w:t xml:space="preserve"> que la parte peticionaria busca que la </w:t>
      </w:r>
      <w:r w:rsidR="00734683" w:rsidRPr="00E80949">
        <w:rPr>
          <w:rFonts w:asciiTheme="majorHAnsi" w:hAnsiTheme="majorHAnsi"/>
          <w:sz w:val="20"/>
          <w:szCs w:val="20"/>
          <w:lang w:val="es-ES"/>
        </w:rPr>
        <w:t>CIDH</w:t>
      </w:r>
      <w:r w:rsidRPr="00E80949">
        <w:rPr>
          <w:rFonts w:asciiTheme="majorHAnsi" w:hAnsiTheme="majorHAnsi"/>
          <w:sz w:val="20"/>
          <w:szCs w:val="20"/>
          <w:lang w:val="es-ES"/>
        </w:rPr>
        <w:t xml:space="preserve"> actúe como un tribunal de alzada, en contravención del principio de subsidiariedad que rige el sistema interamericano, sin que se haya acreditado una vulneración de derechos. </w:t>
      </w:r>
      <w:r w:rsidR="003E33DD" w:rsidRPr="00E80949">
        <w:rPr>
          <w:rFonts w:asciiTheme="majorHAnsi" w:hAnsiTheme="majorHAnsi"/>
          <w:sz w:val="20"/>
          <w:szCs w:val="20"/>
          <w:lang w:val="es-ES"/>
        </w:rPr>
        <w:t xml:space="preserve">Y </w:t>
      </w:r>
      <w:r w:rsidRPr="00E80949">
        <w:rPr>
          <w:rFonts w:asciiTheme="majorHAnsi" w:hAnsiTheme="majorHAnsi"/>
          <w:sz w:val="20"/>
          <w:szCs w:val="20"/>
          <w:lang w:val="es-ES"/>
        </w:rPr>
        <w:t>que el peticionario minimiza los cuestionamientos relacionados con decisiones judiciales en casos de delitos sexuales</w:t>
      </w:r>
      <w:r w:rsidR="000B1EDE" w:rsidRPr="00E80949">
        <w:rPr>
          <w:rFonts w:asciiTheme="majorHAnsi" w:hAnsiTheme="majorHAnsi"/>
          <w:sz w:val="20"/>
          <w:szCs w:val="20"/>
          <w:lang w:val="es-ES"/>
        </w:rPr>
        <w:t>;</w:t>
      </w:r>
      <w:r w:rsidRPr="00E80949">
        <w:rPr>
          <w:rFonts w:asciiTheme="majorHAnsi" w:hAnsiTheme="majorHAnsi"/>
          <w:sz w:val="20"/>
          <w:szCs w:val="20"/>
          <w:lang w:val="es-ES"/>
        </w:rPr>
        <w:t xml:space="preserve"> los cuales, a su criterio, constituyen “</w:t>
      </w:r>
      <w:r w:rsidRPr="00E80949">
        <w:rPr>
          <w:rFonts w:asciiTheme="majorHAnsi" w:hAnsiTheme="majorHAnsi"/>
          <w:i/>
          <w:iCs/>
          <w:sz w:val="20"/>
          <w:szCs w:val="20"/>
          <w:lang w:val="es-ES"/>
        </w:rPr>
        <w:t>conductas claramente reprochables</w:t>
      </w:r>
      <w:r w:rsidRPr="00E80949">
        <w:rPr>
          <w:rFonts w:asciiTheme="majorHAnsi" w:hAnsiTheme="majorHAnsi"/>
          <w:sz w:val="20"/>
          <w:szCs w:val="20"/>
          <w:lang w:val="es-ES"/>
        </w:rPr>
        <w:t>” conforme al estándar interamericano aplicable a procesos de ratificación judicial.</w:t>
      </w:r>
    </w:p>
    <w:p w14:paraId="6F4D4171" w14:textId="3BF7FC41" w:rsidR="003239B8" w:rsidRPr="00E80949" w:rsidRDefault="003239B8" w:rsidP="003239B8">
      <w:pPr>
        <w:spacing w:before="240" w:after="240"/>
        <w:ind w:firstLine="720"/>
        <w:jc w:val="both"/>
        <w:rPr>
          <w:rFonts w:asciiTheme="majorHAnsi" w:hAnsiTheme="majorHAnsi"/>
          <w:sz w:val="20"/>
          <w:szCs w:val="20"/>
          <w:lang w:val="es-ES"/>
        </w:rPr>
      </w:pPr>
      <w:r w:rsidRPr="00E80949">
        <w:rPr>
          <w:rFonts w:asciiTheme="majorHAnsi" w:eastAsia="Cambria" w:hAnsiTheme="majorHAnsi" w:cs="Cambria"/>
          <w:b/>
          <w:bCs/>
          <w:color w:val="000000"/>
          <w:sz w:val="20"/>
          <w:szCs w:val="20"/>
          <w:u w:color="000000"/>
          <w:lang w:val="es-ES" w:eastAsia="es-ES"/>
        </w:rPr>
        <w:t>VI.</w:t>
      </w:r>
      <w:r w:rsidRPr="00E80949">
        <w:rPr>
          <w:rFonts w:asciiTheme="majorHAnsi" w:eastAsia="Cambria" w:hAnsiTheme="majorHAnsi" w:cs="Cambria"/>
          <w:b/>
          <w:bCs/>
          <w:color w:val="000000"/>
          <w:sz w:val="20"/>
          <w:szCs w:val="20"/>
          <w:u w:color="000000"/>
          <w:lang w:val="es-ES" w:eastAsia="es-ES"/>
        </w:rPr>
        <w:tab/>
      </w:r>
      <w:r w:rsidR="004A6A54" w:rsidRPr="00E80949">
        <w:rPr>
          <w:rFonts w:asciiTheme="majorHAnsi" w:hAnsiTheme="majorHAnsi"/>
          <w:b/>
          <w:bCs/>
          <w:sz w:val="20"/>
          <w:szCs w:val="20"/>
          <w:lang w:val="es-ES"/>
        </w:rPr>
        <w:t xml:space="preserve">ANÁLISIS DE </w:t>
      </w:r>
      <w:r w:rsidR="00C21FEF" w:rsidRPr="00E80949">
        <w:rPr>
          <w:rFonts w:asciiTheme="majorHAnsi" w:hAnsiTheme="majorHAnsi"/>
          <w:b/>
          <w:sz w:val="20"/>
          <w:szCs w:val="20"/>
          <w:lang w:val="es-ES"/>
        </w:rPr>
        <w:t>AGOTAMIENTO DE LOS RECURSOS INTERNOS Y PLAZO DE PRESENTACIÓN</w:t>
      </w:r>
      <w:r w:rsidR="00C21FEF" w:rsidRPr="00E80949">
        <w:rPr>
          <w:rFonts w:asciiTheme="majorHAnsi" w:eastAsia="Cambria" w:hAnsiTheme="majorHAnsi" w:cs="Cambria"/>
          <w:b/>
          <w:bCs/>
          <w:color w:val="000000"/>
          <w:sz w:val="20"/>
          <w:szCs w:val="20"/>
          <w:u w:color="000000"/>
          <w:lang w:val="es-ES" w:eastAsia="es-ES"/>
        </w:rPr>
        <w:t xml:space="preserve"> </w:t>
      </w:r>
    </w:p>
    <w:p w14:paraId="5370E6E0" w14:textId="3473C4FF" w:rsidR="00DD66A1" w:rsidRPr="00E80949" w:rsidRDefault="00DD66A1" w:rsidP="007E0CBD">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E80949">
        <w:rPr>
          <w:rFonts w:asciiTheme="majorHAnsi" w:hAnsiTheme="majorHAnsi"/>
          <w:sz w:val="20"/>
          <w:szCs w:val="20"/>
          <w:lang w:val="es-ES"/>
        </w:rPr>
        <w:t>Para efectos de determinar la vía procesal adecuada en el ordenamiento interno</w:t>
      </w:r>
      <w:r w:rsidR="0026603A" w:rsidRPr="00E80949">
        <w:rPr>
          <w:rFonts w:asciiTheme="majorHAnsi" w:hAnsiTheme="majorHAnsi"/>
          <w:sz w:val="20"/>
          <w:szCs w:val="20"/>
          <w:lang w:val="es-ES"/>
        </w:rPr>
        <w:t xml:space="preserve">, </w:t>
      </w:r>
      <w:r w:rsidRPr="00E80949">
        <w:rPr>
          <w:rFonts w:asciiTheme="majorHAnsi" w:hAnsiTheme="majorHAnsi"/>
          <w:sz w:val="20"/>
          <w:szCs w:val="20"/>
          <w:lang w:val="es-ES"/>
        </w:rPr>
        <w:t xml:space="preserve">la Comisión considera necesario establecer, preliminarmente, el objeto de la petición presentada a su conocimiento. En esa medida, </w:t>
      </w:r>
      <w:r w:rsidR="0026603A" w:rsidRPr="00E80949">
        <w:rPr>
          <w:rFonts w:asciiTheme="majorHAnsi" w:hAnsiTheme="majorHAnsi"/>
          <w:sz w:val="20"/>
          <w:szCs w:val="20"/>
          <w:lang w:val="es-ES"/>
        </w:rPr>
        <w:t>resulta</w:t>
      </w:r>
      <w:r w:rsidRPr="00E80949">
        <w:rPr>
          <w:rFonts w:asciiTheme="majorHAnsi" w:hAnsiTheme="majorHAnsi"/>
          <w:sz w:val="20"/>
          <w:szCs w:val="20"/>
          <w:lang w:val="es-ES"/>
        </w:rPr>
        <w:t xml:space="preserve"> relevante verificar si el objeto bajo su conocimiento fue presentado ante los tribunales domésticos a través de uno de los recursos que pudiera haber resultado idóneo y eficaz para resolver este tipo de situaciones a nivel interno.</w:t>
      </w:r>
    </w:p>
    <w:p w14:paraId="3B0149C3" w14:textId="22E152BF" w:rsidR="00FF6E0B" w:rsidRPr="00E80949" w:rsidRDefault="00FF6E0B" w:rsidP="00FF6E0B">
      <w:pPr>
        <w:pStyle w:val="ListParagraph"/>
        <w:numPr>
          <w:ilvl w:val="0"/>
          <w:numId w:val="55"/>
        </w:numPr>
        <w:jc w:val="both"/>
        <w:rPr>
          <w:rFonts w:asciiTheme="majorHAnsi" w:hAnsiTheme="majorHAnsi"/>
          <w:sz w:val="20"/>
          <w:szCs w:val="20"/>
          <w:lang w:val="es-PE"/>
        </w:rPr>
      </w:pPr>
      <w:r w:rsidRPr="00E80949">
        <w:rPr>
          <w:rFonts w:asciiTheme="majorHAnsi" w:hAnsiTheme="majorHAnsi"/>
          <w:sz w:val="20"/>
          <w:szCs w:val="20"/>
          <w:lang w:val="es-PE"/>
        </w:rPr>
        <w:t>En el presente caso, la Comisión observa que el reclamo principal se refiere a la presunta vulneración del derecho de defensa en el proceso de evaluación y ratificación, así como a la falta de motivación en la resolución que dispuso la no ratificación del Sr. Vergara. Con base en ello, el peticionario sostiene que agotó la jurisdicción interna mediante la decisión del Tribunal Constitucional del 27 de agosto de 2014, al no existir otro medio legal en la jurisdicción ordinaria para reclamar reparación. Por su parte, el Estado alega que no se agotaron los recursos internos dado que la presunta víctima no recurrió a la vía contencioso-administrativa, la cual considera adecuada para proteger la situación jurídica alegadamente afectada.</w:t>
      </w:r>
    </w:p>
    <w:p w14:paraId="2B0D3BEC" w14:textId="77777777" w:rsidR="008D2EB8" w:rsidRPr="00E80949" w:rsidRDefault="008D2EB8" w:rsidP="008D2EB8">
      <w:pPr>
        <w:pStyle w:val="ListParagraph"/>
        <w:jc w:val="both"/>
        <w:rPr>
          <w:rFonts w:asciiTheme="majorHAnsi" w:hAnsiTheme="majorHAnsi"/>
          <w:sz w:val="20"/>
          <w:szCs w:val="20"/>
          <w:lang w:val="es-PE"/>
        </w:rPr>
      </w:pPr>
    </w:p>
    <w:p w14:paraId="1B9505D6" w14:textId="7F18BF45" w:rsidR="008D2EB8" w:rsidRPr="00E80949" w:rsidRDefault="0005158D" w:rsidP="008D2EB8">
      <w:pPr>
        <w:pStyle w:val="ListParagraph"/>
        <w:numPr>
          <w:ilvl w:val="0"/>
          <w:numId w:val="55"/>
        </w:numPr>
        <w:jc w:val="both"/>
        <w:rPr>
          <w:rFonts w:asciiTheme="majorHAnsi" w:hAnsiTheme="majorHAnsi"/>
          <w:sz w:val="20"/>
          <w:szCs w:val="20"/>
          <w:lang w:val="es-PE"/>
        </w:rPr>
      </w:pPr>
      <w:r w:rsidRPr="00E80949">
        <w:rPr>
          <w:rFonts w:asciiTheme="majorHAnsi" w:hAnsiTheme="majorHAnsi"/>
          <w:sz w:val="20"/>
          <w:szCs w:val="20"/>
          <w:lang w:val="es-PE"/>
        </w:rPr>
        <w:t xml:space="preserve">Al respecto, la Comisión reitera que el requisito de agotamiento de los recursos internos, conforme al artículo 46.1.a) de la Convención, no exige agotar todos los recursos formales disponibles, sino únicamente aquellos que sean idóneos y efectivos para remediar la situación denunciada. En este sentido, ha </w:t>
      </w:r>
      <w:r w:rsidR="006A586C" w:rsidRPr="00E80949">
        <w:rPr>
          <w:rFonts w:asciiTheme="majorHAnsi" w:hAnsiTheme="majorHAnsi"/>
          <w:sz w:val="20"/>
          <w:szCs w:val="20"/>
          <w:lang w:val="es-PE"/>
        </w:rPr>
        <w:t xml:space="preserve">resaltado </w:t>
      </w:r>
      <w:r w:rsidRPr="00E80949">
        <w:rPr>
          <w:rFonts w:asciiTheme="majorHAnsi" w:hAnsiTheme="majorHAnsi"/>
          <w:sz w:val="20"/>
          <w:szCs w:val="20"/>
          <w:lang w:val="es-PE"/>
        </w:rPr>
        <w:t>que, cuando una persona interpone un recurso adecuado dentro del ordenamiento jurídico interno y el Estado tiene la oportunidad de examinar y eventualmente corregir la alegada violación, se entiende cumplida dicha exigencia</w:t>
      </w:r>
      <w:r w:rsidR="008D2EB8" w:rsidRPr="00E80949">
        <w:rPr>
          <w:rStyle w:val="FootnoteReference"/>
          <w:rFonts w:asciiTheme="majorHAnsi" w:hAnsiTheme="majorHAnsi"/>
          <w:sz w:val="20"/>
          <w:szCs w:val="20"/>
          <w:lang w:val="es-ES"/>
        </w:rPr>
        <w:footnoteReference w:id="11"/>
      </w:r>
      <w:r w:rsidRPr="00E80949">
        <w:rPr>
          <w:rFonts w:asciiTheme="majorHAnsi" w:hAnsiTheme="majorHAnsi"/>
          <w:sz w:val="20"/>
          <w:szCs w:val="20"/>
          <w:lang w:val="es-PE"/>
        </w:rPr>
        <w:t xml:space="preserve">. En el presente caso, si bien el Tribunal Constitucional desestimó el recurso de amparo </w:t>
      </w:r>
      <w:r w:rsidRPr="00E80949">
        <w:rPr>
          <w:rFonts w:asciiTheme="majorHAnsi" w:hAnsiTheme="majorHAnsi"/>
          <w:sz w:val="20"/>
          <w:szCs w:val="20"/>
          <w:lang w:val="es-PE"/>
        </w:rPr>
        <w:lastRenderedPageBreak/>
        <w:t xml:space="preserve">interpuesto por </w:t>
      </w:r>
      <w:r w:rsidR="008E6031" w:rsidRPr="00E80949">
        <w:rPr>
          <w:rFonts w:asciiTheme="majorHAnsi" w:hAnsiTheme="majorHAnsi"/>
          <w:sz w:val="20"/>
          <w:szCs w:val="20"/>
          <w:lang w:val="es-PE"/>
        </w:rPr>
        <w:t>el Sr. Vargas</w:t>
      </w:r>
      <w:r w:rsidRPr="00E80949">
        <w:rPr>
          <w:rFonts w:asciiTheme="majorHAnsi" w:hAnsiTheme="majorHAnsi"/>
          <w:sz w:val="20"/>
          <w:szCs w:val="20"/>
          <w:lang w:val="es-PE"/>
        </w:rPr>
        <w:t xml:space="preserve">, lo hizo mediante un pronunciamiento sobre el fondo del asunto, no por razones de inadmisibilidad o incumplimiento de requisitos procesales. Esto demuestra que </w:t>
      </w:r>
      <w:r w:rsidR="00080C6C" w:rsidRPr="00E80949">
        <w:rPr>
          <w:rFonts w:asciiTheme="majorHAnsi" w:hAnsiTheme="majorHAnsi"/>
          <w:sz w:val="20"/>
          <w:szCs w:val="20"/>
          <w:lang w:val="es-PE"/>
        </w:rPr>
        <w:t>la presunta víctima</w:t>
      </w:r>
      <w:r w:rsidRPr="00E80949">
        <w:rPr>
          <w:rFonts w:asciiTheme="majorHAnsi" w:hAnsiTheme="majorHAnsi"/>
          <w:sz w:val="20"/>
          <w:szCs w:val="20"/>
          <w:lang w:val="es-PE"/>
        </w:rPr>
        <w:t xml:space="preserve"> </w:t>
      </w:r>
      <w:r w:rsidR="00756B22" w:rsidRPr="00E80949">
        <w:rPr>
          <w:rFonts w:asciiTheme="majorHAnsi" w:hAnsiTheme="majorHAnsi"/>
          <w:sz w:val="20"/>
          <w:szCs w:val="20"/>
          <w:lang w:val="es-PE"/>
        </w:rPr>
        <w:t>utilizó</w:t>
      </w:r>
      <w:r w:rsidRPr="00E80949">
        <w:rPr>
          <w:rFonts w:asciiTheme="majorHAnsi" w:hAnsiTheme="majorHAnsi"/>
          <w:sz w:val="20"/>
          <w:szCs w:val="20"/>
          <w:lang w:val="es-PE"/>
        </w:rPr>
        <w:t xml:space="preserve"> una vía procesal válida y pertinente para canalizar su reclamo. En consecuencia, la Comisión concluye que se ha cumplido con el requisito de agotamiento de los recursos internos exigido por la Convención.</w:t>
      </w:r>
    </w:p>
    <w:p w14:paraId="3F0DAEDF" w14:textId="77777777" w:rsidR="008D2EB8" w:rsidRPr="00E80949" w:rsidRDefault="008D2EB8" w:rsidP="008D2EB8">
      <w:pPr>
        <w:pStyle w:val="ListParagraph"/>
        <w:rPr>
          <w:rFonts w:asciiTheme="majorHAnsi" w:hAnsiTheme="majorHAnsi"/>
          <w:sz w:val="20"/>
          <w:szCs w:val="20"/>
          <w:lang w:val="es-PE"/>
        </w:rPr>
      </w:pPr>
    </w:p>
    <w:p w14:paraId="2FBEAA90" w14:textId="57C7E676" w:rsidR="00463DC9" w:rsidRPr="00E80949" w:rsidRDefault="00463DC9" w:rsidP="008D2EB8">
      <w:pPr>
        <w:pStyle w:val="ListParagraph"/>
        <w:numPr>
          <w:ilvl w:val="0"/>
          <w:numId w:val="55"/>
        </w:numPr>
        <w:jc w:val="both"/>
        <w:rPr>
          <w:rFonts w:asciiTheme="majorHAnsi" w:hAnsiTheme="majorHAnsi"/>
          <w:sz w:val="20"/>
          <w:szCs w:val="20"/>
          <w:lang w:val="es-PE"/>
        </w:rPr>
      </w:pPr>
      <w:r w:rsidRPr="00E80949">
        <w:rPr>
          <w:rFonts w:asciiTheme="majorHAnsi" w:hAnsiTheme="majorHAnsi"/>
          <w:sz w:val="20"/>
          <w:szCs w:val="20"/>
          <w:lang w:val="es-PE"/>
        </w:rPr>
        <w:t xml:space="preserve">Adicionalmente, si bien el Estado cuestiona el incumplimiento del requisito de agotamiento en relación con hechos vinculados al plazo de convocatoria y a la inexactitud de la información contenida en la resolución de no ratificación, la Comisión </w:t>
      </w:r>
      <w:r w:rsidR="00E80949" w:rsidRPr="00E80949">
        <w:rPr>
          <w:rFonts w:asciiTheme="majorHAnsi" w:hAnsiTheme="majorHAnsi"/>
          <w:sz w:val="20"/>
          <w:szCs w:val="20"/>
          <w:lang w:val="es-PE"/>
        </w:rPr>
        <w:t>estima</w:t>
      </w:r>
      <w:r w:rsidRPr="00E80949">
        <w:rPr>
          <w:rFonts w:asciiTheme="majorHAnsi" w:hAnsiTheme="majorHAnsi"/>
          <w:sz w:val="20"/>
          <w:szCs w:val="20"/>
          <w:lang w:val="es-PE"/>
        </w:rPr>
        <w:t xml:space="preserve"> que estos elementos guardan una estrecha vinculación con el objeto de las impugnaciones planteadas en sede interna. En consecuencia, estima que dichos aspectos fueron debidamente agotados en los mismos términos.</w:t>
      </w:r>
    </w:p>
    <w:p w14:paraId="5D30D121" w14:textId="77777777" w:rsidR="008D2EB8" w:rsidRPr="00E80949" w:rsidRDefault="008D2EB8" w:rsidP="008D2EB8">
      <w:pPr>
        <w:rPr>
          <w:rFonts w:asciiTheme="majorHAnsi" w:hAnsiTheme="majorHAnsi"/>
          <w:sz w:val="20"/>
          <w:szCs w:val="20"/>
          <w:lang w:val="es-PE"/>
        </w:rPr>
      </w:pPr>
    </w:p>
    <w:p w14:paraId="6DAA9D83" w14:textId="780130DA" w:rsidR="005F0D51" w:rsidRPr="00E80949" w:rsidRDefault="00D76AE6" w:rsidP="007E0CBD">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E80949">
        <w:rPr>
          <w:rFonts w:asciiTheme="majorHAnsi" w:hAnsiTheme="majorHAnsi"/>
          <w:sz w:val="20"/>
          <w:szCs w:val="20"/>
          <w:lang w:val="es-ES"/>
        </w:rPr>
        <w:t xml:space="preserve">Respecto al plazo de presentación, la Comisión observa que dicha resolución fue notificada el 18 de marzo de 2015, y la petición recibida en la CIDH mediante correo postal el </w:t>
      </w:r>
      <w:r w:rsidRPr="00E80949">
        <w:rPr>
          <w:rFonts w:asciiTheme="majorHAnsi" w:hAnsiTheme="majorHAnsi"/>
          <w:bCs/>
          <w:sz w:val="20"/>
          <w:szCs w:val="20"/>
          <w:lang w:val="es-ES"/>
        </w:rPr>
        <w:t>18 de septiembre de 2015</w:t>
      </w:r>
      <w:r w:rsidRPr="00E80949">
        <w:rPr>
          <w:rFonts w:asciiTheme="majorHAnsi" w:hAnsiTheme="majorHAnsi"/>
          <w:sz w:val="20"/>
          <w:szCs w:val="20"/>
          <w:lang w:val="es-ES"/>
        </w:rPr>
        <w:t xml:space="preserve">; es decir, </w:t>
      </w:r>
      <w:r w:rsidR="001532E5" w:rsidRPr="00E80949">
        <w:rPr>
          <w:rFonts w:asciiTheme="majorHAnsi" w:hAnsiTheme="majorHAnsi"/>
          <w:sz w:val="20"/>
          <w:szCs w:val="20"/>
          <w:lang w:val="es-ES"/>
        </w:rPr>
        <w:t>en el</w:t>
      </w:r>
      <w:r w:rsidRPr="00E80949">
        <w:rPr>
          <w:rFonts w:asciiTheme="majorHAnsi" w:hAnsiTheme="majorHAnsi"/>
          <w:sz w:val="20"/>
          <w:szCs w:val="20"/>
          <w:lang w:val="es-ES"/>
        </w:rPr>
        <w:t xml:space="preserve"> plazo de seis meses</w:t>
      </w:r>
      <w:r w:rsidR="00B564B8" w:rsidRPr="00E80949">
        <w:rPr>
          <w:rFonts w:asciiTheme="majorHAnsi" w:hAnsiTheme="majorHAnsi"/>
          <w:sz w:val="20"/>
          <w:szCs w:val="20"/>
          <w:lang w:val="es-ES"/>
        </w:rPr>
        <w:t xml:space="preserve">. </w:t>
      </w:r>
      <w:r w:rsidR="007F269C" w:rsidRPr="00E80949">
        <w:rPr>
          <w:rFonts w:asciiTheme="majorHAnsi" w:hAnsiTheme="majorHAnsi"/>
          <w:sz w:val="20"/>
          <w:szCs w:val="20"/>
          <w:lang w:val="es-ES"/>
        </w:rPr>
        <w:t xml:space="preserve">De esta manera, </w:t>
      </w:r>
      <w:r w:rsidR="00C90590" w:rsidRPr="00E80949">
        <w:rPr>
          <w:rFonts w:asciiTheme="majorHAnsi" w:hAnsiTheme="majorHAnsi"/>
          <w:sz w:val="20"/>
          <w:szCs w:val="20"/>
          <w:lang w:val="es-ES"/>
        </w:rPr>
        <w:t>concl</w:t>
      </w:r>
      <w:r w:rsidR="00905CDF" w:rsidRPr="00E80949">
        <w:rPr>
          <w:rFonts w:asciiTheme="majorHAnsi" w:hAnsiTheme="majorHAnsi"/>
          <w:sz w:val="20"/>
          <w:szCs w:val="20"/>
          <w:lang w:val="es-ES"/>
        </w:rPr>
        <w:t>uye</w:t>
      </w:r>
      <w:r w:rsidR="00C90590" w:rsidRPr="00E80949">
        <w:rPr>
          <w:rFonts w:asciiTheme="majorHAnsi" w:hAnsiTheme="majorHAnsi"/>
          <w:sz w:val="20"/>
          <w:szCs w:val="20"/>
          <w:lang w:val="es-ES"/>
        </w:rPr>
        <w:t xml:space="preserve"> </w:t>
      </w:r>
      <w:r w:rsidRPr="00E80949">
        <w:rPr>
          <w:rFonts w:asciiTheme="majorHAnsi" w:hAnsiTheme="majorHAnsi"/>
          <w:sz w:val="20"/>
          <w:szCs w:val="20"/>
          <w:lang w:val="es-ES"/>
        </w:rPr>
        <w:t>que también cumple con el requisito previsto en el artículo 46.1.b) de la Convención Americana.</w:t>
      </w:r>
    </w:p>
    <w:p w14:paraId="4FFBE378" w14:textId="64322DE9" w:rsidR="003239B8" w:rsidRPr="00E80949" w:rsidRDefault="003239B8" w:rsidP="003239B8">
      <w:pPr>
        <w:pStyle w:val="ListParagraph"/>
        <w:spacing w:before="240" w:after="240"/>
        <w:jc w:val="both"/>
        <w:rPr>
          <w:rFonts w:asciiTheme="majorHAnsi" w:hAnsiTheme="majorHAnsi"/>
          <w:b/>
          <w:bCs/>
          <w:sz w:val="20"/>
          <w:szCs w:val="20"/>
          <w:lang w:val="es-ES"/>
        </w:rPr>
      </w:pPr>
      <w:r w:rsidRPr="00E80949">
        <w:rPr>
          <w:rFonts w:asciiTheme="majorHAnsi" w:hAnsiTheme="majorHAnsi"/>
          <w:b/>
          <w:bCs/>
          <w:sz w:val="20"/>
          <w:szCs w:val="20"/>
          <w:lang w:val="es-ES"/>
        </w:rPr>
        <w:t>VII.</w:t>
      </w:r>
      <w:r w:rsidRPr="00E80949">
        <w:rPr>
          <w:rFonts w:asciiTheme="majorHAnsi" w:hAnsiTheme="majorHAnsi"/>
          <w:b/>
          <w:bCs/>
          <w:sz w:val="20"/>
          <w:szCs w:val="20"/>
          <w:lang w:val="es-ES"/>
        </w:rPr>
        <w:tab/>
      </w:r>
      <w:r w:rsidR="004A6A54" w:rsidRPr="00E80949">
        <w:rPr>
          <w:rFonts w:asciiTheme="majorHAnsi" w:hAnsiTheme="majorHAnsi"/>
          <w:b/>
          <w:bCs/>
          <w:sz w:val="20"/>
          <w:szCs w:val="20"/>
          <w:lang w:val="es-ES"/>
        </w:rPr>
        <w:t xml:space="preserve">ANÁLISIS DE </w:t>
      </w:r>
      <w:r w:rsidR="00C21FEF" w:rsidRPr="00E80949">
        <w:rPr>
          <w:rFonts w:asciiTheme="majorHAnsi" w:hAnsiTheme="majorHAnsi"/>
          <w:b/>
          <w:bCs/>
          <w:sz w:val="20"/>
          <w:szCs w:val="20"/>
          <w:lang w:val="es-ES"/>
        </w:rPr>
        <w:t>CARACTERIZACIÓN DE LOS HECHOS ALEGADOS</w:t>
      </w:r>
    </w:p>
    <w:p w14:paraId="5DE9AA38" w14:textId="77777777" w:rsidR="003B6F31" w:rsidRPr="00E80949" w:rsidRDefault="00EC0814" w:rsidP="007E0CBD">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E80949">
        <w:rPr>
          <w:rFonts w:asciiTheme="majorHAnsi" w:hAnsiTheme="majorHAnsi"/>
          <w:sz w:val="20"/>
          <w:szCs w:val="20"/>
          <w:lang w:val="es-ES"/>
        </w:rPr>
        <w:t xml:space="preserve">A los efectos de la admisibilidad, la Comisión debe decidir si los hechos alegados pueden caracterizar una violación de derechos, según lo estipulado en el artículo 47.b) de la Convención Americana o si la petición es “manifiestamente infundada” o es “evidente su total improcedencia”, conforme al </w:t>
      </w:r>
      <w:r w:rsidR="00451957" w:rsidRPr="00E80949">
        <w:rPr>
          <w:rFonts w:asciiTheme="majorHAnsi" w:hAnsiTheme="majorHAnsi"/>
          <w:sz w:val="20"/>
          <w:szCs w:val="20"/>
          <w:lang w:val="es-ES"/>
        </w:rPr>
        <w:t xml:space="preserve">inciso </w:t>
      </w:r>
      <w:r w:rsidRPr="00E80949">
        <w:rPr>
          <w:rFonts w:asciiTheme="majorHAnsi" w:hAnsiTheme="majorHAnsi"/>
          <w:sz w:val="20"/>
          <w:szCs w:val="20"/>
          <w:lang w:val="es-ES"/>
        </w:rPr>
        <w:t xml:space="preserve">c) </w:t>
      </w:r>
      <w:r w:rsidR="00451957" w:rsidRPr="00E80949">
        <w:rPr>
          <w:rFonts w:asciiTheme="majorHAnsi" w:hAnsiTheme="majorHAnsi"/>
          <w:sz w:val="20"/>
          <w:szCs w:val="20"/>
          <w:lang w:val="es-ES"/>
        </w:rPr>
        <w:t>de dicho artículo</w:t>
      </w:r>
      <w:r w:rsidRPr="00E80949">
        <w:rPr>
          <w:rFonts w:asciiTheme="majorHAnsi" w:hAnsiTheme="majorHAnsi"/>
          <w:sz w:val="20"/>
          <w:szCs w:val="20"/>
          <w:lang w:val="es-ES"/>
        </w:rPr>
        <w:t xml:space="preserve">. A este respecto, la Comisión reitera que el criterio de evaluación de la fase de admisibilidad difiere del que se utiliza para pronunciarse sobre el fondo de una petición; la CIDH debe realizar en esta etapa un análisis </w:t>
      </w:r>
      <w:r w:rsidRPr="00E80949">
        <w:rPr>
          <w:rFonts w:asciiTheme="majorHAnsi" w:hAnsiTheme="majorHAnsi"/>
          <w:i/>
          <w:iCs/>
          <w:sz w:val="20"/>
          <w:szCs w:val="20"/>
          <w:lang w:val="es-ES"/>
        </w:rPr>
        <w:t>prima facie</w:t>
      </w:r>
      <w:r w:rsidRPr="00E80949">
        <w:rPr>
          <w:rFonts w:asciiTheme="majorHAnsi" w:hAnsiTheme="majorHAnsi"/>
          <w:sz w:val="20"/>
          <w:szCs w:val="20"/>
          <w:lang w:val="es-ES"/>
        </w:rPr>
        <w:t xml:space="preserve"> para determinar si la petición establece el fundamento de la violación, posible o potencial, de un derecho garantizado por la Convención, pero no para establecer la existencia de una vulneración de derechos. </w:t>
      </w:r>
    </w:p>
    <w:p w14:paraId="6E52B296" w14:textId="137D7517" w:rsidR="00727397" w:rsidRPr="00E80949" w:rsidRDefault="003B6F31" w:rsidP="007E0CBD">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E80949">
        <w:rPr>
          <w:rFonts w:asciiTheme="majorHAnsi" w:hAnsiTheme="majorHAnsi"/>
          <w:sz w:val="20"/>
          <w:szCs w:val="20"/>
          <w:lang w:val="es-PE"/>
        </w:rPr>
        <w:t>En el presente asunto, la parte peticionaria cuestiona la falta de garantías del debido proceso durante el procedimiento de evaluación y ratificación en el que participó la presunta víctima. En particular, alega que no se le permitió ejercer su derecho de defensa frente a la admisión de un escrito de cuestionamiento en su contra</w:t>
      </w:r>
      <w:r w:rsidR="004B50B2" w:rsidRPr="00E80949">
        <w:rPr>
          <w:rFonts w:asciiTheme="majorHAnsi" w:hAnsiTheme="majorHAnsi"/>
          <w:sz w:val="20"/>
          <w:szCs w:val="20"/>
          <w:lang w:val="es-PE"/>
        </w:rPr>
        <w:t xml:space="preserve"> y </w:t>
      </w:r>
      <w:r w:rsidRPr="00E80949">
        <w:rPr>
          <w:rFonts w:asciiTheme="majorHAnsi" w:hAnsiTheme="majorHAnsi"/>
          <w:sz w:val="20"/>
          <w:szCs w:val="20"/>
          <w:lang w:val="es-PE"/>
        </w:rPr>
        <w:t>que la resolución que dispuso su no ratificación careció de una motivación adecuada</w:t>
      </w:r>
      <w:r w:rsidR="004B50B2" w:rsidRPr="00E80949">
        <w:rPr>
          <w:rFonts w:asciiTheme="majorHAnsi" w:hAnsiTheme="majorHAnsi"/>
          <w:sz w:val="20"/>
          <w:szCs w:val="20"/>
          <w:lang w:val="es-PE"/>
        </w:rPr>
        <w:t xml:space="preserve">. </w:t>
      </w:r>
      <w:r w:rsidR="00727397" w:rsidRPr="00E80949">
        <w:rPr>
          <w:rFonts w:asciiTheme="majorHAnsi" w:hAnsiTheme="majorHAnsi"/>
          <w:sz w:val="20"/>
          <w:szCs w:val="20"/>
          <w:lang w:val="es-PE"/>
        </w:rPr>
        <w:t>Sostiene que dichos vicios fueron planteados ante instancias judiciales, incluido el máximo órgano de justicia constitucional, sin que se efectuara un examen adecuado sobre la posible vulneración de derechos, debido a las limitaciones impuestas al control judicial del proceso de ratificación.</w:t>
      </w:r>
    </w:p>
    <w:p w14:paraId="0D1B11E5" w14:textId="390AFED0" w:rsidR="00B77AA4" w:rsidRPr="00E80949" w:rsidRDefault="008D35D6" w:rsidP="2A1785F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2A1785FB">
        <w:rPr>
          <w:rFonts w:asciiTheme="majorHAnsi" w:hAnsiTheme="majorHAnsi"/>
          <w:sz w:val="20"/>
          <w:szCs w:val="20"/>
          <w:lang w:val="es-ES"/>
        </w:rPr>
        <w:t>A</w:t>
      </w:r>
      <w:r w:rsidR="00B87ADA" w:rsidRPr="2A1785FB">
        <w:rPr>
          <w:rFonts w:asciiTheme="majorHAnsi" w:hAnsiTheme="majorHAnsi"/>
          <w:sz w:val="20"/>
          <w:szCs w:val="20"/>
          <w:lang w:val="es-ES"/>
        </w:rPr>
        <w:t xml:space="preserve">l </w:t>
      </w:r>
      <w:r w:rsidRPr="2A1785FB">
        <w:rPr>
          <w:rFonts w:asciiTheme="majorHAnsi" w:hAnsiTheme="majorHAnsi"/>
          <w:sz w:val="20"/>
          <w:szCs w:val="20"/>
          <w:lang w:val="es-ES"/>
        </w:rPr>
        <w:t xml:space="preserve">respecto, </w:t>
      </w:r>
      <w:r w:rsidR="00D3575B" w:rsidRPr="2A1785FB">
        <w:rPr>
          <w:rFonts w:asciiTheme="majorHAnsi" w:hAnsiTheme="majorHAnsi"/>
          <w:sz w:val="20"/>
          <w:szCs w:val="20"/>
          <w:lang w:val="es-ES"/>
        </w:rPr>
        <w:t xml:space="preserve">y sin entrar en valoraciones propias del fondo de la controversia, </w:t>
      </w:r>
      <w:r w:rsidR="0014526F" w:rsidRPr="2A1785FB">
        <w:rPr>
          <w:rFonts w:asciiTheme="majorHAnsi" w:hAnsiTheme="majorHAnsi"/>
          <w:sz w:val="20"/>
          <w:szCs w:val="20"/>
          <w:lang w:val="es-ES"/>
        </w:rPr>
        <w:t xml:space="preserve">sino </w:t>
      </w:r>
      <w:r w:rsidR="009D41BE" w:rsidRPr="2A1785FB">
        <w:rPr>
          <w:rFonts w:asciiTheme="majorHAnsi" w:hAnsiTheme="majorHAnsi"/>
          <w:sz w:val="20"/>
          <w:szCs w:val="20"/>
          <w:lang w:val="es-ES"/>
        </w:rPr>
        <w:t>con el fin</w:t>
      </w:r>
      <w:r w:rsidR="0014526F" w:rsidRPr="2A1785FB">
        <w:rPr>
          <w:rFonts w:asciiTheme="majorHAnsi" w:hAnsiTheme="majorHAnsi"/>
          <w:sz w:val="20"/>
          <w:szCs w:val="20"/>
          <w:lang w:val="es-ES"/>
        </w:rPr>
        <w:t xml:space="preserve"> de analizar la caracterización </w:t>
      </w:r>
      <w:r w:rsidR="0014526F" w:rsidRPr="2A1785FB">
        <w:rPr>
          <w:rFonts w:asciiTheme="majorHAnsi" w:hAnsiTheme="majorHAnsi"/>
          <w:i/>
          <w:iCs/>
          <w:sz w:val="20"/>
          <w:szCs w:val="20"/>
          <w:lang w:val="es-ES"/>
        </w:rPr>
        <w:t>prima facie</w:t>
      </w:r>
      <w:r w:rsidR="0014526F" w:rsidRPr="2A1785FB">
        <w:rPr>
          <w:rFonts w:asciiTheme="majorHAnsi" w:hAnsiTheme="majorHAnsi"/>
          <w:sz w:val="20"/>
          <w:szCs w:val="20"/>
          <w:lang w:val="es-ES"/>
        </w:rPr>
        <w:t xml:space="preserve"> de los hechos alegados, la Comisión recuerda que </w:t>
      </w:r>
      <w:r w:rsidR="00467A03" w:rsidRPr="2A1785FB">
        <w:rPr>
          <w:rFonts w:asciiTheme="majorHAnsi" w:hAnsiTheme="majorHAnsi"/>
          <w:sz w:val="20"/>
          <w:szCs w:val="20"/>
          <w:lang w:val="es-ES"/>
        </w:rPr>
        <w:t xml:space="preserve">la Corte Interamericana de Derechos Humanos </w:t>
      </w:r>
      <w:r w:rsidR="00551388" w:rsidRPr="2A1785FB">
        <w:rPr>
          <w:rFonts w:asciiTheme="majorHAnsi" w:hAnsiTheme="majorHAnsi"/>
          <w:sz w:val="20"/>
          <w:szCs w:val="20"/>
          <w:lang w:val="es-ES"/>
        </w:rPr>
        <w:t>ha afirmado que la independencia</w:t>
      </w:r>
      <w:r w:rsidR="00FC685C" w:rsidRPr="2A1785FB">
        <w:rPr>
          <w:rFonts w:asciiTheme="majorHAnsi" w:hAnsiTheme="majorHAnsi"/>
          <w:sz w:val="20"/>
          <w:szCs w:val="20"/>
          <w:lang w:val="es-ES"/>
        </w:rPr>
        <w:t xml:space="preserve"> judicial</w:t>
      </w:r>
      <w:r w:rsidR="00551388" w:rsidRPr="2A1785FB">
        <w:rPr>
          <w:rFonts w:asciiTheme="majorHAnsi" w:hAnsiTheme="majorHAnsi"/>
          <w:sz w:val="20"/>
          <w:szCs w:val="20"/>
          <w:lang w:val="es-ES"/>
        </w:rPr>
        <w:t xml:space="preserve"> reconocida a jueces y fiscales constituye una salvaguarda frente a presiones políticas, injerencias indebidas o represalias por decisiones adoptadas en el ejercicio legítimo de sus funciones</w:t>
      </w:r>
      <w:r w:rsidR="00551388" w:rsidRPr="2A1785FB">
        <w:rPr>
          <w:rStyle w:val="FootnoteReference"/>
          <w:rFonts w:asciiTheme="majorHAnsi" w:hAnsiTheme="majorHAnsi"/>
          <w:sz w:val="20"/>
          <w:szCs w:val="20"/>
          <w:lang w:val="es-ES"/>
        </w:rPr>
        <w:footnoteReference w:id="12"/>
      </w:r>
      <w:r w:rsidR="00551388" w:rsidRPr="2A1785FB">
        <w:rPr>
          <w:rFonts w:asciiTheme="majorHAnsi" w:hAnsiTheme="majorHAnsi"/>
          <w:sz w:val="20"/>
          <w:szCs w:val="20"/>
          <w:lang w:val="es-ES"/>
        </w:rPr>
        <w:t>. Por ello, ha</w:t>
      </w:r>
      <w:r w:rsidR="00467A03" w:rsidRPr="2A1785FB">
        <w:rPr>
          <w:rFonts w:asciiTheme="majorHAnsi" w:hAnsiTheme="majorHAnsi"/>
          <w:sz w:val="20"/>
          <w:szCs w:val="20"/>
          <w:lang w:val="es-ES"/>
        </w:rPr>
        <w:t xml:space="preserve"> establecido las causales legítimas para decretar la separación al cargo de un juez</w:t>
      </w:r>
      <w:r w:rsidR="00B87ADA" w:rsidRPr="2A1785FB">
        <w:rPr>
          <w:rFonts w:asciiTheme="majorHAnsi" w:hAnsiTheme="majorHAnsi"/>
          <w:sz w:val="20"/>
          <w:szCs w:val="20"/>
          <w:lang w:val="es-ES"/>
        </w:rPr>
        <w:t>:</w:t>
      </w:r>
      <w:r w:rsidR="00467A03" w:rsidRPr="2A1785FB">
        <w:rPr>
          <w:rFonts w:asciiTheme="majorHAnsi" w:hAnsiTheme="majorHAnsi"/>
          <w:sz w:val="20"/>
          <w:szCs w:val="20"/>
          <w:lang w:val="es-ES"/>
        </w:rPr>
        <w:t xml:space="preserve"> i) el acaecimiento de la condición resolutoria a que se sujetó la designación o nombramiento, o el cumplimiento de un plazo predeterminado para los jueces en provisionalidad; o, ii) por faltas disciplinarias graves o comprobada incompetencia</w:t>
      </w:r>
      <w:r w:rsidR="00BF6FD5" w:rsidRPr="2A1785FB">
        <w:rPr>
          <w:rStyle w:val="FootnoteReference"/>
          <w:rFonts w:asciiTheme="majorHAnsi" w:hAnsiTheme="majorHAnsi"/>
          <w:sz w:val="20"/>
          <w:szCs w:val="20"/>
          <w:lang w:val="es-ES"/>
        </w:rPr>
        <w:footnoteReference w:id="13"/>
      </w:r>
      <w:r w:rsidR="00467A03" w:rsidRPr="2A1785FB">
        <w:rPr>
          <w:rFonts w:asciiTheme="majorHAnsi" w:hAnsiTheme="majorHAnsi"/>
          <w:sz w:val="20"/>
          <w:szCs w:val="20"/>
          <w:lang w:val="es-ES"/>
        </w:rPr>
        <w:t>, para lo cual habrá de seguirse un proceso que cumpla con las debidas garantías y que asegure la objetividad e imparcialidad de la decisión</w:t>
      </w:r>
      <w:r w:rsidR="00BF6FD5" w:rsidRPr="2A1785FB">
        <w:rPr>
          <w:rStyle w:val="FootnoteReference"/>
          <w:rFonts w:asciiTheme="majorHAnsi" w:hAnsiTheme="majorHAnsi"/>
          <w:sz w:val="20"/>
          <w:szCs w:val="20"/>
          <w:lang w:val="es-ES"/>
        </w:rPr>
        <w:footnoteReference w:id="14"/>
      </w:r>
      <w:r w:rsidR="00467A03" w:rsidRPr="2A1785FB">
        <w:rPr>
          <w:rFonts w:asciiTheme="majorHAnsi" w:hAnsiTheme="majorHAnsi"/>
          <w:sz w:val="20"/>
          <w:szCs w:val="20"/>
          <w:lang w:val="es-ES"/>
        </w:rPr>
        <w:t>.</w:t>
      </w:r>
      <w:r w:rsidR="00BF6FD5" w:rsidRPr="2A1785FB">
        <w:rPr>
          <w:rFonts w:asciiTheme="majorHAnsi" w:hAnsiTheme="majorHAnsi"/>
          <w:sz w:val="20"/>
          <w:szCs w:val="20"/>
          <w:lang w:val="es-ES"/>
        </w:rPr>
        <w:t xml:space="preserve"> </w:t>
      </w:r>
      <w:r w:rsidR="00467A03" w:rsidRPr="2A1785FB">
        <w:rPr>
          <w:rFonts w:asciiTheme="majorHAnsi" w:hAnsiTheme="majorHAnsi"/>
          <w:sz w:val="20"/>
          <w:szCs w:val="20"/>
          <w:lang w:val="es-ES"/>
        </w:rPr>
        <w:t>A su vez, la Corte ha precisado que</w:t>
      </w:r>
      <w:r w:rsidR="00586A6D" w:rsidRPr="2A1785FB">
        <w:rPr>
          <w:rFonts w:asciiTheme="majorHAnsi" w:hAnsiTheme="majorHAnsi"/>
          <w:sz w:val="20"/>
          <w:szCs w:val="20"/>
          <w:lang w:val="es-ES"/>
        </w:rPr>
        <w:t>,</w:t>
      </w:r>
      <w:r w:rsidR="00467A03" w:rsidRPr="2A1785FB">
        <w:rPr>
          <w:rFonts w:asciiTheme="majorHAnsi" w:hAnsiTheme="majorHAnsi"/>
          <w:sz w:val="20"/>
          <w:szCs w:val="20"/>
          <w:lang w:val="es-ES"/>
        </w:rPr>
        <w:t xml:space="preserve"> para analizar la compatibilidad de las faltas disciplinarias</w:t>
      </w:r>
      <w:r w:rsidR="00BF6FD5" w:rsidRPr="2A1785FB">
        <w:rPr>
          <w:rFonts w:asciiTheme="majorHAnsi" w:hAnsiTheme="majorHAnsi"/>
          <w:sz w:val="20"/>
          <w:szCs w:val="20"/>
          <w:lang w:val="es-ES"/>
        </w:rPr>
        <w:t xml:space="preserve"> </w:t>
      </w:r>
      <w:r w:rsidR="00467A03" w:rsidRPr="2A1785FB">
        <w:rPr>
          <w:rFonts w:asciiTheme="majorHAnsi" w:hAnsiTheme="majorHAnsi"/>
          <w:sz w:val="20"/>
          <w:szCs w:val="20"/>
          <w:lang w:val="es-ES"/>
        </w:rPr>
        <w:t xml:space="preserve">graves </w:t>
      </w:r>
      <w:r w:rsidR="00467A03" w:rsidRPr="2A1785FB">
        <w:rPr>
          <w:rFonts w:asciiTheme="majorHAnsi" w:hAnsiTheme="majorHAnsi"/>
          <w:sz w:val="20"/>
          <w:szCs w:val="20"/>
          <w:lang w:val="es-ES"/>
        </w:rPr>
        <w:lastRenderedPageBreak/>
        <w:t>con los estándares del principio de independencia judicial</w:t>
      </w:r>
      <w:r w:rsidR="00B22442" w:rsidRPr="2A1785FB">
        <w:rPr>
          <w:rFonts w:asciiTheme="majorHAnsi" w:hAnsiTheme="majorHAnsi"/>
          <w:sz w:val="20"/>
          <w:szCs w:val="20"/>
          <w:lang w:val="es-ES"/>
        </w:rPr>
        <w:t>,</w:t>
      </w:r>
      <w:r w:rsidR="00467A03" w:rsidRPr="2A1785FB">
        <w:rPr>
          <w:rFonts w:asciiTheme="majorHAnsi" w:hAnsiTheme="majorHAnsi"/>
          <w:sz w:val="20"/>
          <w:szCs w:val="20"/>
          <w:lang w:val="es-ES"/>
        </w:rPr>
        <w:t xml:space="preserve"> es “</w:t>
      </w:r>
      <w:r w:rsidR="00467A03" w:rsidRPr="2A1785FB">
        <w:rPr>
          <w:rFonts w:asciiTheme="majorHAnsi" w:hAnsiTheme="majorHAnsi"/>
          <w:i/>
          <w:iCs/>
          <w:sz w:val="20"/>
          <w:szCs w:val="20"/>
          <w:lang w:val="es-ES"/>
        </w:rPr>
        <w:t>necesario examinar la motivación de la</w:t>
      </w:r>
      <w:r w:rsidR="00BF6FD5" w:rsidRPr="2A1785FB">
        <w:rPr>
          <w:rFonts w:asciiTheme="majorHAnsi" w:hAnsiTheme="majorHAnsi"/>
          <w:i/>
          <w:iCs/>
          <w:sz w:val="20"/>
          <w:szCs w:val="20"/>
          <w:lang w:val="es-ES"/>
        </w:rPr>
        <w:t xml:space="preserve"> </w:t>
      </w:r>
      <w:r w:rsidR="00467A03" w:rsidRPr="2A1785FB">
        <w:rPr>
          <w:rFonts w:asciiTheme="majorHAnsi" w:hAnsiTheme="majorHAnsi"/>
          <w:i/>
          <w:iCs/>
          <w:sz w:val="20"/>
          <w:szCs w:val="20"/>
          <w:lang w:val="es-ES"/>
        </w:rPr>
        <w:t>decisión mediante la cual se impone una sanción disciplinaria a un juez o una jueza</w:t>
      </w:r>
      <w:r w:rsidR="00467A03" w:rsidRPr="2A1785FB">
        <w:rPr>
          <w:rFonts w:asciiTheme="majorHAnsi" w:hAnsiTheme="majorHAnsi"/>
          <w:sz w:val="20"/>
          <w:szCs w:val="20"/>
          <w:lang w:val="es-ES"/>
        </w:rPr>
        <w:t>”</w:t>
      </w:r>
      <w:r w:rsidR="00BF6FD5" w:rsidRPr="2A1785FB">
        <w:rPr>
          <w:rStyle w:val="FootnoteReference"/>
          <w:rFonts w:asciiTheme="majorHAnsi" w:hAnsiTheme="majorHAnsi"/>
          <w:sz w:val="20"/>
          <w:szCs w:val="20"/>
          <w:lang w:val="es-ES"/>
        </w:rPr>
        <w:footnoteReference w:id="15"/>
      </w:r>
      <w:r w:rsidR="00B77AA4" w:rsidRPr="2A1785FB">
        <w:rPr>
          <w:rFonts w:asciiTheme="majorHAnsi" w:hAnsiTheme="majorHAnsi"/>
          <w:sz w:val="20"/>
          <w:szCs w:val="20"/>
          <w:lang w:val="es-ES"/>
        </w:rPr>
        <w:t>.</w:t>
      </w:r>
    </w:p>
    <w:p w14:paraId="02406976" w14:textId="4BCE8A23" w:rsidR="00D90DD7" w:rsidRPr="00E80949" w:rsidRDefault="00551388" w:rsidP="007E0CBD">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_tradnl"/>
        </w:rPr>
      </w:pPr>
      <w:r w:rsidRPr="00E80949">
        <w:rPr>
          <w:rFonts w:asciiTheme="majorHAnsi" w:hAnsiTheme="majorHAnsi"/>
          <w:sz w:val="20"/>
          <w:szCs w:val="20"/>
          <w:lang w:val="es-ES_tradnl"/>
        </w:rPr>
        <w:t>El Tribunal</w:t>
      </w:r>
      <w:r w:rsidR="00327D32" w:rsidRPr="00E80949">
        <w:rPr>
          <w:rFonts w:asciiTheme="majorHAnsi" w:hAnsiTheme="majorHAnsi"/>
          <w:sz w:val="20"/>
          <w:szCs w:val="20"/>
          <w:lang w:val="es-ES_tradnl"/>
        </w:rPr>
        <w:t xml:space="preserve"> ha sostenido que, en los procesos de evaluación o ratificación de funcionarios públicos, </w:t>
      </w:r>
      <w:r w:rsidRPr="00E80949">
        <w:rPr>
          <w:rFonts w:asciiTheme="majorHAnsi" w:hAnsiTheme="majorHAnsi"/>
          <w:sz w:val="20"/>
          <w:szCs w:val="20"/>
          <w:lang w:val="es-ES_tradnl"/>
        </w:rPr>
        <w:t>el derecho a contar con el tiempo y los medios adecuados para preparar la defensa exige que el Estado garantice el acceso pleno al expediente, así como el respeto al principio del contradictorio, lo cual implica la posibilidad efectiva de intervenir en el análisis de la prueba. En los procesos de evaluación de funcionarios públicos, esta garantía implica el derecho a conocer las razones que fundamentan la supuesta incompetencia o incumplimiento, a presentar argumentos para controvertir dicha postura antes de que se adopte una decisión definitiva, y a ofrecer prueba sobre la idoneidad de su desempeño</w:t>
      </w:r>
      <w:r w:rsidRPr="00E80949">
        <w:rPr>
          <w:rStyle w:val="FootnoteReference"/>
          <w:rFonts w:asciiTheme="majorHAnsi" w:hAnsiTheme="majorHAnsi"/>
          <w:sz w:val="20"/>
          <w:szCs w:val="20"/>
          <w:lang w:val="es-ES_tradnl"/>
        </w:rPr>
        <w:footnoteReference w:id="16"/>
      </w:r>
      <w:r w:rsidRPr="00E80949">
        <w:rPr>
          <w:rFonts w:asciiTheme="majorHAnsi" w:hAnsiTheme="majorHAnsi"/>
          <w:sz w:val="20"/>
          <w:szCs w:val="20"/>
          <w:lang w:val="es-ES_tradnl"/>
        </w:rPr>
        <w:t>.</w:t>
      </w:r>
    </w:p>
    <w:p w14:paraId="73ED6F42" w14:textId="60BC02D2" w:rsidR="00B748E6" w:rsidRPr="00E80949" w:rsidRDefault="00B748E6" w:rsidP="007E0CBD">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_tradnl"/>
        </w:rPr>
      </w:pPr>
      <w:r w:rsidRPr="00E80949">
        <w:rPr>
          <w:rFonts w:asciiTheme="majorHAnsi" w:hAnsiTheme="majorHAnsi"/>
          <w:sz w:val="20"/>
          <w:szCs w:val="20"/>
          <w:lang w:val="es-ES_tradnl"/>
        </w:rPr>
        <w:t>Asimismo, la Corte ha referido que, a un proceso de evaluación o ratificación, en tanto involucra la posibilidad de destitución de los funcionarios evaluados en casos de incompetencia o bajo rendimiento, le son aplicables las garantías del debido proceso propias de los procesos disciplinarios, aunque su alcance pueda ser de diferente contenido o intensidad</w:t>
      </w:r>
      <w:r w:rsidRPr="00E80949">
        <w:rPr>
          <w:rStyle w:val="FootnoteReference"/>
          <w:rFonts w:asciiTheme="majorHAnsi" w:hAnsiTheme="majorHAnsi"/>
          <w:sz w:val="20"/>
          <w:szCs w:val="20"/>
          <w:lang w:val="es-ES_tradnl"/>
        </w:rPr>
        <w:footnoteReference w:id="17"/>
      </w:r>
      <w:r w:rsidRPr="00E80949">
        <w:rPr>
          <w:rFonts w:asciiTheme="majorHAnsi" w:hAnsiTheme="majorHAnsi"/>
          <w:sz w:val="20"/>
          <w:szCs w:val="20"/>
          <w:lang w:val="es-ES_tradnl"/>
        </w:rPr>
        <w:t>. En cuanto al razonamiento probatorio, la jurisprudencia interamericana ha señalado que puede apoyarse en máximas de experiencia, pero su uso no exime del deber de ofrecer una justificación razonable y explícita</w:t>
      </w:r>
      <w:r w:rsidRPr="00E80949">
        <w:rPr>
          <w:rStyle w:val="FootnoteReference"/>
          <w:rFonts w:asciiTheme="majorHAnsi" w:hAnsiTheme="majorHAnsi"/>
          <w:sz w:val="20"/>
          <w:szCs w:val="20"/>
          <w:lang w:val="es-ES_tradnl"/>
        </w:rPr>
        <w:footnoteReference w:id="18"/>
      </w:r>
      <w:r w:rsidRPr="00E80949">
        <w:rPr>
          <w:rFonts w:asciiTheme="majorHAnsi" w:hAnsiTheme="majorHAnsi"/>
          <w:sz w:val="20"/>
          <w:szCs w:val="20"/>
          <w:lang w:val="es-ES_tradnl"/>
        </w:rPr>
        <w:t>. En tal sentido, la motivación debe evidenciar que la prueba de cargo ha sido suficiente para acreditar, más allá de toda duda razonable, la responsabilidad de la persona acusada. Esta prueba, a su vez, debe haber sido valorada de manera racional, objetiva e integral, y tal proceso de análisis debe quedar claramente expresado en la resolución respectiva</w:t>
      </w:r>
      <w:r w:rsidRPr="00E80949">
        <w:rPr>
          <w:rStyle w:val="FootnoteReference"/>
          <w:rFonts w:asciiTheme="majorHAnsi" w:hAnsiTheme="majorHAnsi"/>
          <w:sz w:val="20"/>
          <w:szCs w:val="20"/>
          <w:lang w:val="es-ES_tradnl"/>
        </w:rPr>
        <w:footnoteReference w:id="19"/>
      </w:r>
      <w:r w:rsidRPr="00E80949">
        <w:rPr>
          <w:rFonts w:asciiTheme="majorHAnsi" w:hAnsiTheme="majorHAnsi"/>
          <w:sz w:val="20"/>
          <w:szCs w:val="20"/>
          <w:lang w:val="es-ES_tradnl"/>
        </w:rPr>
        <w:t>.</w:t>
      </w:r>
    </w:p>
    <w:p w14:paraId="3ACF864B" w14:textId="27C51439" w:rsidR="00853FBA" w:rsidRPr="00E80949" w:rsidRDefault="00853FBA" w:rsidP="00853FBA">
      <w:pPr>
        <w:pStyle w:val="ListParagraph"/>
        <w:numPr>
          <w:ilvl w:val="0"/>
          <w:numId w:val="55"/>
        </w:numPr>
        <w:jc w:val="both"/>
        <w:rPr>
          <w:rFonts w:asciiTheme="majorHAnsi" w:eastAsia="Arial Unicode MS" w:hAnsiTheme="majorHAnsi" w:cs="Times New Roman"/>
          <w:color w:val="auto"/>
          <w:sz w:val="20"/>
          <w:szCs w:val="20"/>
          <w:lang w:val="es-ES_tradnl" w:eastAsia="en-US"/>
        </w:rPr>
      </w:pPr>
      <w:r w:rsidRPr="00E80949">
        <w:rPr>
          <w:rFonts w:asciiTheme="majorHAnsi" w:eastAsia="Arial Unicode MS" w:hAnsiTheme="majorHAnsi" w:cs="Times New Roman"/>
          <w:color w:val="auto"/>
          <w:sz w:val="20"/>
          <w:szCs w:val="20"/>
          <w:lang w:val="es-ES_tradnl" w:eastAsia="en-US"/>
        </w:rPr>
        <w:t xml:space="preserve">En el </w:t>
      </w:r>
      <w:r w:rsidR="00366472" w:rsidRPr="00E80949">
        <w:rPr>
          <w:rFonts w:asciiTheme="majorHAnsi" w:eastAsia="Arial Unicode MS" w:hAnsiTheme="majorHAnsi" w:cs="Times New Roman"/>
          <w:color w:val="auto"/>
          <w:sz w:val="20"/>
          <w:szCs w:val="20"/>
          <w:lang w:val="es-ES_tradnl" w:eastAsia="en-US"/>
        </w:rPr>
        <w:t>presente asunto</w:t>
      </w:r>
      <w:r w:rsidR="008F184B" w:rsidRPr="00E80949">
        <w:rPr>
          <w:rFonts w:asciiTheme="majorHAnsi" w:eastAsia="Arial Unicode MS" w:hAnsiTheme="majorHAnsi" w:cs="Times New Roman"/>
          <w:color w:val="auto"/>
          <w:sz w:val="20"/>
          <w:szCs w:val="20"/>
          <w:lang w:val="es-ES_tradnl" w:eastAsia="en-US"/>
        </w:rPr>
        <w:t>,</w:t>
      </w:r>
      <w:r w:rsidRPr="00E80949">
        <w:rPr>
          <w:rFonts w:asciiTheme="majorHAnsi" w:eastAsia="Arial Unicode MS" w:hAnsiTheme="majorHAnsi" w:cs="Times New Roman"/>
          <w:color w:val="auto"/>
          <w:sz w:val="20"/>
          <w:szCs w:val="20"/>
          <w:lang w:val="es-ES_tradnl" w:eastAsia="en-US"/>
        </w:rPr>
        <w:t xml:space="preserve"> los alegatos de la parte peticionaria referidos a la admisión extemporánea del escrito del IPRODES y la falta de un plazo razonable para responder antes de su entrevista podrían</w:t>
      </w:r>
      <w:r w:rsidR="00D93D88" w:rsidRPr="00E80949">
        <w:rPr>
          <w:rFonts w:asciiTheme="majorHAnsi" w:eastAsia="Arial Unicode MS" w:hAnsiTheme="majorHAnsi" w:cs="Times New Roman"/>
          <w:color w:val="auto"/>
          <w:sz w:val="20"/>
          <w:szCs w:val="20"/>
          <w:lang w:val="es-ES_tradnl" w:eastAsia="en-US"/>
        </w:rPr>
        <w:t xml:space="preserve"> eventualmente</w:t>
      </w:r>
      <w:r w:rsidRPr="00E80949">
        <w:rPr>
          <w:rFonts w:asciiTheme="majorHAnsi" w:eastAsia="Arial Unicode MS" w:hAnsiTheme="majorHAnsi" w:cs="Times New Roman"/>
          <w:color w:val="auto"/>
          <w:sz w:val="20"/>
          <w:szCs w:val="20"/>
          <w:lang w:val="es-ES_tradnl" w:eastAsia="en-US"/>
        </w:rPr>
        <w:t xml:space="preserve"> constituir una afectación al principio de contradicción y al derecho a contar con medios adecuados para la defensa. Asimismo, la supuesta falta de motivación en la resolución de no ratificación, pese a la existencia de evaluaciones favorables internas y del respaldo institucional, </w:t>
      </w:r>
      <w:r w:rsidR="004221A0" w:rsidRPr="00E80949">
        <w:rPr>
          <w:rFonts w:asciiTheme="majorHAnsi" w:eastAsia="Arial Unicode MS" w:hAnsiTheme="majorHAnsi" w:cs="Times New Roman"/>
          <w:color w:val="auto"/>
          <w:sz w:val="20"/>
          <w:szCs w:val="20"/>
          <w:lang w:val="es-ES_tradnl" w:eastAsia="en-US"/>
        </w:rPr>
        <w:t xml:space="preserve">amerita un análisis más detallado en la etapa de fondo </w:t>
      </w:r>
      <w:r w:rsidR="0014572D" w:rsidRPr="00E80949">
        <w:rPr>
          <w:rFonts w:asciiTheme="majorHAnsi" w:eastAsia="Arial Unicode MS" w:hAnsiTheme="majorHAnsi" w:cs="Times New Roman"/>
          <w:color w:val="auto"/>
          <w:sz w:val="20"/>
          <w:szCs w:val="20"/>
          <w:lang w:val="es-ES_tradnl" w:eastAsia="en-US"/>
        </w:rPr>
        <w:t xml:space="preserve">para determinar la posible arbitrariedad de la medida. </w:t>
      </w:r>
      <w:r w:rsidRPr="00E80949">
        <w:rPr>
          <w:rFonts w:asciiTheme="majorHAnsi" w:eastAsia="Arial Unicode MS" w:hAnsiTheme="majorHAnsi" w:cs="Times New Roman"/>
          <w:color w:val="auto"/>
          <w:sz w:val="20"/>
          <w:szCs w:val="20"/>
          <w:lang w:val="es-ES_tradnl" w:eastAsia="en-US"/>
        </w:rPr>
        <w:t>De corroborarse</w:t>
      </w:r>
      <w:r w:rsidR="0014572D" w:rsidRPr="00E80949">
        <w:rPr>
          <w:rFonts w:asciiTheme="majorHAnsi" w:eastAsia="Arial Unicode MS" w:hAnsiTheme="majorHAnsi" w:cs="Times New Roman"/>
          <w:color w:val="auto"/>
          <w:sz w:val="20"/>
          <w:szCs w:val="20"/>
          <w:lang w:val="es-ES_tradnl" w:eastAsia="en-US"/>
        </w:rPr>
        <w:t xml:space="preserve"> como ciertos</w:t>
      </w:r>
      <w:r w:rsidRPr="00E80949">
        <w:rPr>
          <w:rFonts w:asciiTheme="majorHAnsi" w:eastAsia="Arial Unicode MS" w:hAnsiTheme="majorHAnsi" w:cs="Times New Roman"/>
          <w:color w:val="auto"/>
          <w:sz w:val="20"/>
          <w:szCs w:val="20"/>
          <w:lang w:val="es-ES_tradnl" w:eastAsia="en-US"/>
        </w:rPr>
        <w:t xml:space="preserve"> estos elementos</w:t>
      </w:r>
      <w:r w:rsidR="00682C8A" w:rsidRPr="00E80949">
        <w:rPr>
          <w:rFonts w:asciiTheme="majorHAnsi" w:eastAsia="Arial Unicode MS" w:hAnsiTheme="majorHAnsi" w:cs="Times New Roman"/>
          <w:color w:val="auto"/>
          <w:sz w:val="20"/>
          <w:szCs w:val="20"/>
          <w:lang w:val="es-ES_tradnl" w:eastAsia="en-US"/>
        </w:rPr>
        <w:t>,</w:t>
      </w:r>
      <w:r w:rsidRPr="00E80949">
        <w:rPr>
          <w:rFonts w:asciiTheme="majorHAnsi" w:eastAsia="Arial Unicode MS" w:hAnsiTheme="majorHAnsi" w:cs="Times New Roman"/>
          <w:color w:val="auto"/>
          <w:sz w:val="20"/>
          <w:szCs w:val="20"/>
          <w:lang w:val="es-ES_tradnl" w:eastAsia="en-US"/>
        </w:rPr>
        <w:t xml:space="preserve"> </w:t>
      </w:r>
      <w:r w:rsidR="00FE3F8E" w:rsidRPr="00E80949">
        <w:rPr>
          <w:rFonts w:asciiTheme="majorHAnsi" w:eastAsia="Arial Unicode MS" w:hAnsiTheme="majorHAnsi" w:cs="Times New Roman"/>
          <w:color w:val="auto"/>
          <w:sz w:val="20"/>
          <w:szCs w:val="20"/>
          <w:lang w:val="es-ES_tradnl" w:eastAsia="en-US"/>
        </w:rPr>
        <w:t xml:space="preserve">el </w:t>
      </w:r>
      <w:r w:rsidR="00682C8A" w:rsidRPr="00E80949">
        <w:rPr>
          <w:rFonts w:asciiTheme="majorHAnsi" w:eastAsia="Arial Unicode MS" w:hAnsiTheme="majorHAnsi" w:cs="Times New Roman"/>
          <w:color w:val="auto"/>
          <w:sz w:val="20"/>
          <w:szCs w:val="20"/>
          <w:lang w:val="es-ES_tradnl" w:eastAsia="en-US"/>
        </w:rPr>
        <w:t>trámite</w:t>
      </w:r>
      <w:r w:rsidR="00FE3F8E" w:rsidRPr="00E80949">
        <w:rPr>
          <w:rFonts w:asciiTheme="majorHAnsi" w:eastAsia="Arial Unicode MS" w:hAnsiTheme="majorHAnsi" w:cs="Times New Roman"/>
          <w:color w:val="auto"/>
          <w:sz w:val="20"/>
          <w:szCs w:val="20"/>
          <w:lang w:val="es-ES_tradnl" w:eastAsia="en-US"/>
        </w:rPr>
        <w:t xml:space="preserve"> de desvinculación del Sr. Vargas de su cargo </w:t>
      </w:r>
      <w:r w:rsidRPr="00E80949">
        <w:rPr>
          <w:rFonts w:asciiTheme="majorHAnsi" w:eastAsia="Arial Unicode MS" w:hAnsiTheme="majorHAnsi" w:cs="Times New Roman"/>
          <w:color w:val="auto"/>
          <w:sz w:val="20"/>
          <w:szCs w:val="20"/>
          <w:lang w:val="es-ES_tradnl" w:eastAsia="en-US"/>
        </w:rPr>
        <w:t xml:space="preserve">podría </w:t>
      </w:r>
      <w:r w:rsidR="00FE3F8E" w:rsidRPr="00E80949">
        <w:rPr>
          <w:rFonts w:asciiTheme="majorHAnsi" w:eastAsia="Arial Unicode MS" w:hAnsiTheme="majorHAnsi" w:cs="Times New Roman"/>
          <w:color w:val="auto"/>
          <w:sz w:val="20"/>
          <w:szCs w:val="20"/>
          <w:lang w:val="es-ES_tradnl" w:eastAsia="en-US"/>
        </w:rPr>
        <w:t>haber sido</w:t>
      </w:r>
      <w:r w:rsidRPr="00E80949">
        <w:rPr>
          <w:rFonts w:asciiTheme="majorHAnsi" w:eastAsia="Arial Unicode MS" w:hAnsiTheme="majorHAnsi" w:cs="Times New Roman"/>
          <w:color w:val="auto"/>
          <w:sz w:val="20"/>
          <w:szCs w:val="20"/>
          <w:lang w:val="es-ES_tradnl" w:eastAsia="en-US"/>
        </w:rPr>
        <w:t xml:space="preserve"> incompatible con los estándares interamericanos </w:t>
      </w:r>
      <w:r w:rsidR="0074455E" w:rsidRPr="00E80949">
        <w:rPr>
          <w:rFonts w:asciiTheme="majorHAnsi" w:eastAsia="Arial Unicode MS" w:hAnsiTheme="majorHAnsi" w:cs="Times New Roman"/>
          <w:color w:val="auto"/>
          <w:sz w:val="20"/>
          <w:szCs w:val="20"/>
          <w:lang w:val="es-ES_tradnl" w:eastAsia="en-US"/>
        </w:rPr>
        <w:t xml:space="preserve">en </w:t>
      </w:r>
      <w:r w:rsidR="000278C8" w:rsidRPr="00E80949">
        <w:rPr>
          <w:rFonts w:asciiTheme="majorHAnsi" w:eastAsia="Arial Unicode MS" w:hAnsiTheme="majorHAnsi" w:cs="Times New Roman"/>
          <w:color w:val="auto"/>
          <w:sz w:val="20"/>
          <w:szCs w:val="20"/>
          <w:lang w:val="es-ES_tradnl" w:eastAsia="en-US"/>
        </w:rPr>
        <w:t xml:space="preserve">la </w:t>
      </w:r>
      <w:r w:rsidR="0074455E" w:rsidRPr="00E80949">
        <w:rPr>
          <w:rFonts w:asciiTheme="majorHAnsi" w:eastAsia="Arial Unicode MS" w:hAnsiTheme="majorHAnsi" w:cs="Times New Roman"/>
          <w:color w:val="auto"/>
          <w:sz w:val="20"/>
          <w:szCs w:val="20"/>
          <w:lang w:val="es-ES_tradnl" w:eastAsia="en-US"/>
        </w:rPr>
        <w:t xml:space="preserve">materia. </w:t>
      </w:r>
    </w:p>
    <w:p w14:paraId="44BB0635" w14:textId="77777777" w:rsidR="00853FBA" w:rsidRPr="00E80949" w:rsidRDefault="00853FBA" w:rsidP="00853FBA">
      <w:pPr>
        <w:pStyle w:val="ListParagraph"/>
        <w:jc w:val="both"/>
        <w:rPr>
          <w:rFonts w:asciiTheme="majorHAnsi" w:eastAsia="Arial Unicode MS" w:hAnsiTheme="majorHAnsi" w:cs="Times New Roman"/>
          <w:color w:val="auto"/>
          <w:sz w:val="20"/>
          <w:szCs w:val="20"/>
          <w:lang w:val="es-ES_tradnl" w:eastAsia="en-US"/>
        </w:rPr>
      </w:pPr>
    </w:p>
    <w:p w14:paraId="06FA4E1D" w14:textId="106C44BC" w:rsidR="00503585" w:rsidRPr="00E80949" w:rsidRDefault="00503585" w:rsidP="007E0CBD">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_tradnl"/>
        </w:rPr>
      </w:pPr>
      <w:r w:rsidRPr="00E80949">
        <w:rPr>
          <w:rFonts w:asciiTheme="majorHAnsi" w:hAnsiTheme="majorHAnsi"/>
          <w:sz w:val="20"/>
          <w:szCs w:val="20"/>
          <w:lang w:val="es-ES"/>
        </w:rPr>
        <w:t>En atención a estas consideraciones</w:t>
      </w:r>
      <w:r w:rsidR="000278C8" w:rsidRPr="00E80949">
        <w:rPr>
          <w:rFonts w:asciiTheme="majorHAnsi" w:hAnsiTheme="majorHAnsi"/>
          <w:sz w:val="20"/>
          <w:szCs w:val="20"/>
          <w:lang w:val="es-ES"/>
        </w:rPr>
        <w:t>,</w:t>
      </w:r>
      <w:r w:rsidRPr="00E80949">
        <w:rPr>
          <w:rFonts w:asciiTheme="majorHAnsi" w:hAnsiTheme="majorHAnsi"/>
          <w:sz w:val="20"/>
          <w:szCs w:val="20"/>
          <w:lang w:val="es-ES"/>
        </w:rPr>
        <w:t xml:space="preserve"> y tras examinar los elementos de hecho y de derecho expuestos por las partes</w:t>
      </w:r>
      <w:r w:rsidR="006D07D1" w:rsidRPr="00E80949">
        <w:rPr>
          <w:rFonts w:asciiTheme="majorHAnsi" w:hAnsiTheme="majorHAnsi"/>
          <w:sz w:val="20"/>
          <w:szCs w:val="20"/>
          <w:lang w:val="es-ES"/>
        </w:rPr>
        <w:t>,</w:t>
      </w:r>
      <w:r w:rsidRPr="00E80949">
        <w:rPr>
          <w:rFonts w:asciiTheme="majorHAnsi" w:hAnsiTheme="majorHAnsi"/>
          <w:sz w:val="20"/>
          <w:szCs w:val="20"/>
          <w:lang w:val="es-ES"/>
        </w:rPr>
        <w:t xml:space="preserve"> la Comisión estima que las alegaciones de la parte peticionaria no resultan manifiestamente infundadas y requieren un estudio de fondo </w:t>
      </w:r>
      <w:r w:rsidR="009D5F0A" w:rsidRPr="00E80949">
        <w:rPr>
          <w:rFonts w:asciiTheme="majorHAnsi" w:hAnsiTheme="majorHAnsi"/>
          <w:sz w:val="20"/>
          <w:szCs w:val="20"/>
          <w:lang w:val="es-ES"/>
        </w:rPr>
        <w:t>en los términos de</w:t>
      </w:r>
      <w:r w:rsidRPr="00E80949">
        <w:rPr>
          <w:rFonts w:asciiTheme="majorHAnsi" w:hAnsiTheme="majorHAnsi"/>
          <w:sz w:val="20"/>
          <w:szCs w:val="20"/>
          <w:lang w:val="es-ES"/>
        </w:rPr>
        <w:t xml:space="preserve"> los artículos </w:t>
      </w:r>
      <w:r w:rsidRPr="00E80949">
        <w:rPr>
          <w:rFonts w:asciiTheme="majorHAnsi" w:hAnsiTheme="majorHAnsi"/>
          <w:sz w:val="20"/>
          <w:szCs w:val="20"/>
          <w:lang w:val="es-ES_tradnl"/>
        </w:rPr>
        <w:t>8 (garantías judiciales)</w:t>
      </w:r>
      <w:r w:rsidR="00FE514F" w:rsidRPr="00E80949">
        <w:rPr>
          <w:rFonts w:asciiTheme="majorHAnsi" w:hAnsiTheme="majorHAnsi"/>
          <w:sz w:val="20"/>
          <w:szCs w:val="20"/>
          <w:lang w:val="es-ES_tradnl"/>
        </w:rPr>
        <w:t>,</w:t>
      </w:r>
      <w:r w:rsidRPr="00E80949">
        <w:rPr>
          <w:rFonts w:asciiTheme="majorHAnsi" w:hAnsiTheme="majorHAnsi"/>
          <w:sz w:val="20"/>
          <w:szCs w:val="20"/>
          <w:lang w:val="es-ES_tradnl"/>
        </w:rPr>
        <w:t xml:space="preserve"> </w:t>
      </w:r>
      <w:r w:rsidR="00FE514F" w:rsidRPr="00E80949">
        <w:rPr>
          <w:rFonts w:asciiTheme="majorHAnsi" w:hAnsiTheme="majorHAnsi"/>
          <w:sz w:val="20"/>
          <w:szCs w:val="20"/>
          <w:lang w:val="es-PE"/>
        </w:rPr>
        <w:t xml:space="preserve">23 (al derecho a acceder a funciones públicas en condiciones generales de igualdad), </w:t>
      </w:r>
      <w:r w:rsidR="00FE514F" w:rsidRPr="00E80949">
        <w:rPr>
          <w:rFonts w:asciiTheme="majorHAnsi" w:hAnsiTheme="majorHAnsi"/>
          <w:sz w:val="20"/>
          <w:szCs w:val="20"/>
          <w:lang w:val="es-ES_tradnl"/>
        </w:rPr>
        <w:t xml:space="preserve">25 (protección judicial)  y 26 (derecho al trabajo) </w:t>
      </w:r>
      <w:r w:rsidRPr="00E80949">
        <w:rPr>
          <w:rFonts w:asciiTheme="majorHAnsi" w:hAnsiTheme="majorHAnsi"/>
          <w:sz w:val="20"/>
          <w:szCs w:val="20"/>
          <w:lang w:val="es-ES_tradnl"/>
        </w:rPr>
        <w:t>de la Convención Americana</w:t>
      </w:r>
      <w:r w:rsidRPr="00E80949">
        <w:rPr>
          <w:rFonts w:asciiTheme="majorHAnsi" w:hAnsiTheme="majorHAnsi"/>
          <w:sz w:val="20"/>
          <w:szCs w:val="20"/>
          <w:lang w:val="es-PE"/>
        </w:rPr>
        <w:t xml:space="preserve">, en relación con su artículo 1.1 (obligación de respetar los derechos), en perjuicio del </w:t>
      </w:r>
      <w:r w:rsidRPr="00E80949">
        <w:rPr>
          <w:rFonts w:asciiTheme="majorHAnsi" w:hAnsiTheme="majorHAnsi"/>
          <w:sz w:val="20"/>
          <w:szCs w:val="20"/>
          <w:lang w:val="es-ES"/>
        </w:rPr>
        <w:t xml:space="preserve">Sr. </w:t>
      </w:r>
      <w:r w:rsidR="00FE514F" w:rsidRPr="00E80949">
        <w:rPr>
          <w:rFonts w:asciiTheme="majorHAnsi" w:hAnsiTheme="majorHAnsi"/>
          <w:sz w:val="20"/>
          <w:szCs w:val="20"/>
          <w:lang w:val="es-ES"/>
        </w:rPr>
        <w:t xml:space="preserve">Héctor </w:t>
      </w:r>
      <w:r w:rsidRPr="00E80949">
        <w:rPr>
          <w:rFonts w:asciiTheme="majorHAnsi" w:hAnsiTheme="majorHAnsi"/>
          <w:sz w:val="20"/>
          <w:szCs w:val="20"/>
          <w:lang w:val="es-ES"/>
        </w:rPr>
        <w:t>Vergara</w:t>
      </w:r>
      <w:r w:rsidR="000F6F53" w:rsidRPr="00E80949">
        <w:rPr>
          <w:rFonts w:asciiTheme="majorHAnsi" w:hAnsiTheme="majorHAnsi"/>
          <w:sz w:val="20"/>
          <w:szCs w:val="20"/>
          <w:lang w:val="es-PE"/>
        </w:rPr>
        <w:t>.</w:t>
      </w:r>
    </w:p>
    <w:p w14:paraId="4FF89704" w14:textId="52828108" w:rsidR="00B6794D" w:rsidRDefault="00B6794D" w:rsidP="007E0CBD">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_tradnl"/>
        </w:rPr>
      </w:pPr>
      <w:r w:rsidRPr="00E80949">
        <w:rPr>
          <w:rFonts w:asciiTheme="majorHAnsi" w:hAnsiTheme="majorHAnsi"/>
          <w:sz w:val="20"/>
          <w:szCs w:val="20"/>
          <w:lang w:val="es-ES_tradnl"/>
        </w:rPr>
        <w:t>La Comisión observa que la posible violación al derecho a la protección judicial se derivaría de la aplicación de un marco jurídico que restringe el control judicial únicamente a aspectos formales del debido proceso, sin permitir una revisión integral de las decisiones adoptadas por el CNM por parte de un órgano judicial independiente. En ese sentido, la Comisión considera que también podría configurarse una violación del artículo 2 de la Convención</w:t>
      </w:r>
      <w:r w:rsidR="009A7C23" w:rsidRPr="00E80949">
        <w:rPr>
          <w:rFonts w:asciiTheme="majorHAnsi" w:hAnsiTheme="majorHAnsi"/>
          <w:sz w:val="20"/>
          <w:szCs w:val="20"/>
          <w:lang w:val="es-ES_tradnl"/>
        </w:rPr>
        <w:t xml:space="preserve">. </w:t>
      </w:r>
    </w:p>
    <w:p w14:paraId="598206CE" w14:textId="77777777" w:rsidR="00B31F39" w:rsidRPr="00E80949" w:rsidRDefault="00B31F39" w:rsidP="00B31F3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720"/>
        <w:jc w:val="both"/>
        <w:rPr>
          <w:rFonts w:asciiTheme="majorHAnsi" w:hAnsiTheme="majorHAnsi"/>
          <w:sz w:val="20"/>
          <w:szCs w:val="20"/>
          <w:lang w:val="es-ES_tradnl"/>
        </w:rPr>
      </w:pPr>
    </w:p>
    <w:p w14:paraId="19011BAB" w14:textId="5F5DD40A" w:rsidR="006D07D1" w:rsidRPr="00E80949" w:rsidRDefault="006D07D1" w:rsidP="007E0CBD">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_tradnl"/>
        </w:rPr>
      </w:pPr>
      <w:r w:rsidRPr="00E80949">
        <w:rPr>
          <w:rFonts w:asciiTheme="majorHAnsi" w:hAnsiTheme="majorHAnsi"/>
          <w:sz w:val="20"/>
          <w:szCs w:val="20"/>
          <w:lang w:val="es-ES_tradnl"/>
        </w:rPr>
        <w:lastRenderedPageBreak/>
        <w:t xml:space="preserve">Finalmente, </w:t>
      </w:r>
      <w:r w:rsidR="00D27F88" w:rsidRPr="00E80949">
        <w:rPr>
          <w:rFonts w:asciiTheme="majorHAnsi" w:hAnsiTheme="majorHAnsi"/>
          <w:sz w:val="20"/>
          <w:szCs w:val="20"/>
          <w:lang w:val="es-ES_tradnl"/>
        </w:rPr>
        <w:t>en cuanto al</w:t>
      </w:r>
      <w:r w:rsidRPr="00E80949">
        <w:rPr>
          <w:rFonts w:asciiTheme="majorHAnsi" w:hAnsiTheme="majorHAnsi"/>
          <w:sz w:val="20"/>
          <w:szCs w:val="20"/>
          <w:lang w:val="es-ES_tradnl"/>
        </w:rPr>
        <w:t xml:space="preserve"> argumento sobre la denominada “fórmula de la cuarta instancia”, la Comisión recuerda que</w:t>
      </w:r>
      <w:r w:rsidR="007E126D" w:rsidRPr="00E80949">
        <w:rPr>
          <w:rFonts w:asciiTheme="majorHAnsi" w:hAnsiTheme="majorHAnsi"/>
          <w:sz w:val="20"/>
          <w:szCs w:val="20"/>
          <w:lang w:val="es-ES_tradnl"/>
        </w:rPr>
        <w:t xml:space="preserve">, como ha indicado la Corte IDH, </w:t>
      </w:r>
      <w:r w:rsidRPr="00E80949">
        <w:rPr>
          <w:rFonts w:asciiTheme="majorHAnsi" w:hAnsiTheme="majorHAnsi"/>
          <w:sz w:val="20"/>
          <w:szCs w:val="20"/>
          <w:lang w:val="es-ES_tradnl"/>
        </w:rPr>
        <w:t>“</w:t>
      </w:r>
      <w:r w:rsidRPr="00E80949">
        <w:rPr>
          <w:rFonts w:asciiTheme="majorHAnsi" w:hAnsiTheme="majorHAnsi"/>
          <w:i/>
          <w:iCs/>
          <w:sz w:val="20"/>
          <w:szCs w:val="20"/>
          <w:lang w:val="es-ES_tradnl"/>
        </w:rPr>
        <w:t>[le] compete verificar si en los pasos efectivamente dados a nivel interno se violaron o no obligaciones internacionales del Estado derivadas de los instrumentos interamericanos que le otorgan competencia</w:t>
      </w:r>
      <w:r w:rsidRPr="00E80949">
        <w:rPr>
          <w:rFonts w:asciiTheme="majorHAnsi" w:hAnsiTheme="majorHAnsi"/>
          <w:sz w:val="20"/>
          <w:szCs w:val="20"/>
          <w:lang w:val="es-ES_tradnl"/>
        </w:rPr>
        <w:t>”</w:t>
      </w:r>
      <w:r w:rsidRPr="00E80949">
        <w:rPr>
          <w:rStyle w:val="FootnoteReference"/>
          <w:rFonts w:asciiTheme="majorHAnsi" w:hAnsiTheme="majorHAnsi"/>
          <w:sz w:val="20"/>
          <w:szCs w:val="20"/>
          <w:lang w:val="es-ES_tradnl"/>
        </w:rPr>
        <w:footnoteReference w:id="20"/>
      </w:r>
      <w:r w:rsidRPr="00E80949">
        <w:rPr>
          <w:rFonts w:asciiTheme="majorHAnsi" w:hAnsiTheme="majorHAnsi"/>
          <w:sz w:val="20"/>
          <w:szCs w:val="20"/>
          <w:lang w:val="es-ES_tradnl"/>
        </w:rPr>
        <w:t>. Asimismo, le corresponde examinar si las actuaciones de los órganos judiciales nacionales constituyeron o no una violación de dichas obligaciones, lo que puede implicar el análisis de los procesos internos a fin de determinar su compatibilidad con la Convención Americana</w:t>
      </w:r>
      <w:r w:rsidRPr="00E80949">
        <w:rPr>
          <w:rStyle w:val="FootnoteReference"/>
          <w:rFonts w:asciiTheme="majorHAnsi" w:hAnsiTheme="majorHAnsi"/>
          <w:sz w:val="20"/>
          <w:szCs w:val="20"/>
          <w:lang w:val="es-ES_tradnl"/>
        </w:rPr>
        <w:footnoteReference w:id="21"/>
      </w:r>
      <w:r w:rsidRPr="00E80949">
        <w:rPr>
          <w:rFonts w:asciiTheme="majorHAnsi" w:hAnsiTheme="majorHAnsi"/>
          <w:sz w:val="20"/>
          <w:szCs w:val="20"/>
          <w:lang w:val="es-ES_tradnl"/>
        </w:rPr>
        <w:t>. En consecuencia, el examen sobre una eventual violación de la Convención es una cuestión que deberá ser resuelta en la etapa de fondo del presente asunto.</w:t>
      </w:r>
    </w:p>
    <w:p w14:paraId="29BB41F5" w14:textId="77777777" w:rsidR="003239B8" w:rsidRPr="00E80949" w:rsidRDefault="003239B8" w:rsidP="003239B8">
      <w:pPr>
        <w:pStyle w:val="ListParagraph"/>
        <w:spacing w:before="240" w:after="240"/>
        <w:jc w:val="both"/>
        <w:rPr>
          <w:rFonts w:asciiTheme="majorHAnsi" w:hAnsiTheme="majorHAnsi"/>
          <w:b/>
          <w:bCs/>
          <w:color w:val="auto"/>
          <w:sz w:val="20"/>
          <w:szCs w:val="20"/>
          <w:lang w:val="es-ES"/>
        </w:rPr>
      </w:pPr>
      <w:r w:rsidRPr="00E80949">
        <w:rPr>
          <w:rFonts w:asciiTheme="majorHAnsi" w:hAnsiTheme="majorHAnsi"/>
          <w:b/>
          <w:bCs/>
          <w:sz w:val="20"/>
          <w:szCs w:val="20"/>
          <w:lang w:val="es-ES"/>
        </w:rPr>
        <w:t xml:space="preserve">VIII. </w:t>
      </w:r>
      <w:r w:rsidRPr="00E80949">
        <w:rPr>
          <w:rFonts w:asciiTheme="majorHAnsi" w:hAnsiTheme="majorHAnsi"/>
          <w:b/>
          <w:bCs/>
          <w:sz w:val="20"/>
          <w:szCs w:val="20"/>
          <w:lang w:val="es-ES"/>
        </w:rPr>
        <w:tab/>
        <w:t>DECISIÓN</w:t>
      </w:r>
    </w:p>
    <w:p w14:paraId="0FDE1D10" w14:textId="22481961" w:rsidR="003239B8" w:rsidRPr="00E80949" w:rsidRDefault="003239B8" w:rsidP="007E0CBD">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E80949">
        <w:rPr>
          <w:rFonts w:asciiTheme="majorHAnsi" w:hAnsiTheme="majorHAnsi"/>
          <w:sz w:val="20"/>
          <w:szCs w:val="20"/>
          <w:lang w:val="es-ES"/>
        </w:rPr>
        <w:t xml:space="preserve">Declarar admisible la presente petición en relación con </w:t>
      </w:r>
      <w:r w:rsidR="0007385B" w:rsidRPr="00E80949">
        <w:rPr>
          <w:rFonts w:asciiTheme="majorHAnsi" w:hAnsiTheme="majorHAnsi"/>
          <w:sz w:val="20"/>
          <w:szCs w:val="20"/>
          <w:lang w:val="es-ES"/>
        </w:rPr>
        <w:t xml:space="preserve">los artículos </w:t>
      </w:r>
      <w:r w:rsidR="001028FA" w:rsidRPr="00E80949">
        <w:rPr>
          <w:rFonts w:asciiTheme="majorHAnsi" w:hAnsiTheme="majorHAnsi"/>
          <w:sz w:val="20"/>
          <w:szCs w:val="20"/>
          <w:lang w:val="es-ES"/>
        </w:rPr>
        <w:t>8, 23, 25 y 26 de la Convención Americana en relación con sus artículos 1.1 y 2</w:t>
      </w:r>
      <w:r w:rsidR="00A758AA" w:rsidRPr="00E80949">
        <w:rPr>
          <w:rFonts w:asciiTheme="majorHAnsi" w:hAnsiTheme="majorHAnsi"/>
          <w:sz w:val="20"/>
          <w:szCs w:val="20"/>
          <w:lang w:val="es-ES"/>
        </w:rPr>
        <w:t>;</w:t>
      </w:r>
      <w:r w:rsidR="007B76D3" w:rsidRPr="00E80949">
        <w:rPr>
          <w:rFonts w:asciiTheme="majorHAnsi" w:hAnsiTheme="majorHAnsi"/>
          <w:sz w:val="20"/>
          <w:szCs w:val="20"/>
          <w:lang w:val="es-ES"/>
        </w:rPr>
        <w:t xml:space="preserve"> y</w:t>
      </w:r>
    </w:p>
    <w:p w14:paraId="6203D0B3" w14:textId="29D59977" w:rsidR="00B273EC" w:rsidRPr="00E80949" w:rsidRDefault="004A6A54" w:rsidP="007E0CBD">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E80949">
        <w:rPr>
          <w:rFonts w:asciiTheme="majorHAnsi" w:hAnsiTheme="majorHAnsi"/>
          <w:sz w:val="20"/>
          <w:szCs w:val="20"/>
          <w:lang w:val="es-ES"/>
        </w:rPr>
        <w:t>Notificar a las partes la presente decisión; continuar con el análisis del fondo de la cuestión; y publicar esta decisión e incluirla en su Informe Anual a la Asamblea General de la Organización de los Estados Americanos.</w:t>
      </w:r>
    </w:p>
    <w:p w14:paraId="24E0E10B" w14:textId="48ACB3F1" w:rsidR="00B31F39" w:rsidRPr="00407104" w:rsidRDefault="00B31F39" w:rsidP="00B31F39">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t>Aprobado por la Comisión Interamericana de Derechos Humanos a lo</w:t>
      </w:r>
      <w:r w:rsidRPr="00B31F39">
        <w:rPr>
          <w:rStyle w:val="normaltextrun"/>
          <w:rFonts w:ascii="Cambria" w:hAnsi="Cambria" w:cs="Segoe UI"/>
          <w:sz w:val="20"/>
          <w:szCs w:val="20"/>
          <w:lang w:val="es-CL"/>
        </w:rPr>
        <w:t>s 12 días del mes de agosto de 2025.  (Firmado): José Luis Caballero Ochoa, Presidente; Andrea Pochak, Primera Vicepresidenta; Arif Bulkan, Segundo Vicepresidente; y Edgar Stuardo Ralón Orellana</w:t>
      </w:r>
      <w:r w:rsidR="00DF02CA">
        <w:rPr>
          <w:rStyle w:val="normaltextrun"/>
          <w:rFonts w:ascii="Cambria" w:hAnsi="Cambria" w:cs="Segoe UI"/>
          <w:sz w:val="20"/>
          <w:szCs w:val="20"/>
          <w:lang w:val="es-CL"/>
        </w:rPr>
        <w:t xml:space="preserve"> (en disidencia)</w:t>
      </w:r>
      <w:r w:rsidRPr="00B31F39">
        <w:rPr>
          <w:rStyle w:val="normaltextrun"/>
          <w:rFonts w:ascii="Cambria" w:hAnsi="Cambria" w:cs="Segoe UI"/>
          <w:sz w:val="20"/>
          <w:szCs w:val="20"/>
          <w:lang w:val="es-CL"/>
        </w:rPr>
        <w:t xml:space="preserve">, </w:t>
      </w:r>
      <w:r w:rsidR="004F3C7F">
        <w:rPr>
          <w:rStyle w:val="normaltextrun"/>
          <w:rFonts w:ascii="Cambria" w:hAnsi="Cambria" w:cs="Segoe UI"/>
          <w:sz w:val="20"/>
          <w:szCs w:val="20"/>
          <w:lang w:val="es-CL"/>
        </w:rPr>
        <w:t>m</w:t>
      </w:r>
      <w:r w:rsidRPr="00B31F39">
        <w:rPr>
          <w:rStyle w:val="normaltextrun"/>
          <w:rFonts w:ascii="Cambria" w:hAnsi="Cambria" w:cs="Segoe UI"/>
          <w:sz w:val="20"/>
          <w:szCs w:val="20"/>
          <w:lang w:val="es-CL"/>
        </w:rPr>
        <w:t xml:space="preserve">iembros de la Comisión. </w:t>
      </w:r>
      <w:r w:rsidRPr="00B31F39">
        <w:rPr>
          <w:rStyle w:val="eop"/>
          <w:rFonts w:ascii="Cambria" w:hAnsi="Cambria" w:cs="Segoe UI"/>
          <w:sz w:val="20"/>
          <w:szCs w:val="20"/>
          <w:lang w:val="es-ES"/>
        </w:rPr>
        <w:t> </w:t>
      </w:r>
    </w:p>
    <w:p w14:paraId="622630B2" w14:textId="77777777" w:rsidR="00B31F39" w:rsidRPr="00407104" w:rsidRDefault="00B31F39" w:rsidP="00B31F39">
      <w:pPr>
        <w:pStyle w:val="paragraph"/>
        <w:spacing w:before="0" w:beforeAutospacing="0" w:after="0" w:afterAutospacing="0"/>
        <w:ind w:firstLine="720"/>
        <w:jc w:val="both"/>
        <w:textAlignment w:val="baseline"/>
        <w:rPr>
          <w:rFonts w:ascii="Segoe UI" w:hAnsi="Segoe UI" w:cs="Segoe UI"/>
          <w:sz w:val="18"/>
          <w:szCs w:val="18"/>
          <w:lang w:val="es-ES"/>
        </w:rPr>
      </w:pPr>
      <w:r w:rsidRPr="00407104">
        <w:rPr>
          <w:rStyle w:val="eop"/>
          <w:rFonts w:ascii="Cambria" w:hAnsi="Cambria" w:cs="Segoe UI"/>
          <w:sz w:val="20"/>
          <w:szCs w:val="20"/>
          <w:lang w:val="es-ES"/>
        </w:rPr>
        <w:t> </w:t>
      </w:r>
      <w:r>
        <w:rPr>
          <w:rStyle w:val="eop"/>
          <w:rFonts w:ascii="Cambria" w:hAnsi="Cambria" w:cs="Segoe UI"/>
          <w:sz w:val="20"/>
          <w:szCs w:val="20"/>
          <w:lang w:val="es-ES"/>
        </w:rPr>
        <w:t xml:space="preserve"> </w:t>
      </w:r>
    </w:p>
    <w:p w14:paraId="77B0EC66" w14:textId="77777777" w:rsidR="00CD0E3A" w:rsidRDefault="00CD0E3A" w:rsidP="000E5499">
      <w:pPr>
        <w:pStyle w:val="paragraph"/>
        <w:spacing w:before="0" w:beforeAutospacing="0" w:after="0" w:afterAutospacing="0"/>
        <w:jc w:val="center"/>
        <w:textAlignment w:val="baseline"/>
        <w:rPr>
          <w:rStyle w:val="normaltextrun"/>
          <w:rFonts w:ascii="Cambria" w:hAnsi="Cambria" w:cs="Segoe UI"/>
          <w:sz w:val="20"/>
          <w:szCs w:val="20"/>
          <w:lang w:val="es-CL"/>
        </w:rPr>
      </w:pPr>
    </w:p>
    <w:p w14:paraId="0FAB2DC1" w14:textId="77777777" w:rsidR="004F3C7F" w:rsidRDefault="004F3C7F" w:rsidP="000E5499">
      <w:pPr>
        <w:pStyle w:val="paragraph"/>
        <w:spacing w:before="0" w:beforeAutospacing="0" w:after="0" w:afterAutospacing="0"/>
        <w:jc w:val="center"/>
        <w:textAlignment w:val="baseline"/>
        <w:rPr>
          <w:rStyle w:val="normaltextrun"/>
          <w:rFonts w:ascii="Cambria" w:hAnsi="Cambria" w:cs="Segoe UI"/>
          <w:sz w:val="20"/>
          <w:szCs w:val="20"/>
          <w:lang w:val="es-CL"/>
        </w:rPr>
      </w:pPr>
    </w:p>
    <w:p w14:paraId="66C0B2EE" w14:textId="77777777" w:rsidR="004F3C7F" w:rsidRDefault="004F3C7F" w:rsidP="000E5499">
      <w:pPr>
        <w:pStyle w:val="paragraph"/>
        <w:spacing w:before="0" w:beforeAutospacing="0" w:after="0" w:afterAutospacing="0"/>
        <w:jc w:val="center"/>
        <w:textAlignment w:val="baseline"/>
        <w:rPr>
          <w:rStyle w:val="normaltextrun"/>
          <w:rFonts w:ascii="Cambria" w:hAnsi="Cambria" w:cs="Segoe UI"/>
          <w:sz w:val="20"/>
          <w:szCs w:val="20"/>
          <w:lang w:val="es-CL"/>
        </w:rPr>
      </w:pPr>
    </w:p>
    <w:p w14:paraId="739AB15E" w14:textId="77777777" w:rsidR="004F3C7F" w:rsidRDefault="004F3C7F" w:rsidP="000E5499">
      <w:pPr>
        <w:pStyle w:val="paragraph"/>
        <w:spacing w:before="0" w:beforeAutospacing="0" w:after="0" w:afterAutospacing="0"/>
        <w:jc w:val="center"/>
        <w:textAlignment w:val="baseline"/>
        <w:rPr>
          <w:rStyle w:val="normaltextrun"/>
          <w:rFonts w:ascii="Cambria" w:hAnsi="Cambria" w:cs="Segoe UI"/>
          <w:sz w:val="20"/>
          <w:szCs w:val="20"/>
          <w:lang w:val="es-CL"/>
        </w:rPr>
      </w:pPr>
    </w:p>
    <w:p w14:paraId="7F0A0006" w14:textId="77777777" w:rsidR="004F3C7F" w:rsidRDefault="004F3C7F" w:rsidP="000E5499">
      <w:pPr>
        <w:pStyle w:val="paragraph"/>
        <w:spacing w:before="0" w:beforeAutospacing="0" w:after="0" w:afterAutospacing="0"/>
        <w:jc w:val="center"/>
        <w:textAlignment w:val="baseline"/>
        <w:rPr>
          <w:rStyle w:val="normaltextrun"/>
          <w:rFonts w:ascii="Cambria" w:hAnsi="Cambria" w:cs="Segoe UI"/>
          <w:sz w:val="20"/>
          <w:szCs w:val="20"/>
          <w:lang w:val="es-CL"/>
        </w:rPr>
      </w:pPr>
    </w:p>
    <w:p w14:paraId="224B16B9" w14:textId="77777777" w:rsidR="004F3C7F" w:rsidRDefault="004F3C7F" w:rsidP="000E5499">
      <w:pPr>
        <w:pStyle w:val="paragraph"/>
        <w:spacing w:before="0" w:beforeAutospacing="0" w:after="0" w:afterAutospacing="0"/>
        <w:jc w:val="center"/>
        <w:textAlignment w:val="baseline"/>
        <w:rPr>
          <w:rStyle w:val="normaltextrun"/>
          <w:rFonts w:ascii="Cambria" w:hAnsi="Cambria" w:cs="Segoe UI"/>
          <w:sz w:val="20"/>
          <w:szCs w:val="20"/>
          <w:lang w:val="es-CL"/>
        </w:rPr>
      </w:pPr>
    </w:p>
    <w:p w14:paraId="43DBF606" w14:textId="77777777" w:rsidR="004F3C7F" w:rsidRDefault="004F3C7F" w:rsidP="000E5499">
      <w:pPr>
        <w:pStyle w:val="paragraph"/>
        <w:spacing w:before="0" w:beforeAutospacing="0" w:after="0" w:afterAutospacing="0"/>
        <w:jc w:val="center"/>
        <w:textAlignment w:val="baseline"/>
        <w:rPr>
          <w:rStyle w:val="normaltextrun"/>
          <w:rFonts w:ascii="Cambria" w:hAnsi="Cambria" w:cs="Segoe UI"/>
          <w:sz w:val="20"/>
          <w:szCs w:val="20"/>
          <w:lang w:val="es-CL"/>
        </w:rPr>
      </w:pPr>
    </w:p>
    <w:p w14:paraId="308DCF9A" w14:textId="77777777" w:rsidR="004F3C7F" w:rsidRDefault="004F3C7F" w:rsidP="000E5499">
      <w:pPr>
        <w:pStyle w:val="paragraph"/>
        <w:spacing w:before="0" w:beforeAutospacing="0" w:after="0" w:afterAutospacing="0"/>
        <w:jc w:val="center"/>
        <w:textAlignment w:val="baseline"/>
        <w:rPr>
          <w:rStyle w:val="normaltextrun"/>
          <w:rFonts w:ascii="Cambria" w:hAnsi="Cambria" w:cs="Segoe UI"/>
          <w:sz w:val="20"/>
          <w:szCs w:val="20"/>
          <w:lang w:val="es-CL"/>
        </w:rPr>
      </w:pPr>
    </w:p>
    <w:p w14:paraId="0B51D612" w14:textId="77777777" w:rsidR="004F3C7F" w:rsidRDefault="004F3C7F" w:rsidP="000E5499">
      <w:pPr>
        <w:pStyle w:val="paragraph"/>
        <w:spacing w:before="0" w:beforeAutospacing="0" w:after="0" w:afterAutospacing="0"/>
        <w:jc w:val="center"/>
        <w:textAlignment w:val="baseline"/>
        <w:rPr>
          <w:rStyle w:val="normaltextrun"/>
          <w:rFonts w:ascii="Cambria" w:hAnsi="Cambria" w:cs="Segoe UI"/>
          <w:sz w:val="20"/>
          <w:szCs w:val="20"/>
          <w:lang w:val="es-CL"/>
        </w:rPr>
      </w:pPr>
    </w:p>
    <w:p w14:paraId="31395CED" w14:textId="77777777" w:rsidR="004F3C7F" w:rsidRDefault="004F3C7F" w:rsidP="000E5499">
      <w:pPr>
        <w:pStyle w:val="paragraph"/>
        <w:spacing w:before="0" w:beforeAutospacing="0" w:after="0" w:afterAutospacing="0"/>
        <w:jc w:val="center"/>
        <w:textAlignment w:val="baseline"/>
        <w:rPr>
          <w:rStyle w:val="normaltextrun"/>
          <w:rFonts w:ascii="Cambria" w:hAnsi="Cambria" w:cs="Segoe UI"/>
          <w:sz w:val="20"/>
          <w:szCs w:val="20"/>
          <w:lang w:val="es-CL"/>
        </w:rPr>
      </w:pPr>
    </w:p>
    <w:p w14:paraId="4D746320" w14:textId="77777777" w:rsidR="004F3C7F" w:rsidRDefault="004F3C7F" w:rsidP="000E5499">
      <w:pPr>
        <w:pStyle w:val="paragraph"/>
        <w:spacing w:before="0" w:beforeAutospacing="0" w:after="0" w:afterAutospacing="0"/>
        <w:jc w:val="center"/>
        <w:textAlignment w:val="baseline"/>
        <w:rPr>
          <w:rStyle w:val="normaltextrun"/>
          <w:rFonts w:ascii="Cambria" w:hAnsi="Cambria" w:cs="Segoe UI"/>
          <w:sz w:val="20"/>
          <w:szCs w:val="20"/>
          <w:lang w:val="es-CL"/>
        </w:rPr>
      </w:pPr>
    </w:p>
    <w:p w14:paraId="29E8B995" w14:textId="77777777" w:rsidR="004F3C7F" w:rsidRDefault="004F3C7F" w:rsidP="000E5499">
      <w:pPr>
        <w:pStyle w:val="paragraph"/>
        <w:spacing w:before="0" w:beforeAutospacing="0" w:after="0" w:afterAutospacing="0"/>
        <w:jc w:val="center"/>
        <w:textAlignment w:val="baseline"/>
        <w:rPr>
          <w:rStyle w:val="normaltextrun"/>
          <w:rFonts w:ascii="Cambria" w:hAnsi="Cambria" w:cs="Segoe UI"/>
          <w:sz w:val="20"/>
          <w:szCs w:val="20"/>
          <w:lang w:val="es-CL"/>
        </w:rPr>
      </w:pPr>
    </w:p>
    <w:p w14:paraId="6DD622B2" w14:textId="77777777" w:rsidR="004F3C7F" w:rsidRDefault="004F3C7F" w:rsidP="000E5499">
      <w:pPr>
        <w:pStyle w:val="paragraph"/>
        <w:spacing w:before="0" w:beforeAutospacing="0" w:after="0" w:afterAutospacing="0"/>
        <w:jc w:val="center"/>
        <w:textAlignment w:val="baseline"/>
        <w:rPr>
          <w:rStyle w:val="normaltextrun"/>
          <w:rFonts w:ascii="Cambria" w:hAnsi="Cambria" w:cs="Segoe UI"/>
          <w:sz w:val="20"/>
          <w:szCs w:val="20"/>
          <w:lang w:val="es-CL"/>
        </w:rPr>
      </w:pPr>
    </w:p>
    <w:p w14:paraId="0CCD963F" w14:textId="77777777" w:rsidR="004F3C7F" w:rsidRDefault="004F3C7F" w:rsidP="000E5499">
      <w:pPr>
        <w:pStyle w:val="paragraph"/>
        <w:spacing w:before="0" w:beforeAutospacing="0" w:after="0" w:afterAutospacing="0"/>
        <w:jc w:val="center"/>
        <w:textAlignment w:val="baseline"/>
        <w:rPr>
          <w:rStyle w:val="normaltextrun"/>
          <w:rFonts w:ascii="Cambria" w:hAnsi="Cambria" w:cs="Segoe UI"/>
          <w:sz w:val="20"/>
          <w:szCs w:val="20"/>
          <w:lang w:val="es-CL"/>
        </w:rPr>
      </w:pPr>
    </w:p>
    <w:p w14:paraId="7A9DFBD7" w14:textId="77777777" w:rsidR="004F3C7F" w:rsidRDefault="004F3C7F" w:rsidP="000E5499">
      <w:pPr>
        <w:pStyle w:val="paragraph"/>
        <w:spacing w:before="0" w:beforeAutospacing="0" w:after="0" w:afterAutospacing="0"/>
        <w:jc w:val="center"/>
        <w:textAlignment w:val="baseline"/>
        <w:rPr>
          <w:rStyle w:val="normaltextrun"/>
          <w:rFonts w:ascii="Cambria" w:hAnsi="Cambria" w:cs="Segoe UI"/>
          <w:sz w:val="20"/>
          <w:szCs w:val="20"/>
          <w:lang w:val="es-CL"/>
        </w:rPr>
      </w:pPr>
    </w:p>
    <w:p w14:paraId="5FF81EF5" w14:textId="77777777" w:rsidR="004F3C7F" w:rsidRDefault="004F3C7F" w:rsidP="000E5499">
      <w:pPr>
        <w:pStyle w:val="paragraph"/>
        <w:spacing w:before="0" w:beforeAutospacing="0" w:after="0" w:afterAutospacing="0"/>
        <w:jc w:val="center"/>
        <w:textAlignment w:val="baseline"/>
        <w:rPr>
          <w:rStyle w:val="normaltextrun"/>
          <w:rFonts w:ascii="Cambria" w:hAnsi="Cambria" w:cs="Segoe UI"/>
          <w:sz w:val="20"/>
          <w:szCs w:val="20"/>
          <w:lang w:val="es-CL"/>
        </w:rPr>
      </w:pPr>
    </w:p>
    <w:p w14:paraId="43139C2A" w14:textId="77777777" w:rsidR="004F3C7F" w:rsidRDefault="004F3C7F" w:rsidP="000E5499">
      <w:pPr>
        <w:pStyle w:val="paragraph"/>
        <w:spacing w:before="0" w:beforeAutospacing="0" w:after="0" w:afterAutospacing="0"/>
        <w:jc w:val="center"/>
        <w:textAlignment w:val="baseline"/>
        <w:rPr>
          <w:rStyle w:val="normaltextrun"/>
          <w:rFonts w:ascii="Cambria" w:hAnsi="Cambria" w:cs="Segoe UI"/>
          <w:sz w:val="20"/>
          <w:szCs w:val="20"/>
          <w:lang w:val="es-CL"/>
        </w:rPr>
      </w:pPr>
    </w:p>
    <w:p w14:paraId="5167DA01" w14:textId="77777777" w:rsidR="004F3C7F" w:rsidRDefault="004F3C7F" w:rsidP="000E5499">
      <w:pPr>
        <w:pStyle w:val="paragraph"/>
        <w:spacing w:before="0" w:beforeAutospacing="0" w:after="0" w:afterAutospacing="0"/>
        <w:jc w:val="center"/>
        <w:textAlignment w:val="baseline"/>
        <w:rPr>
          <w:rStyle w:val="normaltextrun"/>
          <w:rFonts w:ascii="Cambria" w:hAnsi="Cambria" w:cs="Segoe UI"/>
          <w:sz w:val="20"/>
          <w:szCs w:val="20"/>
          <w:lang w:val="es-CL"/>
        </w:rPr>
      </w:pPr>
    </w:p>
    <w:p w14:paraId="188EEEF9" w14:textId="77777777" w:rsidR="004F3C7F" w:rsidRDefault="004F3C7F" w:rsidP="000E5499">
      <w:pPr>
        <w:pStyle w:val="paragraph"/>
        <w:spacing w:before="0" w:beforeAutospacing="0" w:after="0" w:afterAutospacing="0"/>
        <w:jc w:val="center"/>
        <w:textAlignment w:val="baseline"/>
        <w:rPr>
          <w:rStyle w:val="normaltextrun"/>
          <w:rFonts w:ascii="Cambria" w:hAnsi="Cambria" w:cs="Segoe UI"/>
          <w:sz w:val="20"/>
          <w:szCs w:val="20"/>
          <w:lang w:val="es-CL"/>
        </w:rPr>
      </w:pPr>
    </w:p>
    <w:p w14:paraId="48917970" w14:textId="77777777" w:rsidR="004F3C7F" w:rsidRDefault="004F3C7F" w:rsidP="000E5499">
      <w:pPr>
        <w:pStyle w:val="paragraph"/>
        <w:spacing w:before="0" w:beforeAutospacing="0" w:after="0" w:afterAutospacing="0"/>
        <w:jc w:val="center"/>
        <w:textAlignment w:val="baseline"/>
        <w:rPr>
          <w:rStyle w:val="normaltextrun"/>
          <w:rFonts w:ascii="Cambria" w:hAnsi="Cambria" w:cs="Segoe UI"/>
          <w:sz w:val="20"/>
          <w:szCs w:val="20"/>
          <w:lang w:val="es-CL"/>
        </w:rPr>
      </w:pPr>
    </w:p>
    <w:p w14:paraId="0030A23B" w14:textId="77777777" w:rsidR="004F3C7F" w:rsidRDefault="004F3C7F" w:rsidP="000E5499">
      <w:pPr>
        <w:pStyle w:val="paragraph"/>
        <w:spacing w:before="0" w:beforeAutospacing="0" w:after="0" w:afterAutospacing="0"/>
        <w:jc w:val="center"/>
        <w:textAlignment w:val="baseline"/>
        <w:rPr>
          <w:rStyle w:val="normaltextrun"/>
          <w:rFonts w:ascii="Cambria" w:hAnsi="Cambria" w:cs="Segoe UI"/>
          <w:sz w:val="20"/>
          <w:szCs w:val="20"/>
          <w:lang w:val="es-CL"/>
        </w:rPr>
      </w:pPr>
    </w:p>
    <w:p w14:paraId="10566FAD" w14:textId="77777777" w:rsidR="004F3C7F" w:rsidRDefault="004F3C7F" w:rsidP="000E5499">
      <w:pPr>
        <w:pStyle w:val="paragraph"/>
        <w:spacing w:before="0" w:beforeAutospacing="0" w:after="0" w:afterAutospacing="0"/>
        <w:jc w:val="center"/>
        <w:textAlignment w:val="baseline"/>
        <w:rPr>
          <w:rStyle w:val="normaltextrun"/>
          <w:rFonts w:ascii="Cambria" w:hAnsi="Cambria" w:cs="Segoe UI"/>
          <w:sz w:val="20"/>
          <w:szCs w:val="20"/>
          <w:lang w:val="es-CL"/>
        </w:rPr>
      </w:pPr>
    </w:p>
    <w:p w14:paraId="27B1B456" w14:textId="77777777" w:rsidR="004F3C7F" w:rsidRDefault="004F3C7F" w:rsidP="000E5499">
      <w:pPr>
        <w:pStyle w:val="paragraph"/>
        <w:spacing w:before="0" w:beforeAutospacing="0" w:after="0" w:afterAutospacing="0"/>
        <w:jc w:val="center"/>
        <w:textAlignment w:val="baseline"/>
        <w:rPr>
          <w:rStyle w:val="normaltextrun"/>
          <w:rFonts w:ascii="Cambria" w:hAnsi="Cambria" w:cs="Segoe UI"/>
          <w:sz w:val="20"/>
          <w:szCs w:val="20"/>
          <w:lang w:val="es-CL"/>
        </w:rPr>
      </w:pPr>
    </w:p>
    <w:p w14:paraId="6B49F22C" w14:textId="77777777" w:rsidR="004F3C7F" w:rsidRDefault="004F3C7F" w:rsidP="000E5499">
      <w:pPr>
        <w:pStyle w:val="paragraph"/>
        <w:spacing w:before="0" w:beforeAutospacing="0" w:after="0" w:afterAutospacing="0"/>
        <w:jc w:val="center"/>
        <w:textAlignment w:val="baseline"/>
        <w:rPr>
          <w:rStyle w:val="normaltextrun"/>
          <w:rFonts w:ascii="Cambria" w:hAnsi="Cambria" w:cs="Segoe UI"/>
          <w:sz w:val="20"/>
          <w:szCs w:val="20"/>
          <w:lang w:val="es-CL"/>
        </w:rPr>
      </w:pPr>
    </w:p>
    <w:p w14:paraId="3B58EA52" w14:textId="77777777" w:rsidR="004F3C7F" w:rsidRDefault="004F3C7F" w:rsidP="000E5499">
      <w:pPr>
        <w:pStyle w:val="paragraph"/>
        <w:spacing w:before="0" w:beforeAutospacing="0" w:after="0" w:afterAutospacing="0"/>
        <w:jc w:val="center"/>
        <w:textAlignment w:val="baseline"/>
        <w:rPr>
          <w:rStyle w:val="normaltextrun"/>
          <w:rFonts w:ascii="Cambria" w:hAnsi="Cambria" w:cs="Segoe UI"/>
          <w:sz w:val="20"/>
          <w:szCs w:val="20"/>
          <w:lang w:val="es-CL"/>
        </w:rPr>
      </w:pPr>
    </w:p>
    <w:p w14:paraId="033275D8" w14:textId="77777777" w:rsidR="004F3C7F" w:rsidRDefault="004F3C7F" w:rsidP="000E5499">
      <w:pPr>
        <w:pStyle w:val="paragraph"/>
        <w:spacing w:before="0" w:beforeAutospacing="0" w:after="0" w:afterAutospacing="0"/>
        <w:jc w:val="center"/>
        <w:textAlignment w:val="baseline"/>
        <w:rPr>
          <w:rStyle w:val="normaltextrun"/>
          <w:rFonts w:ascii="Cambria" w:hAnsi="Cambria" w:cs="Segoe UI"/>
          <w:sz w:val="20"/>
          <w:szCs w:val="20"/>
          <w:lang w:val="es-CL"/>
        </w:rPr>
      </w:pPr>
    </w:p>
    <w:p w14:paraId="38A504A2" w14:textId="77777777" w:rsidR="004F3C7F" w:rsidRDefault="004F3C7F" w:rsidP="000E5499">
      <w:pPr>
        <w:pStyle w:val="paragraph"/>
        <w:spacing w:before="0" w:beforeAutospacing="0" w:after="0" w:afterAutospacing="0"/>
        <w:jc w:val="center"/>
        <w:textAlignment w:val="baseline"/>
        <w:rPr>
          <w:rStyle w:val="normaltextrun"/>
          <w:rFonts w:ascii="Cambria" w:hAnsi="Cambria" w:cs="Segoe UI"/>
          <w:sz w:val="20"/>
          <w:szCs w:val="20"/>
          <w:lang w:val="es-CL"/>
        </w:rPr>
      </w:pPr>
    </w:p>
    <w:p w14:paraId="6ED15034" w14:textId="41DF9006" w:rsidR="000E5499" w:rsidRPr="000D34A7" w:rsidRDefault="000E5499" w:rsidP="000E5499">
      <w:pPr>
        <w:pStyle w:val="paragraph"/>
        <w:spacing w:before="0" w:beforeAutospacing="0" w:after="0" w:afterAutospacing="0"/>
        <w:jc w:val="center"/>
        <w:textAlignment w:val="baseline"/>
        <w:rPr>
          <w:rFonts w:ascii="Cambria" w:hAnsi="Cambria" w:cs="Calibri"/>
          <w:b/>
          <w:bCs/>
          <w:sz w:val="20"/>
          <w:szCs w:val="20"/>
          <w:lang w:val="es-ES"/>
        </w:rPr>
      </w:pPr>
      <w:r w:rsidRPr="000D34A7">
        <w:rPr>
          <w:rFonts w:ascii="Cambria" w:hAnsi="Cambria" w:cs="Calibri"/>
          <w:b/>
          <w:bCs/>
          <w:sz w:val="20"/>
          <w:szCs w:val="20"/>
          <w:lang w:val="es-ES"/>
        </w:rPr>
        <w:lastRenderedPageBreak/>
        <w:t xml:space="preserve">VOTO RAZONADO DEL COMISIONADO EDGAR STUARDO RALÓN ORELLANA </w:t>
      </w:r>
    </w:p>
    <w:p w14:paraId="6EFED373" w14:textId="56456D00" w:rsidR="000E5499" w:rsidRDefault="000E5499" w:rsidP="000E5499">
      <w:pPr>
        <w:pStyle w:val="paragraph"/>
        <w:spacing w:before="0" w:beforeAutospacing="0" w:after="0" w:afterAutospacing="0"/>
        <w:jc w:val="center"/>
        <w:textAlignment w:val="baseline"/>
        <w:rPr>
          <w:rFonts w:ascii="Cambria" w:hAnsi="Cambria" w:cs="Calibri"/>
          <w:b/>
          <w:bCs/>
          <w:sz w:val="20"/>
          <w:szCs w:val="20"/>
          <w:lang w:val="es-ES"/>
        </w:rPr>
      </w:pPr>
      <w:r w:rsidRPr="000D34A7">
        <w:rPr>
          <w:rFonts w:ascii="Cambria" w:hAnsi="Cambria" w:cs="Calibri"/>
          <w:b/>
          <w:bCs/>
          <w:sz w:val="20"/>
          <w:szCs w:val="20"/>
          <w:lang w:val="es-ES"/>
        </w:rPr>
        <w:t xml:space="preserve">FRENTE AL INFORME DE ADMISIBILIDAD DE LA PETICIÓN </w:t>
      </w:r>
      <w:r w:rsidR="001234DD">
        <w:rPr>
          <w:rFonts w:ascii="Cambria" w:hAnsi="Cambria" w:cs="Calibri"/>
          <w:b/>
          <w:bCs/>
          <w:sz w:val="20"/>
          <w:szCs w:val="20"/>
          <w:lang w:val="es-ES"/>
        </w:rPr>
        <w:t>1484</w:t>
      </w:r>
      <w:r w:rsidRPr="000D34A7">
        <w:rPr>
          <w:rFonts w:ascii="Cambria" w:hAnsi="Cambria" w:cs="Calibri"/>
          <w:b/>
          <w:bCs/>
          <w:sz w:val="20"/>
          <w:szCs w:val="20"/>
          <w:lang w:val="es-ES"/>
        </w:rPr>
        <w:t>-15</w:t>
      </w:r>
    </w:p>
    <w:p w14:paraId="4102C6A8" w14:textId="77777777" w:rsidR="000E5499" w:rsidRDefault="000E5499" w:rsidP="000E5499">
      <w:pPr>
        <w:pStyle w:val="paragraph"/>
        <w:spacing w:before="0" w:beforeAutospacing="0" w:after="0" w:afterAutospacing="0"/>
        <w:jc w:val="center"/>
        <w:textAlignment w:val="baseline"/>
        <w:rPr>
          <w:rFonts w:ascii="Cambria" w:hAnsi="Cambria" w:cs="Calibri"/>
          <w:b/>
          <w:bCs/>
          <w:sz w:val="20"/>
          <w:szCs w:val="20"/>
          <w:lang w:val="es-ES"/>
        </w:rPr>
      </w:pPr>
    </w:p>
    <w:p w14:paraId="228BF9D1" w14:textId="1A286523" w:rsidR="000E5499" w:rsidRPr="002068C1" w:rsidRDefault="004C47BE" w:rsidP="000E5499">
      <w:pPr>
        <w:pStyle w:val="paragraph"/>
        <w:spacing w:before="0" w:beforeAutospacing="0" w:after="0" w:afterAutospacing="0"/>
        <w:jc w:val="center"/>
        <w:textAlignment w:val="baseline"/>
        <w:rPr>
          <w:rFonts w:ascii="Cambria" w:hAnsi="Cambria" w:cs="Calibri"/>
          <w:b/>
          <w:bCs/>
          <w:sz w:val="20"/>
          <w:szCs w:val="20"/>
          <w:lang w:val="es-ES"/>
        </w:rPr>
      </w:pPr>
      <w:r>
        <w:rPr>
          <w:rFonts w:ascii="Cambria" w:hAnsi="Cambria" w:cs="Calibri"/>
          <w:b/>
          <w:bCs/>
          <w:sz w:val="20"/>
          <w:szCs w:val="20"/>
          <w:lang w:val="es-ES"/>
        </w:rPr>
        <w:t>HÉCTOR VERGARA MALLQUI</w:t>
      </w:r>
    </w:p>
    <w:p w14:paraId="6EFB9825" w14:textId="77777777" w:rsidR="000E5499" w:rsidRDefault="000E5499" w:rsidP="000E5499">
      <w:pPr>
        <w:pStyle w:val="paragraph"/>
        <w:spacing w:before="0" w:beforeAutospacing="0" w:after="0" w:afterAutospacing="0"/>
        <w:jc w:val="center"/>
        <w:textAlignment w:val="baseline"/>
        <w:rPr>
          <w:rFonts w:ascii="Cambria" w:hAnsi="Cambria" w:cs="Calibri"/>
          <w:b/>
          <w:bCs/>
          <w:sz w:val="20"/>
          <w:szCs w:val="20"/>
          <w:lang w:val="es-ES"/>
        </w:rPr>
      </w:pPr>
      <w:r w:rsidRPr="000D34A7">
        <w:rPr>
          <w:rFonts w:ascii="Cambria" w:hAnsi="Cambria" w:cs="Calibri"/>
          <w:b/>
          <w:bCs/>
          <w:sz w:val="20"/>
          <w:szCs w:val="20"/>
          <w:lang w:val="es-ES"/>
        </w:rPr>
        <w:t>PERÚ</w:t>
      </w:r>
    </w:p>
    <w:p w14:paraId="4508BFBF" w14:textId="77777777" w:rsidR="000E5499" w:rsidRDefault="000E5499" w:rsidP="000E5499">
      <w:pPr>
        <w:pStyle w:val="paragraph"/>
        <w:spacing w:before="0" w:beforeAutospacing="0" w:after="0" w:afterAutospacing="0"/>
        <w:jc w:val="center"/>
        <w:textAlignment w:val="baseline"/>
        <w:rPr>
          <w:rFonts w:ascii="Cambria" w:hAnsi="Cambria" w:cs="Calibri"/>
          <w:b/>
          <w:bCs/>
          <w:sz w:val="20"/>
          <w:szCs w:val="20"/>
          <w:lang w:val="es-ES"/>
        </w:rPr>
      </w:pPr>
    </w:p>
    <w:p w14:paraId="4CF757FB" w14:textId="54FFBD2C" w:rsidR="000E5499" w:rsidRPr="00F73954" w:rsidRDefault="002B7F2B" w:rsidP="002B7F2B">
      <w:pPr>
        <w:pStyle w:val="paragraph"/>
        <w:spacing w:before="0" w:beforeAutospacing="0" w:after="0" w:afterAutospacing="0"/>
        <w:jc w:val="both"/>
        <w:textAlignment w:val="baseline"/>
        <w:rPr>
          <w:rFonts w:ascii="Cambria" w:hAnsi="Cambria" w:cs="Calibri"/>
          <w:sz w:val="20"/>
          <w:szCs w:val="20"/>
          <w:lang w:val="es-ES"/>
        </w:rPr>
      </w:pPr>
      <w:r w:rsidRPr="002B7F2B">
        <w:rPr>
          <w:rFonts w:asciiTheme="majorHAnsi" w:hAnsiTheme="majorHAnsi" w:cstheme="minorHAnsi"/>
          <w:sz w:val="20"/>
          <w:szCs w:val="20"/>
          <w:lang w:val="es-ES"/>
        </w:rPr>
        <w:t xml:space="preserve">Debido a que existe una resolución que se refiere a los asuntos de Perú en donde una mayoría acordó impedir al Comisionado Bernal integrar el Pleno de los asientos de Perú, lo que considero carece de sustento reglamentario como lo hice ver en el voto razonado que emití. Mi voto es contra a efecto </w:t>
      </w:r>
      <w:r w:rsidR="002068C1">
        <w:rPr>
          <w:rFonts w:asciiTheme="majorHAnsi" w:hAnsiTheme="majorHAnsi" w:cstheme="minorHAnsi"/>
          <w:sz w:val="20"/>
          <w:szCs w:val="20"/>
          <w:lang w:val="es-ES"/>
        </w:rPr>
        <w:t>d</w:t>
      </w:r>
      <w:r w:rsidRPr="002B7F2B">
        <w:rPr>
          <w:rFonts w:asciiTheme="majorHAnsi" w:hAnsiTheme="majorHAnsi" w:cstheme="minorHAnsi"/>
          <w:sz w:val="20"/>
          <w:szCs w:val="20"/>
          <w:lang w:val="es-ES"/>
        </w:rPr>
        <w:t>e salvaguardar el respeto al debido proceso de este asunto</w:t>
      </w:r>
      <w:r w:rsidR="001234DD">
        <w:rPr>
          <w:rFonts w:asciiTheme="majorHAnsi" w:hAnsiTheme="majorHAnsi" w:cstheme="minorHAnsi"/>
          <w:sz w:val="20"/>
          <w:szCs w:val="20"/>
          <w:lang w:val="es-ES"/>
        </w:rPr>
        <w:t>.</w:t>
      </w:r>
    </w:p>
    <w:p w14:paraId="36FA7BBB" w14:textId="77777777" w:rsidR="00976EBB" w:rsidRPr="008E478B" w:rsidRDefault="00976EBB" w:rsidP="00B31F39">
      <w:pPr>
        <w:pStyle w:val="paragraph"/>
        <w:spacing w:before="0" w:beforeAutospacing="0" w:after="0" w:afterAutospacing="0"/>
        <w:jc w:val="center"/>
        <w:textAlignment w:val="baseline"/>
        <w:rPr>
          <w:rFonts w:asciiTheme="majorHAnsi" w:hAnsiTheme="majorHAnsi"/>
          <w:sz w:val="20"/>
          <w:szCs w:val="20"/>
          <w:lang w:val="es-ES"/>
        </w:rPr>
      </w:pPr>
    </w:p>
    <w:sectPr w:rsidR="00976EBB" w:rsidRPr="008E478B"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906E7" w14:textId="77777777" w:rsidR="008B22D4" w:rsidRDefault="008B22D4">
      <w:r>
        <w:separator/>
      </w:r>
    </w:p>
  </w:endnote>
  <w:endnote w:type="continuationSeparator" w:id="0">
    <w:p w14:paraId="2DAE197E" w14:textId="77777777" w:rsidR="008B22D4" w:rsidRDefault="008B2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29E243E2" w14:textId="25B7F19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5D38F9">
          <w:rPr>
            <w:noProof/>
            <w:sz w:val="16"/>
            <w:szCs w:val="22"/>
          </w:rPr>
          <w:t>2</w:t>
        </w:r>
        <w:r w:rsidRPr="00934A2C">
          <w:rPr>
            <w:noProof/>
            <w:sz w:val="16"/>
            <w:szCs w:val="22"/>
          </w:rPr>
          <w:fldChar w:fldCharType="end"/>
        </w:r>
      </w:p>
    </w:sdtContent>
  </w:sdt>
  <w:p w14:paraId="68530E6A"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4FDC" w14:textId="77777777" w:rsidR="0070697F" w:rsidRPr="00934A2C" w:rsidRDefault="0070697F">
    <w:pPr>
      <w:pStyle w:val="Footer"/>
      <w:jc w:val="center"/>
      <w:rPr>
        <w:sz w:val="16"/>
        <w:szCs w:val="22"/>
      </w:rPr>
    </w:pPr>
  </w:p>
  <w:p w14:paraId="49059CE3"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E8E64" w14:textId="77777777" w:rsidR="008B22D4" w:rsidRPr="000F35ED" w:rsidRDefault="008B22D4">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4E0AC096" w14:textId="77777777" w:rsidR="008B22D4" w:rsidRPr="000F35ED" w:rsidRDefault="008B22D4" w:rsidP="000F35ED">
      <w:pPr>
        <w:rPr>
          <w:rFonts w:asciiTheme="majorHAnsi" w:hAnsiTheme="majorHAnsi"/>
          <w:sz w:val="16"/>
          <w:szCs w:val="16"/>
        </w:rPr>
      </w:pPr>
      <w:r w:rsidRPr="000F35ED">
        <w:rPr>
          <w:rFonts w:asciiTheme="majorHAnsi" w:hAnsiTheme="majorHAnsi"/>
          <w:sz w:val="16"/>
          <w:szCs w:val="16"/>
        </w:rPr>
        <w:separator/>
      </w:r>
    </w:p>
    <w:p w14:paraId="0D8B16BB" w14:textId="77777777" w:rsidR="008B22D4" w:rsidRPr="000F35ED" w:rsidRDefault="008B22D4"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4342811D" w14:textId="77777777" w:rsidR="008B22D4" w:rsidRPr="000F35ED" w:rsidRDefault="008B22D4"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4F5AA683" w14:textId="77777777" w:rsidR="00CF332A" w:rsidRPr="00D458F5" w:rsidRDefault="00CF332A" w:rsidP="00960E04">
      <w:pPr>
        <w:pStyle w:val="FootnoteText"/>
        <w:ind w:firstLine="720"/>
        <w:jc w:val="both"/>
        <w:rPr>
          <w:rFonts w:asciiTheme="majorHAnsi" w:hAnsiTheme="majorHAnsi"/>
          <w:sz w:val="16"/>
          <w:szCs w:val="16"/>
          <w:lang w:val="es-ES"/>
        </w:rPr>
      </w:pPr>
      <w:r w:rsidRPr="00B748E6">
        <w:rPr>
          <w:rStyle w:val="FootnoteReference"/>
          <w:rFonts w:asciiTheme="majorHAnsi" w:hAnsiTheme="majorHAnsi"/>
          <w:sz w:val="16"/>
          <w:szCs w:val="16"/>
          <w:lang w:val="es-ES"/>
        </w:rPr>
        <w:footnoteRef/>
      </w:r>
      <w:r w:rsidRPr="00D458F5">
        <w:rPr>
          <w:rFonts w:asciiTheme="majorHAnsi" w:hAnsiTheme="majorHAnsi"/>
          <w:sz w:val="16"/>
          <w:szCs w:val="16"/>
          <w:lang w:val="es-ES"/>
        </w:rPr>
        <w:t xml:space="preserve"> En adelante, “la Convención” o “la Convención Americana”.</w:t>
      </w:r>
    </w:p>
  </w:footnote>
  <w:footnote w:id="3">
    <w:p w14:paraId="79F07139" w14:textId="77777777" w:rsidR="008E3BFE" w:rsidRPr="00B748E6" w:rsidRDefault="008E3BFE" w:rsidP="00960E04">
      <w:pPr>
        <w:pStyle w:val="FootnoteText"/>
        <w:spacing w:after="120"/>
        <w:ind w:firstLine="720"/>
        <w:jc w:val="both"/>
        <w:rPr>
          <w:rFonts w:asciiTheme="majorHAnsi" w:hAnsiTheme="majorHAnsi"/>
          <w:sz w:val="16"/>
          <w:szCs w:val="16"/>
          <w:lang w:val="es-ES"/>
        </w:rPr>
      </w:pPr>
      <w:r w:rsidRPr="00B748E6">
        <w:rPr>
          <w:rStyle w:val="FootnoteReference"/>
          <w:rFonts w:asciiTheme="majorHAnsi" w:hAnsiTheme="majorHAnsi"/>
          <w:sz w:val="16"/>
          <w:szCs w:val="16"/>
          <w:lang w:val="es-ES"/>
        </w:rPr>
        <w:footnoteRef/>
      </w:r>
      <w:r w:rsidRPr="00B748E6">
        <w:rPr>
          <w:rFonts w:asciiTheme="majorHAnsi" w:hAnsiTheme="majorHAnsi"/>
          <w:sz w:val="16"/>
          <w:szCs w:val="16"/>
          <w:lang w:val="es-ES"/>
        </w:rPr>
        <w:t xml:space="preserve"> Las observaciones de cada parte fueron debidamente trasladadas a la parte contraria.</w:t>
      </w:r>
    </w:p>
  </w:footnote>
  <w:footnote w:id="4">
    <w:p w14:paraId="2FFE1A47" w14:textId="77777777" w:rsidR="00AF0661" w:rsidRPr="00B748E6" w:rsidRDefault="00AF0661" w:rsidP="00AF0661">
      <w:pPr>
        <w:pStyle w:val="FootnoteText"/>
        <w:ind w:firstLine="720"/>
        <w:jc w:val="both"/>
        <w:rPr>
          <w:rFonts w:asciiTheme="majorHAnsi" w:hAnsiTheme="majorHAnsi"/>
          <w:sz w:val="16"/>
          <w:szCs w:val="16"/>
          <w:lang w:val="es-ES"/>
        </w:rPr>
      </w:pPr>
      <w:r w:rsidRPr="00B748E6">
        <w:rPr>
          <w:rStyle w:val="FootnoteReference"/>
          <w:rFonts w:asciiTheme="majorHAnsi" w:hAnsiTheme="majorHAnsi"/>
          <w:sz w:val="16"/>
          <w:szCs w:val="16"/>
          <w:lang w:val="es-ES"/>
        </w:rPr>
        <w:footnoteRef/>
      </w:r>
      <w:r w:rsidRPr="00B748E6">
        <w:rPr>
          <w:rStyle w:val="FootnoteReference"/>
          <w:rFonts w:asciiTheme="majorHAnsi" w:hAnsiTheme="majorHAnsi"/>
          <w:sz w:val="16"/>
          <w:szCs w:val="16"/>
          <w:vertAlign w:val="baseline"/>
          <w:lang w:val="es-ES"/>
        </w:rPr>
        <w:t xml:space="preserve"> Según el artículo 154 de la Constitución Política del Perú, son funciones del Consejo Nacional de la Magistratura: 1. Nombrar, previo concurso público de méritos y evaluación personal, a los jueces y fiscales de todos los niveles. Dichos nombramientos requieren el voto conforme los dos tercios del número total de sus miembros. 2. Ratificar a los jueces y fiscales de todos los niveles a cada siete años. Los no ratificados no pueden reingresar al Poder Judicial ni al Ministerio Público. El proceso de ratificación es independiente de las medidas disciplinarias</w:t>
      </w:r>
      <w:r w:rsidRPr="00B748E6">
        <w:rPr>
          <w:rFonts w:asciiTheme="majorHAnsi" w:hAnsiTheme="majorHAnsi"/>
          <w:sz w:val="16"/>
          <w:szCs w:val="16"/>
          <w:lang w:val="es-ES"/>
        </w:rPr>
        <w:t>.</w:t>
      </w:r>
    </w:p>
  </w:footnote>
  <w:footnote w:id="5">
    <w:p w14:paraId="483BA3F7" w14:textId="413CADE6" w:rsidR="003B4427" w:rsidRPr="00B748E6" w:rsidRDefault="003B4427" w:rsidP="00960E04">
      <w:pPr>
        <w:pStyle w:val="FootnoteText"/>
        <w:ind w:firstLine="720"/>
        <w:jc w:val="both"/>
        <w:rPr>
          <w:rFonts w:asciiTheme="majorHAnsi" w:hAnsiTheme="majorHAnsi"/>
          <w:sz w:val="16"/>
          <w:szCs w:val="16"/>
          <w:lang w:val="es-ES"/>
        </w:rPr>
      </w:pPr>
      <w:r w:rsidRPr="00B748E6">
        <w:rPr>
          <w:rStyle w:val="FootnoteReference"/>
          <w:rFonts w:asciiTheme="majorHAnsi" w:hAnsiTheme="majorHAnsi"/>
          <w:sz w:val="16"/>
          <w:szCs w:val="16"/>
          <w:lang w:val="es-ES"/>
        </w:rPr>
        <w:footnoteRef/>
      </w:r>
      <w:r w:rsidRPr="00B748E6">
        <w:rPr>
          <w:rStyle w:val="FootnoteReference"/>
          <w:rFonts w:asciiTheme="majorHAnsi" w:hAnsiTheme="majorHAnsi"/>
          <w:sz w:val="16"/>
          <w:szCs w:val="16"/>
          <w:lang w:val="es-ES"/>
        </w:rPr>
        <w:t xml:space="preserve"> </w:t>
      </w:r>
      <w:r w:rsidRPr="00B748E6">
        <w:rPr>
          <w:rStyle w:val="FootnoteReference"/>
          <w:rFonts w:asciiTheme="majorHAnsi" w:hAnsiTheme="majorHAnsi"/>
          <w:sz w:val="16"/>
          <w:szCs w:val="16"/>
          <w:vertAlign w:val="baseline"/>
          <w:lang w:val="es-ES"/>
        </w:rPr>
        <w:t xml:space="preserve">De acuerdo con el Reglamento de Evaluación Integral y Ratificación de Jueces del Poder Judicial y Fiscales del Ministerio Público: </w:t>
      </w:r>
      <w:r w:rsidR="00044174" w:rsidRPr="00B748E6">
        <w:rPr>
          <w:rStyle w:val="FootnoteReference"/>
          <w:rFonts w:asciiTheme="majorHAnsi" w:hAnsiTheme="majorHAnsi"/>
          <w:sz w:val="16"/>
          <w:szCs w:val="16"/>
          <w:vertAlign w:val="baseline"/>
          <w:lang w:val="es-ES"/>
        </w:rPr>
        <w:t>Artículo 13°.- Participación ciudadana</w:t>
      </w:r>
      <w:r w:rsidR="00044174" w:rsidRPr="00B748E6">
        <w:rPr>
          <w:rFonts w:asciiTheme="majorHAnsi" w:hAnsiTheme="majorHAnsi"/>
          <w:sz w:val="16"/>
          <w:szCs w:val="16"/>
          <w:lang w:val="es-ES"/>
        </w:rPr>
        <w:t xml:space="preserve">. </w:t>
      </w:r>
      <w:r w:rsidR="00044174" w:rsidRPr="00B748E6">
        <w:rPr>
          <w:rStyle w:val="FootnoteReference"/>
          <w:rFonts w:asciiTheme="majorHAnsi" w:hAnsiTheme="majorHAnsi"/>
          <w:sz w:val="16"/>
          <w:szCs w:val="16"/>
          <w:vertAlign w:val="baseline"/>
          <w:lang w:val="es-ES"/>
        </w:rPr>
        <w:t>Los ciudadanos así como entidades públicas o privadas pueden hacer llegar al Consejo Nacional</w:t>
      </w:r>
      <w:r w:rsidR="00044174" w:rsidRPr="00B748E6">
        <w:rPr>
          <w:rFonts w:asciiTheme="majorHAnsi" w:hAnsiTheme="majorHAnsi"/>
          <w:sz w:val="16"/>
          <w:szCs w:val="16"/>
          <w:lang w:val="es-ES"/>
        </w:rPr>
        <w:t xml:space="preserve"> </w:t>
      </w:r>
      <w:r w:rsidR="00044174" w:rsidRPr="00B748E6">
        <w:rPr>
          <w:rStyle w:val="FootnoteReference"/>
          <w:rFonts w:asciiTheme="majorHAnsi" w:hAnsiTheme="majorHAnsi"/>
          <w:sz w:val="16"/>
          <w:szCs w:val="16"/>
          <w:vertAlign w:val="baseline"/>
          <w:lang w:val="es-ES"/>
        </w:rPr>
        <w:t>de la Magistratura información sobre hechos relevantes relacionados con la conducta e idoneidad</w:t>
      </w:r>
      <w:r w:rsidR="00044174" w:rsidRPr="00B748E6">
        <w:rPr>
          <w:rFonts w:asciiTheme="majorHAnsi" w:hAnsiTheme="majorHAnsi"/>
          <w:sz w:val="16"/>
          <w:szCs w:val="16"/>
          <w:lang w:val="es-ES"/>
        </w:rPr>
        <w:t xml:space="preserve"> </w:t>
      </w:r>
      <w:r w:rsidR="00044174" w:rsidRPr="00B748E6">
        <w:rPr>
          <w:rStyle w:val="FootnoteReference"/>
          <w:rFonts w:asciiTheme="majorHAnsi" w:hAnsiTheme="majorHAnsi"/>
          <w:sz w:val="16"/>
          <w:szCs w:val="16"/>
          <w:vertAlign w:val="baseline"/>
          <w:lang w:val="es-ES"/>
        </w:rPr>
        <w:t>del magistrado, apoyando o cuestionando su continuidad en el cargo. Dicha información deberá</w:t>
      </w:r>
      <w:r w:rsidR="00044174" w:rsidRPr="00B748E6">
        <w:rPr>
          <w:rFonts w:asciiTheme="majorHAnsi" w:hAnsiTheme="majorHAnsi"/>
          <w:sz w:val="16"/>
          <w:szCs w:val="16"/>
          <w:lang w:val="es-ES"/>
        </w:rPr>
        <w:t xml:space="preserve"> </w:t>
      </w:r>
      <w:r w:rsidR="00044174" w:rsidRPr="00B748E6">
        <w:rPr>
          <w:rStyle w:val="FootnoteReference"/>
          <w:rFonts w:asciiTheme="majorHAnsi" w:hAnsiTheme="majorHAnsi"/>
          <w:sz w:val="16"/>
          <w:szCs w:val="16"/>
          <w:vertAlign w:val="baseline"/>
          <w:lang w:val="es-ES"/>
        </w:rPr>
        <w:t>estar sustentada con la documentación correspondiente.</w:t>
      </w:r>
      <w:r w:rsidR="00044174" w:rsidRPr="00B748E6">
        <w:rPr>
          <w:rFonts w:asciiTheme="majorHAnsi" w:hAnsiTheme="majorHAnsi"/>
          <w:sz w:val="16"/>
          <w:szCs w:val="16"/>
          <w:lang w:val="es-ES"/>
        </w:rPr>
        <w:t xml:space="preserve"> </w:t>
      </w:r>
      <w:r w:rsidRPr="00B748E6">
        <w:rPr>
          <w:rStyle w:val="FootnoteReference"/>
          <w:rFonts w:asciiTheme="majorHAnsi" w:hAnsiTheme="majorHAnsi"/>
          <w:sz w:val="16"/>
          <w:szCs w:val="16"/>
          <w:vertAlign w:val="baseline"/>
          <w:lang w:val="es-ES"/>
        </w:rPr>
        <w:t>Artículo 14°- Trámite de los escritos de participación ciudadana. El escrito de participación ciudadana debe presentarse dentro de los 15 días de publicada la convocatoria. Cuando la comunicación tenga por finalidad cuestionar la conducta e idoneidad del magistrado se pone en su conocimiento mediante notificación personal. El magistrado puede contradecirla dentro del plazo de tres días hábiles más el término de la distancia. No se admite prórroga.</w:t>
      </w:r>
    </w:p>
  </w:footnote>
  <w:footnote w:id="6">
    <w:p w14:paraId="3287595A" w14:textId="129DD130" w:rsidR="00AE0AC5" w:rsidRPr="00B748E6" w:rsidRDefault="00B9416F" w:rsidP="00960E04">
      <w:pPr>
        <w:pStyle w:val="FootnoteText"/>
        <w:ind w:firstLine="720"/>
        <w:jc w:val="both"/>
        <w:rPr>
          <w:rFonts w:asciiTheme="majorHAnsi" w:hAnsiTheme="majorHAnsi"/>
          <w:sz w:val="16"/>
          <w:szCs w:val="16"/>
          <w:lang w:val="es-ES"/>
        </w:rPr>
      </w:pPr>
      <w:r w:rsidRPr="00B748E6">
        <w:rPr>
          <w:rStyle w:val="FootnoteReference"/>
          <w:rFonts w:asciiTheme="majorHAnsi" w:hAnsiTheme="majorHAnsi"/>
          <w:sz w:val="16"/>
          <w:szCs w:val="16"/>
          <w:lang w:val="es-ES"/>
        </w:rPr>
        <w:footnoteRef/>
      </w:r>
      <w:r w:rsidRPr="00B748E6">
        <w:rPr>
          <w:rStyle w:val="FootnoteReference"/>
          <w:rFonts w:asciiTheme="majorHAnsi" w:hAnsiTheme="majorHAnsi"/>
          <w:sz w:val="16"/>
          <w:szCs w:val="16"/>
          <w:lang w:val="es-ES"/>
        </w:rPr>
        <w:t xml:space="preserve"> </w:t>
      </w:r>
      <w:r w:rsidRPr="00B748E6">
        <w:rPr>
          <w:rStyle w:val="FootnoteReference"/>
          <w:rFonts w:asciiTheme="majorHAnsi" w:hAnsiTheme="majorHAnsi"/>
          <w:sz w:val="16"/>
          <w:szCs w:val="16"/>
          <w:vertAlign w:val="baseline"/>
          <w:lang w:val="es-ES"/>
        </w:rPr>
        <w:t>Conforme</w:t>
      </w:r>
      <w:r w:rsidR="00AE0AC5" w:rsidRPr="00B748E6">
        <w:rPr>
          <w:rStyle w:val="FootnoteReference"/>
          <w:rFonts w:asciiTheme="majorHAnsi" w:hAnsiTheme="majorHAnsi"/>
          <w:sz w:val="16"/>
          <w:szCs w:val="16"/>
          <w:vertAlign w:val="baseline"/>
          <w:lang w:val="es-ES"/>
        </w:rPr>
        <w:t xml:space="preserve"> el Reglamento de Evaluación Integral y Ratificación de Jueces del Poder Judicial y Fiscales del Ministerio Público:</w:t>
      </w:r>
      <w:r w:rsidRPr="00B748E6">
        <w:rPr>
          <w:rStyle w:val="FootnoteReference"/>
          <w:rFonts w:asciiTheme="majorHAnsi" w:hAnsiTheme="majorHAnsi"/>
          <w:sz w:val="16"/>
          <w:szCs w:val="16"/>
          <w:vertAlign w:val="baseline"/>
          <w:lang w:val="es-ES"/>
        </w:rPr>
        <w:t xml:space="preserve"> </w:t>
      </w:r>
      <w:r w:rsidR="00AE0AC5" w:rsidRPr="00B748E6">
        <w:rPr>
          <w:rStyle w:val="FootnoteReference"/>
          <w:rFonts w:asciiTheme="majorHAnsi" w:hAnsiTheme="majorHAnsi"/>
          <w:sz w:val="16"/>
          <w:szCs w:val="16"/>
          <w:vertAlign w:val="baseline"/>
          <w:lang w:val="es-ES"/>
        </w:rPr>
        <w:t>Artículo 41°- De la procedencia del recurso. Contra la resolución de no ratificación de magistrados sólo procede la interposición de recurso extraordinario por afectación al debido proceso.</w:t>
      </w:r>
    </w:p>
  </w:footnote>
  <w:footnote w:id="7">
    <w:p w14:paraId="6B2DB990" w14:textId="194D0120" w:rsidR="006C468D" w:rsidRPr="00B748E6" w:rsidRDefault="006C468D" w:rsidP="006C468D">
      <w:pPr>
        <w:pStyle w:val="FootnoteText"/>
        <w:ind w:firstLine="720"/>
        <w:jc w:val="both"/>
        <w:rPr>
          <w:rFonts w:asciiTheme="majorHAnsi" w:hAnsiTheme="majorHAnsi"/>
          <w:sz w:val="16"/>
          <w:szCs w:val="16"/>
          <w:lang w:val="es-ES"/>
        </w:rPr>
      </w:pPr>
      <w:r w:rsidRPr="00B748E6">
        <w:rPr>
          <w:rStyle w:val="FootnoteReference"/>
          <w:rFonts w:asciiTheme="majorHAnsi" w:hAnsiTheme="majorHAnsi"/>
          <w:sz w:val="16"/>
          <w:szCs w:val="16"/>
          <w:lang w:val="es-ES"/>
        </w:rPr>
        <w:footnoteRef/>
      </w:r>
      <w:r w:rsidRPr="00B748E6">
        <w:rPr>
          <w:rStyle w:val="FootnoteReference"/>
          <w:rFonts w:asciiTheme="majorHAnsi" w:hAnsiTheme="majorHAnsi"/>
          <w:sz w:val="16"/>
          <w:szCs w:val="16"/>
          <w:lang w:val="es-ES"/>
        </w:rPr>
        <w:t xml:space="preserve"> </w:t>
      </w:r>
      <w:r w:rsidRPr="00B748E6">
        <w:rPr>
          <w:rStyle w:val="FootnoteReference"/>
          <w:rFonts w:asciiTheme="majorHAnsi" w:hAnsiTheme="majorHAnsi"/>
          <w:sz w:val="16"/>
          <w:szCs w:val="16"/>
          <w:vertAlign w:val="baseline"/>
          <w:lang w:val="es-ES"/>
        </w:rPr>
        <w:t>De acuerdo con el artículo 142 de la Constitución Política del Perú, no son revisables en sede judicial las resoluciones del Jurado Nacional de Elecciones en materia electoral, ni las del Consejo Nacional de la Magistratura en materia de evaluación y ratificación de jueces.</w:t>
      </w:r>
    </w:p>
  </w:footnote>
  <w:footnote w:id="8">
    <w:p w14:paraId="03301850" w14:textId="3DC589C0" w:rsidR="006C468D" w:rsidRPr="00B748E6" w:rsidRDefault="006C468D" w:rsidP="006C468D">
      <w:pPr>
        <w:pStyle w:val="FootnoteText"/>
        <w:ind w:firstLine="720"/>
        <w:jc w:val="both"/>
        <w:rPr>
          <w:rFonts w:asciiTheme="majorHAnsi" w:hAnsiTheme="majorHAnsi"/>
          <w:sz w:val="16"/>
          <w:szCs w:val="16"/>
          <w:lang w:val="es-ES_tradnl"/>
        </w:rPr>
      </w:pPr>
      <w:r w:rsidRPr="00B748E6">
        <w:rPr>
          <w:rStyle w:val="FootnoteReference"/>
          <w:rFonts w:asciiTheme="majorHAnsi" w:hAnsiTheme="majorHAnsi"/>
          <w:sz w:val="16"/>
          <w:szCs w:val="16"/>
          <w:lang w:val="es-ES"/>
        </w:rPr>
        <w:footnoteRef/>
      </w:r>
      <w:r w:rsidRPr="00B748E6">
        <w:rPr>
          <w:rStyle w:val="FootnoteReference"/>
          <w:rFonts w:asciiTheme="majorHAnsi" w:hAnsiTheme="majorHAnsi"/>
          <w:sz w:val="16"/>
          <w:szCs w:val="16"/>
          <w:lang w:val="es-ES"/>
        </w:rPr>
        <w:t xml:space="preserve"> </w:t>
      </w:r>
      <w:r w:rsidRPr="00B748E6">
        <w:rPr>
          <w:rStyle w:val="FootnoteReference"/>
          <w:rFonts w:asciiTheme="majorHAnsi" w:hAnsiTheme="majorHAnsi"/>
          <w:sz w:val="16"/>
          <w:szCs w:val="16"/>
          <w:vertAlign w:val="baseline"/>
          <w:lang w:val="es-ES"/>
        </w:rPr>
        <w:t>Según el artículo 5 del Código Procesal Constitucional: Causales de improcedencia. No proceden los procesos constitucionales cuando. […] 7) Se cuestionen las resoluciones definitivas del Consejo Nacional de la Magistratura en materia de destitución y ratificación de jueces y fiscales, siempre que dichas resoluciones hayan sido motivadas y dictadas con previa audiencia al interesado.</w:t>
      </w:r>
    </w:p>
  </w:footnote>
  <w:footnote w:id="9">
    <w:p w14:paraId="3264BC48" w14:textId="029F1F54" w:rsidR="007F455B" w:rsidRPr="00B748E6" w:rsidRDefault="007F455B" w:rsidP="007F455B">
      <w:pPr>
        <w:pStyle w:val="FootnoteText"/>
        <w:ind w:firstLine="720"/>
        <w:jc w:val="both"/>
        <w:rPr>
          <w:rFonts w:asciiTheme="majorHAnsi" w:hAnsiTheme="majorHAnsi"/>
          <w:sz w:val="16"/>
          <w:szCs w:val="16"/>
          <w:lang w:val="es-ES"/>
        </w:rPr>
      </w:pPr>
      <w:r w:rsidRPr="00B748E6">
        <w:rPr>
          <w:rStyle w:val="FootnoteReference"/>
          <w:rFonts w:asciiTheme="majorHAnsi" w:hAnsiTheme="majorHAnsi"/>
          <w:sz w:val="16"/>
          <w:szCs w:val="16"/>
          <w:lang w:val="es-ES"/>
        </w:rPr>
        <w:footnoteRef/>
      </w:r>
      <w:r w:rsidRPr="00B748E6">
        <w:rPr>
          <w:rStyle w:val="FootnoteReference"/>
          <w:rFonts w:asciiTheme="majorHAnsi" w:hAnsiTheme="majorHAnsi"/>
          <w:sz w:val="16"/>
          <w:szCs w:val="16"/>
          <w:lang w:val="es-ES"/>
        </w:rPr>
        <w:t xml:space="preserve"> </w:t>
      </w:r>
      <w:r w:rsidRPr="00B748E6">
        <w:rPr>
          <w:rStyle w:val="FootnoteReference"/>
          <w:rFonts w:asciiTheme="majorHAnsi" w:hAnsiTheme="majorHAnsi"/>
          <w:sz w:val="16"/>
          <w:szCs w:val="16"/>
          <w:vertAlign w:val="baseline"/>
          <w:lang w:val="es-ES"/>
        </w:rPr>
        <w:t>CIDH, Solución Amistosa, Informe No. 22/11, Petición 71-06 y Otras (Gloria José Yaquetto Paredes y otros)</w:t>
      </w:r>
      <w:r w:rsidR="000938FE">
        <w:rPr>
          <w:rFonts w:asciiTheme="majorHAnsi" w:hAnsiTheme="majorHAnsi"/>
          <w:sz w:val="16"/>
          <w:szCs w:val="16"/>
          <w:lang w:val="es-ES"/>
        </w:rPr>
        <w:t>,</w:t>
      </w:r>
      <w:r w:rsidRPr="00B748E6">
        <w:rPr>
          <w:rStyle w:val="FootnoteReference"/>
          <w:rFonts w:asciiTheme="majorHAnsi" w:hAnsiTheme="majorHAnsi"/>
          <w:sz w:val="16"/>
          <w:szCs w:val="16"/>
          <w:vertAlign w:val="baseline"/>
          <w:lang w:val="es-ES"/>
        </w:rPr>
        <w:t xml:space="preserve"> Perú, 23 de marzo de 2011</w:t>
      </w:r>
      <w:r w:rsidR="0060022F">
        <w:rPr>
          <w:rFonts w:asciiTheme="majorHAnsi" w:hAnsiTheme="majorHAnsi"/>
          <w:sz w:val="16"/>
          <w:szCs w:val="16"/>
          <w:lang w:val="es-ES"/>
        </w:rPr>
        <w:t>.</w:t>
      </w:r>
    </w:p>
  </w:footnote>
  <w:footnote w:id="10">
    <w:p w14:paraId="6AAD7252" w14:textId="04497708" w:rsidR="00E67F15" w:rsidRPr="00B748E6" w:rsidRDefault="00E67F15" w:rsidP="00E67F15">
      <w:pPr>
        <w:pStyle w:val="FootnoteText"/>
        <w:ind w:firstLine="720"/>
        <w:jc w:val="both"/>
        <w:rPr>
          <w:rFonts w:asciiTheme="majorHAnsi" w:hAnsiTheme="majorHAnsi"/>
          <w:sz w:val="16"/>
          <w:szCs w:val="16"/>
          <w:lang w:val="es-ES"/>
        </w:rPr>
      </w:pPr>
      <w:r w:rsidRPr="00B748E6">
        <w:rPr>
          <w:rStyle w:val="FootnoteReference"/>
          <w:rFonts w:asciiTheme="majorHAnsi" w:hAnsiTheme="majorHAnsi"/>
          <w:sz w:val="16"/>
          <w:szCs w:val="16"/>
          <w:lang w:val="es-ES"/>
        </w:rPr>
        <w:footnoteRef/>
      </w:r>
      <w:r w:rsidRPr="00B748E6">
        <w:rPr>
          <w:rStyle w:val="FootnoteReference"/>
          <w:rFonts w:asciiTheme="majorHAnsi" w:hAnsiTheme="majorHAnsi"/>
          <w:sz w:val="16"/>
          <w:szCs w:val="16"/>
          <w:lang w:val="es-ES"/>
        </w:rPr>
        <w:t xml:space="preserve"> </w:t>
      </w:r>
      <w:r w:rsidRPr="00B748E6">
        <w:rPr>
          <w:rStyle w:val="FootnoteReference"/>
          <w:rFonts w:asciiTheme="majorHAnsi" w:hAnsiTheme="majorHAnsi"/>
          <w:sz w:val="16"/>
          <w:szCs w:val="16"/>
          <w:vertAlign w:val="baseline"/>
          <w:lang w:val="es-ES"/>
        </w:rPr>
        <w:t xml:space="preserve">Tribunal </w:t>
      </w:r>
      <w:r w:rsidR="009E6A1B" w:rsidRPr="00B748E6">
        <w:rPr>
          <w:rStyle w:val="FootnoteReference"/>
          <w:rFonts w:asciiTheme="majorHAnsi" w:hAnsiTheme="majorHAnsi"/>
          <w:sz w:val="16"/>
          <w:szCs w:val="16"/>
          <w:vertAlign w:val="baseline"/>
          <w:lang w:val="es-ES_tradnl"/>
        </w:rPr>
        <w:t>C</w:t>
      </w:r>
      <w:r w:rsidR="009E6A1B" w:rsidRPr="00B748E6">
        <w:rPr>
          <w:rFonts w:asciiTheme="majorHAnsi" w:hAnsiTheme="majorHAnsi"/>
          <w:sz w:val="16"/>
          <w:szCs w:val="16"/>
          <w:lang w:val="es-ES_tradnl"/>
        </w:rPr>
        <w:t>onstitucional</w:t>
      </w:r>
      <w:r w:rsidRPr="00B748E6">
        <w:rPr>
          <w:rStyle w:val="FootnoteReference"/>
          <w:rFonts w:asciiTheme="majorHAnsi" w:hAnsiTheme="majorHAnsi"/>
          <w:sz w:val="16"/>
          <w:szCs w:val="16"/>
          <w:vertAlign w:val="baseline"/>
          <w:lang w:val="es-ES_tradnl"/>
        </w:rPr>
        <w:t xml:space="preserve"> de Perú</w:t>
      </w:r>
      <w:r w:rsidR="0060022F">
        <w:rPr>
          <w:rFonts w:asciiTheme="majorHAnsi" w:hAnsiTheme="majorHAnsi"/>
          <w:sz w:val="16"/>
          <w:szCs w:val="16"/>
          <w:lang w:val="es-ES_tradnl"/>
        </w:rPr>
        <w:t>,</w:t>
      </w:r>
      <w:r w:rsidRPr="00B748E6">
        <w:rPr>
          <w:rStyle w:val="FootnoteReference"/>
          <w:rFonts w:asciiTheme="majorHAnsi" w:hAnsiTheme="majorHAnsi"/>
          <w:sz w:val="16"/>
          <w:szCs w:val="16"/>
          <w:vertAlign w:val="baseline"/>
          <w:lang w:val="es-ES"/>
        </w:rPr>
        <w:t xml:space="preserve"> Sentencia de fecha 17 de abril de 2012, recaída en el Expediente</w:t>
      </w:r>
      <w:r w:rsidRPr="00B748E6">
        <w:rPr>
          <w:rFonts w:asciiTheme="majorHAnsi" w:hAnsiTheme="majorHAnsi"/>
          <w:sz w:val="16"/>
          <w:szCs w:val="16"/>
          <w:lang w:val="es-ES"/>
        </w:rPr>
        <w:t xml:space="preserve"> </w:t>
      </w:r>
      <w:r w:rsidRPr="00B748E6">
        <w:rPr>
          <w:rStyle w:val="FootnoteReference"/>
          <w:rFonts w:asciiTheme="majorHAnsi" w:hAnsiTheme="majorHAnsi"/>
          <w:sz w:val="16"/>
          <w:szCs w:val="16"/>
          <w:vertAlign w:val="baseline"/>
          <w:lang w:val="es-ES_tradnl"/>
        </w:rPr>
        <w:t xml:space="preserve">N.º </w:t>
      </w:r>
      <w:r w:rsidRPr="00B748E6">
        <w:rPr>
          <w:rStyle w:val="FootnoteReference"/>
          <w:rFonts w:asciiTheme="majorHAnsi" w:hAnsiTheme="majorHAnsi"/>
          <w:sz w:val="16"/>
          <w:szCs w:val="16"/>
          <w:vertAlign w:val="baseline"/>
          <w:lang w:val="es-ES"/>
        </w:rPr>
        <w:t>03164-2011-PA-TC</w:t>
      </w:r>
      <w:r w:rsidRPr="00B748E6">
        <w:rPr>
          <w:rStyle w:val="FootnoteReference"/>
          <w:rFonts w:asciiTheme="majorHAnsi" w:hAnsiTheme="majorHAnsi"/>
          <w:sz w:val="16"/>
          <w:szCs w:val="16"/>
          <w:vertAlign w:val="baseline"/>
          <w:lang w:val="es-ES_tradnl"/>
        </w:rPr>
        <w:t xml:space="preserve">; y </w:t>
      </w:r>
      <w:r w:rsidRPr="00B748E6">
        <w:rPr>
          <w:rStyle w:val="FootnoteReference"/>
          <w:rFonts w:asciiTheme="majorHAnsi" w:hAnsiTheme="majorHAnsi"/>
          <w:sz w:val="16"/>
          <w:szCs w:val="16"/>
          <w:vertAlign w:val="baseline"/>
          <w:lang w:val="es-ES"/>
        </w:rPr>
        <w:t xml:space="preserve">Sentencia de fecha 18 de mayo de 2010, recaída en el Expediente </w:t>
      </w:r>
      <w:r w:rsidRPr="00B748E6">
        <w:rPr>
          <w:rStyle w:val="FootnoteReference"/>
          <w:rFonts w:asciiTheme="majorHAnsi" w:hAnsiTheme="majorHAnsi"/>
          <w:sz w:val="16"/>
          <w:szCs w:val="16"/>
          <w:vertAlign w:val="baseline"/>
          <w:lang w:val="es-ES_tradnl"/>
        </w:rPr>
        <w:t xml:space="preserve">N.º </w:t>
      </w:r>
      <w:r w:rsidRPr="00B748E6">
        <w:rPr>
          <w:rStyle w:val="FootnoteReference"/>
          <w:rFonts w:asciiTheme="majorHAnsi" w:hAnsiTheme="majorHAnsi"/>
          <w:sz w:val="16"/>
          <w:szCs w:val="16"/>
          <w:vertAlign w:val="baseline"/>
          <w:lang w:val="es-ES"/>
        </w:rPr>
        <w:t>05197-2009-PA-TC</w:t>
      </w:r>
      <w:r w:rsidRPr="00B748E6">
        <w:rPr>
          <w:rStyle w:val="FootnoteReference"/>
          <w:rFonts w:asciiTheme="majorHAnsi" w:hAnsiTheme="majorHAnsi"/>
          <w:sz w:val="16"/>
          <w:szCs w:val="16"/>
          <w:vertAlign w:val="baseline"/>
          <w:lang w:val="es-ES_tradnl"/>
        </w:rPr>
        <w:t>.</w:t>
      </w:r>
    </w:p>
  </w:footnote>
  <w:footnote w:id="11">
    <w:p w14:paraId="248C675F" w14:textId="4F189D41" w:rsidR="008D2EB8" w:rsidRPr="00B748E6" w:rsidRDefault="008D2EB8" w:rsidP="008D2EB8">
      <w:pPr>
        <w:pStyle w:val="FootnoteText"/>
        <w:ind w:firstLine="720"/>
        <w:jc w:val="both"/>
        <w:rPr>
          <w:rFonts w:asciiTheme="majorHAnsi" w:hAnsiTheme="majorHAnsi"/>
          <w:sz w:val="16"/>
          <w:szCs w:val="16"/>
          <w:lang w:val="es-ES_tradnl"/>
        </w:rPr>
      </w:pPr>
      <w:r w:rsidRPr="00B748E6">
        <w:rPr>
          <w:rStyle w:val="FootnoteReference"/>
          <w:rFonts w:asciiTheme="majorHAnsi" w:hAnsiTheme="majorHAnsi"/>
          <w:sz w:val="16"/>
          <w:szCs w:val="16"/>
          <w:lang w:val="es-ES"/>
        </w:rPr>
        <w:footnoteRef/>
      </w:r>
      <w:r w:rsidRPr="00B748E6">
        <w:rPr>
          <w:rStyle w:val="FootnoteReference"/>
          <w:rFonts w:asciiTheme="majorHAnsi" w:hAnsiTheme="majorHAnsi"/>
          <w:sz w:val="16"/>
          <w:szCs w:val="16"/>
          <w:lang w:val="es-ES"/>
        </w:rPr>
        <w:t xml:space="preserve"> </w:t>
      </w:r>
      <w:r w:rsidRPr="00B748E6">
        <w:rPr>
          <w:rStyle w:val="FootnoteReference"/>
          <w:rFonts w:asciiTheme="majorHAnsi" w:hAnsiTheme="majorHAnsi"/>
          <w:sz w:val="16"/>
          <w:szCs w:val="16"/>
          <w:vertAlign w:val="baseline"/>
          <w:lang w:val="es-ES"/>
        </w:rPr>
        <w:t>CIDH, Informe No. 147/20, Petición 1384-16</w:t>
      </w:r>
      <w:r w:rsidR="0060022F">
        <w:rPr>
          <w:rFonts w:asciiTheme="majorHAnsi" w:hAnsiTheme="majorHAnsi"/>
          <w:sz w:val="16"/>
          <w:szCs w:val="16"/>
          <w:lang w:val="es-ES"/>
        </w:rPr>
        <w:t>,</w:t>
      </w:r>
      <w:r w:rsidRPr="00B748E6">
        <w:rPr>
          <w:rStyle w:val="FootnoteReference"/>
          <w:rFonts w:asciiTheme="majorHAnsi" w:hAnsiTheme="majorHAnsi"/>
          <w:sz w:val="16"/>
          <w:szCs w:val="16"/>
          <w:vertAlign w:val="baseline"/>
          <w:lang w:val="es-ES"/>
        </w:rPr>
        <w:t xml:space="preserve"> Admisibilidad</w:t>
      </w:r>
      <w:r w:rsidR="0060022F">
        <w:rPr>
          <w:rFonts w:asciiTheme="majorHAnsi" w:hAnsiTheme="majorHAnsi"/>
          <w:sz w:val="16"/>
          <w:szCs w:val="16"/>
          <w:lang w:val="es-ES"/>
        </w:rPr>
        <w:t>,</w:t>
      </w:r>
      <w:r w:rsidRPr="00B748E6">
        <w:rPr>
          <w:rStyle w:val="FootnoteReference"/>
          <w:rFonts w:asciiTheme="majorHAnsi" w:hAnsiTheme="majorHAnsi"/>
          <w:sz w:val="16"/>
          <w:szCs w:val="16"/>
          <w:vertAlign w:val="baseline"/>
          <w:lang w:val="es-ES"/>
        </w:rPr>
        <w:t xml:space="preserve"> José Ignacio Orías Calvo</w:t>
      </w:r>
      <w:r w:rsidR="00F85E59">
        <w:rPr>
          <w:rFonts w:asciiTheme="majorHAnsi" w:hAnsiTheme="majorHAnsi"/>
          <w:sz w:val="16"/>
          <w:szCs w:val="16"/>
          <w:lang w:val="es-ES"/>
        </w:rPr>
        <w:t>,</w:t>
      </w:r>
      <w:r w:rsidRPr="00B748E6">
        <w:rPr>
          <w:rStyle w:val="FootnoteReference"/>
          <w:rFonts w:asciiTheme="majorHAnsi" w:hAnsiTheme="majorHAnsi"/>
          <w:sz w:val="16"/>
          <w:szCs w:val="16"/>
          <w:vertAlign w:val="baseline"/>
          <w:lang w:val="es-ES"/>
        </w:rPr>
        <w:t xml:space="preserve"> Bolivia</w:t>
      </w:r>
      <w:r w:rsidR="00F85E59">
        <w:rPr>
          <w:rFonts w:asciiTheme="majorHAnsi" w:hAnsiTheme="majorHAnsi"/>
          <w:sz w:val="16"/>
          <w:szCs w:val="16"/>
          <w:lang w:val="es-ES"/>
        </w:rPr>
        <w:t>,</w:t>
      </w:r>
      <w:r w:rsidRPr="00B748E6">
        <w:rPr>
          <w:rStyle w:val="FootnoteReference"/>
          <w:rFonts w:asciiTheme="majorHAnsi" w:hAnsiTheme="majorHAnsi"/>
          <w:sz w:val="16"/>
          <w:szCs w:val="16"/>
          <w:vertAlign w:val="baseline"/>
          <w:lang w:val="es-ES"/>
        </w:rPr>
        <w:t xml:space="preserve"> 9 de junio de 2020, párr. 10.</w:t>
      </w:r>
    </w:p>
  </w:footnote>
  <w:footnote w:id="12">
    <w:p w14:paraId="61C491AE" w14:textId="4EA591B1" w:rsidR="00551388" w:rsidRPr="00B748E6" w:rsidRDefault="00551388" w:rsidP="00551388">
      <w:pPr>
        <w:pStyle w:val="FootnoteText"/>
        <w:ind w:firstLine="720"/>
        <w:jc w:val="both"/>
        <w:rPr>
          <w:rFonts w:asciiTheme="majorHAnsi" w:hAnsiTheme="majorHAnsi" w:cs="Times New Roman"/>
          <w:sz w:val="16"/>
          <w:szCs w:val="16"/>
          <w:lang w:val="es-EC"/>
        </w:rPr>
      </w:pPr>
      <w:r w:rsidRPr="00B748E6">
        <w:rPr>
          <w:rStyle w:val="FootnoteReference"/>
          <w:rFonts w:asciiTheme="majorHAnsi" w:hAnsiTheme="majorHAnsi"/>
          <w:sz w:val="16"/>
          <w:szCs w:val="16"/>
          <w:lang w:val="es-ES"/>
        </w:rPr>
        <w:footnoteRef/>
      </w:r>
      <w:r w:rsidRPr="00B748E6">
        <w:rPr>
          <w:rStyle w:val="FootnoteReference"/>
          <w:rFonts w:asciiTheme="majorHAnsi" w:hAnsiTheme="majorHAnsi"/>
          <w:sz w:val="16"/>
          <w:szCs w:val="16"/>
          <w:lang w:val="es-ES"/>
        </w:rPr>
        <w:t xml:space="preserve"> </w:t>
      </w:r>
      <w:r w:rsidRPr="00B748E6">
        <w:rPr>
          <w:rStyle w:val="FootnoteReference"/>
          <w:rFonts w:asciiTheme="majorHAnsi" w:hAnsiTheme="majorHAnsi"/>
          <w:sz w:val="16"/>
          <w:szCs w:val="16"/>
          <w:vertAlign w:val="baseline"/>
          <w:lang w:val="es-ES"/>
        </w:rPr>
        <w:t>C</w:t>
      </w:r>
      <w:r w:rsidRPr="00B748E6">
        <w:rPr>
          <w:rFonts w:asciiTheme="majorHAnsi" w:hAnsiTheme="majorHAnsi"/>
          <w:sz w:val="16"/>
          <w:szCs w:val="16"/>
          <w:lang w:val="es-ES"/>
        </w:rPr>
        <w:t>orte IDH</w:t>
      </w:r>
      <w:r w:rsidR="00814AE8">
        <w:rPr>
          <w:rFonts w:asciiTheme="majorHAnsi" w:hAnsiTheme="majorHAnsi"/>
          <w:sz w:val="16"/>
          <w:szCs w:val="16"/>
          <w:lang w:val="es-ES"/>
        </w:rPr>
        <w:t>,</w:t>
      </w:r>
      <w:r w:rsidRPr="00B748E6">
        <w:rPr>
          <w:rFonts w:asciiTheme="majorHAnsi" w:hAnsiTheme="majorHAnsi"/>
          <w:sz w:val="16"/>
          <w:szCs w:val="16"/>
          <w:lang w:val="es-ES"/>
        </w:rPr>
        <w:t xml:space="preserve"> </w:t>
      </w:r>
      <w:r w:rsidRPr="00B748E6">
        <w:rPr>
          <w:rStyle w:val="FootnoteReference"/>
          <w:rFonts w:asciiTheme="majorHAnsi" w:hAnsiTheme="majorHAnsi"/>
          <w:sz w:val="16"/>
          <w:szCs w:val="16"/>
          <w:vertAlign w:val="baseline"/>
          <w:lang w:val="es-ES"/>
        </w:rPr>
        <w:t>Caso Martínez Esquivia Vs. Colombia</w:t>
      </w:r>
      <w:r w:rsidRPr="00B748E6">
        <w:rPr>
          <w:rFonts w:asciiTheme="majorHAnsi" w:hAnsiTheme="majorHAnsi"/>
          <w:sz w:val="16"/>
          <w:szCs w:val="16"/>
          <w:lang w:val="es-ES"/>
        </w:rPr>
        <w:t>, Excepciones Preliminares, Fondo y Reparaciones</w:t>
      </w:r>
      <w:r w:rsidR="00F85E59">
        <w:rPr>
          <w:rFonts w:asciiTheme="majorHAnsi" w:hAnsiTheme="majorHAnsi"/>
          <w:sz w:val="16"/>
          <w:szCs w:val="16"/>
          <w:lang w:val="es-ES"/>
        </w:rPr>
        <w:t>,</w:t>
      </w:r>
      <w:r w:rsidRPr="00B748E6">
        <w:rPr>
          <w:rFonts w:asciiTheme="majorHAnsi" w:hAnsiTheme="majorHAnsi"/>
          <w:sz w:val="16"/>
          <w:szCs w:val="16"/>
          <w:lang w:val="es-ES"/>
        </w:rPr>
        <w:t xml:space="preserve"> Sentencia de 6 de octubre de 2020</w:t>
      </w:r>
      <w:r w:rsidR="00F85E59">
        <w:rPr>
          <w:rFonts w:asciiTheme="majorHAnsi" w:hAnsiTheme="majorHAnsi"/>
          <w:sz w:val="16"/>
          <w:szCs w:val="16"/>
          <w:lang w:val="es-ES"/>
        </w:rPr>
        <w:t>,</w:t>
      </w:r>
      <w:r w:rsidRPr="00B748E6">
        <w:rPr>
          <w:rFonts w:asciiTheme="majorHAnsi" w:hAnsiTheme="majorHAnsi"/>
          <w:sz w:val="16"/>
          <w:szCs w:val="16"/>
          <w:lang w:val="es-ES"/>
        </w:rPr>
        <w:t xml:space="preserve"> Serie C No. 412</w:t>
      </w:r>
      <w:r w:rsidRPr="00B748E6">
        <w:rPr>
          <w:rStyle w:val="FootnoteReference"/>
          <w:rFonts w:asciiTheme="majorHAnsi" w:hAnsiTheme="majorHAnsi"/>
          <w:sz w:val="16"/>
          <w:szCs w:val="16"/>
          <w:vertAlign w:val="baseline"/>
          <w:lang w:val="es-ES"/>
        </w:rPr>
        <w:t>, párr. 96</w:t>
      </w:r>
      <w:r w:rsidR="00CA5D03">
        <w:rPr>
          <w:rFonts w:asciiTheme="majorHAnsi" w:hAnsiTheme="majorHAnsi"/>
          <w:sz w:val="16"/>
          <w:szCs w:val="16"/>
          <w:lang w:val="es-ES"/>
        </w:rPr>
        <w:t>;</w:t>
      </w:r>
      <w:r w:rsidRPr="00B748E6">
        <w:rPr>
          <w:rStyle w:val="FootnoteReference"/>
          <w:rFonts w:asciiTheme="majorHAnsi" w:hAnsiTheme="majorHAnsi"/>
          <w:sz w:val="16"/>
          <w:szCs w:val="16"/>
          <w:vertAlign w:val="baseline"/>
          <w:lang w:val="es-ES"/>
        </w:rPr>
        <w:t xml:space="preserve"> y </w:t>
      </w:r>
      <w:r w:rsidR="002A1DF3" w:rsidRPr="00B748E6">
        <w:rPr>
          <w:rStyle w:val="FootnoteReference"/>
          <w:rFonts w:asciiTheme="majorHAnsi" w:hAnsiTheme="majorHAnsi"/>
          <w:sz w:val="16"/>
          <w:szCs w:val="16"/>
          <w:vertAlign w:val="baseline"/>
          <w:lang w:val="es-ES"/>
        </w:rPr>
        <w:t>Caso Casa Nina Vs. Perú</w:t>
      </w:r>
      <w:r w:rsidR="002A1DF3">
        <w:rPr>
          <w:rFonts w:asciiTheme="majorHAnsi" w:hAnsiTheme="majorHAnsi"/>
          <w:sz w:val="16"/>
          <w:szCs w:val="16"/>
          <w:lang w:val="es-ES"/>
        </w:rPr>
        <w:t>,</w:t>
      </w:r>
      <w:r w:rsidR="002A1DF3" w:rsidRPr="00B748E6">
        <w:rPr>
          <w:rStyle w:val="FootnoteReference"/>
          <w:rFonts w:asciiTheme="majorHAnsi" w:hAnsiTheme="majorHAnsi"/>
          <w:sz w:val="16"/>
          <w:szCs w:val="16"/>
          <w:vertAlign w:val="baseline"/>
          <w:lang w:val="es-ES"/>
        </w:rPr>
        <w:t xml:space="preserve"> Excepciones Preliminares, Fondo, Reparaciones y Costas</w:t>
      </w:r>
      <w:r w:rsidR="002A1DF3">
        <w:rPr>
          <w:rFonts w:asciiTheme="majorHAnsi" w:hAnsiTheme="majorHAnsi"/>
          <w:sz w:val="16"/>
          <w:szCs w:val="16"/>
          <w:lang w:val="es-ES"/>
        </w:rPr>
        <w:t>,</w:t>
      </w:r>
      <w:r w:rsidR="002A1DF3" w:rsidRPr="00B748E6">
        <w:rPr>
          <w:rStyle w:val="FootnoteReference"/>
          <w:rFonts w:asciiTheme="majorHAnsi" w:hAnsiTheme="majorHAnsi"/>
          <w:sz w:val="16"/>
          <w:szCs w:val="16"/>
          <w:vertAlign w:val="baseline"/>
          <w:lang w:val="es-ES"/>
        </w:rPr>
        <w:t xml:space="preserve"> Sentencia de 24 de noviembre de 2020</w:t>
      </w:r>
      <w:r w:rsidR="002A1DF3">
        <w:rPr>
          <w:rFonts w:asciiTheme="majorHAnsi" w:hAnsiTheme="majorHAnsi"/>
          <w:sz w:val="16"/>
          <w:szCs w:val="16"/>
          <w:lang w:val="es-ES"/>
        </w:rPr>
        <w:t>,</w:t>
      </w:r>
      <w:r w:rsidR="002A1DF3" w:rsidRPr="00B748E6">
        <w:rPr>
          <w:rStyle w:val="FootnoteReference"/>
          <w:rFonts w:asciiTheme="majorHAnsi" w:hAnsiTheme="majorHAnsi"/>
          <w:sz w:val="16"/>
          <w:szCs w:val="16"/>
          <w:vertAlign w:val="baseline"/>
          <w:lang w:val="es-ES"/>
        </w:rPr>
        <w:t xml:space="preserve"> Serie C No. 419, párr. </w:t>
      </w:r>
      <w:r w:rsidR="00C24948">
        <w:rPr>
          <w:rFonts w:asciiTheme="majorHAnsi" w:hAnsiTheme="majorHAnsi"/>
          <w:sz w:val="16"/>
          <w:szCs w:val="16"/>
          <w:lang w:val="es-ES"/>
        </w:rPr>
        <w:t xml:space="preserve">80. </w:t>
      </w:r>
    </w:p>
  </w:footnote>
  <w:footnote w:id="13">
    <w:p w14:paraId="0BF55AB5" w14:textId="572CE2CA" w:rsidR="00BF6FD5" w:rsidRPr="00B748E6" w:rsidRDefault="00BF6FD5" w:rsidP="003A3722">
      <w:pPr>
        <w:pStyle w:val="FootnoteText"/>
        <w:ind w:firstLine="720"/>
        <w:jc w:val="both"/>
        <w:rPr>
          <w:rStyle w:val="FootnoteReference"/>
          <w:rFonts w:asciiTheme="majorHAnsi" w:hAnsiTheme="majorHAnsi"/>
          <w:sz w:val="16"/>
          <w:szCs w:val="16"/>
          <w:vertAlign w:val="baseline"/>
          <w:lang w:val="es-ES"/>
        </w:rPr>
      </w:pPr>
      <w:r w:rsidRPr="00B748E6">
        <w:rPr>
          <w:rStyle w:val="FootnoteReference"/>
          <w:rFonts w:asciiTheme="majorHAnsi" w:hAnsiTheme="majorHAnsi"/>
          <w:sz w:val="16"/>
          <w:szCs w:val="16"/>
          <w:lang w:val="es-ES"/>
        </w:rPr>
        <w:footnoteRef/>
      </w:r>
      <w:r w:rsidRPr="00B748E6">
        <w:rPr>
          <w:rStyle w:val="FootnoteReference"/>
          <w:rFonts w:asciiTheme="majorHAnsi" w:hAnsiTheme="majorHAnsi"/>
          <w:sz w:val="16"/>
          <w:szCs w:val="16"/>
          <w:lang w:val="es-ES"/>
        </w:rPr>
        <w:t xml:space="preserve"> </w:t>
      </w:r>
      <w:r w:rsidRPr="00B748E6">
        <w:rPr>
          <w:rStyle w:val="FootnoteReference"/>
          <w:rFonts w:asciiTheme="majorHAnsi" w:hAnsiTheme="majorHAnsi"/>
          <w:sz w:val="16"/>
          <w:szCs w:val="16"/>
          <w:vertAlign w:val="baseline"/>
          <w:lang w:val="es-ES"/>
        </w:rPr>
        <w:t>Corte IDH</w:t>
      </w:r>
      <w:r w:rsidR="00814AE8">
        <w:rPr>
          <w:rFonts w:asciiTheme="majorHAnsi" w:hAnsiTheme="majorHAnsi"/>
          <w:sz w:val="16"/>
          <w:szCs w:val="16"/>
          <w:lang w:val="es-ES"/>
        </w:rPr>
        <w:t>,</w:t>
      </w:r>
      <w:r w:rsidRPr="00B748E6">
        <w:rPr>
          <w:rStyle w:val="FootnoteReference"/>
          <w:rFonts w:asciiTheme="majorHAnsi" w:hAnsiTheme="majorHAnsi"/>
          <w:sz w:val="16"/>
          <w:szCs w:val="16"/>
          <w:vertAlign w:val="baseline"/>
          <w:lang w:val="es-ES"/>
        </w:rPr>
        <w:t xml:space="preserve"> Caso Cordero Bernal Vs. Perú</w:t>
      </w:r>
      <w:r w:rsidR="00814AE8">
        <w:rPr>
          <w:rFonts w:asciiTheme="majorHAnsi" w:hAnsiTheme="majorHAnsi"/>
          <w:sz w:val="16"/>
          <w:szCs w:val="16"/>
          <w:lang w:val="es-ES"/>
        </w:rPr>
        <w:t>,</w:t>
      </w:r>
      <w:r w:rsidRPr="00B748E6">
        <w:rPr>
          <w:rStyle w:val="FootnoteReference"/>
          <w:rFonts w:asciiTheme="majorHAnsi" w:hAnsiTheme="majorHAnsi"/>
          <w:sz w:val="16"/>
          <w:szCs w:val="16"/>
          <w:vertAlign w:val="baseline"/>
          <w:lang w:val="es-ES"/>
        </w:rPr>
        <w:t xml:space="preserve"> Excepción Preliminar y Fondo</w:t>
      </w:r>
      <w:r w:rsidR="00814AE8">
        <w:rPr>
          <w:rFonts w:asciiTheme="majorHAnsi" w:hAnsiTheme="majorHAnsi"/>
          <w:sz w:val="16"/>
          <w:szCs w:val="16"/>
          <w:lang w:val="es-ES"/>
        </w:rPr>
        <w:t>,</w:t>
      </w:r>
      <w:r w:rsidRPr="00B748E6">
        <w:rPr>
          <w:rStyle w:val="FootnoteReference"/>
          <w:rFonts w:asciiTheme="majorHAnsi" w:hAnsiTheme="majorHAnsi"/>
          <w:sz w:val="16"/>
          <w:szCs w:val="16"/>
          <w:vertAlign w:val="baseline"/>
          <w:lang w:val="es-ES"/>
        </w:rPr>
        <w:t xml:space="preserve"> Sentencia de 16 de febrero de 2021</w:t>
      </w:r>
      <w:r w:rsidR="00814AE8">
        <w:rPr>
          <w:rFonts w:asciiTheme="majorHAnsi" w:hAnsiTheme="majorHAnsi"/>
          <w:sz w:val="16"/>
          <w:szCs w:val="16"/>
          <w:lang w:val="es-ES"/>
        </w:rPr>
        <w:t>,</w:t>
      </w:r>
      <w:r w:rsidRPr="00B748E6">
        <w:rPr>
          <w:rStyle w:val="FootnoteReference"/>
          <w:rFonts w:asciiTheme="majorHAnsi" w:hAnsiTheme="majorHAnsi"/>
          <w:sz w:val="16"/>
          <w:szCs w:val="16"/>
          <w:vertAlign w:val="baseline"/>
          <w:lang w:val="es-ES"/>
        </w:rPr>
        <w:t xml:space="preserve"> Serie C No. 421, párr. 75.</w:t>
      </w:r>
    </w:p>
  </w:footnote>
  <w:footnote w:id="14">
    <w:p w14:paraId="1F02F617" w14:textId="5049614E" w:rsidR="00BF6FD5" w:rsidRPr="00B748E6" w:rsidRDefault="00BF6FD5" w:rsidP="003A3722">
      <w:pPr>
        <w:pStyle w:val="FootnoteText"/>
        <w:ind w:firstLine="720"/>
        <w:jc w:val="both"/>
        <w:rPr>
          <w:rStyle w:val="FootnoteReference"/>
          <w:rFonts w:asciiTheme="majorHAnsi" w:hAnsiTheme="majorHAnsi"/>
          <w:sz w:val="16"/>
          <w:szCs w:val="16"/>
          <w:vertAlign w:val="baseline"/>
          <w:lang w:val="es-ES"/>
        </w:rPr>
      </w:pPr>
      <w:r w:rsidRPr="00B748E6">
        <w:rPr>
          <w:rStyle w:val="FootnoteReference"/>
          <w:rFonts w:asciiTheme="majorHAnsi" w:hAnsiTheme="majorHAnsi"/>
          <w:sz w:val="16"/>
          <w:szCs w:val="16"/>
          <w:lang w:val="es-ES"/>
        </w:rPr>
        <w:footnoteRef/>
      </w:r>
      <w:r w:rsidRPr="00B748E6">
        <w:rPr>
          <w:rStyle w:val="FootnoteReference"/>
          <w:rFonts w:asciiTheme="majorHAnsi" w:hAnsiTheme="majorHAnsi"/>
          <w:sz w:val="16"/>
          <w:szCs w:val="16"/>
          <w:vertAlign w:val="baseline"/>
          <w:lang w:val="es-ES"/>
        </w:rPr>
        <w:t xml:space="preserve"> Corte IDH</w:t>
      </w:r>
      <w:r w:rsidR="00814AE8">
        <w:rPr>
          <w:rFonts w:asciiTheme="majorHAnsi" w:hAnsiTheme="majorHAnsi"/>
          <w:sz w:val="16"/>
          <w:szCs w:val="16"/>
          <w:lang w:val="es-ES"/>
        </w:rPr>
        <w:t>,</w:t>
      </w:r>
      <w:r w:rsidRPr="00B748E6">
        <w:rPr>
          <w:rStyle w:val="FootnoteReference"/>
          <w:rFonts w:asciiTheme="majorHAnsi" w:hAnsiTheme="majorHAnsi"/>
          <w:sz w:val="16"/>
          <w:szCs w:val="16"/>
          <w:vertAlign w:val="baseline"/>
          <w:lang w:val="es-ES"/>
        </w:rPr>
        <w:t xml:space="preserve"> Caso Casa Nina Vs. Perú</w:t>
      </w:r>
      <w:r w:rsidR="00814AE8">
        <w:rPr>
          <w:rFonts w:asciiTheme="majorHAnsi" w:hAnsiTheme="majorHAnsi"/>
          <w:sz w:val="16"/>
          <w:szCs w:val="16"/>
          <w:lang w:val="es-ES"/>
        </w:rPr>
        <w:t>,</w:t>
      </w:r>
      <w:r w:rsidRPr="00B748E6">
        <w:rPr>
          <w:rStyle w:val="FootnoteReference"/>
          <w:rFonts w:asciiTheme="majorHAnsi" w:hAnsiTheme="majorHAnsi"/>
          <w:sz w:val="16"/>
          <w:szCs w:val="16"/>
          <w:vertAlign w:val="baseline"/>
          <w:lang w:val="es-ES"/>
        </w:rPr>
        <w:t xml:space="preserve"> Excepciones Preliminares, Fondo, Reparaciones y Costas</w:t>
      </w:r>
      <w:r w:rsidR="00814AE8">
        <w:rPr>
          <w:rFonts w:asciiTheme="majorHAnsi" w:hAnsiTheme="majorHAnsi"/>
          <w:sz w:val="16"/>
          <w:szCs w:val="16"/>
          <w:lang w:val="es-ES"/>
        </w:rPr>
        <w:t>,</w:t>
      </w:r>
      <w:r w:rsidRPr="00B748E6">
        <w:rPr>
          <w:rStyle w:val="FootnoteReference"/>
          <w:rFonts w:asciiTheme="majorHAnsi" w:hAnsiTheme="majorHAnsi"/>
          <w:sz w:val="16"/>
          <w:szCs w:val="16"/>
          <w:vertAlign w:val="baseline"/>
          <w:lang w:val="es-ES"/>
        </w:rPr>
        <w:t xml:space="preserve"> Sentencia de 24 de noviembre de 2020</w:t>
      </w:r>
      <w:r w:rsidR="00814AE8">
        <w:rPr>
          <w:rFonts w:asciiTheme="majorHAnsi" w:hAnsiTheme="majorHAnsi"/>
          <w:sz w:val="16"/>
          <w:szCs w:val="16"/>
          <w:lang w:val="es-ES"/>
        </w:rPr>
        <w:t>,</w:t>
      </w:r>
      <w:r w:rsidRPr="00B748E6">
        <w:rPr>
          <w:rStyle w:val="FootnoteReference"/>
          <w:rFonts w:asciiTheme="majorHAnsi" w:hAnsiTheme="majorHAnsi"/>
          <w:sz w:val="16"/>
          <w:szCs w:val="16"/>
          <w:vertAlign w:val="baseline"/>
          <w:lang w:val="es-ES"/>
        </w:rPr>
        <w:t xml:space="preserve"> Serie C No. 419, párr. 83.</w:t>
      </w:r>
    </w:p>
  </w:footnote>
  <w:footnote w:id="15">
    <w:p w14:paraId="14D46B47" w14:textId="1A39E61B" w:rsidR="00BF6FD5" w:rsidRPr="00391AA1" w:rsidRDefault="00BF6FD5" w:rsidP="00391AA1">
      <w:pPr>
        <w:pStyle w:val="FootnoteText"/>
        <w:ind w:firstLine="720"/>
        <w:jc w:val="both"/>
        <w:rPr>
          <w:rStyle w:val="FootnoteReference"/>
          <w:rFonts w:asciiTheme="majorHAnsi" w:hAnsiTheme="majorHAnsi"/>
          <w:sz w:val="16"/>
          <w:szCs w:val="16"/>
          <w:vertAlign w:val="baseline"/>
          <w:lang w:val="es-ES"/>
        </w:rPr>
      </w:pPr>
      <w:r w:rsidRPr="00B748E6">
        <w:rPr>
          <w:rStyle w:val="FootnoteReference"/>
          <w:rFonts w:asciiTheme="majorHAnsi" w:hAnsiTheme="majorHAnsi"/>
          <w:sz w:val="16"/>
          <w:szCs w:val="16"/>
          <w:lang w:val="es-ES"/>
        </w:rPr>
        <w:footnoteRef/>
      </w:r>
      <w:r w:rsidRPr="00B748E6">
        <w:rPr>
          <w:rStyle w:val="FootnoteReference"/>
          <w:rFonts w:asciiTheme="majorHAnsi" w:hAnsiTheme="majorHAnsi"/>
          <w:sz w:val="16"/>
          <w:szCs w:val="16"/>
          <w:lang w:val="es-ES"/>
        </w:rPr>
        <w:t xml:space="preserve"> </w:t>
      </w:r>
      <w:r w:rsidR="00391AA1" w:rsidRPr="00B748E6">
        <w:rPr>
          <w:rStyle w:val="FootnoteReference"/>
          <w:rFonts w:asciiTheme="majorHAnsi" w:hAnsiTheme="majorHAnsi"/>
          <w:sz w:val="16"/>
          <w:szCs w:val="16"/>
          <w:vertAlign w:val="baseline"/>
          <w:lang w:val="es-ES"/>
        </w:rPr>
        <w:t>Corte IDH</w:t>
      </w:r>
      <w:r w:rsidR="00391AA1">
        <w:rPr>
          <w:rFonts w:asciiTheme="majorHAnsi" w:hAnsiTheme="majorHAnsi"/>
          <w:sz w:val="16"/>
          <w:szCs w:val="16"/>
          <w:lang w:val="es-ES"/>
        </w:rPr>
        <w:t>,</w:t>
      </w:r>
      <w:r w:rsidR="00391AA1" w:rsidRPr="00B748E6">
        <w:rPr>
          <w:rStyle w:val="FootnoteReference"/>
          <w:rFonts w:asciiTheme="majorHAnsi" w:hAnsiTheme="majorHAnsi"/>
          <w:sz w:val="16"/>
          <w:szCs w:val="16"/>
          <w:vertAlign w:val="baseline"/>
          <w:lang w:val="es-ES"/>
        </w:rPr>
        <w:t xml:space="preserve"> Caso Cordero Bernal Vs. Perú</w:t>
      </w:r>
      <w:r w:rsidR="00391AA1">
        <w:rPr>
          <w:rFonts w:asciiTheme="majorHAnsi" w:hAnsiTheme="majorHAnsi"/>
          <w:sz w:val="16"/>
          <w:szCs w:val="16"/>
          <w:lang w:val="es-ES"/>
        </w:rPr>
        <w:t>,</w:t>
      </w:r>
      <w:r w:rsidR="00391AA1" w:rsidRPr="00B748E6">
        <w:rPr>
          <w:rStyle w:val="FootnoteReference"/>
          <w:rFonts w:asciiTheme="majorHAnsi" w:hAnsiTheme="majorHAnsi"/>
          <w:sz w:val="16"/>
          <w:szCs w:val="16"/>
          <w:vertAlign w:val="baseline"/>
          <w:lang w:val="es-ES"/>
        </w:rPr>
        <w:t xml:space="preserve"> Excepción Preliminar y Fondo</w:t>
      </w:r>
      <w:r w:rsidR="00391AA1">
        <w:rPr>
          <w:rFonts w:asciiTheme="majorHAnsi" w:hAnsiTheme="majorHAnsi"/>
          <w:sz w:val="16"/>
          <w:szCs w:val="16"/>
          <w:lang w:val="es-ES"/>
        </w:rPr>
        <w:t>,</w:t>
      </w:r>
      <w:r w:rsidR="00391AA1" w:rsidRPr="00B748E6">
        <w:rPr>
          <w:rStyle w:val="FootnoteReference"/>
          <w:rFonts w:asciiTheme="majorHAnsi" w:hAnsiTheme="majorHAnsi"/>
          <w:sz w:val="16"/>
          <w:szCs w:val="16"/>
          <w:vertAlign w:val="baseline"/>
          <w:lang w:val="es-ES"/>
        </w:rPr>
        <w:t xml:space="preserve"> Sentencia de 16 de febrero de 2021</w:t>
      </w:r>
      <w:r w:rsidR="00391AA1">
        <w:rPr>
          <w:rFonts w:asciiTheme="majorHAnsi" w:hAnsiTheme="majorHAnsi"/>
          <w:sz w:val="16"/>
          <w:szCs w:val="16"/>
          <w:lang w:val="es-ES"/>
        </w:rPr>
        <w:t>,</w:t>
      </w:r>
      <w:r w:rsidR="00391AA1" w:rsidRPr="00B748E6">
        <w:rPr>
          <w:rStyle w:val="FootnoteReference"/>
          <w:rFonts w:asciiTheme="majorHAnsi" w:hAnsiTheme="majorHAnsi"/>
          <w:sz w:val="16"/>
          <w:szCs w:val="16"/>
          <w:vertAlign w:val="baseline"/>
          <w:lang w:val="es-ES"/>
        </w:rPr>
        <w:t xml:space="preserve"> Serie C No. 421, párr. 7</w:t>
      </w:r>
      <w:r w:rsidR="00391AA1">
        <w:rPr>
          <w:rFonts w:asciiTheme="majorHAnsi" w:hAnsiTheme="majorHAnsi"/>
          <w:sz w:val="16"/>
          <w:szCs w:val="16"/>
          <w:lang w:val="es-ES"/>
        </w:rPr>
        <w:t>8</w:t>
      </w:r>
      <w:r w:rsidR="00391AA1" w:rsidRPr="00B748E6">
        <w:rPr>
          <w:rStyle w:val="FootnoteReference"/>
          <w:rFonts w:asciiTheme="majorHAnsi" w:hAnsiTheme="majorHAnsi"/>
          <w:sz w:val="16"/>
          <w:szCs w:val="16"/>
          <w:vertAlign w:val="baseline"/>
          <w:lang w:val="es-ES"/>
        </w:rPr>
        <w:t>.</w:t>
      </w:r>
    </w:p>
  </w:footnote>
  <w:footnote w:id="16">
    <w:p w14:paraId="3E3E6286" w14:textId="40D31BFA" w:rsidR="00551388" w:rsidRPr="00E80949" w:rsidRDefault="00551388" w:rsidP="00551388">
      <w:pPr>
        <w:pStyle w:val="FootnoteText"/>
        <w:ind w:firstLine="720"/>
        <w:jc w:val="both"/>
        <w:rPr>
          <w:rFonts w:asciiTheme="majorHAnsi" w:hAnsiTheme="majorHAnsi"/>
          <w:sz w:val="16"/>
          <w:szCs w:val="16"/>
        </w:rPr>
      </w:pPr>
      <w:r w:rsidRPr="00B748E6">
        <w:rPr>
          <w:rStyle w:val="FootnoteReference"/>
          <w:rFonts w:asciiTheme="majorHAnsi" w:hAnsiTheme="majorHAnsi"/>
          <w:sz w:val="16"/>
          <w:szCs w:val="16"/>
          <w:lang w:val="es-ES"/>
        </w:rPr>
        <w:footnoteRef/>
      </w:r>
      <w:r w:rsidRPr="00E80949">
        <w:rPr>
          <w:rStyle w:val="FootnoteReference"/>
          <w:rFonts w:asciiTheme="majorHAnsi" w:hAnsiTheme="majorHAnsi"/>
          <w:sz w:val="16"/>
          <w:szCs w:val="16"/>
        </w:rPr>
        <w:t xml:space="preserve"> </w:t>
      </w:r>
      <w:r w:rsidRPr="00E80949">
        <w:rPr>
          <w:rStyle w:val="FootnoteReference"/>
          <w:rFonts w:asciiTheme="majorHAnsi" w:hAnsiTheme="majorHAnsi"/>
          <w:sz w:val="16"/>
          <w:szCs w:val="16"/>
          <w:vertAlign w:val="baseline"/>
        </w:rPr>
        <w:t>Corte IDH</w:t>
      </w:r>
      <w:r w:rsidR="00D458F5" w:rsidRPr="00E80949">
        <w:rPr>
          <w:rFonts w:asciiTheme="majorHAnsi" w:hAnsiTheme="majorHAnsi"/>
          <w:sz w:val="16"/>
          <w:szCs w:val="16"/>
        </w:rPr>
        <w:t>,</w:t>
      </w:r>
      <w:r w:rsidRPr="00E80949">
        <w:rPr>
          <w:rStyle w:val="FootnoteReference"/>
          <w:rFonts w:asciiTheme="majorHAnsi" w:hAnsiTheme="majorHAnsi"/>
          <w:sz w:val="16"/>
          <w:szCs w:val="16"/>
          <w:vertAlign w:val="baseline"/>
        </w:rPr>
        <w:t xml:space="preserve"> Caso Cuya Lavy y otros Vs. Perú</w:t>
      </w:r>
      <w:r w:rsidR="00D458F5" w:rsidRPr="00E80949">
        <w:rPr>
          <w:rFonts w:asciiTheme="majorHAnsi" w:hAnsiTheme="majorHAnsi"/>
          <w:sz w:val="16"/>
          <w:szCs w:val="16"/>
        </w:rPr>
        <w:t>,</w:t>
      </w:r>
      <w:r w:rsidRPr="00E80949">
        <w:rPr>
          <w:rStyle w:val="FootnoteReference"/>
          <w:rFonts w:asciiTheme="majorHAnsi" w:hAnsiTheme="majorHAnsi"/>
          <w:sz w:val="16"/>
          <w:szCs w:val="16"/>
          <w:vertAlign w:val="baseline"/>
        </w:rPr>
        <w:t xml:space="preserve"> Excepciones </w:t>
      </w:r>
      <w:r w:rsidR="000E2A75" w:rsidRPr="00E80949">
        <w:rPr>
          <w:rFonts w:asciiTheme="majorHAnsi" w:hAnsiTheme="majorHAnsi"/>
          <w:sz w:val="16"/>
          <w:szCs w:val="16"/>
        </w:rPr>
        <w:t>P</w:t>
      </w:r>
      <w:r w:rsidRPr="00E80949">
        <w:rPr>
          <w:rStyle w:val="FootnoteReference"/>
          <w:rFonts w:asciiTheme="majorHAnsi" w:hAnsiTheme="majorHAnsi"/>
          <w:sz w:val="16"/>
          <w:szCs w:val="16"/>
          <w:vertAlign w:val="baseline"/>
        </w:rPr>
        <w:t>reliminares, Fondo, Reparaciones y Costas</w:t>
      </w:r>
      <w:r w:rsidR="00D458F5" w:rsidRPr="00E80949">
        <w:rPr>
          <w:rFonts w:asciiTheme="majorHAnsi" w:hAnsiTheme="majorHAnsi"/>
          <w:sz w:val="16"/>
          <w:szCs w:val="16"/>
        </w:rPr>
        <w:t>,</w:t>
      </w:r>
      <w:r w:rsidRPr="00E80949">
        <w:rPr>
          <w:rStyle w:val="FootnoteReference"/>
          <w:rFonts w:asciiTheme="majorHAnsi" w:hAnsiTheme="majorHAnsi"/>
          <w:sz w:val="16"/>
          <w:szCs w:val="16"/>
          <w:vertAlign w:val="baseline"/>
        </w:rPr>
        <w:t xml:space="preserve"> Sentencia de 28 de septiembre de 2021</w:t>
      </w:r>
      <w:r w:rsidR="00D458F5" w:rsidRPr="00E80949">
        <w:rPr>
          <w:rFonts w:asciiTheme="majorHAnsi" w:hAnsiTheme="majorHAnsi"/>
          <w:sz w:val="16"/>
          <w:szCs w:val="16"/>
        </w:rPr>
        <w:t>,</w:t>
      </w:r>
      <w:r w:rsidRPr="00E80949">
        <w:rPr>
          <w:rStyle w:val="FootnoteReference"/>
          <w:rFonts w:asciiTheme="majorHAnsi" w:hAnsiTheme="majorHAnsi"/>
          <w:sz w:val="16"/>
          <w:szCs w:val="16"/>
          <w:vertAlign w:val="baseline"/>
        </w:rPr>
        <w:t xml:space="preserve"> Serie C No. 438, párr. 154</w:t>
      </w:r>
      <w:r w:rsidR="00841BAD" w:rsidRPr="00E80949">
        <w:rPr>
          <w:rFonts w:asciiTheme="majorHAnsi" w:hAnsiTheme="majorHAnsi"/>
          <w:sz w:val="16"/>
          <w:szCs w:val="16"/>
        </w:rPr>
        <w:t>.</w:t>
      </w:r>
    </w:p>
  </w:footnote>
  <w:footnote w:id="17">
    <w:p w14:paraId="0A02D498" w14:textId="7DE51624" w:rsidR="00B748E6" w:rsidRPr="00E80949" w:rsidRDefault="00B748E6" w:rsidP="00B748E6">
      <w:pPr>
        <w:pStyle w:val="FootnoteText"/>
        <w:ind w:firstLine="720"/>
        <w:jc w:val="both"/>
        <w:rPr>
          <w:rStyle w:val="FootnoteReference"/>
          <w:rFonts w:asciiTheme="majorHAnsi" w:hAnsiTheme="majorHAnsi"/>
          <w:sz w:val="16"/>
          <w:szCs w:val="16"/>
        </w:rPr>
      </w:pPr>
      <w:r w:rsidRPr="00B748E6">
        <w:rPr>
          <w:rStyle w:val="FootnoteReference"/>
          <w:rFonts w:asciiTheme="majorHAnsi" w:hAnsiTheme="majorHAnsi"/>
          <w:sz w:val="16"/>
          <w:szCs w:val="16"/>
          <w:lang w:val="es-ES"/>
        </w:rPr>
        <w:footnoteRef/>
      </w:r>
      <w:r w:rsidRPr="00E80949">
        <w:rPr>
          <w:rStyle w:val="FootnoteReference"/>
          <w:rFonts w:asciiTheme="majorHAnsi" w:hAnsiTheme="majorHAnsi"/>
          <w:sz w:val="16"/>
          <w:szCs w:val="16"/>
        </w:rPr>
        <w:t xml:space="preserve"> </w:t>
      </w:r>
      <w:r w:rsidRPr="00E80949">
        <w:rPr>
          <w:rStyle w:val="FootnoteReference"/>
          <w:rFonts w:asciiTheme="majorHAnsi" w:hAnsiTheme="majorHAnsi"/>
          <w:sz w:val="16"/>
          <w:szCs w:val="16"/>
          <w:vertAlign w:val="baseline"/>
        </w:rPr>
        <w:t>Corte IDH</w:t>
      </w:r>
      <w:r w:rsidR="00D458F5" w:rsidRPr="00E80949">
        <w:rPr>
          <w:rFonts w:asciiTheme="majorHAnsi" w:hAnsiTheme="majorHAnsi"/>
          <w:sz w:val="16"/>
          <w:szCs w:val="16"/>
        </w:rPr>
        <w:t xml:space="preserve">, </w:t>
      </w:r>
      <w:r w:rsidRPr="00E80949">
        <w:rPr>
          <w:rStyle w:val="FootnoteReference"/>
          <w:rFonts w:asciiTheme="majorHAnsi" w:hAnsiTheme="majorHAnsi"/>
          <w:sz w:val="16"/>
          <w:szCs w:val="16"/>
          <w:vertAlign w:val="baseline"/>
        </w:rPr>
        <w:t>Caso Cuya Lavy y otros Vs. Perú</w:t>
      </w:r>
      <w:r w:rsidR="00D458F5" w:rsidRPr="00E80949">
        <w:rPr>
          <w:rFonts w:asciiTheme="majorHAnsi" w:hAnsiTheme="majorHAnsi"/>
          <w:sz w:val="16"/>
          <w:szCs w:val="16"/>
        </w:rPr>
        <w:t>,</w:t>
      </w:r>
      <w:r w:rsidRPr="00E80949">
        <w:rPr>
          <w:rStyle w:val="FootnoteReference"/>
          <w:rFonts w:asciiTheme="majorHAnsi" w:hAnsiTheme="majorHAnsi"/>
          <w:sz w:val="16"/>
          <w:szCs w:val="16"/>
          <w:vertAlign w:val="baseline"/>
        </w:rPr>
        <w:t xml:space="preserve"> </w:t>
      </w:r>
      <w:r w:rsidR="009E2E5D" w:rsidRPr="00E80949">
        <w:rPr>
          <w:rStyle w:val="FootnoteReference"/>
          <w:rFonts w:asciiTheme="majorHAnsi" w:hAnsiTheme="majorHAnsi"/>
          <w:sz w:val="16"/>
          <w:szCs w:val="16"/>
          <w:vertAlign w:val="baseline"/>
        </w:rPr>
        <w:t xml:space="preserve">Excepciones </w:t>
      </w:r>
      <w:r w:rsidR="000E2A75" w:rsidRPr="00E80949">
        <w:rPr>
          <w:rFonts w:asciiTheme="majorHAnsi" w:hAnsiTheme="majorHAnsi"/>
          <w:sz w:val="16"/>
          <w:szCs w:val="16"/>
        </w:rPr>
        <w:t>P</w:t>
      </w:r>
      <w:r w:rsidR="009E2E5D" w:rsidRPr="00E80949">
        <w:rPr>
          <w:rStyle w:val="FootnoteReference"/>
          <w:rFonts w:asciiTheme="majorHAnsi" w:hAnsiTheme="majorHAnsi"/>
          <w:sz w:val="16"/>
          <w:szCs w:val="16"/>
          <w:vertAlign w:val="baseline"/>
        </w:rPr>
        <w:t>reliminares, Fondo, Reparaciones y Costas</w:t>
      </w:r>
      <w:r w:rsidR="009E2E5D" w:rsidRPr="00E80949">
        <w:rPr>
          <w:rFonts w:asciiTheme="majorHAnsi" w:hAnsiTheme="majorHAnsi"/>
          <w:sz w:val="16"/>
          <w:szCs w:val="16"/>
        </w:rPr>
        <w:t>,</w:t>
      </w:r>
      <w:r w:rsidR="009E2E5D" w:rsidRPr="00E80949">
        <w:rPr>
          <w:rStyle w:val="FootnoteReference"/>
          <w:rFonts w:asciiTheme="majorHAnsi" w:hAnsiTheme="majorHAnsi"/>
          <w:sz w:val="16"/>
          <w:szCs w:val="16"/>
          <w:vertAlign w:val="baseline"/>
        </w:rPr>
        <w:t xml:space="preserve"> Sentencia de 28 de septiembre de 2021</w:t>
      </w:r>
      <w:r w:rsidR="009E2E5D" w:rsidRPr="00E80949">
        <w:rPr>
          <w:rFonts w:asciiTheme="majorHAnsi" w:hAnsiTheme="majorHAnsi"/>
          <w:sz w:val="16"/>
          <w:szCs w:val="16"/>
        </w:rPr>
        <w:t>,</w:t>
      </w:r>
      <w:r w:rsidR="009E2E5D" w:rsidRPr="00E80949">
        <w:rPr>
          <w:rStyle w:val="FootnoteReference"/>
          <w:rFonts w:asciiTheme="majorHAnsi" w:hAnsiTheme="majorHAnsi"/>
          <w:sz w:val="16"/>
          <w:szCs w:val="16"/>
          <w:vertAlign w:val="baseline"/>
        </w:rPr>
        <w:t xml:space="preserve"> Serie C No. 438, párr.</w:t>
      </w:r>
      <w:r w:rsidRPr="00E80949">
        <w:rPr>
          <w:rStyle w:val="FootnoteReference"/>
          <w:rFonts w:asciiTheme="majorHAnsi" w:hAnsiTheme="majorHAnsi"/>
          <w:sz w:val="16"/>
          <w:szCs w:val="16"/>
          <w:vertAlign w:val="baseline"/>
        </w:rPr>
        <w:t>, párr. 132</w:t>
      </w:r>
      <w:r w:rsidR="00841BAD" w:rsidRPr="00E80949">
        <w:rPr>
          <w:rFonts w:asciiTheme="majorHAnsi" w:hAnsiTheme="majorHAnsi"/>
          <w:sz w:val="16"/>
          <w:szCs w:val="16"/>
        </w:rPr>
        <w:t>.</w:t>
      </w:r>
    </w:p>
  </w:footnote>
  <w:footnote w:id="18">
    <w:p w14:paraId="1CCEEAB4" w14:textId="1C462C3C" w:rsidR="00B748E6" w:rsidRPr="00E80949" w:rsidRDefault="00B748E6" w:rsidP="00B748E6">
      <w:pPr>
        <w:pStyle w:val="FootnoteText"/>
        <w:ind w:firstLine="720"/>
        <w:jc w:val="both"/>
        <w:rPr>
          <w:rStyle w:val="FootnoteReference"/>
          <w:rFonts w:asciiTheme="majorHAnsi" w:hAnsiTheme="majorHAnsi"/>
          <w:sz w:val="16"/>
          <w:szCs w:val="16"/>
        </w:rPr>
      </w:pPr>
      <w:r w:rsidRPr="00B748E6">
        <w:rPr>
          <w:rStyle w:val="FootnoteReference"/>
          <w:rFonts w:asciiTheme="majorHAnsi" w:hAnsiTheme="majorHAnsi"/>
          <w:sz w:val="16"/>
          <w:szCs w:val="16"/>
          <w:lang w:val="es-ES"/>
        </w:rPr>
        <w:footnoteRef/>
      </w:r>
      <w:r w:rsidRPr="00E80949">
        <w:rPr>
          <w:rStyle w:val="FootnoteReference"/>
          <w:rFonts w:asciiTheme="majorHAnsi" w:hAnsiTheme="majorHAnsi"/>
          <w:sz w:val="16"/>
          <w:szCs w:val="16"/>
        </w:rPr>
        <w:t xml:space="preserve"> </w:t>
      </w:r>
      <w:r w:rsidRPr="00E80949">
        <w:rPr>
          <w:rStyle w:val="FootnoteReference"/>
          <w:rFonts w:asciiTheme="majorHAnsi" w:hAnsiTheme="majorHAnsi"/>
          <w:sz w:val="16"/>
          <w:szCs w:val="16"/>
          <w:vertAlign w:val="baseline"/>
        </w:rPr>
        <w:t>Corte IDH</w:t>
      </w:r>
      <w:r w:rsidR="00D458F5" w:rsidRPr="00E80949">
        <w:rPr>
          <w:rFonts w:asciiTheme="majorHAnsi" w:hAnsiTheme="majorHAnsi"/>
          <w:sz w:val="16"/>
          <w:szCs w:val="16"/>
        </w:rPr>
        <w:t>,</w:t>
      </w:r>
      <w:r w:rsidRPr="00E80949">
        <w:rPr>
          <w:rStyle w:val="FootnoteReference"/>
          <w:rFonts w:asciiTheme="majorHAnsi" w:hAnsiTheme="majorHAnsi"/>
          <w:sz w:val="16"/>
          <w:szCs w:val="16"/>
          <w:vertAlign w:val="baseline"/>
        </w:rPr>
        <w:t xml:space="preserve"> Caso Huilcamán Paillama y otros Vs. Chile</w:t>
      </w:r>
      <w:r w:rsidR="00D458F5" w:rsidRPr="00E80949">
        <w:rPr>
          <w:rFonts w:asciiTheme="majorHAnsi" w:hAnsiTheme="majorHAnsi"/>
          <w:sz w:val="16"/>
          <w:szCs w:val="16"/>
        </w:rPr>
        <w:t xml:space="preserve">, </w:t>
      </w:r>
      <w:r w:rsidRPr="00E80949">
        <w:rPr>
          <w:rStyle w:val="FootnoteReference"/>
          <w:rFonts w:asciiTheme="majorHAnsi" w:hAnsiTheme="majorHAnsi"/>
          <w:sz w:val="16"/>
          <w:szCs w:val="16"/>
          <w:vertAlign w:val="baseline"/>
        </w:rPr>
        <w:t>Fondo, Reparaciones y Costas</w:t>
      </w:r>
      <w:r w:rsidR="00D458F5" w:rsidRPr="00E80949">
        <w:rPr>
          <w:rFonts w:asciiTheme="majorHAnsi" w:hAnsiTheme="majorHAnsi"/>
          <w:sz w:val="16"/>
          <w:szCs w:val="16"/>
        </w:rPr>
        <w:t>,</w:t>
      </w:r>
      <w:r w:rsidRPr="00E80949">
        <w:rPr>
          <w:rStyle w:val="FootnoteReference"/>
          <w:rFonts w:asciiTheme="majorHAnsi" w:hAnsiTheme="majorHAnsi"/>
          <w:sz w:val="16"/>
          <w:szCs w:val="16"/>
          <w:vertAlign w:val="baseline"/>
        </w:rPr>
        <w:t xml:space="preserve"> Sentencia de 18 de junio de 2024</w:t>
      </w:r>
      <w:r w:rsidR="00D458F5" w:rsidRPr="00E80949">
        <w:rPr>
          <w:rFonts w:asciiTheme="majorHAnsi" w:hAnsiTheme="majorHAnsi"/>
          <w:sz w:val="16"/>
          <w:szCs w:val="16"/>
        </w:rPr>
        <w:t>,</w:t>
      </w:r>
      <w:r w:rsidRPr="00E80949">
        <w:rPr>
          <w:rStyle w:val="FootnoteReference"/>
          <w:rFonts w:asciiTheme="majorHAnsi" w:hAnsiTheme="majorHAnsi"/>
          <w:sz w:val="16"/>
          <w:szCs w:val="16"/>
          <w:vertAlign w:val="baseline"/>
        </w:rPr>
        <w:t xml:space="preserve"> Serie C No. 527, párr. 195</w:t>
      </w:r>
      <w:r w:rsidR="008F57DF" w:rsidRPr="00E80949">
        <w:rPr>
          <w:rFonts w:asciiTheme="majorHAnsi" w:hAnsiTheme="majorHAnsi"/>
          <w:sz w:val="16"/>
          <w:szCs w:val="16"/>
        </w:rPr>
        <w:t>.</w:t>
      </w:r>
    </w:p>
  </w:footnote>
  <w:footnote w:id="19">
    <w:p w14:paraId="74318051" w14:textId="4B1BB4D7" w:rsidR="00B748E6" w:rsidRPr="00E80949" w:rsidRDefault="00B748E6" w:rsidP="00B748E6">
      <w:pPr>
        <w:pStyle w:val="FootnoteText"/>
        <w:ind w:firstLine="720"/>
        <w:jc w:val="both"/>
        <w:rPr>
          <w:rFonts w:asciiTheme="majorHAnsi" w:hAnsiTheme="majorHAnsi"/>
          <w:sz w:val="16"/>
          <w:szCs w:val="16"/>
        </w:rPr>
      </w:pPr>
      <w:r w:rsidRPr="00B748E6">
        <w:rPr>
          <w:rStyle w:val="FootnoteReference"/>
          <w:rFonts w:asciiTheme="majorHAnsi" w:hAnsiTheme="majorHAnsi"/>
          <w:sz w:val="16"/>
          <w:szCs w:val="16"/>
          <w:lang w:val="es-ES"/>
        </w:rPr>
        <w:footnoteRef/>
      </w:r>
      <w:r w:rsidRPr="00E80949">
        <w:rPr>
          <w:rStyle w:val="FootnoteReference"/>
          <w:rFonts w:asciiTheme="majorHAnsi" w:hAnsiTheme="majorHAnsi"/>
          <w:sz w:val="16"/>
          <w:szCs w:val="16"/>
        </w:rPr>
        <w:t xml:space="preserve"> </w:t>
      </w:r>
      <w:r w:rsidR="008F57DF" w:rsidRPr="00E80949">
        <w:rPr>
          <w:rStyle w:val="FootnoteReference"/>
          <w:rFonts w:asciiTheme="majorHAnsi" w:hAnsiTheme="majorHAnsi"/>
          <w:sz w:val="16"/>
          <w:szCs w:val="16"/>
          <w:vertAlign w:val="baseline"/>
        </w:rPr>
        <w:t>Corte IDH</w:t>
      </w:r>
      <w:r w:rsidR="008F57DF" w:rsidRPr="00E80949">
        <w:rPr>
          <w:rFonts w:asciiTheme="majorHAnsi" w:hAnsiTheme="majorHAnsi"/>
          <w:sz w:val="16"/>
          <w:szCs w:val="16"/>
        </w:rPr>
        <w:t>,</w:t>
      </w:r>
      <w:r w:rsidR="008F57DF" w:rsidRPr="00E80949">
        <w:rPr>
          <w:rStyle w:val="FootnoteReference"/>
          <w:rFonts w:asciiTheme="majorHAnsi" w:hAnsiTheme="majorHAnsi"/>
          <w:sz w:val="16"/>
          <w:szCs w:val="16"/>
          <w:vertAlign w:val="baseline"/>
        </w:rPr>
        <w:t xml:space="preserve"> Caso Huilcamán Paillama y otros Vs. Chile</w:t>
      </w:r>
      <w:r w:rsidR="008F57DF" w:rsidRPr="00E80949">
        <w:rPr>
          <w:rFonts w:asciiTheme="majorHAnsi" w:hAnsiTheme="majorHAnsi"/>
          <w:sz w:val="16"/>
          <w:szCs w:val="16"/>
        </w:rPr>
        <w:t xml:space="preserve">, </w:t>
      </w:r>
      <w:r w:rsidR="008F57DF" w:rsidRPr="00E80949">
        <w:rPr>
          <w:rStyle w:val="FootnoteReference"/>
          <w:rFonts w:asciiTheme="majorHAnsi" w:hAnsiTheme="majorHAnsi"/>
          <w:sz w:val="16"/>
          <w:szCs w:val="16"/>
          <w:vertAlign w:val="baseline"/>
        </w:rPr>
        <w:t>Fondo, Reparaciones y Costas</w:t>
      </w:r>
      <w:r w:rsidR="008F57DF" w:rsidRPr="00E80949">
        <w:rPr>
          <w:rFonts w:asciiTheme="majorHAnsi" w:hAnsiTheme="majorHAnsi"/>
          <w:sz w:val="16"/>
          <w:szCs w:val="16"/>
        </w:rPr>
        <w:t>,</w:t>
      </w:r>
      <w:r w:rsidR="008F57DF" w:rsidRPr="00E80949">
        <w:rPr>
          <w:rStyle w:val="FootnoteReference"/>
          <w:rFonts w:asciiTheme="majorHAnsi" w:hAnsiTheme="majorHAnsi"/>
          <w:sz w:val="16"/>
          <w:szCs w:val="16"/>
          <w:vertAlign w:val="baseline"/>
        </w:rPr>
        <w:t xml:space="preserve"> Sentencia de 18 de junio de 2024</w:t>
      </w:r>
      <w:r w:rsidR="008F57DF" w:rsidRPr="00E80949">
        <w:rPr>
          <w:rFonts w:asciiTheme="majorHAnsi" w:hAnsiTheme="majorHAnsi"/>
          <w:sz w:val="16"/>
          <w:szCs w:val="16"/>
        </w:rPr>
        <w:t>,</w:t>
      </w:r>
      <w:r w:rsidR="008F57DF" w:rsidRPr="00E80949">
        <w:rPr>
          <w:rStyle w:val="FootnoteReference"/>
          <w:rFonts w:asciiTheme="majorHAnsi" w:hAnsiTheme="majorHAnsi"/>
          <w:sz w:val="16"/>
          <w:szCs w:val="16"/>
          <w:vertAlign w:val="baseline"/>
        </w:rPr>
        <w:t xml:space="preserve"> Serie C No. 527, párr. </w:t>
      </w:r>
      <w:r w:rsidRPr="00E80949">
        <w:rPr>
          <w:rStyle w:val="FootnoteReference"/>
          <w:rFonts w:asciiTheme="majorHAnsi" w:hAnsiTheme="majorHAnsi"/>
          <w:sz w:val="16"/>
          <w:szCs w:val="16"/>
          <w:vertAlign w:val="baseline"/>
        </w:rPr>
        <w:t>198</w:t>
      </w:r>
      <w:r w:rsidR="008F57DF" w:rsidRPr="00E80949">
        <w:rPr>
          <w:rFonts w:asciiTheme="majorHAnsi" w:hAnsiTheme="majorHAnsi"/>
          <w:sz w:val="16"/>
          <w:szCs w:val="16"/>
        </w:rPr>
        <w:t>.</w:t>
      </w:r>
    </w:p>
  </w:footnote>
  <w:footnote w:id="20">
    <w:p w14:paraId="408DF4FD" w14:textId="01A511B6" w:rsidR="006D07D1" w:rsidRPr="00E80949" w:rsidRDefault="006D07D1" w:rsidP="006D07D1">
      <w:pPr>
        <w:pStyle w:val="FootnoteText"/>
        <w:ind w:firstLine="720"/>
        <w:jc w:val="both"/>
        <w:rPr>
          <w:rFonts w:asciiTheme="majorHAnsi" w:hAnsiTheme="majorHAnsi"/>
          <w:sz w:val="16"/>
          <w:szCs w:val="16"/>
        </w:rPr>
      </w:pPr>
      <w:r w:rsidRPr="00B748E6">
        <w:rPr>
          <w:rStyle w:val="FootnoteReference"/>
          <w:rFonts w:asciiTheme="majorHAnsi" w:hAnsiTheme="majorHAnsi"/>
          <w:sz w:val="16"/>
          <w:szCs w:val="16"/>
          <w:lang w:val="es-ES"/>
        </w:rPr>
        <w:footnoteRef/>
      </w:r>
      <w:r w:rsidRPr="00E80949">
        <w:rPr>
          <w:rStyle w:val="FootnoteReference"/>
          <w:rFonts w:asciiTheme="majorHAnsi" w:hAnsiTheme="majorHAnsi"/>
          <w:sz w:val="16"/>
          <w:szCs w:val="16"/>
        </w:rPr>
        <w:t xml:space="preserve"> </w:t>
      </w:r>
      <w:r w:rsidRPr="00E80949">
        <w:rPr>
          <w:rStyle w:val="FootnoteReference"/>
          <w:rFonts w:asciiTheme="majorHAnsi" w:hAnsiTheme="majorHAnsi"/>
          <w:sz w:val="16"/>
          <w:szCs w:val="16"/>
          <w:vertAlign w:val="baseline"/>
        </w:rPr>
        <w:t>Corte IDH</w:t>
      </w:r>
      <w:r w:rsidR="00D458F5" w:rsidRPr="00E80949">
        <w:rPr>
          <w:rFonts w:asciiTheme="majorHAnsi" w:hAnsiTheme="majorHAnsi"/>
          <w:sz w:val="16"/>
          <w:szCs w:val="16"/>
        </w:rPr>
        <w:t>,</w:t>
      </w:r>
      <w:r w:rsidRPr="00E80949">
        <w:rPr>
          <w:rStyle w:val="FootnoteReference"/>
          <w:rFonts w:asciiTheme="majorHAnsi" w:hAnsiTheme="majorHAnsi"/>
          <w:sz w:val="16"/>
          <w:szCs w:val="16"/>
          <w:vertAlign w:val="baseline"/>
        </w:rPr>
        <w:t xml:space="preserve"> Caso Cabrera García y Montiel Flores Vs. México</w:t>
      </w:r>
      <w:r w:rsidR="00D458F5" w:rsidRPr="00E80949">
        <w:rPr>
          <w:rFonts w:asciiTheme="majorHAnsi" w:hAnsiTheme="majorHAnsi"/>
          <w:sz w:val="16"/>
          <w:szCs w:val="16"/>
        </w:rPr>
        <w:t>,</w:t>
      </w:r>
      <w:r w:rsidRPr="00E80949">
        <w:rPr>
          <w:rStyle w:val="FootnoteReference"/>
          <w:rFonts w:asciiTheme="majorHAnsi" w:hAnsiTheme="majorHAnsi"/>
          <w:sz w:val="16"/>
          <w:szCs w:val="16"/>
          <w:vertAlign w:val="baseline"/>
        </w:rPr>
        <w:t xml:space="preserve"> s</w:t>
      </w:r>
      <w:r w:rsidRPr="00E80949">
        <w:rPr>
          <w:rFonts w:asciiTheme="majorHAnsi" w:hAnsiTheme="majorHAnsi"/>
          <w:sz w:val="16"/>
          <w:szCs w:val="16"/>
        </w:rPr>
        <w:t>upra</w:t>
      </w:r>
      <w:r w:rsidRPr="00E80949">
        <w:rPr>
          <w:rStyle w:val="FootnoteReference"/>
          <w:rFonts w:asciiTheme="majorHAnsi" w:hAnsiTheme="majorHAnsi"/>
          <w:sz w:val="16"/>
          <w:szCs w:val="16"/>
          <w:vertAlign w:val="baseline"/>
        </w:rPr>
        <w:t>, párr. 19.</w:t>
      </w:r>
    </w:p>
  </w:footnote>
  <w:footnote w:id="21">
    <w:p w14:paraId="20FC5266" w14:textId="5AEF9C44" w:rsidR="006D07D1" w:rsidRPr="00E80949" w:rsidRDefault="006D07D1" w:rsidP="006D07D1">
      <w:pPr>
        <w:pStyle w:val="FootnoteText"/>
        <w:ind w:firstLine="720"/>
        <w:jc w:val="both"/>
        <w:rPr>
          <w:rStyle w:val="FootnoteReference"/>
          <w:rFonts w:asciiTheme="majorHAnsi" w:hAnsiTheme="majorHAnsi"/>
          <w:sz w:val="16"/>
          <w:szCs w:val="16"/>
        </w:rPr>
      </w:pPr>
      <w:r w:rsidRPr="00B748E6">
        <w:rPr>
          <w:rStyle w:val="FootnoteReference"/>
          <w:rFonts w:asciiTheme="majorHAnsi" w:hAnsiTheme="majorHAnsi"/>
          <w:sz w:val="16"/>
          <w:szCs w:val="16"/>
          <w:lang w:val="es-ES"/>
        </w:rPr>
        <w:footnoteRef/>
      </w:r>
      <w:r w:rsidRPr="00E80949">
        <w:rPr>
          <w:rStyle w:val="FootnoteReference"/>
          <w:rFonts w:asciiTheme="majorHAnsi" w:hAnsiTheme="majorHAnsi"/>
          <w:sz w:val="16"/>
          <w:szCs w:val="16"/>
        </w:rPr>
        <w:t xml:space="preserve"> </w:t>
      </w:r>
      <w:r w:rsidRPr="00E80949">
        <w:rPr>
          <w:rStyle w:val="FootnoteReference"/>
          <w:rFonts w:asciiTheme="majorHAnsi" w:hAnsiTheme="majorHAnsi"/>
          <w:sz w:val="16"/>
          <w:szCs w:val="16"/>
          <w:vertAlign w:val="baseline"/>
        </w:rPr>
        <w:t>Corte IDH</w:t>
      </w:r>
      <w:r w:rsidR="00D458F5" w:rsidRPr="00E80949">
        <w:rPr>
          <w:rFonts w:asciiTheme="majorHAnsi" w:hAnsiTheme="majorHAnsi"/>
          <w:sz w:val="16"/>
          <w:szCs w:val="16"/>
        </w:rPr>
        <w:t>,</w:t>
      </w:r>
      <w:r w:rsidRPr="00E80949">
        <w:rPr>
          <w:rStyle w:val="FootnoteReference"/>
          <w:rFonts w:asciiTheme="majorHAnsi" w:hAnsiTheme="majorHAnsi"/>
          <w:sz w:val="16"/>
          <w:szCs w:val="16"/>
          <w:vertAlign w:val="baseline"/>
        </w:rPr>
        <w:t xml:space="preserve"> Caso Palma Mendoza y otros Vs. Ecuador</w:t>
      </w:r>
      <w:r w:rsidR="00D458F5" w:rsidRPr="00E80949">
        <w:rPr>
          <w:rFonts w:asciiTheme="majorHAnsi" w:hAnsiTheme="majorHAnsi"/>
          <w:sz w:val="16"/>
          <w:szCs w:val="16"/>
        </w:rPr>
        <w:t>,</w:t>
      </w:r>
      <w:r w:rsidRPr="00E80949">
        <w:rPr>
          <w:rStyle w:val="FootnoteReference"/>
          <w:rFonts w:asciiTheme="majorHAnsi" w:hAnsiTheme="majorHAnsi"/>
          <w:sz w:val="16"/>
          <w:szCs w:val="16"/>
          <w:vertAlign w:val="baseline"/>
        </w:rPr>
        <w:t xml:space="preserve"> Excepción Preliminar y Fondo</w:t>
      </w:r>
      <w:r w:rsidR="00D458F5" w:rsidRPr="00E80949">
        <w:rPr>
          <w:rFonts w:asciiTheme="majorHAnsi" w:hAnsiTheme="majorHAnsi"/>
          <w:sz w:val="16"/>
          <w:szCs w:val="16"/>
        </w:rPr>
        <w:t>,</w:t>
      </w:r>
      <w:r w:rsidRPr="00E80949">
        <w:rPr>
          <w:rStyle w:val="FootnoteReference"/>
          <w:rFonts w:asciiTheme="majorHAnsi" w:hAnsiTheme="majorHAnsi"/>
          <w:sz w:val="16"/>
          <w:szCs w:val="16"/>
          <w:vertAlign w:val="baseline"/>
        </w:rPr>
        <w:t xml:space="preserve"> Sentencia de 3 de septiembre de 2012</w:t>
      </w:r>
      <w:r w:rsidR="00D458F5" w:rsidRPr="00E80949">
        <w:rPr>
          <w:rFonts w:asciiTheme="majorHAnsi" w:hAnsiTheme="majorHAnsi"/>
          <w:sz w:val="16"/>
          <w:szCs w:val="16"/>
        </w:rPr>
        <w:t>,</w:t>
      </w:r>
      <w:r w:rsidRPr="00E80949">
        <w:rPr>
          <w:rStyle w:val="FootnoteReference"/>
          <w:rFonts w:asciiTheme="majorHAnsi" w:hAnsiTheme="majorHAnsi"/>
          <w:sz w:val="16"/>
          <w:szCs w:val="16"/>
          <w:vertAlign w:val="baseline"/>
        </w:rPr>
        <w:t xml:space="preserve"> Serie C No. 247, párr. 18; Caso Rosadio Villavicencio Vs. Perú</w:t>
      </w:r>
      <w:r w:rsidR="00D458F5" w:rsidRPr="00E80949">
        <w:rPr>
          <w:rFonts w:asciiTheme="majorHAnsi" w:hAnsiTheme="majorHAnsi"/>
          <w:sz w:val="16"/>
          <w:szCs w:val="16"/>
        </w:rPr>
        <w:t>,</w:t>
      </w:r>
      <w:r w:rsidRPr="00E80949">
        <w:rPr>
          <w:rStyle w:val="FootnoteReference"/>
          <w:rFonts w:asciiTheme="majorHAnsi" w:hAnsiTheme="majorHAnsi"/>
          <w:sz w:val="16"/>
          <w:szCs w:val="16"/>
          <w:vertAlign w:val="baseline"/>
        </w:rPr>
        <w:t xml:space="preserve"> Excepciones Preliminares, Fondo, Reparaciones y Costas</w:t>
      </w:r>
      <w:r w:rsidR="00D458F5" w:rsidRPr="00E80949">
        <w:rPr>
          <w:rFonts w:asciiTheme="majorHAnsi" w:hAnsiTheme="majorHAnsi"/>
          <w:sz w:val="16"/>
          <w:szCs w:val="16"/>
        </w:rPr>
        <w:t>,</w:t>
      </w:r>
      <w:r w:rsidRPr="00E80949">
        <w:rPr>
          <w:rStyle w:val="FootnoteReference"/>
          <w:rFonts w:asciiTheme="majorHAnsi" w:hAnsiTheme="majorHAnsi"/>
          <w:sz w:val="16"/>
          <w:szCs w:val="16"/>
          <w:vertAlign w:val="baseline"/>
        </w:rPr>
        <w:t xml:space="preserve"> Sentencia de 14 de octubre de 2019</w:t>
      </w:r>
      <w:r w:rsidR="00D458F5" w:rsidRPr="00E80949">
        <w:rPr>
          <w:rFonts w:asciiTheme="majorHAnsi" w:hAnsiTheme="majorHAnsi"/>
          <w:sz w:val="16"/>
          <w:szCs w:val="16"/>
        </w:rPr>
        <w:t>,</w:t>
      </w:r>
      <w:r w:rsidRPr="00E80949">
        <w:rPr>
          <w:rStyle w:val="FootnoteReference"/>
          <w:rFonts w:asciiTheme="majorHAnsi" w:hAnsiTheme="majorHAnsi"/>
          <w:sz w:val="16"/>
          <w:szCs w:val="16"/>
          <w:vertAlign w:val="baseline"/>
        </w:rPr>
        <w:t xml:space="preserve"> Serie C No. 388, párr. 24; Caso Cabrera García y Montiel Flores Vs. México</w:t>
      </w:r>
      <w:r w:rsidR="00D458F5" w:rsidRPr="00E80949">
        <w:rPr>
          <w:rFonts w:asciiTheme="majorHAnsi" w:hAnsiTheme="majorHAnsi"/>
          <w:sz w:val="16"/>
          <w:szCs w:val="16"/>
        </w:rPr>
        <w:t>,</w:t>
      </w:r>
      <w:r w:rsidRPr="00E80949">
        <w:rPr>
          <w:rStyle w:val="FootnoteReference"/>
          <w:rFonts w:asciiTheme="majorHAnsi" w:hAnsiTheme="majorHAnsi"/>
          <w:sz w:val="16"/>
          <w:szCs w:val="16"/>
          <w:vertAlign w:val="baseline"/>
        </w:rPr>
        <w:t xml:space="preserve"> Excepción Preliminar, Fondo, Reparaciones y Costas</w:t>
      </w:r>
      <w:r w:rsidR="00D458F5" w:rsidRPr="00E80949">
        <w:rPr>
          <w:rFonts w:asciiTheme="majorHAnsi" w:hAnsiTheme="majorHAnsi"/>
          <w:sz w:val="16"/>
          <w:szCs w:val="16"/>
        </w:rPr>
        <w:t>,</w:t>
      </w:r>
      <w:r w:rsidRPr="00E80949">
        <w:rPr>
          <w:rStyle w:val="FootnoteReference"/>
          <w:rFonts w:asciiTheme="majorHAnsi" w:hAnsiTheme="majorHAnsi"/>
          <w:sz w:val="16"/>
          <w:szCs w:val="16"/>
          <w:vertAlign w:val="baseline"/>
        </w:rPr>
        <w:t xml:space="preserve"> Sentencia de 26 de noviembre de 2010. Serie C No. 220, párr. 19.</w:t>
      </w:r>
    </w:p>
    <w:p w14:paraId="0AF1C749" w14:textId="77777777" w:rsidR="006D07D1" w:rsidRPr="00E80949" w:rsidRDefault="006D07D1" w:rsidP="006D07D1">
      <w:pPr>
        <w:pStyle w:val="FootnoteText"/>
        <w:rPr>
          <w:rFonts w:asciiTheme="majorHAnsi" w:hAnsiTheme="majorHAns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00DB" w14:textId="77777777" w:rsidR="00040C3A" w:rsidRDefault="00040C3A">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598FAFAB"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01BB" w14:textId="77777777" w:rsidR="00A50FCF" w:rsidRDefault="00A50FCF" w:rsidP="00A50FCF">
    <w:pPr>
      <w:pStyle w:val="Header"/>
      <w:tabs>
        <w:tab w:val="clear" w:pos="4320"/>
        <w:tab w:val="clear" w:pos="8640"/>
      </w:tabs>
      <w:jc w:val="center"/>
      <w:rPr>
        <w:sz w:val="22"/>
        <w:szCs w:val="22"/>
      </w:rPr>
    </w:pPr>
    <w:r>
      <w:rPr>
        <w:noProof/>
        <w:sz w:val="22"/>
        <w:szCs w:val="22"/>
        <w:lang w:val="es-419" w:eastAsia="es-419"/>
      </w:rPr>
      <w:drawing>
        <wp:inline distT="0" distB="0" distL="0" distR="0" wp14:anchorId="49B70CC6" wp14:editId="0E71EB96">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1CF3204D" w14:textId="77777777" w:rsidR="00040C3A" w:rsidRPr="00EC7D62" w:rsidRDefault="00B5307C" w:rsidP="00A50FCF">
    <w:pPr>
      <w:pStyle w:val="Header"/>
      <w:tabs>
        <w:tab w:val="clear" w:pos="4320"/>
        <w:tab w:val="clear" w:pos="8640"/>
      </w:tabs>
      <w:jc w:val="center"/>
      <w:rPr>
        <w:sz w:val="22"/>
        <w:szCs w:val="22"/>
      </w:rPr>
    </w:pPr>
    <w:r>
      <w:rPr>
        <w:noProof/>
        <w:sz w:val="22"/>
        <w:szCs w:val="22"/>
        <w:bdr w:val="nil"/>
      </w:rPr>
      <w:pict w14:anchorId="4367A34C">
        <v:rect id="_x0000_i1025" style="width:441.9pt;height:.0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0E1D2261"/>
    <w:multiLevelType w:val="hybridMultilevel"/>
    <w:tmpl w:val="CE0671CA"/>
    <w:lvl w:ilvl="0" w:tplc="C666C37E">
      <w:start w:val="1"/>
      <w:numFmt w:val="decimal"/>
      <w:lvlText w:val="%1."/>
      <w:lvlJc w:val="left"/>
      <w:pPr>
        <w:tabs>
          <w:tab w:val="num" w:pos="720"/>
        </w:tabs>
        <w:ind w:left="0" w:firstLine="720"/>
      </w:pPr>
      <w:rPr>
        <w:rFonts w:hint="default"/>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7"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8"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1"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4"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5"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0"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1"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3"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26" w15:restartNumberingAfterBreak="0">
    <w:nsid w:val="3A231F8B"/>
    <w:multiLevelType w:val="multilevel"/>
    <w:tmpl w:val="A3CAECC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8"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42DF19D7"/>
    <w:multiLevelType w:val="multilevel"/>
    <w:tmpl w:val="E7265BB0"/>
    <w:styleLink w:val="List51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0"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1"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92723E7"/>
    <w:multiLevelType w:val="multilevel"/>
    <w:tmpl w:val="0CF8CC36"/>
    <w:styleLink w:val="List21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36"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37"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0"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1"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3"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4"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5"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47"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8"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45A711E"/>
    <w:multiLevelType w:val="multilevel"/>
    <w:tmpl w:val="ED88159C"/>
    <w:styleLink w:val="List41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78C26FCF"/>
    <w:multiLevelType w:val="multilevel"/>
    <w:tmpl w:val="2FCAD168"/>
    <w:styleLink w:val="List31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1"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2"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3"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4"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5"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299000730">
    <w:abstractNumId w:val="3"/>
  </w:num>
  <w:num w:numId="2" w16cid:durableId="1420520311">
    <w:abstractNumId w:val="5"/>
  </w:num>
  <w:num w:numId="3" w16cid:durableId="1713266273">
    <w:abstractNumId w:val="51"/>
  </w:num>
  <w:num w:numId="4" w16cid:durableId="2068602545">
    <w:abstractNumId w:val="20"/>
  </w:num>
  <w:num w:numId="5" w16cid:durableId="1616525600">
    <w:abstractNumId w:val="45"/>
  </w:num>
  <w:num w:numId="6" w16cid:durableId="1902403871">
    <w:abstractNumId w:val="25"/>
  </w:num>
  <w:num w:numId="7" w16cid:durableId="2142066646">
    <w:abstractNumId w:val="6"/>
  </w:num>
  <w:num w:numId="8" w16cid:durableId="1861747358">
    <w:abstractNumId w:val="16"/>
  </w:num>
  <w:num w:numId="9" w16cid:durableId="1025256902">
    <w:abstractNumId w:val="36"/>
  </w:num>
  <w:num w:numId="10" w16cid:durableId="1866940441">
    <w:abstractNumId w:val="40"/>
  </w:num>
  <w:num w:numId="11" w16cid:durableId="251017014">
    <w:abstractNumId w:val="0"/>
  </w:num>
  <w:num w:numId="12" w16cid:durableId="2134210098">
    <w:abstractNumId w:val="35"/>
  </w:num>
  <w:num w:numId="13" w16cid:durableId="255601910">
    <w:abstractNumId w:val="42"/>
  </w:num>
  <w:num w:numId="14" w16cid:durableId="1761757703">
    <w:abstractNumId w:val="1"/>
  </w:num>
  <w:num w:numId="15" w16cid:durableId="1186796706">
    <w:abstractNumId w:val="2"/>
  </w:num>
  <w:num w:numId="16" w16cid:durableId="1606693034">
    <w:abstractNumId w:val="7"/>
  </w:num>
  <w:num w:numId="17" w16cid:durableId="1738476247">
    <w:abstractNumId w:val="8"/>
  </w:num>
  <w:num w:numId="18" w16cid:durableId="1484001738">
    <w:abstractNumId w:val="9"/>
  </w:num>
  <w:num w:numId="19" w16cid:durableId="866941465">
    <w:abstractNumId w:val="10"/>
  </w:num>
  <w:num w:numId="20" w16cid:durableId="891114917">
    <w:abstractNumId w:val="11"/>
  </w:num>
  <w:num w:numId="21" w16cid:durableId="1852600886">
    <w:abstractNumId w:val="12"/>
  </w:num>
  <w:num w:numId="22" w16cid:durableId="925655403">
    <w:abstractNumId w:val="13"/>
  </w:num>
  <w:num w:numId="23" w16cid:durableId="1122456303">
    <w:abstractNumId w:val="14"/>
  </w:num>
  <w:num w:numId="24" w16cid:durableId="2034264947">
    <w:abstractNumId w:val="15"/>
  </w:num>
  <w:num w:numId="25" w16cid:durableId="943655646">
    <w:abstractNumId w:val="17"/>
  </w:num>
  <w:num w:numId="26" w16cid:durableId="48573556">
    <w:abstractNumId w:val="18"/>
  </w:num>
  <w:num w:numId="27" w16cid:durableId="1714845553">
    <w:abstractNumId w:val="21"/>
  </w:num>
  <w:num w:numId="28" w16cid:durableId="43258639">
    <w:abstractNumId w:val="22"/>
  </w:num>
  <w:num w:numId="29" w16cid:durableId="1533766946">
    <w:abstractNumId w:val="23"/>
  </w:num>
  <w:num w:numId="30" w16cid:durableId="1375960398">
    <w:abstractNumId w:val="24"/>
  </w:num>
  <w:num w:numId="31" w16cid:durableId="142351334">
    <w:abstractNumId w:val="27"/>
  </w:num>
  <w:num w:numId="32" w16cid:durableId="179467967">
    <w:abstractNumId w:val="28"/>
  </w:num>
  <w:num w:numId="33" w16cid:durableId="1445685242">
    <w:abstractNumId w:val="29"/>
  </w:num>
  <w:num w:numId="34" w16cid:durableId="2049792361">
    <w:abstractNumId w:val="30"/>
  </w:num>
  <w:num w:numId="35" w16cid:durableId="1766075673">
    <w:abstractNumId w:val="31"/>
  </w:num>
  <w:num w:numId="36" w16cid:durableId="1193613694">
    <w:abstractNumId w:val="32"/>
  </w:num>
  <w:num w:numId="37" w16cid:durableId="1731923604">
    <w:abstractNumId w:val="33"/>
  </w:num>
  <w:num w:numId="38" w16cid:durableId="1266036850">
    <w:abstractNumId w:val="34"/>
  </w:num>
  <w:num w:numId="39" w16cid:durableId="1881671385">
    <w:abstractNumId w:val="37"/>
  </w:num>
  <w:num w:numId="40" w16cid:durableId="1301611395">
    <w:abstractNumId w:val="38"/>
  </w:num>
  <w:num w:numId="41" w16cid:durableId="1131166778">
    <w:abstractNumId w:val="44"/>
  </w:num>
  <w:num w:numId="42" w16cid:durableId="507405131">
    <w:abstractNumId w:val="46"/>
  </w:num>
  <w:num w:numId="43" w16cid:durableId="147091870">
    <w:abstractNumId w:val="47"/>
  </w:num>
  <w:num w:numId="44" w16cid:durableId="655454458">
    <w:abstractNumId w:val="49"/>
  </w:num>
  <w:num w:numId="45" w16cid:durableId="1812089391">
    <w:abstractNumId w:val="50"/>
  </w:num>
  <w:num w:numId="46" w16cid:durableId="515115365">
    <w:abstractNumId w:val="52"/>
  </w:num>
  <w:num w:numId="47" w16cid:durableId="1221944455">
    <w:abstractNumId w:val="53"/>
  </w:num>
  <w:num w:numId="48" w16cid:durableId="908535618">
    <w:abstractNumId w:val="54"/>
  </w:num>
  <w:num w:numId="49" w16cid:durableId="825898735">
    <w:abstractNumId w:val="55"/>
  </w:num>
  <w:num w:numId="50" w16cid:durableId="49690932">
    <w:abstractNumId w:val="56"/>
  </w:num>
  <w:num w:numId="51" w16cid:durableId="2095399920">
    <w:abstractNumId w:val="19"/>
  </w:num>
  <w:num w:numId="52" w16cid:durableId="1435326325">
    <w:abstractNumId w:val="39"/>
  </w:num>
  <w:num w:numId="53" w16cid:durableId="935866318">
    <w:abstractNumId w:val="48"/>
  </w:num>
  <w:num w:numId="54" w16cid:durableId="749347125">
    <w:abstractNumId w:val="43"/>
  </w:num>
  <w:num w:numId="55" w16cid:durableId="1458334191">
    <w:abstractNumId w:val="4"/>
  </w:num>
  <w:num w:numId="56" w16cid:durableId="1694842942">
    <w:abstractNumId w:val="41"/>
  </w:num>
  <w:num w:numId="57" w16cid:durableId="2146896487">
    <w:abstractNumId w:val="2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CDA"/>
    <w:rsid w:val="00002BBB"/>
    <w:rsid w:val="00004A72"/>
    <w:rsid w:val="00006E1F"/>
    <w:rsid w:val="000070D7"/>
    <w:rsid w:val="00013E9B"/>
    <w:rsid w:val="00014E27"/>
    <w:rsid w:val="00016EB1"/>
    <w:rsid w:val="0001788C"/>
    <w:rsid w:val="00020007"/>
    <w:rsid w:val="0002393E"/>
    <w:rsid w:val="000278C8"/>
    <w:rsid w:val="000337EF"/>
    <w:rsid w:val="00040C3A"/>
    <w:rsid w:val="000419AD"/>
    <w:rsid w:val="0004281B"/>
    <w:rsid w:val="000433C9"/>
    <w:rsid w:val="00044174"/>
    <w:rsid w:val="00050D32"/>
    <w:rsid w:val="0005158D"/>
    <w:rsid w:val="00055A76"/>
    <w:rsid w:val="00057424"/>
    <w:rsid w:val="00061400"/>
    <w:rsid w:val="000627FE"/>
    <w:rsid w:val="00062F4C"/>
    <w:rsid w:val="000635BA"/>
    <w:rsid w:val="000716C5"/>
    <w:rsid w:val="00072F50"/>
    <w:rsid w:val="000732FA"/>
    <w:rsid w:val="0007385B"/>
    <w:rsid w:val="00075E23"/>
    <w:rsid w:val="00080C6C"/>
    <w:rsid w:val="00083381"/>
    <w:rsid w:val="0009344A"/>
    <w:rsid w:val="000938FE"/>
    <w:rsid w:val="000A101B"/>
    <w:rsid w:val="000A1974"/>
    <w:rsid w:val="000A392E"/>
    <w:rsid w:val="000A575F"/>
    <w:rsid w:val="000B062C"/>
    <w:rsid w:val="000B1EDE"/>
    <w:rsid w:val="000D05CB"/>
    <w:rsid w:val="000D10DB"/>
    <w:rsid w:val="000D52D0"/>
    <w:rsid w:val="000E2A75"/>
    <w:rsid w:val="000E4BAF"/>
    <w:rsid w:val="000E5499"/>
    <w:rsid w:val="000E5EB5"/>
    <w:rsid w:val="000E6527"/>
    <w:rsid w:val="000F10E3"/>
    <w:rsid w:val="000F35ED"/>
    <w:rsid w:val="000F6F53"/>
    <w:rsid w:val="000F7BC4"/>
    <w:rsid w:val="001028FA"/>
    <w:rsid w:val="001060F2"/>
    <w:rsid w:val="00107131"/>
    <w:rsid w:val="0010736F"/>
    <w:rsid w:val="00113F73"/>
    <w:rsid w:val="00120DCC"/>
    <w:rsid w:val="00121CC2"/>
    <w:rsid w:val="001234DD"/>
    <w:rsid w:val="001243E4"/>
    <w:rsid w:val="0012742E"/>
    <w:rsid w:val="00131425"/>
    <w:rsid w:val="00131D33"/>
    <w:rsid w:val="00133EE5"/>
    <w:rsid w:val="00134AA2"/>
    <w:rsid w:val="0014358F"/>
    <w:rsid w:val="0014526F"/>
    <w:rsid w:val="0014572D"/>
    <w:rsid w:val="001502A6"/>
    <w:rsid w:val="001532E5"/>
    <w:rsid w:val="00157042"/>
    <w:rsid w:val="001613B4"/>
    <w:rsid w:val="00161C7F"/>
    <w:rsid w:val="00167A34"/>
    <w:rsid w:val="001757B7"/>
    <w:rsid w:val="001773D4"/>
    <w:rsid w:val="0019566B"/>
    <w:rsid w:val="001A7870"/>
    <w:rsid w:val="001B3A00"/>
    <w:rsid w:val="001C1B41"/>
    <w:rsid w:val="001C5C8A"/>
    <w:rsid w:val="001D4399"/>
    <w:rsid w:val="001D4408"/>
    <w:rsid w:val="001D65EF"/>
    <w:rsid w:val="001D7945"/>
    <w:rsid w:val="001E02A6"/>
    <w:rsid w:val="001E49E7"/>
    <w:rsid w:val="001E79A4"/>
    <w:rsid w:val="001F02B3"/>
    <w:rsid w:val="001F04E5"/>
    <w:rsid w:val="001F11A9"/>
    <w:rsid w:val="001F20A8"/>
    <w:rsid w:val="001F7201"/>
    <w:rsid w:val="00200CE9"/>
    <w:rsid w:val="002068C1"/>
    <w:rsid w:val="00214C47"/>
    <w:rsid w:val="00216709"/>
    <w:rsid w:val="00223A29"/>
    <w:rsid w:val="00224EC1"/>
    <w:rsid w:val="002250A3"/>
    <w:rsid w:val="0023304D"/>
    <w:rsid w:val="00235217"/>
    <w:rsid w:val="00235873"/>
    <w:rsid w:val="00241ED0"/>
    <w:rsid w:val="00242EAA"/>
    <w:rsid w:val="00243D1D"/>
    <w:rsid w:val="002454A0"/>
    <w:rsid w:val="0024613A"/>
    <w:rsid w:val="002469D2"/>
    <w:rsid w:val="00246D1F"/>
    <w:rsid w:val="00247403"/>
    <w:rsid w:val="00247542"/>
    <w:rsid w:val="00250EB7"/>
    <w:rsid w:val="0026020D"/>
    <w:rsid w:val="00265BA1"/>
    <w:rsid w:val="0026603A"/>
    <w:rsid w:val="00266301"/>
    <w:rsid w:val="00266B61"/>
    <w:rsid w:val="0026712A"/>
    <w:rsid w:val="00267F25"/>
    <w:rsid w:val="002704DB"/>
    <w:rsid w:val="002720BB"/>
    <w:rsid w:val="00273DCF"/>
    <w:rsid w:val="00277EEE"/>
    <w:rsid w:val="00281BD0"/>
    <w:rsid w:val="00293484"/>
    <w:rsid w:val="002A0AAE"/>
    <w:rsid w:val="002A0BFD"/>
    <w:rsid w:val="002A1DF3"/>
    <w:rsid w:val="002A3774"/>
    <w:rsid w:val="002A4E88"/>
    <w:rsid w:val="002A5820"/>
    <w:rsid w:val="002B4B34"/>
    <w:rsid w:val="002B7CD7"/>
    <w:rsid w:val="002B7F2B"/>
    <w:rsid w:val="002C1F6F"/>
    <w:rsid w:val="002D0837"/>
    <w:rsid w:val="002D2B26"/>
    <w:rsid w:val="002D39F6"/>
    <w:rsid w:val="002D51BC"/>
    <w:rsid w:val="002D7EA2"/>
    <w:rsid w:val="002E187C"/>
    <w:rsid w:val="002F27C5"/>
    <w:rsid w:val="002F34BD"/>
    <w:rsid w:val="00302733"/>
    <w:rsid w:val="0031140E"/>
    <w:rsid w:val="00314078"/>
    <w:rsid w:val="0031535D"/>
    <w:rsid w:val="003239B8"/>
    <w:rsid w:val="00327D32"/>
    <w:rsid w:val="0033169F"/>
    <w:rsid w:val="00344977"/>
    <w:rsid w:val="00345BCF"/>
    <w:rsid w:val="00346C95"/>
    <w:rsid w:val="00350601"/>
    <w:rsid w:val="00351272"/>
    <w:rsid w:val="00355ADF"/>
    <w:rsid w:val="00356185"/>
    <w:rsid w:val="00360380"/>
    <w:rsid w:val="00363D3F"/>
    <w:rsid w:val="00366472"/>
    <w:rsid w:val="0037519E"/>
    <w:rsid w:val="00382147"/>
    <w:rsid w:val="00383F87"/>
    <w:rsid w:val="00386CF0"/>
    <w:rsid w:val="00390B69"/>
    <w:rsid w:val="00391AA1"/>
    <w:rsid w:val="00394049"/>
    <w:rsid w:val="00394091"/>
    <w:rsid w:val="00394B8A"/>
    <w:rsid w:val="003A3722"/>
    <w:rsid w:val="003A45F6"/>
    <w:rsid w:val="003A70E9"/>
    <w:rsid w:val="003B1B44"/>
    <w:rsid w:val="003B2566"/>
    <w:rsid w:val="003B4427"/>
    <w:rsid w:val="003B4C90"/>
    <w:rsid w:val="003B6F31"/>
    <w:rsid w:val="003B70FB"/>
    <w:rsid w:val="003C2239"/>
    <w:rsid w:val="003C3084"/>
    <w:rsid w:val="003C3DAF"/>
    <w:rsid w:val="003C5C2D"/>
    <w:rsid w:val="003C676B"/>
    <w:rsid w:val="003C6964"/>
    <w:rsid w:val="003D0474"/>
    <w:rsid w:val="003D0DD1"/>
    <w:rsid w:val="003D3BC2"/>
    <w:rsid w:val="003D5D5E"/>
    <w:rsid w:val="003D7CD9"/>
    <w:rsid w:val="003E33DD"/>
    <w:rsid w:val="003E5991"/>
    <w:rsid w:val="003E5E6B"/>
    <w:rsid w:val="003E634A"/>
    <w:rsid w:val="003E6CA1"/>
    <w:rsid w:val="003F0E01"/>
    <w:rsid w:val="003F3A2F"/>
    <w:rsid w:val="00405F9C"/>
    <w:rsid w:val="004065A8"/>
    <w:rsid w:val="00415DAE"/>
    <w:rsid w:val="004165C2"/>
    <w:rsid w:val="00420AD0"/>
    <w:rsid w:val="004221A0"/>
    <w:rsid w:val="00422D2E"/>
    <w:rsid w:val="00422E77"/>
    <w:rsid w:val="00423ED5"/>
    <w:rsid w:val="004325A5"/>
    <w:rsid w:val="00432D0C"/>
    <w:rsid w:val="004347A1"/>
    <w:rsid w:val="00436B39"/>
    <w:rsid w:val="00441524"/>
    <w:rsid w:val="00441E0D"/>
    <w:rsid w:val="00441ECB"/>
    <w:rsid w:val="00445193"/>
    <w:rsid w:val="00451127"/>
    <w:rsid w:val="00451957"/>
    <w:rsid w:val="004604AB"/>
    <w:rsid w:val="00462C1B"/>
    <w:rsid w:val="00463C30"/>
    <w:rsid w:val="00463DC9"/>
    <w:rsid w:val="00467A03"/>
    <w:rsid w:val="00467B7E"/>
    <w:rsid w:val="00473629"/>
    <w:rsid w:val="00473BB4"/>
    <w:rsid w:val="004770E3"/>
    <w:rsid w:val="00477592"/>
    <w:rsid w:val="00486F1C"/>
    <w:rsid w:val="004916E1"/>
    <w:rsid w:val="0049419D"/>
    <w:rsid w:val="004A3C50"/>
    <w:rsid w:val="004A4D1E"/>
    <w:rsid w:val="004A6A54"/>
    <w:rsid w:val="004B1CB2"/>
    <w:rsid w:val="004B50B2"/>
    <w:rsid w:val="004B55BE"/>
    <w:rsid w:val="004B731B"/>
    <w:rsid w:val="004C0F6D"/>
    <w:rsid w:val="004C20D2"/>
    <w:rsid w:val="004C2312"/>
    <w:rsid w:val="004C405D"/>
    <w:rsid w:val="004C47BE"/>
    <w:rsid w:val="004C4B62"/>
    <w:rsid w:val="004C54C9"/>
    <w:rsid w:val="004D1426"/>
    <w:rsid w:val="004D495E"/>
    <w:rsid w:val="004D4ABA"/>
    <w:rsid w:val="004D5CFB"/>
    <w:rsid w:val="004D6025"/>
    <w:rsid w:val="004E152B"/>
    <w:rsid w:val="004E1870"/>
    <w:rsid w:val="004E2649"/>
    <w:rsid w:val="004F31D3"/>
    <w:rsid w:val="004F3C7F"/>
    <w:rsid w:val="004F5484"/>
    <w:rsid w:val="004F626F"/>
    <w:rsid w:val="00500442"/>
    <w:rsid w:val="00501399"/>
    <w:rsid w:val="00502283"/>
    <w:rsid w:val="00503585"/>
    <w:rsid w:val="0050633D"/>
    <w:rsid w:val="00507BC4"/>
    <w:rsid w:val="005128E4"/>
    <w:rsid w:val="005133DB"/>
    <w:rsid w:val="00514504"/>
    <w:rsid w:val="00514EEE"/>
    <w:rsid w:val="0052067B"/>
    <w:rsid w:val="005215DB"/>
    <w:rsid w:val="0052527A"/>
    <w:rsid w:val="00525560"/>
    <w:rsid w:val="00525F29"/>
    <w:rsid w:val="00531B34"/>
    <w:rsid w:val="0053730E"/>
    <w:rsid w:val="00537E8A"/>
    <w:rsid w:val="00541A7A"/>
    <w:rsid w:val="00544C49"/>
    <w:rsid w:val="00551388"/>
    <w:rsid w:val="005516A1"/>
    <w:rsid w:val="005519EE"/>
    <w:rsid w:val="005559EF"/>
    <w:rsid w:val="005564B7"/>
    <w:rsid w:val="00563557"/>
    <w:rsid w:val="0057402A"/>
    <w:rsid w:val="005771D0"/>
    <w:rsid w:val="00586A6D"/>
    <w:rsid w:val="005917D9"/>
    <w:rsid w:val="0059191A"/>
    <w:rsid w:val="005921FF"/>
    <w:rsid w:val="005A0D28"/>
    <w:rsid w:val="005A0DD3"/>
    <w:rsid w:val="005A121B"/>
    <w:rsid w:val="005A2276"/>
    <w:rsid w:val="005A24ED"/>
    <w:rsid w:val="005A254F"/>
    <w:rsid w:val="005A6D0E"/>
    <w:rsid w:val="005B52B0"/>
    <w:rsid w:val="005B6806"/>
    <w:rsid w:val="005C4225"/>
    <w:rsid w:val="005D38F9"/>
    <w:rsid w:val="005D7801"/>
    <w:rsid w:val="005E03A5"/>
    <w:rsid w:val="005E122D"/>
    <w:rsid w:val="005E46F7"/>
    <w:rsid w:val="005E4B63"/>
    <w:rsid w:val="005E6347"/>
    <w:rsid w:val="005E6E19"/>
    <w:rsid w:val="005F0D51"/>
    <w:rsid w:val="005F0DAD"/>
    <w:rsid w:val="005F0F33"/>
    <w:rsid w:val="005F1EAF"/>
    <w:rsid w:val="005F4BF1"/>
    <w:rsid w:val="005F625E"/>
    <w:rsid w:val="0060022F"/>
    <w:rsid w:val="00600DEB"/>
    <w:rsid w:val="00601049"/>
    <w:rsid w:val="00601271"/>
    <w:rsid w:val="00613319"/>
    <w:rsid w:val="00613A0C"/>
    <w:rsid w:val="00614C99"/>
    <w:rsid w:val="0062110E"/>
    <w:rsid w:val="00622DA4"/>
    <w:rsid w:val="00627194"/>
    <w:rsid w:val="00627C9F"/>
    <w:rsid w:val="006311E9"/>
    <w:rsid w:val="00631AA7"/>
    <w:rsid w:val="00632354"/>
    <w:rsid w:val="00635421"/>
    <w:rsid w:val="006358F6"/>
    <w:rsid w:val="00642810"/>
    <w:rsid w:val="00643B64"/>
    <w:rsid w:val="00652333"/>
    <w:rsid w:val="0065316B"/>
    <w:rsid w:val="006568D9"/>
    <w:rsid w:val="00666BD8"/>
    <w:rsid w:val="0068009E"/>
    <w:rsid w:val="0068128B"/>
    <w:rsid w:val="00682C8A"/>
    <w:rsid w:val="00692219"/>
    <w:rsid w:val="006A05B8"/>
    <w:rsid w:val="006A17D2"/>
    <w:rsid w:val="006A586C"/>
    <w:rsid w:val="006A73E6"/>
    <w:rsid w:val="006B12DD"/>
    <w:rsid w:val="006B2D5C"/>
    <w:rsid w:val="006C2F17"/>
    <w:rsid w:val="006C468D"/>
    <w:rsid w:val="006C4EB1"/>
    <w:rsid w:val="006D07D1"/>
    <w:rsid w:val="006D5B19"/>
    <w:rsid w:val="006D61BD"/>
    <w:rsid w:val="006E0166"/>
    <w:rsid w:val="006E2FFB"/>
    <w:rsid w:val="006E7B34"/>
    <w:rsid w:val="0070697F"/>
    <w:rsid w:val="00710580"/>
    <w:rsid w:val="0072199C"/>
    <w:rsid w:val="00722C9F"/>
    <w:rsid w:val="007253B8"/>
    <w:rsid w:val="00727397"/>
    <w:rsid w:val="0073307D"/>
    <w:rsid w:val="00734683"/>
    <w:rsid w:val="00734F80"/>
    <w:rsid w:val="0073741F"/>
    <w:rsid w:val="0074455E"/>
    <w:rsid w:val="00756B22"/>
    <w:rsid w:val="00757892"/>
    <w:rsid w:val="0076643F"/>
    <w:rsid w:val="007751E9"/>
    <w:rsid w:val="00777F63"/>
    <w:rsid w:val="007849D1"/>
    <w:rsid w:val="00794536"/>
    <w:rsid w:val="007A0A0C"/>
    <w:rsid w:val="007A1028"/>
    <w:rsid w:val="007A46AD"/>
    <w:rsid w:val="007A5817"/>
    <w:rsid w:val="007B05C4"/>
    <w:rsid w:val="007B0AFD"/>
    <w:rsid w:val="007B60E9"/>
    <w:rsid w:val="007B6CC3"/>
    <w:rsid w:val="007B76D3"/>
    <w:rsid w:val="007C1E3B"/>
    <w:rsid w:val="007C3334"/>
    <w:rsid w:val="007C5174"/>
    <w:rsid w:val="007C7E8C"/>
    <w:rsid w:val="007D2937"/>
    <w:rsid w:val="007D2B98"/>
    <w:rsid w:val="007D362D"/>
    <w:rsid w:val="007E0CBD"/>
    <w:rsid w:val="007E126D"/>
    <w:rsid w:val="007E21BC"/>
    <w:rsid w:val="007E7C82"/>
    <w:rsid w:val="007F269C"/>
    <w:rsid w:val="007F2AA1"/>
    <w:rsid w:val="007F455B"/>
    <w:rsid w:val="007F588D"/>
    <w:rsid w:val="00803B92"/>
    <w:rsid w:val="00803F1C"/>
    <w:rsid w:val="0080600E"/>
    <w:rsid w:val="00810006"/>
    <w:rsid w:val="00814688"/>
    <w:rsid w:val="00814AE8"/>
    <w:rsid w:val="008171A0"/>
    <w:rsid w:val="00817612"/>
    <w:rsid w:val="0083100C"/>
    <w:rsid w:val="008338A4"/>
    <w:rsid w:val="00834D49"/>
    <w:rsid w:val="008363A5"/>
    <w:rsid w:val="00837C45"/>
    <w:rsid w:val="00841BAD"/>
    <w:rsid w:val="00844730"/>
    <w:rsid w:val="008457C2"/>
    <w:rsid w:val="0084683F"/>
    <w:rsid w:val="00851071"/>
    <w:rsid w:val="00853EFD"/>
    <w:rsid w:val="00853FBA"/>
    <w:rsid w:val="00857A82"/>
    <w:rsid w:val="00865925"/>
    <w:rsid w:val="00867314"/>
    <w:rsid w:val="008732B7"/>
    <w:rsid w:val="008734C0"/>
    <w:rsid w:val="00873836"/>
    <w:rsid w:val="00880BC1"/>
    <w:rsid w:val="00885737"/>
    <w:rsid w:val="00890650"/>
    <w:rsid w:val="00892DDE"/>
    <w:rsid w:val="00892F9B"/>
    <w:rsid w:val="008932F6"/>
    <w:rsid w:val="008959DD"/>
    <w:rsid w:val="00897E12"/>
    <w:rsid w:val="008A0552"/>
    <w:rsid w:val="008A20DB"/>
    <w:rsid w:val="008A5524"/>
    <w:rsid w:val="008A6534"/>
    <w:rsid w:val="008A7E0F"/>
    <w:rsid w:val="008B12F5"/>
    <w:rsid w:val="008B22D4"/>
    <w:rsid w:val="008B550C"/>
    <w:rsid w:val="008C32CC"/>
    <w:rsid w:val="008C3B4E"/>
    <w:rsid w:val="008C5E2D"/>
    <w:rsid w:val="008D2880"/>
    <w:rsid w:val="008D2EB8"/>
    <w:rsid w:val="008D35D6"/>
    <w:rsid w:val="008D4740"/>
    <w:rsid w:val="008D768D"/>
    <w:rsid w:val="008E3759"/>
    <w:rsid w:val="008E3BFE"/>
    <w:rsid w:val="008E478B"/>
    <w:rsid w:val="008E6031"/>
    <w:rsid w:val="008E7952"/>
    <w:rsid w:val="008E7A86"/>
    <w:rsid w:val="008F02B1"/>
    <w:rsid w:val="008F184B"/>
    <w:rsid w:val="008F1912"/>
    <w:rsid w:val="008F4331"/>
    <w:rsid w:val="008F57DF"/>
    <w:rsid w:val="0090270B"/>
    <w:rsid w:val="009041DC"/>
    <w:rsid w:val="00905CDF"/>
    <w:rsid w:val="00917B5A"/>
    <w:rsid w:val="00920A58"/>
    <w:rsid w:val="00920A8C"/>
    <w:rsid w:val="00923A1C"/>
    <w:rsid w:val="00923D8E"/>
    <w:rsid w:val="00932E7B"/>
    <w:rsid w:val="00934A2C"/>
    <w:rsid w:val="0094043F"/>
    <w:rsid w:val="00943207"/>
    <w:rsid w:val="009434F7"/>
    <w:rsid w:val="00955CCE"/>
    <w:rsid w:val="00956F9C"/>
    <w:rsid w:val="00960E04"/>
    <w:rsid w:val="009661B1"/>
    <w:rsid w:val="0096706E"/>
    <w:rsid w:val="00967422"/>
    <w:rsid w:val="00972247"/>
    <w:rsid w:val="0097242E"/>
    <w:rsid w:val="00974491"/>
    <w:rsid w:val="00975C4E"/>
    <w:rsid w:val="00976EBB"/>
    <w:rsid w:val="009813E3"/>
    <w:rsid w:val="00981E5E"/>
    <w:rsid w:val="00981FBA"/>
    <w:rsid w:val="009832E9"/>
    <w:rsid w:val="0098643D"/>
    <w:rsid w:val="00986B6B"/>
    <w:rsid w:val="00987A56"/>
    <w:rsid w:val="00997BC5"/>
    <w:rsid w:val="009A3771"/>
    <w:rsid w:val="009A4F41"/>
    <w:rsid w:val="009A7C23"/>
    <w:rsid w:val="009B1BFF"/>
    <w:rsid w:val="009B381B"/>
    <w:rsid w:val="009B7092"/>
    <w:rsid w:val="009B7BD0"/>
    <w:rsid w:val="009D1753"/>
    <w:rsid w:val="009D41BE"/>
    <w:rsid w:val="009D5F0A"/>
    <w:rsid w:val="009D7611"/>
    <w:rsid w:val="009D79AE"/>
    <w:rsid w:val="009E0B61"/>
    <w:rsid w:val="009E19CE"/>
    <w:rsid w:val="009E2E5D"/>
    <w:rsid w:val="009E53DE"/>
    <w:rsid w:val="009E6A1B"/>
    <w:rsid w:val="00A018A7"/>
    <w:rsid w:val="00A11212"/>
    <w:rsid w:val="00A11E44"/>
    <w:rsid w:val="00A12869"/>
    <w:rsid w:val="00A156DA"/>
    <w:rsid w:val="00A23907"/>
    <w:rsid w:val="00A24C6D"/>
    <w:rsid w:val="00A25101"/>
    <w:rsid w:val="00A30100"/>
    <w:rsid w:val="00A30142"/>
    <w:rsid w:val="00A328B3"/>
    <w:rsid w:val="00A3663D"/>
    <w:rsid w:val="00A37D48"/>
    <w:rsid w:val="00A443CF"/>
    <w:rsid w:val="00A50082"/>
    <w:rsid w:val="00A50FCF"/>
    <w:rsid w:val="00A528D1"/>
    <w:rsid w:val="00A610CD"/>
    <w:rsid w:val="00A758AA"/>
    <w:rsid w:val="00AA09A2"/>
    <w:rsid w:val="00AA52AC"/>
    <w:rsid w:val="00AA7996"/>
    <w:rsid w:val="00AB19C2"/>
    <w:rsid w:val="00AB70EC"/>
    <w:rsid w:val="00AC0B63"/>
    <w:rsid w:val="00AC19CB"/>
    <w:rsid w:val="00AC67B3"/>
    <w:rsid w:val="00AD2052"/>
    <w:rsid w:val="00AE0008"/>
    <w:rsid w:val="00AE0AC5"/>
    <w:rsid w:val="00AE1BAE"/>
    <w:rsid w:val="00AE1F8C"/>
    <w:rsid w:val="00AE5488"/>
    <w:rsid w:val="00AE6F91"/>
    <w:rsid w:val="00AF0661"/>
    <w:rsid w:val="00AF3A97"/>
    <w:rsid w:val="00AF5571"/>
    <w:rsid w:val="00AF619D"/>
    <w:rsid w:val="00B01590"/>
    <w:rsid w:val="00B05D5A"/>
    <w:rsid w:val="00B07341"/>
    <w:rsid w:val="00B11747"/>
    <w:rsid w:val="00B15D24"/>
    <w:rsid w:val="00B22442"/>
    <w:rsid w:val="00B273EC"/>
    <w:rsid w:val="00B30539"/>
    <w:rsid w:val="00B314DB"/>
    <w:rsid w:val="00B31B97"/>
    <w:rsid w:val="00B31F39"/>
    <w:rsid w:val="00B33EA8"/>
    <w:rsid w:val="00B361F2"/>
    <w:rsid w:val="00B3718B"/>
    <w:rsid w:val="00B3745F"/>
    <w:rsid w:val="00B409E3"/>
    <w:rsid w:val="00B44F20"/>
    <w:rsid w:val="00B4632A"/>
    <w:rsid w:val="00B4674D"/>
    <w:rsid w:val="00B5307C"/>
    <w:rsid w:val="00B530F1"/>
    <w:rsid w:val="00B540CD"/>
    <w:rsid w:val="00B55547"/>
    <w:rsid w:val="00B564B8"/>
    <w:rsid w:val="00B62852"/>
    <w:rsid w:val="00B63B17"/>
    <w:rsid w:val="00B6794D"/>
    <w:rsid w:val="00B748E6"/>
    <w:rsid w:val="00B75BA3"/>
    <w:rsid w:val="00B75D0E"/>
    <w:rsid w:val="00B75EFA"/>
    <w:rsid w:val="00B77AA4"/>
    <w:rsid w:val="00B77C4B"/>
    <w:rsid w:val="00B87ADA"/>
    <w:rsid w:val="00B9416F"/>
    <w:rsid w:val="00B95335"/>
    <w:rsid w:val="00B96920"/>
    <w:rsid w:val="00B9755C"/>
    <w:rsid w:val="00BA276C"/>
    <w:rsid w:val="00BA510A"/>
    <w:rsid w:val="00BB306F"/>
    <w:rsid w:val="00BD4B89"/>
    <w:rsid w:val="00BD51F2"/>
    <w:rsid w:val="00BD5922"/>
    <w:rsid w:val="00BE19E4"/>
    <w:rsid w:val="00BE4037"/>
    <w:rsid w:val="00BE62CB"/>
    <w:rsid w:val="00BF02CB"/>
    <w:rsid w:val="00BF26A6"/>
    <w:rsid w:val="00BF2BA2"/>
    <w:rsid w:val="00BF6FD5"/>
    <w:rsid w:val="00BF6FD8"/>
    <w:rsid w:val="00C03680"/>
    <w:rsid w:val="00C054DF"/>
    <w:rsid w:val="00C13988"/>
    <w:rsid w:val="00C14F13"/>
    <w:rsid w:val="00C15F20"/>
    <w:rsid w:val="00C206FD"/>
    <w:rsid w:val="00C21762"/>
    <w:rsid w:val="00C21FEF"/>
    <w:rsid w:val="00C223CF"/>
    <w:rsid w:val="00C23BA4"/>
    <w:rsid w:val="00C24543"/>
    <w:rsid w:val="00C24948"/>
    <w:rsid w:val="00C256A2"/>
    <w:rsid w:val="00C25ADB"/>
    <w:rsid w:val="00C2633F"/>
    <w:rsid w:val="00C3172D"/>
    <w:rsid w:val="00C40312"/>
    <w:rsid w:val="00C51515"/>
    <w:rsid w:val="00C51CCE"/>
    <w:rsid w:val="00C5660B"/>
    <w:rsid w:val="00C57539"/>
    <w:rsid w:val="00C65BD1"/>
    <w:rsid w:val="00C66167"/>
    <w:rsid w:val="00C66B72"/>
    <w:rsid w:val="00C74186"/>
    <w:rsid w:val="00C741C1"/>
    <w:rsid w:val="00C821B1"/>
    <w:rsid w:val="00C82652"/>
    <w:rsid w:val="00C82962"/>
    <w:rsid w:val="00C87AC4"/>
    <w:rsid w:val="00C90590"/>
    <w:rsid w:val="00C9567A"/>
    <w:rsid w:val="00C9658C"/>
    <w:rsid w:val="00CA347B"/>
    <w:rsid w:val="00CA4EE8"/>
    <w:rsid w:val="00CA5D03"/>
    <w:rsid w:val="00CB212D"/>
    <w:rsid w:val="00CB2660"/>
    <w:rsid w:val="00CC1180"/>
    <w:rsid w:val="00CC442D"/>
    <w:rsid w:val="00CC5E90"/>
    <w:rsid w:val="00CD0288"/>
    <w:rsid w:val="00CD046C"/>
    <w:rsid w:val="00CD0E3A"/>
    <w:rsid w:val="00CD29DE"/>
    <w:rsid w:val="00CD6F7F"/>
    <w:rsid w:val="00CE076C"/>
    <w:rsid w:val="00CE13B3"/>
    <w:rsid w:val="00CE1778"/>
    <w:rsid w:val="00CE5199"/>
    <w:rsid w:val="00CE66D5"/>
    <w:rsid w:val="00CF332A"/>
    <w:rsid w:val="00CF637A"/>
    <w:rsid w:val="00CF70D1"/>
    <w:rsid w:val="00D059DE"/>
    <w:rsid w:val="00D05ABD"/>
    <w:rsid w:val="00D13530"/>
    <w:rsid w:val="00D13FCE"/>
    <w:rsid w:val="00D1548B"/>
    <w:rsid w:val="00D16E6A"/>
    <w:rsid w:val="00D27292"/>
    <w:rsid w:val="00D27F88"/>
    <w:rsid w:val="00D306D1"/>
    <w:rsid w:val="00D30800"/>
    <w:rsid w:val="00D34786"/>
    <w:rsid w:val="00D3575B"/>
    <w:rsid w:val="00D36D1A"/>
    <w:rsid w:val="00D37BFC"/>
    <w:rsid w:val="00D408D6"/>
    <w:rsid w:val="00D420D2"/>
    <w:rsid w:val="00D458F5"/>
    <w:rsid w:val="00D47428"/>
    <w:rsid w:val="00D47A8E"/>
    <w:rsid w:val="00D52D14"/>
    <w:rsid w:val="00D545B5"/>
    <w:rsid w:val="00D54F02"/>
    <w:rsid w:val="00D601FD"/>
    <w:rsid w:val="00D62167"/>
    <w:rsid w:val="00D712D3"/>
    <w:rsid w:val="00D71422"/>
    <w:rsid w:val="00D72DC6"/>
    <w:rsid w:val="00D74C0A"/>
    <w:rsid w:val="00D7558D"/>
    <w:rsid w:val="00D76AE6"/>
    <w:rsid w:val="00D81C90"/>
    <w:rsid w:val="00D81D92"/>
    <w:rsid w:val="00D839AA"/>
    <w:rsid w:val="00D84C44"/>
    <w:rsid w:val="00D876F9"/>
    <w:rsid w:val="00D90DD7"/>
    <w:rsid w:val="00D93D88"/>
    <w:rsid w:val="00D94387"/>
    <w:rsid w:val="00DA3553"/>
    <w:rsid w:val="00DA7B5F"/>
    <w:rsid w:val="00DB51A5"/>
    <w:rsid w:val="00DB5C54"/>
    <w:rsid w:val="00DB6B0C"/>
    <w:rsid w:val="00DC11E7"/>
    <w:rsid w:val="00DC24E3"/>
    <w:rsid w:val="00DC7023"/>
    <w:rsid w:val="00DC769A"/>
    <w:rsid w:val="00DD3D86"/>
    <w:rsid w:val="00DD4AD2"/>
    <w:rsid w:val="00DD66A1"/>
    <w:rsid w:val="00DD7333"/>
    <w:rsid w:val="00DE6316"/>
    <w:rsid w:val="00DF02CA"/>
    <w:rsid w:val="00DF1EC4"/>
    <w:rsid w:val="00DF7A9C"/>
    <w:rsid w:val="00E0083C"/>
    <w:rsid w:val="00E0340B"/>
    <w:rsid w:val="00E04A90"/>
    <w:rsid w:val="00E0551F"/>
    <w:rsid w:val="00E1621B"/>
    <w:rsid w:val="00E214F4"/>
    <w:rsid w:val="00E219C7"/>
    <w:rsid w:val="00E22910"/>
    <w:rsid w:val="00E2426D"/>
    <w:rsid w:val="00E25E32"/>
    <w:rsid w:val="00E314E5"/>
    <w:rsid w:val="00E337C4"/>
    <w:rsid w:val="00E36F14"/>
    <w:rsid w:val="00E371E9"/>
    <w:rsid w:val="00E4118C"/>
    <w:rsid w:val="00E43157"/>
    <w:rsid w:val="00E461CE"/>
    <w:rsid w:val="00E54D28"/>
    <w:rsid w:val="00E573E4"/>
    <w:rsid w:val="00E60B27"/>
    <w:rsid w:val="00E60DEE"/>
    <w:rsid w:val="00E63698"/>
    <w:rsid w:val="00E643B0"/>
    <w:rsid w:val="00E64C3D"/>
    <w:rsid w:val="00E67C67"/>
    <w:rsid w:val="00E67F10"/>
    <w:rsid w:val="00E67F15"/>
    <w:rsid w:val="00E720CA"/>
    <w:rsid w:val="00E734C0"/>
    <w:rsid w:val="00E73935"/>
    <w:rsid w:val="00E80949"/>
    <w:rsid w:val="00E82DDC"/>
    <w:rsid w:val="00E84EB5"/>
    <w:rsid w:val="00E85662"/>
    <w:rsid w:val="00E8789F"/>
    <w:rsid w:val="00E922CF"/>
    <w:rsid w:val="00E95CDD"/>
    <w:rsid w:val="00E97B71"/>
    <w:rsid w:val="00EA02FB"/>
    <w:rsid w:val="00EA06E3"/>
    <w:rsid w:val="00EA0D33"/>
    <w:rsid w:val="00EA3D34"/>
    <w:rsid w:val="00EA6022"/>
    <w:rsid w:val="00EB197F"/>
    <w:rsid w:val="00EB454D"/>
    <w:rsid w:val="00EB6607"/>
    <w:rsid w:val="00EC0814"/>
    <w:rsid w:val="00EC4D10"/>
    <w:rsid w:val="00ED1738"/>
    <w:rsid w:val="00ED1F71"/>
    <w:rsid w:val="00ED4D99"/>
    <w:rsid w:val="00ED549D"/>
    <w:rsid w:val="00ED76BE"/>
    <w:rsid w:val="00ED7981"/>
    <w:rsid w:val="00EE00E9"/>
    <w:rsid w:val="00EE0F57"/>
    <w:rsid w:val="00EF18B3"/>
    <w:rsid w:val="00EF1AAA"/>
    <w:rsid w:val="00EF4D45"/>
    <w:rsid w:val="00EF55D9"/>
    <w:rsid w:val="00EF575F"/>
    <w:rsid w:val="00EF619B"/>
    <w:rsid w:val="00EF6A10"/>
    <w:rsid w:val="00EF73E9"/>
    <w:rsid w:val="00EF7517"/>
    <w:rsid w:val="00EF76F5"/>
    <w:rsid w:val="00F00B55"/>
    <w:rsid w:val="00F02AD1"/>
    <w:rsid w:val="00F044D4"/>
    <w:rsid w:val="00F0517C"/>
    <w:rsid w:val="00F0760A"/>
    <w:rsid w:val="00F1098D"/>
    <w:rsid w:val="00F168B4"/>
    <w:rsid w:val="00F20A00"/>
    <w:rsid w:val="00F20E40"/>
    <w:rsid w:val="00F253CC"/>
    <w:rsid w:val="00F274C6"/>
    <w:rsid w:val="00F302F5"/>
    <w:rsid w:val="00F3404A"/>
    <w:rsid w:val="00F36383"/>
    <w:rsid w:val="00F37106"/>
    <w:rsid w:val="00F379BD"/>
    <w:rsid w:val="00F410CD"/>
    <w:rsid w:val="00F44E25"/>
    <w:rsid w:val="00F519CF"/>
    <w:rsid w:val="00F56BA5"/>
    <w:rsid w:val="00F57214"/>
    <w:rsid w:val="00F60E22"/>
    <w:rsid w:val="00F66C74"/>
    <w:rsid w:val="00F724AE"/>
    <w:rsid w:val="00F76BE7"/>
    <w:rsid w:val="00F81395"/>
    <w:rsid w:val="00F81BB8"/>
    <w:rsid w:val="00F8421C"/>
    <w:rsid w:val="00F85E59"/>
    <w:rsid w:val="00F87973"/>
    <w:rsid w:val="00F90827"/>
    <w:rsid w:val="00F90C64"/>
    <w:rsid w:val="00F917D1"/>
    <w:rsid w:val="00F91D1E"/>
    <w:rsid w:val="00F9653B"/>
    <w:rsid w:val="00F96EBE"/>
    <w:rsid w:val="00FA2682"/>
    <w:rsid w:val="00FA6636"/>
    <w:rsid w:val="00FB26FB"/>
    <w:rsid w:val="00FB62CF"/>
    <w:rsid w:val="00FC0C7E"/>
    <w:rsid w:val="00FC63F6"/>
    <w:rsid w:val="00FC685C"/>
    <w:rsid w:val="00FD3C3B"/>
    <w:rsid w:val="00FE07DD"/>
    <w:rsid w:val="00FE3F8E"/>
    <w:rsid w:val="00FE514F"/>
    <w:rsid w:val="00FE6B45"/>
    <w:rsid w:val="00FF141B"/>
    <w:rsid w:val="00FF55F3"/>
    <w:rsid w:val="00FF573A"/>
    <w:rsid w:val="00FF5851"/>
    <w:rsid w:val="00FF630C"/>
    <w:rsid w:val="00FF6E0B"/>
    <w:rsid w:val="00FF7B79"/>
    <w:rsid w:val="2A1785F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CE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Parragrap,Superíndice,Dot pt,No Spacing1,List Paragraph Char Char Char,Indicator Text,Numbered Para 1,Figuras,DH1"/>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1"/>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1">
    <w:name w:val="List 211"/>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1">
    <w:name w:val="List 311"/>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2"/>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1">
    <w:name w:val="List 411"/>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9"/>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1">
    <w:name w:val="List 511"/>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10"/>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rsid w:val="0039409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character" w:customStyle="1" w:styleId="ListParagraphChar">
    <w:name w:val="List Paragraph Char"/>
    <w:aliases w:val="Párrafo de lista1 Char,List Paragraph1 Char,Colorful List - Accent 11 Char,List Paragraph11 Char,List Paragraph2 Char,Lista vistosa - Énfasis 11 Char,Parragrap Char,Superíndice Char,Dot pt Char,No Spacing1 Char,Indicator Text Char"/>
    <w:link w:val="ListParagraph"/>
    <w:uiPriority w:val="34"/>
    <w:locked/>
    <w:rsid w:val="00A156DA"/>
    <w:rPr>
      <w:rFonts w:ascii="Cambria" w:eastAsia="Cambria" w:hAnsi="Cambria" w:cs="Cambria"/>
      <w:color w:val="000000"/>
      <w:sz w:val="24"/>
      <w:szCs w:val="24"/>
      <w:u w:color="000000"/>
      <w:lang w:val="en-US"/>
    </w:rPr>
  </w:style>
  <w:style w:type="character" w:styleId="CommentReference">
    <w:name w:val="annotation reference"/>
    <w:basedOn w:val="DefaultParagraphFont"/>
    <w:uiPriority w:val="99"/>
    <w:semiHidden/>
    <w:unhideWhenUsed/>
    <w:rsid w:val="00F379BD"/>
    <w:rPr>
      <w:sz w:val="16"/>
      <w:szCs w:val="16"/>
    </w:rPr>
  </w:style>
  <w:style w:type="paragraph" w:styleId="CommentText">
    <w:name w:val="annotation text"/>
    <w:basedOn w:val="Normal"/>
    <w:link w:val="CommentTextChar"/>
    <w:uiPriority w:val="99"/>
    <w:unhideWhenUsed/>
    <w:rsid w:val="00F379BD"/>
    <w:rPr>
      <w:sz w:val="20"/>
      <w:szCs w:val="20"/>
    </w:rPr>
  </w:style>
  <w:style w:type="character" w:customStyle="1" w:styleId="CommentTextChar">
    <w:name w:val="Comment Text Char"/>
    <w:basedOn w:val="DefaultParagraphFont"/>
    <w:link w:val="CommentText"/>
    <w:uiPriority w:val="99"/>
    <w:rsid w:val="00F379BD"/>
    <w:rPr>
      <w:lang w:val="en-US" w:eastAsia="en-US"/>
    </w:rPr>
  </w:style>
  <w:style w:type="paragraph" w:styleId="CommentSubject">
    <w:name w:val="annotation subject"/>
    <w:basedOn w:val="CommentText"/>
    <w:next w:val="CommentText"/>
    <w:link w:val="CommentSubjectChar"/>
    <w:uiPriority w:val="99"/>
    <w:semiHidden/>
    <w:unhideWhenUsed/>
    <w:rsid w:val="00DB6B0C"/>
    <w:rPr>
      <w:b/>
      <w:bCs/>
    </w:rPr>
  </w:style>
  <w:style w:type="character" w:customStyle="1" w:styleId="CommentSubjectChar">
    <w:name w:val="Comment Subject Char"/>
    <w:basedOn w:val="CommentTextChar"/>
    <w:link w:val="CommentSubject"/>
    <w:uiPriority w:val="99"/>
    <w:semiHidden/>
    <w:rsid w:val="00DB6B0C"/>
    <w:rPr>
      <w:b/>
      <w:bCs/>
      <w:lang w:val="en-US" w:eastAsia="en-US"/>
    </w:rPr>
  </w:style>
  <w:style w:type="paragraph" w:styleId="Revision">
    <w:name w:val="Revision"/>
    <w:hidden/>
    <w:uiPriority w:val="99"/>
    <w:semiHidden/>
    <w:rsid w:val="003B256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p1">
    <w:name w:val="p1"/>
    <w:basedOn w:val="Normal"/>
    <w:rsid w:val="00267F2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color w:val="000000"/>
      <w:sz w:val="17"/>
      <w:szCs w:val="17"/>
      <w:bdr w:val="none" w:sz="0" w:space="0" w:color="auto"/>
      <w:lang w:val="es-EC" w:eastAsia="es-MX"/>
    </w:rPr>
  </w:style>
  <w:style w:type="character" w:customStyle="1" w:styleId="s1">
    <w:name w:val="s1"/>
    <w:basedOn w:val="DefaultParagraphFont"/>
    <w:rsid w:val="00277EEE"/>
    <w:rPr>
      <w:rFonts w:ascii="Helvetica" w:hAnsi="Helvetica" w:hint="default"/>
      <w:sz w:val="17"/>
      <w:szCs w:val="17"/>
    </w:rPr>
  </w:style>
  <w:style w:type="paragraph" w:customStyle="1" w:styleId="p2">
    <w:name w:val="p2"/>
    <w:basedOn w:val="Normal"/>
    <w:rsid w:val="00D2729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color w:val="000000"/>
      <w:sz w:val="15"/>
      <w:szCs w:val="15"/>
      <w:bdr w:val="none" w:sz="0" w:space="0" w:color="auto"/>
      <w:lang w:val="es-EC" w:eastAsia="es-MX"/>
    </w:rPr>
  </w:style>
  <w:style w:type="character" w:styleId="Strong">
    <w:name w:val="Strong"/>
    <w:basedOn w:val="DefaultParagraphFont"/>
    <w:uiPriority w:val="22"/>
    <w:qFormat/>
    <w:rsid w:val="00794536"/>
    <w:rPr>
      <w:b/>
      <w:bCs/>
    </w:rPr>
  </w:style>
  <w:style w:type="character" w:customStyle="1" w:styleId="apple-converted-space">
    <w:name w:val="apple-converted-space"/>
    <w:basedOn w:val="DefaultParagraphFont"/>
    <w:rsid w:val="00794536"/>
  </w:style>
  <w:style w:type="paragraph" w:styleId="NormalWeb">
    <w:name w:val="Normal (Web)"/>
    <w:basedOn w:val="Normal"/>
    <w:uiPriority w:val="99"/>
    <w:semiHidden/>
    <w:unhideWhenUsed/>
    <w:rsid w:val="00932E7B"/>
  </w:style>
  <w:style w:type="paragraph" w:customStyle="1" w:styleId="paragraph">
    <w:name w:val="paragraph"/>
    <w:basedOn w:val="Normal"/>
    <w:rsid w:val="00B31F3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B31F39"/>
  </w:style>
  <w:style w:type="character" w:customStyle="1" w:styleId="eop">
    <w:name w:val="eop"/>
    <w:basedOn w:val="DefaultParagraphFont"/>
    <w:rsid w:val="00B31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1148">
      <w:bodyDiv w:val="1"/>
      <w:marLeft w:val="0"/>
      <w:marRight w:val="0"/>
      <w:marTop w:val="0"/>
      <w:marBottom w:val="0"/>
      <w:divBdr>
        <w:top w:val="none" w:sz="0" w:space="0" w:color="auto"/>
        <w:left w:val="none" w:sz="0" w:space="0" w:color="auto"/>
        <w:bottom w:val="none" w:sz="0" w:space="0" w:color="auto"/>
        <w:right w:val="none" w:sz="0" w:space="0" w:color="auto"/>
      </w:divBdr>
    </w:div>
    <w:div w:id="194586311">
      <w:bodyDiv w:val="1"/>
      <w:marLeft w:val="0"/>
      <w:marRight w:val="0"/>
      <w:marTop w:val="0"/>
      <w:marBottom w:val="0"/>
      <w:divBdr>
        <w:top w:val="none" w:sz="0" w:space="0" w:color="auto"/>
        <w:left w:val="none" w:sz="0" w:space="0" w:color="auto"/>
        <w:bottom w:val="none" w:sz="0" w:space="0" w:color="auto"/>
        <w:right w:val="none" w:sz="0" w:space="0" w:color="auto"/>
      </w:divBdr>
    </w:div>
    <w:div w:id="255289103">
      <w:bodyDiv w:val="1"/>
      <w:marLeft w:val="0"/>
      <w:marRight w:val="0"/>
      <w:marTop w:val="0"/>
      <w:marBottom w:val="0"/>
      <w:divBdr>
        <w:top w:val="none" w:sz="0" w:space="0" w:color="auto"/>
        <w:left w:val="none" w:sz="0" w:space="0" w:color="auto"/>
        <w:bottom w:val="none" w:sz="0" w:space="0" w:color="auto"/>
        <w:right w:val="none" w:sz="0" w:space="0" w:color="auto"/>
      </w:divBdr>
    </w:div>
    <w:div w:id="280579756">
      <w:bodyDiv w:val="1"/>
      <w:marLeft w:val="0"/>
      <w:marRight w:val="0"/>
      <w:marTop w:val="0"/>
      <w:marBottom w:val="0"/>
      <w:divBdr>
        <w:top w:val="none" w:sz="0" w:space="0" w:color="auto"/>
        <w:left w:val="none" w:sz="0" w:space="0" w:color="auto"/>
        <w:bottom w:val="none" w:sz="0" w:space="0" w:color="auto"/>
        <w:right w:val="none" w:sz="0" w:space="0" w:color="auto"/>
      </w:divBdr>
    </w:div>
    <w:div w:id="285042444">
      <w:bodyDiv w:val="1"/>
      <w:marLeft w:val="0"/>
      <w:marRight w:val="0"/>
      <w:marTop w:val="0"/>
      <w:marBottom w:val="0"/>
      <w:divBdr>
        <w:top w:val="none" w:sz="0" w:space="0" w:color="auto"/>
        <w:left w:val="none" w:sz="0" w:space="0" w:color="auto"/>
        <w:bottom w:val="none" w:sz="0" w:space="0" w:color="auto"/>
        <w:right w:val="none" w:sz="0" w:space="0" w:color="auto"/>
      </w:divBdr>
    </w:div>
    <w:div w:id="302663567">
      <w:bodyDiv w:val="1"/>
      <w:marLeft w:val="0"/>
      <w:marRight w:val="0"/>
      <w:marTop w:val="0"/>
      <w:marBottom w:val="0"/>
      <w:divBdr>
        <w:top w:val="none" w:sz="0" w:space="0" w:color="auto"/>
        <w:left w:val="none" w:sz="0" w:space="0" w:color="auto"/>
        <w:bottom w:val="none" w:sz="0" w:space="0" w:color="auto"/>
        <w:right w:val="none" w:sz="0" w:space="0" w:color="auto"/>
      </w:divBdr>
    </w:div>
    <w:div w:id="313872966">
      <w:bodyDiv w:val="1"/>
      <w:marLeft w:val="0"/>
      <w:marRight w:val="0"/>
      <w:marTop w:val="0"/>
      <w:marBottom w:val="0"/>
      <w:divBdr>
        <w:top w:val="none" w:sz="0" w:space="0" w:color="auto"/>
        <w:left w:val="none" w:sz="0" w:space="0" w:color="auto"/>
        <w:bottom w:val="none" w:sz="0" w:space="0" w:color="auto"/>
        <w:right w:val="none" w:sz="0" w:space="0" w:color="auto"/>
      </w:divBdr>
    </w:div>
    <w:div w:id="322659194">
      <w:bodyDiv w:val="1"/>
      <w:marLeft w:val="0"/>
      <w:marRight w:val="0"/>
      <w:marTop w:val="0"/>
      <w:marBottom w:val="0"/>
      <w:divBdr>
        <w:top w:val="none" w:sz="0" w:space="0" w:color="auto"/>
        <w:left w:val="none" w:sz="0" w:space="0" w:color="auto"/>
        <w:bottom w:val="none" w:sz="0" w:space="0" w:color="auto"/>
        <w:right w:val="none" w:sz="0" w:space="0" w:color="auto"/>
      </w:divBdr>
    </w:div>
    <w:div w:id="375355033">
      <w:bodyDiv w:val="1"/>
      <w:marLeft w:val="0"/>
      <w:marRight w:val="0"/>
      <w:marTop w:val="0"/>
      <w:marBottom w:val="0"/>
      <w:divBdr>
        <w:top w:val="none" w:sz="0" w:space="0" w:color="auto"/>
        <w:left w:val="none" w:sz="0" w:space="0" w:color="auto"/>
        <w:bottom w:val="none" w:sz="0" w:space="0" w:color="auto"/>
        <w:right w:val="none" w:sz="0" w:space="0" w:color="auto"/>
      </w:divBdr>
    </w:div>
    <w:div w:id="404031434">
      <w:bodyDiv w:val="1"/>
      <w:marLeft w:val="0"/>
      <w:marRight w:val="0"/>
      <w:marTop w:val="0"/>
      <w:marBottom w:val="0"/>
      <w:divBdr>
        <w:top w:val="none" w:sz="0" w:space="0" w:color="auto"/>
        <w:left w:val="none" w:sz="0" w:space="0" w:color="auto"/>
        <w:bottom w:val="none" w:sz="0" w:space="0" w:color="auto"/>
        <w:right w:val="none" w:sz="0" w:space="0" w:color="auto"/>
      </w:divBdr>
    </w:div>
    <w:div w:id="430321584">
      <w:bodyDiv w:val="1"/>
      <w:marLeft w:val="0"/>
      <w:marRight w:val="0"/>
      <w:marTop w:val="0"/>
      <w:marBottom w:val="0"/>
      <w:divBdr>
        <w:top w:val="none" w:sz="0" w:space="0" w:color="auto"/>
        <w:left w:val="none" w:sz="0" w:space="0" w:color="auto"/>
        <w:bottom w:val="none" w:sz="0" w:space="0" w:color="auto"/>
        <w:right w:val="none" w:sz="0" w:space="0" w:color="auto"/>
      </w:divBdr>
    </w:div>
    <w:div w:id="441607745">
      <w:bodyDiv w:val="1"/>
      <w:marLeft w:val="0"/>
      <w:marRight w:val="0"/>
      <w:marTop w:val="0"/>
      <w:marBottom w:val="0"/>
      <w:divBdr>
        <w:top w:val="none" w:sz="0" w:space="0" w:color="auto"/>
        <w:left w:val="none" w:sz="0" w:space="0" w:color="auto"/>
        <w:bottom w:val="none" w:sz="0" w:space="0" w:color="auto"/>
        <w:right w:val="none" w:sz="0" w:space="0" w:color="auto"/>
      </w:divBdr>
    </w:div>
    <w:div w:id="462428074">
      <w:bodyDiv w:val="1"/>
      <w:marLeft w:val="0"/>
      <w:marRight w:val="0"/>
      <w:marTop w:val="0"/>
      <w:marBottom w:val="0"/>
      <w:divBdr>
        <w:top w:val="none" w:sz="0" w:space="0" w:color="auto"/>
        <w:left w:val="none" w:sz="0" w:space="0" w:color="auto"/>
        <w:bottom w:val="none" w:sz="0" w:space="0" w:color="auto"/>
        <w:right w:val="none" w:sz="0" w:space="0" w:color="auto"/>
      </w:divBdr>
    </w:div>
    <w:div w:id="515728684">
      <w:bodyDiv w:val="1"/>
      <w:marLeft w:val="0"/>
      <w:marRight w:val="0"/>
      <w:marTop w:val="0"/>
      <w:marBottom w:val="0"/>
      <w:divBdr>
        <w:top w:val="none" w:sz="0" w:space="0" w:color="auto"/>
        <w:left w:val="none" w:sz="0" w:space="0" w:color="auto"/>
        <w:bottom w:val="none" w:sz="0" w:space="0" w:color="auto"/>
        <w:right w:val="none" w:sz="0" w:space="0" w:color="auto"/>
      </w:divBdr>
    </w:div>
    <w:div w:id="519971060">
      <w:bodyDiv w:val="1"/>
      <w:marLeft w:val="0"/>
      <w:marRight w:val="0"/>
      <w:marTop w:val="0"/>
      <w:marBottom w:val="0"/>
      <w:divBdr>
        <w:top w:val="none" w:sz="0" w:space="0" w:color="auto"/>
        <w:left w:val="none" w:sz="0" w:space="0" w:color="auto"/>
        <w:bottom w:val="none" w:sz="0" w:space="0" w:color="auto"/>
        <w:right w:val="none" w:sz="0" w:space="0" w:color="auto"/>
      </w:divBdr>
    </w:div>
    <w:div w:id="520362547">
      <w:bodyDiv w:val="1"/>
      <w:marLeft w:val="0"/>
      <w:marRight w:val="0"/>
      <w:marTop w:val="0"/>
      <w:marBottom w:val="0"/>
      <w:divBdr>
        <w:top w:val="none" w:sz="0" w:space="0" w:color="auto"/>
        <w:left w:val="none" w:sz="0" w:space="0" w:color="auto"/>
        <w:bottom w:val="none" w:sz="0" w:space="0" w:color="auto"/>
        <w:right w:val="none" w:sz="0" w:space="0" w:color="auto"/>
      </w:divBdr>
    </w:div>
    <w:div w:id="548346806">
      <w:bodyDiv w:val="1"/>
      <w:marLeft w:val="0"/>
      <w:marRight w:val="0"/>
      <w:marTop w:val="0"/>
      <w:marBottom w:val="0"/>
      <w:divBdr>
        <w:top w:val="none" w:sz="0" w:space="0" w:color="auto"/>
        <w:left w:val="none" w:sz="0" w:space="0" w:color="auto"/>
        <w:bottom w:val="none" w:sz="0" w:space="0" w:color="auto"/>
        <w:right w:val="none" w:sz="0" w:space="0" w:color="auto"/>
      </w:divBdr>
    </w:div>
    <w:div w:id="555092674">
      <w:bodyDiv w:val="1"/>
      <w:marLeft w:val="0"/>
      <w:marRight w:val="0"/>
      <w:marTop w:val="0"/>
      <w:marBottom w:val="0"/>
      <w:divBdr>
        <w:top w:val="none" w:sz="0" w:space="0" w:color="auto"/>
        <w:left w:val="none" w:sz="0" w:space="0" w:color="auto"/>
        <w:bottom w:val="none" w:sz="0" w:space="0" w:color="auto"/>
        <w:right w:val="none" w:sz="0" w:space="0" w:color="auto"/>
      </w:divBdr>
    </w:div>
    <w:div w:id="621182852">
      <w:bodyDiv w:val="1"/>
      <w:marLeft w:val="0"/>
      <w:marRight w:val="0"/>
      <w:marTop w:val="0"/>
      <w:marBottom w:val="0"/>
      <w:divBdr>
        <w:top w:val="none" w:sz="0" w:space="0" w:color="auto"/>
        <w:left w:val="none" w:sz="0" w:space="0" w:color="auto"/>
        <w:bottom w:val="none" w:sz="0" w:space="0" w:color="auto"/>
        <w:right w:val="none" w:sz="0" w:space="0" w:color="auto"/>
      </w:divBdr>
    </w:div>
    <w:div w:id="715203716">
      <w:bodyDiv w:val="1"/>
      <w:marLeft w:val="0"/>
      <w:marRight w:val="0"/>
      <w:marTop w:val="0"/>
      <w:marBottom w:val="0"/>
      <w:divBdr>
        <w:top w:val="none" w:sz="0" w:space="0" w:color="auto"/>
        <w:left w:val="none" w:sz="0" w:space="0" w:color="auto"/>
        <w:bottom w:val="none" w:sz="0" w:space="0" w:color="auto"/>
        <w:right w:val="none" w:sz="0" w:space="0" w:color="auto"/>
      </w:divBdr>
      <w:divsChild>
        <w:div w:id="1622225734">
          <w:marLeft w:val="0"/>
          <w:marRight w:val="0"/>
          <w:marTop w:val="0"/>
          <w:marBottom w:val="0"/>
          <w:divBdr>
            <w:top w:val="none" w:sz="0" w:space="0" w:color="auto"/>
            <w:left w:val="none" w:sz="0" w:space="0" w:color="auto"/>
            <w:bottom w:val="none" w:sz="0" w:space="0" w:color="auto"/>
            <w:right w:val="none" w:sz="0" w:space="0" w:color="auto"/>
          </w:divBdr>
        </w:div>
      </w:divsChild>
    </w:div>
    <w:div w:id="806435353">
      <w:bodyDiv w:val="1"/>
      <w:marLeft w:val="0"/>
      <w:marRight w:val="0"/>
      <w:marTop w:val="0"/>
      <w:marBottom w:val="0"/>
      <w:divBdr>
        <w:top w:val="none" w:sz="0" w:space="0" w:color="auto"/>
        <w:left w:val="none" w:sz="0" w:space="0" w:color="auto"/>
        <w:bottom w:val="none" w:sz="0" w:space="0" w:color="auto"/>
        <w:right w:val="none" w:sz="0" w:space="0" w:color="auto"/>
      </w:divBdr>
    </w:div>
    <w:div w:id="850679807">
      <w:bodyDiv w:val="1"/>
      <w:marLeft w:val="0"/>
      <w:marRight w:val="0"/>
      <w:marTop w:val="0"/>
      <w:marBottom w:val="0"/>
      <w:divBdr>
        <w:top w:val="none" w:sz="0" w:space="0" w:color="auto"/>
        <w:left w:val="none" w:sz="0" w:space="0" w:color="auto"/>
        <w:bottom w:val="none" w:sz="0" w:space="0" w:color="auto"/>
        <w:right w:val="none" w:sz="0" w:space="0" w:color="auto"/>
      </w:divBdr>
    </w:div>
    <w:div w:id="997418791">
      <w:bodyDiv w:val="1"/>
      <w:marLeft w:val="0"/>
      <w:marRight w:val="0"/>
      <w:marTop w:val="0"/>
      <w:marBottom w:val="0"/>
      <w:divBdr>
        <w:top w:val="none" w:sz="0" w:space="0" w:color="auto"/>
        <w:left w:val="none" w:sz="0" w:space="0" w:color="auto"/>
        <w:bottom w:val="none" w:sz="0" w:space="0" w:color="auto"/>
        <w:right w:val="none" w:sz="0" w:space="0" w:color="auto"/>
      </w:divBdr>
    </w:div>
    <w:div w:id="1032456948">
      <w:bodyDiv w:val="1"/>
      <w:marLeft w:val="0"/>
      <w:marRight w:val="0"/>
      <w:marTop w:val="0"/>
      <w:marBottom w:val="0"/>
      <w:divBdr>
        <w:top w:val="none" w:sz="0" w:space="0" w:color="auto"/>
        <w:left w:val="none" w:sz="0" w:space="0" w:color="auto"/>
        <w:bottom w:val="none" w:sz="0" w:space="0" w:color="auto"/>
        <w:right w:val="none" w:sz="0" w:space="0" w:color="auto"/>
      </w:divBdr>
    </w:div>
    <w:div w:id="1129470034">
      <w:bodyDiv w:val="1"/>
      <w:marLeft w:val="0"/>
      <w:marRight w:val="0"/>
      <w:marTop w:val="0"/>
      <w:marBottom w:val="0"/>
      <w:divBdr>
        <w:top w:val="none" w:sz="0" w:space="0" w:color="auto"/>
        <w:left w:val="none" w:sz="0" w:space="0" w:color="auto"/>
        <w:bottom w:val="none" w:sz="0" w:space="0" w:color="auto"/>
        <w:right w:val="none" w:sz="0" w:space="0" w:color="auto"/>
      </w:divBdr>
    </w:div>
    <w:div w:id="1230652754">
      <w:bodyDiv w:val="1"/>
      <w:marLeft w:val="0"/>
      <w:marRight w:val="0"/>
      <w:marTop w:val="0"/>
      <w:marBottom w:val="0"/>
      <w:divBdr>
        <w:top w:val="none" w:sz="0" w:space="0" w:color="auto"/>
        <w:left w:val="none" w:sz="0" w:space="0" w:color="auto"/>
        <w:bottom w:val="none" w:sz="0" w:space="0" w:color="auto"/>
        <w:right w:val="none" w:sz="0" w:space="0" w:color="auto"/>
      </w:divBdr>
    </w:div>
    <w:div w:id="1231310295">
      <w:bodyDiv w:val="1"/>
      <w:marLeft w:val="0"/>
      <w:marRight w:val="0"/>
      <w:marTop w:val="0"/>
      <w:marBottom w:val="0"/>
      <w:divBdr>
        <w:top w:val="none" w:sz="0" w:space="0" w:color="auto"/>
        <w:left w:val="none" w:sz="0" w:space="0" w:color="auto"/>
        <w:bottom w:val="none" w:sz="0" w:space="0" w:color="auto"/>
        <w:right w:val="none" w:sz="0" w:space="0" w:color="auto"/>
      </w:divBdr>
    </w:div>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269239795">
      <w:bodyDiv w:val="1"/>
      <w:marLeft w:val="0"/>
      <w:marRight w:val="0"/>
      <w:marTop w:val="0"/>
      <w:marBottom w:val="0"/>
      <w:divBdr>
        <w:top w:val="none" w:sz="0" w:space="0" w:color="auto"/>
        <w:left w:val="none" w:sz="0" w:space="0" w:color="auto"/>
        <w:bottom w:val="none" w:sz="0" w:space="0" w:color="auto"/>
        <w:right w:val="none" w:sz="0" w:space="0" w:color="auto"/>
      </w:divBdr>
    </w:div>
    <w:div w:id="1404569954">
      <w:bodyDiv w:val="1"/>
      <w:marLeft w:val="0"/>
      <w:marRight w:val="0"/>
      <w:marTop w:val="0"/>
      <w:marBottom w:val="0"/>
      <w:divBdr>
        <w:top w:val="none" w:sz="0" w:space="0" w:color="auto"/>
        <w:left w:val="none" w:sz="0" w:space="0" w:color="auto"/>
        <w:bottom w:val="none" w:sz="0" w:space="0" w:color="auto"/>
        <w:right w:val="none" w:sz="0" w:space="0" w:color="auto"/>
      </w:divBdr>
    </w:div>
    <w:div w:id="1536386998">
      <w:bodyDiv w:val="1"/>
      <w:marLeft w:val="0"/>
      <w:marRight w:val="0"/>
      <w:marTop w:val="0"/>
      <w:marBottom w:val="0"/>
      <w:divBdr>
        <w:top w:val="none" w:sz="0" w:space="0" w:color="auto"/>
        <w:left w:val="none" w:sz="0" w:space="0" w:color="auto"/>
        <w:bottom w:val="none" w:sz="0" w:space="0" w:color="auto"/>
        <w:right w:val="none" w:sz="0" w:space="0" w:color="auto"/>
      </w:divBdr>
    </w:div>
    <w:div w:id="1567689132">
      <w:bodyDiv w:val="1"/>
      <w:marLeft w:val="0"/>
      <w:marRight w:val="0"/>
      <w:marTop w:val="0"/>
      <w:marBottom w:val="0"/>
      <w:divBdr>
        <w:top w:val="none" w:sz="0" w:space="0" w:color="auto"/>
        <w:left w:val="none" w:sz="0" w:space="0" w:color="auto"/>
        <w:bottom w:val="none" w:sz="0" w:space="0" w:color="auto"/>
        <w:right w:val="none" w:sz="0" w:space="0" w:color="auto"/>
      </w:divBdr>
    </w:div>
    <w:div w:id="1596092722">
      <w:bodyDiv w:val="1"/>
      <w:marLeft w:val="0"/>
      <w:marRight w:val="0"/>
      <w:marTop w:val="0"/>
      <w:marBottom w:val="0"/>
      <w:divBdr>
        <w:top w:val="none" w:sz="0" w:space="0" w:color="auto"/>
        <w:left w:val="none" w:sz="0" w:space="0" w:color="auto"/>
        <w:bottom w:val="none" w:sz="0" w:space="0" w:color="auto"/>
        <w:right w:val="none" w:sz="0" w:space="0" w:color="auto"/>
      </w:divBdr>
      <w:divsChild>
        <w:div w:id="85809281">
          <w:marLeft w:val="0"/>
          <w:marRight w:val="0"/>
          <w:marTop w:val="0"/>
          <w:marBottom w:val="0"/>
          <w:divBdr>
            <w:top w:val="none" w:sz="0" w:space="0" w:color="auto"/>
            <w:left w:val="none" w:sz="0" w:space="0" w:color="auto"/>
            <w:bottom w:val="none" w:sz="0" w:space="0" w:color="auto"/>
            <w:right w:val="none" w:sz="0" w:space="0" w:color="auto"/>
          </w:divBdr>
        </w:div>
      </w:divsChild>
    </w:div>
    <w:div w:id="1596860949">
      <w:bodyDiv w:val="1"/>
      <w:marLeft w:val="0"/>
      <w:marRight w:val="0"/>
      <w:marTop w:val="0"/>
      <w:marBottom w:val="0"/>
      <w:divBdr>
        <w:top w:val="none" w:sz="0" w:space="0" w:color="auto"/>
        <w:left w:val="none" w:sz="0" w:space="0" w:color="auto"/>
        <w:bottom w:val="none" w:sz="0" w:space="0" w:color="auto"/>
        <w:right w:val="none" w:sz="0" w:space="0" w:color="auto"/>
      </w:divBdr>
    </w:div>
    <w:div w:id="1638531462">
      <w:bodyDiv w:val="1"/>
      <w:marLeft w:val="0"/>
      <w:marRight w:val="0"/>
      <w:marTop w:val="0"/>
      <w:marBottom w:val="0"/>
      <w:divBdr>
        <w:top w:val="none" w:sz="0" w:space="0" w:color="auto"/>
        <w:left w:val="none" w:sz="0" w:space="0" w:color="auto"/>
        <w:bottom w:val="none" w:sz="0" w:space="0" w:color="auto"/>
        <w:right w:val="none" w:sz="0" w:space="0" w:color="auto"/>
      </w:divBdr>
    </w:div>
    <w:div w:id="1716805268">
      <w:bodyDiv w:val="1"/>
      <w:marLeft w:val="0"/>
      <w:marRight w:val="0"/>
      <w:marTop w:val="0"/>
      <w:marBottom w:val="0"/>
      <w:divBdr>
        <w:top w:val="none" w:sz="0" w:space="0" w:color="auto"/>
        <w:left w:val="none" w:sz="0" w:space="0" w:color="auto"/>
        <w:bottom w:val="none" w:sz="0" w:space="0" w:color="auto"/>
        <w:right w:val="none" w:sz="0" w:space="0" w:color="auto"/>
      </w:divBdr>
    </w:div>
    <w:div w:id="1746880211">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 w:id="1797018909">
      <w:bodyDiv w:val="1"/>
      <w:marLeft w:val="0"/>
      <w:marRight w:val="0"/>
      <w:marTop w:val="0"/>
      <w:marBottom w:val="0"/>
      <w:divBdr>
        <w:top w:val="none" w:sz="0" w:space="0" w:color="auto"/>
        <w:left w:val="none" w:sz="0" w:space="0" w:color="auto"/>
        <w:bottom w:val="none" w:sz="0" w:space="0" w:color="auto"/>
        <w:right w:val="none" w:sz="0" w:space="0" w:color="auto"/>
      </w:divBdr>
    </w:div>
    <w:div w:id="1815873983">
      <w:bodyDiv w:val="1"/>
      <w:marLeft w:val="0"/>
      <w:marRight w:val="0"/>
      <w:marTop w:val="0"/>
      <w:marBottom w:val="0"/>
      <w:divBdr>
        <w:top w:val="none" w:sz="0" w:space="0" w:color="auto"/>
        <w:left w:val="none" w:sz="0" w:space="0" w:color="auto"/>
        <w:bottom w:val="none" w:sz="0" w:space="0" w:color="auto"/>
        <w:right w:val="none" w:sz="0" w:space="0" w:color="auto"/>
      </w:divBdr>
    </w:div>
    <w:div w:id="1924101616">
      <w:bodyDiv w:val="1"/>
      <w:marLeft w:val="0"/>
      <w:marRight w:val="0"/>
      <w:marTop w:val="0"/>
      <w:marBottom w:val="0"/>
      <w:divBdr>
        <w:top w:val="none" w:sz="0" w:space="0" w:color="auto"/>
        <w:left w:val="none" w:sz="0" w:space="0" w:color="auto"/>
        <w:bottom w:val="none" w:sz="0" w:space="0" w:color="auto"/>
        <w:right w:val="none" w:sz="0" w:space="0" w:color="auto"/>
      </w:divBdr>
    </w:div>
    <w:div w:id="1963223525">
      <w:bodyDiv w:val="1"/>
      <w:marLeft w:val="0"/>
      <w:marRight w:val="0"/>
      <w:marTop w:val="0"/>
      <w:marBottom w:val="0"/>
      <w:divBdr>
        <w:top w:val="none" w:sz="0" w:space="0" w:color="auto"/>
        <w:left w:val="none" w:sz="0" w:space="0" w:color="auto"/>
        <w:bottom w:val="none" w:sz="0" w:space="0" w:color="auto"/>
        <w:right w:val="none" w:sz="0" w:space="0" w:color="auto"/>
      </w:divBdr>
    </w:div>
    <w:div w:id="2020112890">
      <w:bodyDiv w:val="1"/>
      <w:marLeft w:val="0"/>
      <w:marRight w:val="0"/>
      <w:marTop w:val="0"/>
      <w:marBottom w:val="0"/>
      <w:divBdr>
        <w:top w:val="none" w:sz="0" w:space="0" w:color="auto"/>
        <w:left w:val="none" w:sz="0" w:space="0" w:color="auto"/>
        <w:bottom w:val="none" w:sz="0" w:space="0" w:color="auto"/>
        <w:right w:val="none" w:sz="0" w:space="0" w:color="auto"/>
      </w:divBdr>
    </w:div>
    <w:div w:id="2091460974">
      <w:bodyDiv w:val="1"/>
      <w:marLeft w:val="0"/>
      <w:marRight w:val="0"/>
      <w:marTop w:val="0"/>
      <w:marBottom w:val="0"/>
      <w:divBdr>
        <w:top w:val="none" w:sz="0" w:space="0" w:color="auto"/>
        <w:left w:val="none" w:sz="0" w:space="0" w:color="auto"/>
        <w:bottom w:val="none" w:sz="0" w:space="0" w:color="auto"/>
        <w:right w:val="none" w:sz="0" w:space="0" w:color="auto"/>
      </w:divBdr>
      <w:divsChild>
        <w:div w:id="7039480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045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20007"/>
    <w:rsid w:val="00036E2C"/>
    <w:rsid w:val="0004281B"/>
    <w:rsid w:val="00051EAF"/>
    <w:rsid w:val="000732FA"/>
    <w:rsid w:val="000C6FF6"/>
    <w:rsid w:val="00136030"/>
    <w:rsid w:val="00157042"/>
    <w:rsid w:val="001B68CE"/>
    <w:rsid w:val="00200821"/>
    <w:rsid w:val="00201CE6"/>
    <w:rsid w:val="00205F89"/>
    <w:rsid w:val="0025245B"/>
    <w:rsid w:val="002A3923"/>
    <w:rsid w:val="002D0837"/>
    <w:rsid w:val="00345BCF"/>
    <w:rsid w:val="00351272"/>
    <w:rsid w:val="00394049"/>
    <w:rsid w:val="00394B8A"/>
    <w:rsid w:val="003E4EFC"/>
    <w:rsid w:val="00451127"/>
    <w:rsid w:val="004B5BBB"/>
    <w:rsid w:val="004F2DF8"/>
    <w:rsid w:val="005A0D28"/>
    <w:rsid w:val="005D7801"/>
    <w:rsid w:val="00643B64"/>
    <w:rsid w:val="006F24A1"/>
    <w:rsid w:val="00787C63"/>
    <w:rsid w:val="007C5174"/>
    <w:rsid w:val="008167DE"/>
    <w:rsid w:val="00826682"/>
    <w:rsid w:val="008B4F6A"/>
    <w:rsid w:val="008E7A86"/>
    <w:rsid w:val="009A261B"/>
    <w:rsid w:val="009C3CB6"/>
    <w:rsid w:val="00A4300E"/>
    <w:rsid w:val="00A4418E"/>
    <w:rsid w:val="00AA2E17"/>
    <w:rsid w:val="00AC15A4"/>
    <w:rsid w:val="00B01590"/>
    <w:rsid w:val="00B0336C"/>
    <w:rsid w:val="00B30277"/>
    <w:rsid w:val="00B64739"/>
    <w:rsid w:val="00B77C4B"/>
    <w:rsid w:val="00BE783B"/>
    <w:rsid w:val="00C13988"/>
    <w:rsid w:val="00C2613C"/>
    <w:rsid w:val="00C57539"/>
    <w:rsid w:val="00CA594F"/>
    <w:rsid w:val="00D157BC"/>
    <w:rsid w:val="00D241E9"/>
    <w:rsid w:val="00D6157C"/>
    <w:rsid w:val="00D74C0A"/>
    <w:rsid w:val="00D7750D"/>
    <w:rsid w:val="00D94387"/>
    <w:rsid w:val="00DF0E13"/>
    <w:rsid w:val="00E316FB"/>
    <w:rsid w:val="00E60B27"/>
    <w:rsid w:val="00F00D2F"/>
    <w:rsid w:val="00F128DF"/>
    <w:rsid w:val="00F274C6"/>
    <w:rsid w:val="00F3404A"/>
    <w:rsid w:val="00F743B6"/>
    <w:rsid w:val="00F76BE7"/>
    <w:rsid w:val="00F915D7"/>
    <w:rsid w:val="00F91D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30f74aa-8393-4aa5-b2f8-3c7aae566a68" xsi:nil="true"/>
    <lcf76f155ced4ddcb4097134ff3c332f xmlns="7ff2a89a-f9c3-4229-b04b-1f4abb2786a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d548b3393e6e8f61860a01d9f6e8665c">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c1745f32f07ce2f1fa0afb8f89743d07"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126BE-6309-409F-9A97-9BD99ECB8CA2}">
  <ds:schemaRefs>
    <ds:schemaRef ds:uri="http://schemas.openxmlformats.org/officeDocument/2006/bibliography"/>
  </ds:schemaRefs>
</ds:datastoreItem>
</file>

<file path=customXml/itemProps2.xml><?xml version="1.0" encoding="utf-8"?>
<ds:datastoreItem xmlns:ds="http://schemas.openxmlformats.org/officeDocument/2006/customXml" ds:itemID="{AA115470-1138-402E-A63A-63401468CF02}">
  <ds:schemaRefs>
    <ds:schemaRef ds:uri="http://schemas.microsoft.com/office/2006/metadata/properties"/>
    <ds:schemaRef ds:uri="http://schemas.microsoft.com/office/infopath/2007/PartnerControls"/>
    <ds:schemaRef ds:uri="730f74aa-8393-4aa5-b2f8-3c7aae566a68"/>
    <ds:schemaRef ds:uri="7ff2a89a-f9c3-4229-b04b-1f4abb2786a1"/>
  </ds:schemaRefs>
</ds:datastoreItem>
</file>

<file path=customXml/itemProps3.xml><?xml version="1.0" encoding="utf-8"?>
<ds:datastoreItem xmlns:ds="http://schemas.openxmlformats.org/officeDocument/2006/customXml" ds:itemID="{08E57EDE-CABE-41A3-86C5-290EC1C4D5FB}">
  <ds:schemaRefs>
    <ds:schemaRef ds:uri="http://schemas.microsoft.com/sharepoint/v3/contenttype/forms"/>
  </ds:schemaRefs>
</ds:datastoreItem>
</file>

<file path=customXml/itemProps4.xml><?xml version="1.0" encoding="utf-8"?>
<ds:datastoreItem xmlns:ds="http://schemas.openxmlformats.org/officeDocument/2006/customXml" ds:itemID="{1F10F273-46EE-4ED3-AAAE-A90605790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3947</Words>
  <Characters>22498</Characters>
  <Application>Microsoft Office Word</Application>
  <DocSecurity>0</DocSecurity>
  <Lines>187</Lines>
  <Paragraphs>52</Paragraphs>
  <ScaleCrop>false</ScaleCrop>
  <Company/>
  <LinksUpToDate>false</LinksUpToDate>
  <CharactersWithSpaces>26393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2026-01-29T14:12:00Z</dcterms:created>
  <dcterms:modified xsi:type="dcterms:W3CDTF">2026-01-29T14:12:00Z</dcterms:modified>
</cp:coreProperties>
</file>