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B5039E">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7BC80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6C18452" w:rsidR="005B52B0" w:rsidRPr="0024202E"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63AA1">
                              <w:rPr>
                                <w:rFonts w:asciiTheme="majorHAnsi" w:hAnsiTheme="majorHAnsi" w:cs="Arial"/>
                                <w:b/>
                                <w:bCs/>
                                <w:color w:val="0D0D0D" w:themeColor="text1" w:themeTint="F2"/>
                                <w:sz w:val="36"/>
                                <w:szCs w:val="22"/>
                                <w:lang w:val="es-ES_tradnl"/>
                              </w:rPr>
                              <w:t>317</w:t>
                            </w:r>
                            <w:r w:rsidR="007B05C4">
                              <w:rPr>
                                <w:rFonts w:asciiTheme="majorHAnsi" w:hAnsiTheme="majorHAnsi" w:cs="Arial"/>
                                <w:b/>
                                <w:bCs/>
                                <w:color w:val="0D0D0D" w:themeColor="text1" w:themeTint="F2"/>
                                <w:sz w:val="36"/>
                                <w:szCs w:val="22"/>
                                <w:lang w:val="es-ES_tradnl"/>
                              </w:rPr>
                              <w:t>/</w:t>
                            </w:r>
                            <w:r w:rsidR="00B11747" w:rsidRPr="0024202E">
                              <w:rPr>
                                <w:rFonts w:asciiTheme="majorHAnsi" w:hAnsiTheme="majorHAnsi" w:cs="Arial"/>
                                <w:b/>
                                <w:bCs/>
                                <w:color w:val="0D0D0D" w:themeColor="text1" w:themeTint="F2"/>
                                <w:sz w:val="36"/>
                                <w:szCs w:val="22"/>
                                <w:lang w:val="es-ES_tradnl"/>
                              </w:rPr>
                              <w:t>25</w:t>
                            </w:r>
                          </w:p>
                          <w:p w14:paraId="09C54AB3" w14:textId="6AC608D1" w:rsidR="007B05C4" w:rsidRDefault="005B52B0" w:rsidP="00997BC5">
                            <w:pPr>
                              <w:spacing w:line="276" w:lineRule="auto"/>
                              <w:rPr>
                                <w:rFonts w:asciiTheme="majorHAnsi" w:hAnsiTheme="majorHAnsi" w:cs="Arial"/>
                                <w:b/>
                                <w:color w:val="0D0D0D" w:themeColor="text1" w:themeTint="F2"/>
                                <w:sz w:val="36"/>
                                <w:szCs w:val="22"/>
                                <w:lang w:val="es-ES_tradnl"/>
                              </w:rPr>
                            </w:pPr>
                            <w:r w:rsidRPr="0024202E">
                              <w:rPr>
                                <w:rFonts w:asciiTheme="majorHAnsi" w:hAnsiTheme="majorHAnsi" w:cs="Arial"/>
                                <w:b/>
                                <w:color w:val="0D0D0D" w:themeColor="text1" w:themeTint="F2"/>
                                <w:sz w:val="36"/>
                                <w:szCs w:val="22"/>
                                <w:lang w:val="es-ES_tradnl"/>
                              </w:rPr>
                              <w:t xml:space="preserve">PETICIÓN </w:t>
                            </w:r>
                            <w:r w:rsidR="0024202E" w:rsidRPr="0024202E">
                              <w:rPr>
                                <w:rFonts w:asciiTheme="majorHAnsi" w:hAnsiTheme="majorHAnsi" w:cs="Arial"/>
                                <w:b/>
                                <w:color w:val="0D0D0D" w:themeColor="text1" w:themeTint="F2"/>
                                <w:sz w:val="36"/>
                                <w:szCs w:val="22"/>
                                <w:lang w:val="es-ES_tradnl"/>
                              </w:rPr>
                              <w:t>389</w:t>
                            </w:r>
                            <w:r w:rsidR="00B11747" w:rsidRPr="0024202E">
                              <w:rPr>
                                <w:rFonts w:asciiTheme="majorHAnsi" w:hAnsiTheme="majorHAnsi" w:cs="Arial"/>
                                <w:b/>
                                <w:color w:val="0D0D0D" w:themeColor="text1" w:themeTint="F2"/>
                                <w:sz w:val="36"/>
                                <w:szCs w:val="22"/>
                                <w:lang w:val="es-ES_tradnl"/>
                              </w:rPr>
                              <w:t>-</w:t>
                            </w:r>
                            <w:r w:rsidR="0024202E" w:rsidRPr="0024202E">
                              <w:rPr>
                                <w:rFonts w:asciiTheme="majorHAnsi" w:hAnsiTheme="majorHAnsi" w:cs="Arial"/>
                                <w:b/>
                                <w:color w:val="0D0D0D" w:themeColor="text1" w:themeTint="F2"/>
                                <w:sz w:val="36"/>
                                <w:szCs w:val="22"/>
                                <w:lang w:val="es-ES_tradnl"/>
                              </w:rPr>
                              <w:t>15</w:t>
                            </w:r>
                          </w:p>
                          <w:p w14:paraId="70CF6833" w14:textId="4C2BCD9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70D3E32E" w:rsidR="00EB197F" w:rsidRPr="004B1350" w:rsidRDefault="0024202E" w:rsidP="00997BC5">
                            <w:pPr>
                              <w:spacing w:line="276" w:lineRule="auto"/>
                              <w:rPr>
                                <w:rFonts w:asciiTheme="majorHAnsi" w:hAnsiTheme="majorHAnsi" w:cs="Arial"/>
                                <w:color w:val="0D0D0D" w:themeColor="text1" w:themeTint="F2"/>
                                <w:szCs w:val="22"/>
                                <w:lang w:val="es-ES_tradnl"/>
                              </w:rPr>
                            </w:pPr>
                            <w:r w:rsidRPr="004B1350">
                              <w:rPr>
                                <w:rFonts w:asciiTheme="majorHAnsi" w:hAnsiTheme="majorHAnsi" w:cs="Arial"/>
                                <w:color w:val="0D0D0D" w:themeColor="text1" w:themeTint="F2"/>
                                <w:szCs w:val="22"/>
                                <w:lang w:val="es-ES_tradnl"/>
                              </w:rPr>
                              <w:t>JOSÉ GUILLERMO MEZA BETETA</w:t>
                            </w:r>
                          </w:p>
                          <w:p w14:paraId="575DFD52" w14:textId="1F8DE4D4" w:rsidR="005B52B0" w:rsidRPr="00EB197F" w:rsidRDefault="0024202E" w:rsidP="007A5817">
                            <w:pPr>
                              <w:rPr>
                                <w:color w:val="0D0D0D" w:themeColor="text1" w:themeTint="F2"/>
                                <w:lang w:val="es-PE"/>
                              </w:rPr>
                            </w:pPr>
                            <w:r>
                              <w:rPr>
                                <w:rFonts w:asciiTheme="majorHAnsi" w:hAnsiTheme="majorHAnsi" w:cs="Arial"/>
                                <w:color w:val="0D0D0D" w:themeColor="text1" w:themeTint="F2"/>
                                <w:szCs w:val="22"/>
                                <w:lang w:val="es-PE"/>
                              </w:rPr>
                              <w:t>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76C18452" w:rsidR="005B52B0" w:rsidRPr="0024202E"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63AA1">
                        <w:rPr>
                          <w:rFonts w:asciiTheme="majorHAnsi" w:hAnsiTheme="majorHAnsi" w:cs="Arial"/>
                          <w:b/>
                          <w:bCs/>
                          <w:color w:val="0D0D0D" w:themeColor="text1" w:themeTint="F2"/>
                          <w:sz w:val="36"/>
                          <w:szCs w:val="22"/>
                          <w:lang w:val="es-ES_tradnl"/>
                        </w:rPr>
                        <w:t>317</w:t>
                      </w:r>
                      <w:r w:rsidR="007B05C4">
                        <w:rPr>
                          <w:rFonts w:asciiTheme="majorHAnsi" w:hAnsiTheme="majorHAnsi" w:cs="Arial"/>
                          <w:b/>
                          <w:bCs/>
                          <w:color w:val="0D0D0D" w:themeColor="text1" w:themeTint="F2"/>
                          <w:sz w:val="36"/>
                          <w:szCs w:val="22"/>
                          <w:lang w:val="es-ES_tradnl"/>
                        </w:rPr>
                        <w:t>/</w:t>
                      </w:r>
                      <w:r w:rsidR="00B11747" w:rsidRPr="0024202E">
                        <w:rPr>
                          <w:rFonts w:asciiTheme="majorHAnsi" w:hAnsiTheme="majorHAnsi" w:cs="Arial"/>
                          <w:b/>
                          <w:bCs/>
                          <w:color w:val="0D0D0D" w:themeColor="text1" w:themeTint="F2"/>
                          <w:sz w:val="36"/>
                          <w:szCs w:val="22"/>
                          <w:lang w:val="es-ES_tradnl"/>
                        </w:rPr>
                        <w:t>25</w:t>
                      </w:r>
                    </w:p>
                    <w:p w14:paraId="09C54AB3" w14:textId="6AC608D1" w:rsidR="007B05C4" w:rsidRDefault="005B52B0" w:rsidP="00997BC5">
                      <w:pPr>
                        <w:spacing w:line="276" w:lineRule="auto"/>
                        <w:rPr>
                          <w:rFonts w:asciiTheme="majorHAnsi" w:hAnsiTheme="majorHAnsi" w:cs="Arial"/>
                          <w:b/>
                          <w:color w:val="0D0D0D" w:themeColor="text1" w:themeTint="F2"/>
                          <w:sz w:val="36"/>
                          <w:szCs w:val="22"/>
                          <w:lang w:val="es-ES_tradnl"/>
                        </w:rPr>
                      </w:pPr>
                      <w:r w:rsidRPr="0024202E">
                        <w:rPr>
                          <w:rFonts w:asciiTheme="majorHAnsi" w:hAnsiTheme="majorHAnsi" w:cs="Arial"/>
                          <w:b/>
                          <w:color w:val="0D0D0D" w:themeColor="text1" w:themeTint="F2"/>
                          <w:sz w:val="36"/>
                          <w:szCs w:val="22"/>
                          <w:lang w:val="es-ES_tradnl"/>
                        </w:rPr>
                        <w:t xml:space="preserve">PETICIÓN </w:t>
                      </w:r>
                      <w:r w:rsidR="0024202E" w:rsidRPr="0024202E">
                        <w:rPr>
                          <w:rFonts w:asciiTheme="majorHAnsi" w:hAnsiTheme="majorHAnsi" w:cs="Arial"/>
                          <w:b/>
                          <w:color w:val="0D0D0D" w:themeColor="text1" w:themeTint="F2"/>
                          <w:sz w:val="36"/>
                          <w:szCs w:val="22"/>
                          <w:lang w:val="es-ES_tradnl"/>
                        </w:rPr>
                        <w:t>389</w:t>
                      </w:r>
                      <w:r w:rsidR="00B11747" w:rsidRPr="0024202E">
                        <w:rPr>
                          <w:rFonts w:asciiTheme="majorHAnsi" w:hAnsiTheme="majorHAnsi" w:cs="Arial"/>
                          <w:b/>
                          <w:color w:val="0D0D0D" w:themeColor="text1" w:themeTint="F2"/>
                          <w:sz w:val="36"/>
                          <w:szCs w:val="22"/>
                          <w:lang w:val="es-ES_tradnl"/>
                        </w:rPr>
                        <w:t>-</w:t>
                      </w:r>
                      <w:r w:rsidR="0024202E" w:rsidRPr="0024202E">
                        <w:rPr>
                          <w:rFonts w:asciiTheme="majorHAnsi" w:hAnsiTheme="majorHAnsi" w:cs="Arial"/>
                          <w:b/>
                          <w:color w:val="0D0D0D" w:themeColor="text1" w:themeTint="F2"/>
                          <w:sz w:val="36"/>
                          <w:szCs w:val="22"/>
                          <w:lang w:val="es-ES_tradnl"/>
                        </w:rPr>
                        <w:t>15</w:t>
                      </w:r>
                    </w:p>
                    <w:p w14:paraId="70CF6833" w14:textId="4C2BCD9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70D3E32E" w:rsidR="00EB197F" w:rsidRPr="004B1350" w:rsidRDefault="0024202E" w:rsidP="00997BC5">
                      <w:pPr>
                        <w:spacing w:line="276" w:lineRule="auto"/>
                        <w:rPr>
                          <w:rFonts w:asciiTheme="majorHAnsi" w:hAnsiTheme="majorHAnsi" w:cs="Arial"/>
                          <w:color w:val="0D0D0D" w:themeColor="text1" w:themeTint="F2"/>
                          <w:szCs w:val="22"/>
                          <w:lang w:val="es-ES_tradnl"/>
                        </w:rPr>
                      </w:pPr>
                      <w:r w:rsidRPr="004B1350">
                        <w:rPr>
                          <w:rFonts w:asciiTheme="majorHAnsi" w:hAnsiTheme="majorHAnsi" w:cs="Arial"/>
                          <w:color w:val="0D0D0D" w:themeColor="text1" w:themeTint="F2"/>
                          <w:szCs w:val="22"/>
                          <w:lang w:val="es-ES_tradnl"/>
                        </w:rPr>
                        <w:t>JOSÉ GUILLERMO MEZA BETETA</w:t>
                      </w:r>
                    </w:p>
                    <w:p w14:paraId="575DFD52" w14:textId="1F8DE4D4" w:rsidR="005B52B0" w:rsidRPr="00EB197F" w:rsidRDefault="0024202E" w:rsidP="007A5817">
                      <w:pPr>
                        <w:rPr>
                          <w:color w:val="0D0D0D" w:themeColor="text1" w:themeTint="F2"/>
                          <w:lang w:val="es-PE"/>
                        </w:rPr>
                      </w:pPr>
                      <w:r>
                        <w:rPr>
                          <w:rFonts w:asciiTheme="majorHAnsi" w:hAnsiTheme="majorHAnsi" w:cs="Arial"/>
                          <w:color w:val="0D0D0D" w:themeColor="text1" w:themeTint="F2"/>
                          <w:szCs w:val="22"/>
                          <w:lang w:val="es-PE"/>
                        </w:rPr>
                        <w:t>PERÚ</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3B1C0CA2" w:rsidR="00627C9F" w:rsidRPr="001E5ACB" w:rsidRDefault="00834D49" w:rsidP="007A5817">
                            <w:pPr>
                              <w:spacing w:line="276" w:lineRule="auto"/>
                              <w:jc w:val="right"/>
                              <w:rPr>
                                <w:rFonts w:asciiTheme="minorHAnsi" w:hAnsiTheme="minorHAnsi"/>
                                <w:color w:val="FFFFFF" w:themeColor="background1"/>
                                <w:sz w:val="22"/>
                                <w:lang w:val="pt-PT"/>
                              </w:rPr>
                            </w:pPr>
                            <w:r w:rsidRPr="001E5ACB">
                              <w:rPr>
                                <w:rFonts w:asciiTheme="minorHAnsi" w:hAnsiTheme="minorHAnsi"/>
                                <w:color w:val="FFFFFF" w:themeColor="background1"/>
                                <w:sz w:val="22"/>
                                <w:lang w:val="pt-PT"/>
                              </w:rPr>
                              <w:t>OEA/Ser.L/V/II</w:t>
                            </w:r>
                          </w:p>
                          <w:p w14:paraId="6A41611B" w14:textId="126D45FE" w:rsidR="00627C9F" w:rsidRPr="001E5ACB" w:rsidRDefault="00627C9F" w:rsidP="007A5817">
                            <w:pPr>
                              <w:spacing w:line="276" w:lineRule="auto"/>
                              <w:jc w:val="right"/>
                              <w:rPr>
                                <w:rFonts w:asciiTheme="minorHAnsi" w:hAnsiTheme="minorHAnsi"/>
                                <w:color w:val="FFFFFF" w:themeColor="background1"/>
                                <w:sz w:val="22"/>
                                <w:lang w:val="pt-PT"/>
                              </w:rPr>
                            </w:pPr>
                            <w:r w:rsidRPr="001E5ACB">
                              <w:rPr>
                                <w:rFonts w:asciiTheme="minorHAnsi" w:hAnsiTheme="minorHAnsi"/>
                                <w:color w:val="FFFFFF" w:themeColor="background1"/>
                                <w:sz w:val="22"/>
                                <w:lang w:val="pt-PT"/>
                              </w:rPr>
                              <w:t xml:space="preserve">Doc. </w:t>
                            </w:r>
                            <w:r w:rsidR="00063AA1" w:rsidRPr="001E5ACB">
                              <w:rPr>
                                <w:rFonts w:asciiTheme="minorHAnsi" w:hAnsiTheme="minorHAnsi"/>
                                <w:color w:val="FFFFFF" w:themeColor="background1"/>
                                <w:sz w:val="22"/>
                                <w:lang w:val="pt-PT"/>
                              </w:rPr>
                              <w:t>332</w:t>
                            </w:r>
                          </w:p>
                          <w:p w14:paraId="69373ED2" w14:textId="0B9205F6" w:rsidR="00627C9F" w:rsidRPr="001E5ACB" w:rsidRDefault="005C2EF9" w:rsidP="007A5817">
                            <w:pPr>
                              <w:spacing w:line="276" w:lineRule="auto"/>
                              <w:jc w:val="right"/>
                              <w:rPr>
                                <w:rFonts w:asciiTheme="minorHAnsi" w:hAnsiTheme="minorHAnsi"/>
                                <w:color w:val="FFFFFF" w:themeColor="background1"/>
                                <w:sz w:val="22"/>
                                <w:lang w:val="pt-PT"/>
                              </w:rPr>
                            </w:pPr>
                            <w:r w:rsidRPr="001E5ACB">
                              <w:rPr>
                                <w:rFonts w:asciiTheme="minorHAnsi" w:hAnsiTheme="minorHAnsi"/>
                                <w:color w:val="FFFFFF" w:themeColor="background1"/>
                                <w:sz w:val="22"/>
                                <w:lang w:val="pt-PT"/>
                              </w:rPr>
                              <w:t>12</w:t>
                            </w:r>
                            <w:r w:rsidR="00063AA1" w:rsidRPr="001E5ACB">
                              <w:rPr>
                                <w:rFonts w:asciiTheme="minorHAnsi" w:hAnsiTheme="minorHAnsi"/>
                                <w:color w:val="FFFFFF" w:themeColor="background1"/>
                                <w:sz w:val="22"/>
                                <w:lang w:val="pt-PT"/>
                              </w:rPr>
                              <w:t xml:space="preserve"> </w:t>
                            </w:r>
                            <w:r w:rsidRPr="001E5ACB">
                              <w:rPr>
                                <w:rFonts w:asciiTheme="minorHAnsi" w:hAnsiTheme="minorHAnsi"/>
                                <w:color w:val="FFFFFF" w:themeColor="background1"/>
                                <w:sz w:val="22"/>
                                <w:lang w:val="pt-PT"/>
                              </w:rPr>
                              <w:t>agosto</w:t>
                            </w:r>
                            <w:r w:rsidR="007B05C4" w:rsidRPr="001E5ACB">
                              <w:rPr>
                                <w:rFonts w:asciiTheme="minorHAnsi" w:hAnsiTheme="minorHAnsi"/>
                                <w:color w:val="FFFFFF" w:themeColor="background1"/>
                                <w:sz w:val="22"/>
                                <w:lang w:val="pt-PT"/>
                              </w:rPr>
                              <w:t xml:space="preserve"> </w:t>
                            </w:r>
                            <w:r w:rsidR="00627C9F" w:rsidRPr="001E5ACB">
                              <w:rPr>
                                <w:rFonts w:asciiTheme="minorHAnsi" w:hAnsiTheme="minorHAnsi"/>
                                <w:color w:val="FFFFFF" w:themeColor="background1"/>
                                <w:sz w:val="22"/>
                                <w:lang w:val="pt-PT"/>
                              </w:rPr>
                              <w:t>20</w:t>
                            </w:r>
                            <w:r w:rsidR="00C23BA4" w:rsidRPr="001E5ACB">
                              <w:rPr>
                                <w:rFonts w:asciiTheme="minorHAnsi" w:hAnsiTheme="minorHAnsi"/>
                                <w:color w:val="FFFFFF" w:themeColor="background1"/>
                                <w:sz w:val="22"/>
                                <w:lang w:val="pt-PT"/>
                              </w:rPr>
                              <w:t>2</w:t>
                            </w:r>
                            <w:r w:rsidR="00B11747" w:rsidRPr="001E5ACB">
                              <w:rPr>
                                <w:rFonts w:asciiTheme="minorHAnsi" w:hAnsiTheme="minorHAnsi"/>
                                <w:color w:val="FFFFFF" w:themeColor="background1"/>
                                <w:sz w:val="22"/>
                                <w:lang w:val="pt-PT"/>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3B1C0CA2" w:rsidR="00627C9F" w:rsidRPr="001E5ACB" w:rsidRDefault="00834D49" w:rsidP="007A5817">
                      <w:pPr>
                        <w:spacing w:line="276" w:lineRule="auto"/>
                        <w:jc w:val="right"/>
                        <w:rPr>
                          <w:rFonts w:asciiTheme="minorHAnsi" w:hAnsiTheme="minorHAnsi"/>
                          <w:color w:val="FFFFFF" w:themeColor="background1"/>
                          <w:sz w:val="22"/>
                          <w:lang w:val="pt-PT"/>
                        </w:rPr>
                      </w:pPr>
                      <w:r w:rsidRPr="001E5ACB">
                        <w:rPr>
                          <w:rFonts w:asciiTheme="minorHAnsi" w:hAnsiTheme="minorHAnsi"/>
                          <w:color w:val="FFFFFF" w:themeColor="background1"/>
                          <w:sz w:val="22"/>
                          <w:lang w:val="pt-PT"/>
                        </w:rPr>
                        <w:t>OEA/Ser.L/V/II</w:t>
                      </w:r>
                    </w:p>
                    <w:p w14:paraId="6A41611B" w14:textId="126D45FE" w:rsidR="00627C9F" w:rsidRPr="001E5ACB" w:rsidRDefault="00627C9F" w:rsidP="007A5817">
                      <w:pPr>
                        <w:spacing w:line="276" w:lineRule="auto"/>
                        <w:jc w:val="right"/>
                        <w:rPr>
                          <w:rFonts w:asciiTheme="minorHAnsi" w:hAnsiTheme="minorHAnsi"/>
                          <w:color w:val="FFFFFF" w:themeColor="background1"/>
                          <w:sz w:val="22"/>
                          <w:lang w:val="pt-PT"/>
                        </w:rPr>
                      </w:pPr>
                      <w:r w:rsidRPr="001E5ACB">
                        <w:rPr>
                          <w:rFonts w:asciiTheme="minorHAnsi" w:hAnsiTheme="minorHAnsi"/>
                          <w:color w:val="FFFFFF" w:themeColor="background1"/>
                          <w:sz w:val="22"/>
                          <w:lang w:val="pt-PT"/>
                        </w:rPr>
                        <w:t xml:space="preserve">Doc. </w:t>
                      </w:r>
                      <w:r w:rsidR="00063AA1" w:rsidRPr="001E5ACB">
                        <w:rPr>
                          <w:rFonts w:asciiTheme="minorHAnsi" w:hAnsiTheme="minorHAnsi"/>
                          <w:color w:val="FFFFFF" w:themeColor="background1"/>
                          <w:sz w:val="22"/>
                          <w:lang w:val="pt-PT"/>
                        </w:rPr>
                        <w:t>332</w:t>
                      </w:r>
                    </w:p>
                    <w:p w14:paraId="69373ED2" w14:textId="0B9205F6" w:rsidR="00627C9F" w:rsidRPr="001E5ACB" w:rsidRDefault="005C2EF9" w:rsidP="007A5817">
                      <w:pPr>
                        <w:spacing w:line="276" w:lineRule="auto"/>
                        <w:jc w:val="right"/>
                        <w:rPr>
                          <w:rFonts w:asciiTheme="minorHAnsi" w:hAnsiTheme="minorHAnsi"/>
                          <w:color w:val="FFFFFF" w:themeColor="background1"/>
                          <w:sz w:val="22"/>
                          <w:lang w:val="pt-PT"/>
                        </w:rPr>
                      </w:pPr>
                      <w:r w:rsidRPr="001E5ACB">
                        <w:rPr>
                          <w:rFonts w:asciiTheme="minorHAnsi" w:hAnsiTheme="minorHAnsi"/>
                          <w:color w:val="FFFFFF" w:themeColor="background1"/>
                          <w:sz w:val="22"/>
                          <w:lang w:val="pt-PT"/>
                        </w:rPr>
                        <w:t>12</w:t>
                      </w:r>
                      <w:r w:rsidR="00063AA1" w:rsidRPr="001E5ACB">
                        <w:rPr>
                          <w:rFonts w:asciiTheme="minorHAnsi" w:hAnsiTheme="minorHAnsi"/>
                          <w:color w:val="FFFFFF" w:themeColor="background1"/>
                          <w:sz w:val="22"/>
                          <w:lang w:val="pt-PT"/>
                        </w:rPr>
                        <w:t xml:space="preserve"> </w:t>
                      </w:r>
                      <w:r w:rsidRPr="001E5ACB">
                        <w:rPr>
                          <w:rFonts w:asciiTheme="minorHAnsi" w:hAnsiTheme="minorHAnsi"/>
                          <w:color w:val="FFFFFF" w:themeColor="background1"/>
                          <w:sz w:val="22"/>
                          <w:lang w:val="pt-PT"/>
                        </w:rPr>
                        <w:t>agosto</w:t>
                      </w:r>
                      <w:r w:rsidR="007B05C4" w:rsidRPr="001E5ACB">
                        <w:rPr>
                          <w:rFonts w:asciiTheme="minorHAnsi" w:hAnsiTheme="minorHAnsi"/>
                          <w:color w:val="FFFFFF" w:themeColor="background1"/>
                          <w:sz w:val="22"/>
                          <w:lang w:val="pt-PT"/>
                        </w:rPr>
                        <w:t xml:space="preserve"> </w:t>
                      </w:r>
                      <w:r w:rsidR="00627C9F" w:rsidRPr="001E5ACB">
                        <w:rPr>
                          <w:rFonts w:asciiTheme="minorHAnsi" w:hAnsiTheme="minorHAnsi"/>
                          <w:color w:val="FFFFFF" w:themeColor="background1"/>
                          <w:sz w:val="22"/>
                          <w:lang w:val="pt-PT"/>
                        </w:rPr>
                        <w:t>20</w:t>
                      </w:r>
                      <w:r w:rsidR="00C23BA4" w:rsidRPr="001E5ACB">
                        <w:rPr>
                          <w:rFonts w:asciiTheme="minorHAnsi" w:hAnsiTheme="minorHAnsi"/>
                          <w:color w:val="FFFFFF" w:themeColor="background1"/>
                          <w:sz w:val="22"/>
                          <w:lang w:val="pt-PT"/>
                        </w:rPr>
                        <w:t>2</w:t>
                      </w:r>
                      <w:r w:rsidR="00B11747" w:rsidRPr="001E5ACB">
                        <w:rPr>
                          <w:rFonts w:asciiTheme="minorHAnsi" w:hAnsiTheme="minorHAnsi"/>
                          <w:color w:val="FFFFFF" w:themeColor="background1"/>
                          <w:sz w:val="22"/>
                          <w:lang w:val="pt-PT"/>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6B21010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5C2EF9">
                              <w:rPr>
                                <w:rFonts w:asciiTheme="majorHAnsi" w:hAnsiTheme="majorHAnsi"/>
                                <w:color w:val="0D0D0D" w:themeColor="text1" w:themeTint="F2"/>
                                <w:sz w:val="18"/>
                                <w:szCs w:val="22"/>
                                <w:lang w:val="es-ES"/>
                              </w:rPr>
                              <w:t>12</w:t>
                            </w:r>
                            <w:r w:rsidRPr="00890650">
                              <w:rPr>
                                <w:rFonts w:asciiTheme="majorHAnsi" w:hAnsiTheme="majorHAnsi"/>
                                <w:color w:val="0D0D0D" w:themeColor="text1" w:themeTint="F2"/>
                                <w:sz w:val="18"/>
                                <w:szCs w:val="22"/>
                                <w:lang w:val="es-ES"/>
                              </w:rPr>
                              <w:t xml:space="preserve"> de </w:t>
                            </w:r>
                            <w:r w:rsidR="005C2EF9">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63AA1">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6B21010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5C2EF9">
                        <w:rPr>
                          <w:rFonts w:asciiTheme="majorHAnsi" w:hAnsiTheme="majorHAnsi"/>
                          <w:color w:val="0D0D0D" w:themeColor="text1" w:themeTint="F2"/>
                          <w:sz w:val="18"/>
                          <w:szCs w:val="22"/>
                          <w:lang w:val="es-ES"/>
                        </w:rPr>
                        <w:t>12</w:t>
                      </w:r>
                      <w:r w:rsidRPr="00890650">
                        <w:rPr>
                          <w:rFonts w:asciiTheme="majorHAnsi" w:hAnsiTheme="majorHAnsi"/>
                          <w:color w:val="0D0D0D" w:themeColor="text1" w:themeTint="F2"/>
                          <w:sz w:val="18"/>
                          <w:szCs w:val="22"/>
                          <w:lang w:val="es-ES"/>
                        </w:rPr>
                        <w:t xml:space="preserve"> de </w:t>
                      </w:r>
                      <w:r w:rsidR="005C2EF9">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63AA1">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FDE03" w14:textId="77777777" w:rsidR="00063AA1"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63AA1" w:rsidRPr="00063AA1">
                              <w:rPr>
                                <w:rFonts w:asciiTheme="majorHAnsi" w:hAnsiTheme="majorHAnsi"/>
                                <w:color w:val="595959" w:themeColor="text1" w:themeTint="A6"/>
                                <w:sz w:val="18"/>
                                <w:szCs w:val="18"/>
                                <w:lang w:val="pt-BR"/>
                              </w:rPr>
                              <w:t>317</w:t>
                            </w:r>
                            <w:r w:rsidR="007B05C4" w:rsidRPr="00063AA1">
                              <w:rPr>
                                <w:rFonts w:asciiTheme="majorHAnsi" w:hAnsiTheme="majorHAnsi"/>
                                <w:color w:val="595959" w:themeColor="text1" w:themeTint="A6"/>
                                <w:sz w:val="18"/>
                                <w:szCs w:val="18"/>
                                <w:lang w:val="pt-BR"/>
                              </w:rPr>
                              <w:t>/</w:t>
                            </w:r>
                            <w:r w:rsidR="00063AA1" w:rsidRPr="00063AA1">
                              <w:rPr>
                                <w:rFonts w:asciiTheme="majorHAnsi" w:hAnsiTheme="majorHAnsi"/>
                                <w:color w:val="595959" w:themeColor="text1" w:themeTint="A6"/>
                                <w:sz w:val="18"/>
                                <w:szCs w:val="18"/>
                                <w:lang w:val="pt-BR"/>
                              </w:rPr>
                              <w:t>25</w:t>
                            </w:r>
                            <w:r w:rsidRPr="00063AA1">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16192">
                              <w:rPr>
                                <w:rFonts w:asciiTheme="majorHAnsi" w:hAnsiTheme="majorHAnsi"/>
                                <w:color w:val="595959" w:themeColor="text1" w:themeTint="A6"/>
                                <w:sz w:val="18"/>
                                <w:szCs w:val="18"/>
                                <w:lang w:val="es-ES"/>
                              </w:rPr>
                              <w:t>389-15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846A39D" w:rsidR="00113F73" w:rsidRPr="007B05C4" w:rsidRDefault="00B1619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Guillermo Meza Beteta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Perú</w:t>
                            </w:r>
                            <w:r w:rsidR="00113F73" w:rsidRPr="00890650">
                              <w:rPr>
                                <w:rFonts w:asciiTheme="majorHAnsi" w:hAnsiTheme="majorHAnsi"/>
                                <w:color w:val="595959" w:themeColor="text1" w:themeTint="A6"/>
                                <w:sz w:val="18"/>
                                <w:szCs w:val="18"/>
                                <w:lang w:val="es-ES_tradnl"/>
                              </w:rPr>
                              <w:t xml:space="preserve">. </w:t>
                            </w:r>
                            <w:r w:rsidR="005C2EF9">
                              <w:rPr>
                                <w:rFonts w:asciiTheme="majorHAnsi" w:hAnsiTheme="majorHAnsi"/>
                                <w:color w:val="595959" w:themeColor="text1" w:themeTint="A6"/>
                                <w:sz w:val="18"/>
                                <w:szCs w:val="18"/>
                                <w:lang w:val="es-ES_tradnl"/>
                              </w:rPr>
                              <w:t>12</w:t>
                            </w:r>
                            <w:r w:rsidR="00063AA1">
                              <w:rPr>
                                <w:rFonts w:asciiTheme="majorHAnsi" w:hAnsiTheme="majorHAnsi"/>
                                <w:color w:val="595959" w:themeColor="text1" w:themeTint="A6"/>
                                <w:sz w:val="18"/>
                                <w:szCs w:val="18"/>
                                <w:lang w:val="es-ES"/>
                              </w:rPr>
                              <w:t xml:space="preserve"> de </w:t>
                            </w:r>
                            <w:r w:rsidR="005C2EF9">
                              <w:rPr>
                                <w:rFonts w:asciiTheme="majorHAnsi" w:hAnsiTheme="majorHAnsi"/>
                                <w:color w:val="595959" w:themeColor="text1" w:themeTint="A6"/>
                                <w:sz w:val="18"/>
                                <w:szCs w:val="18"/>
                                <w:lang w:val="es-ES"/>
                              </w:rPr>
                              <w:t>agosto</w:t>
                            </w:r>
                            <w:r w:rsidR="00063AA1">
                              <w:rPr>
                                <w:rFonts w:asciiTheme="majorHAnsi" w:hAnsiTheme="majorHAnsi"/>
                                <w:color w:val="595959" w:themeColor="text1" w:themeTint="A6"/>
                                <w:sz w:val="18"/>
                                <w:szCs w:val="18"/>
                                <w:lang w:val="es-ES"/>
                              </w:rPr>
                              <w:t xml:space="preserv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D8FDE03" w14:textId="77777777" w:rsidR="00063AA1"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63AA1" w:rsidRPr="00063AA1">
                        <w:rPr>
                          <w:rFonts w:asciiTheme="majorHAnsi" w:hAnsiTheme="majorHAnsi"/>
                          <w:color w:val="595959" w:themeColor="text1" w:themeTint="A6"/>
                          <w:sz w:val="18"/>
                          <w:szCs w:val="18"/>
                          <w:lang w:val="pt-BR"/>
                        </w:rPr>
                        <w:t>317</w:t>
                      </w:r>
                      <w:r w:rsidR="007B05C4" w:rsidRPr="00063AA1">
                        <w:rPr>
                          <w:rFonts w:asciiTheme="majorHAnsi" w:hAnsiTheme="majorHAnsi"/>
                          <w:color w:val="595959" w:themeColor="text1" w:themeTint="A6"/>
                          <w:sz w:val="18"/>
                          <w:szCs w:val="18"/>
                          <w:lang w:val="pt-BR"/>
                        </w:rPr>
                        <w:t>/</w:t>
                      </w:r>
                      <w:r w:rsidR="00063AA1" w:rsidRPr="00063AA1">
                        <w:rPr>
                          <w:rFonts w:asciiTheme="majorHAnsi" w:hAnsiTheme="majorHAnsi"/>
                          <w:color w:val="595959" w:themeColor="text1" w:themeTint="A6"/>
                          <w:sz w:val="18"/>
                          <w:szCs w:val="18"/>
                          <w:lang w:val="pt-BR"/>
                        </w:rPr>
                        <w:t>25</w:t>
                      </w:r>
                      <w:r w:rsidRPr="00063AA1">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16192">
                        <w:rPr>
                          <w:rFonts w:asciiTheme="majorHAnsi" w:hAnsiTheme="majorHAnsi"/>
                          <w:color w:val="595959" w:themeColor="text1" w:themeTint="A6"/>
                          <w:sz w:val="18"/>
                          <w:szCs w:val="18"/>
                          <w:lang w:val="es-ES"/>
                        </w:rPr>
                        <w:t>389-15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846A39D" w:rsidR="00113F73" w:rsidRPr="007B05C4" w:rsidRDefault="00B1619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Guillermo Meza Beteta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Perú</w:t>
                      </w:r>
                      <w:r w:rsidR="00113F73" w:rsidRPr="00890650">
                        <w:rPr>
                          <w:rFonts w:asciiTheme="majorHAnsi" w:hAnsiTheme="majorHAnsi"/>
                          <w:color w:val="595959" w:themeColor="text1" w:themeTint="A6"/>
                          <w:sz w:val="18"/>
                          <w:szCs w:val="18"/>
                          <w:lang w:val="es-ES_tradnl"/>
                        </w:rPr>
                        <w:t xml:space="preserve">. </w:t>
                      </w:r>
                      <w:r w:rsidR="005C2EF9">
                        <w:rPr>
                          <w:rFonts w:asciiTheme="majorHAnsi" w:hAnsiTheme="majorHAnsi"/>
                          <w:color w:val="595959" w:themeColor="text1" w:themeTint="A6"/>
                          <w:sz w:val="18"/>
                          <w:szCs w:val="18"/>
                          <w:lang w:val="es-ES_tradnl"/>
                        </w:rPr>
                        <w:t>12</w:t>
                      </w:r>
                      <w:r w:rsidR="00063AA1">
                        <w:rPr>
                          <w:rFonts w:asciiTheme="majorHAnsi" w:hAnsiTheme="majorHAnsi"/>
                          <w:color w:val="595959" w:themeColor="text1" w:themeTint="A6"/>
                          <w:sz w:val="18"/>
                          <w:szCs w:val="18"/>
                          <w:lang w:val="es-ES"/>
                        </w:rPr>
                        <w:t xml:space="preserve"> de </w:t>
                      </w:r>
                      <w:r w:rsidR="005C2EF9">
                        <w:rPr>
                          <w:rFonts w:asciiTheme="majorHAnsi" w:hAnsiTheme="majorHAnsi"/>
                          <w:color w:val="595959" w:themeColor="text1" w:themeTint="A6"/>
                          <w:sz w:val="18"/>
                          <w:szCs w:val="18"/>
                          <w:lang w:val="es-ES"/>
                        </w:rPr>
                        <w:t>agosto</w:t>
                      </w:r>
                      <w:r w:rsidR="00063AA1">
                        <w:rPr>
                          <w:rFonts w:asciiTheme="majorHAnsi" w:hAnsiTheme="majorHAnsi"/>
                          <w:color w:val="595959" w:themeColor="text1" w:themeTint="A6"/>
                          <w:sz w:val="18"/>
                          <w:szCs w:val="18"/>
                          <w:lang w:val="es-ES"/>
                        </w:rPr>
                        <w:t xml:space="preserv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AE20E49" w:rsidR="00D72DC6" w:rsidRPr="00D72DC6" w:rsidRDefault="00063AA1" w:rsidP="00F02AD1">
                            <w:pPr>
                              <w:rPr>
                                <w:color w:val="FFFFFF" w:themeColor="background1"/>
                                <w14:textFill>
                                  <w14:noFill/>
                                </w14:textFill>
                              </w:rPr>
                            </w:pPr>
                            <w:r>
                              <w:rPr>
                                <w:noProof/>
                                <w:color w:val="FFFFFF" w:themeColor="background1"/>
                              </w:rPr>
                              <w:drawing>
                                <wp:inline distT="0" distB="0" distL="0" distR="0" wp14:anchorId="3D4ABFB1" wp14:editId="77A8B37A">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2AE20E49" w:rsidR="00D72DC6" w:rsidRPr="00D72DC6" w:rsidRDefault="00063AA1" w:rsidP="00F02AD1">
                      <w:pPr>
                        <w:rPr>
                          <w:color w:val="FFFFFF" w:themeColor="background1"/>
                          <w14:textFill>
                            <w14:noFill/>
                          </w14:textFill>
                        </w:rPr>
                      </w:pPr>
                      <w:r>
                        <w:rPr>
                          <w:noProof/>
                          <w:color w:val="FFFFFF" w:themeColor="background1"/>
                        </w:rPr>
                        <w:drawing>
                          <wp:inline distT="0" distB="0" distL="0" distR="0" wp14:anchorId="3D4ABFB1" wp14:editId="77A8B37A">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1E5ACB"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57BD7E54" w:rsidR="003239B8" w:rsidRPr="00932D59" w:rsidRDefault="002A0114" w:rsidP="00D13530">
            <w:pPr>
              <w:jc w:val="both"/>
              <w:rPr>
                <w:rFonts w:ascii="Cambria" w:hAnsi="Cambria"/>
                <w:bCs/>
                <w:sz w:val="20"/>
                <w:szCs w:val="20"/>
                <w:lang w:val="es-PE"/>
              </w:rPr>
            </w:pPr>
            <w:r w:rsidRPr="00F52897">
              <w:rPr>
                <w:rFonts w:ascii="Cambria" w:hAnsi="Cambria"/>
                <w:bCs/>
                <w:sz w:val="20"/>
                <w:szCs w:val="20"/>
                <w:lang w:val="es-PE"/>
              </w:rPr>
              <w:t>Frente de Defensa de los Intereses y Derechos Humanos del Pueblo de Moquegua</w:t>
            </w:r>
          </w:p>
        </w:tc>
      </w:tr>
      <w:tr w:rsidR="003239B8" w:rsidRPr="007C7E8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860A83">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377B8309" w:rsidR="003239B8" w:rsidRPr="000D05CB" w:rsidRDefault="00C5412C">
            <w:pPr>
              <w:jc w:val="both"/>
              <w:rPr>
                <w:rFonts w:ascii="Cambria" w:hAnsi="Cambria"/>
                <w:bCs/>
                <w:sz w:val="20"/>
                <w:szCs w:val="20"/>
                <w:lang w:val="es-ES"/>
              </w:rPr>
            </w:pPr>
            <w:r>
              <w:rPr>
                <w:rFonts w:ascii="Cambria" w:hAnsi="Cambria"/>
                <w:bCs/>
                <w:sz w:val="20"/>
                <w:szCs w:val="20"/>
                <w:lang w:val="es-ES"/>
              </w:rPr>
              <w:t>José Guillermo Meza Beteta</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05228ADF" w:rsidR="003239B8" w:rsidRPr="000D05CB" w:rsidRDefault="00C5412C">
            <w:pPr>
              <w:jc w:val="both"/>
              <w:rPr>
                <w:rFonts w:ascii="Cambria" w:hAnsi="Cambria"/>
                <w:bCs/>
                <w:sz w:val="20"/>
                <w:szCs w:val="20"/>
              </w:rPr>
            </w:pPr>
            <w:r>
              <w:rPr>
                <w:rFonts w:ascii="Cambria" w:hAnsi="Cambria"/>
                <w:bCs/>
                <w:sz w:val="20"/>
                <w:szCs w:val="20"/>
              </w:rPr>
              <w:t>Perú</w:t>
            </w:r>
          </w:p>
        </w:tc>
      </w:tr>
      <w:tr w:rsidR="00223A29" w:rsidRPr="001E5ACB"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334D661F" w:rsidR="00223A29" w:rsidRPr="00730961" w:rsidRDefault="00730961">
            <w:pPr>
              <w:jc w:val="both"/>
              <w:rPr>
                <w:rFonts w:ascii="Cambria" w:hAnsi="Cambria"/>
                <w:bCs/>
                <w:sz w:val="20"/>
                <w:szCs w:val="20"/>
                <w:lang w:val="es-MX"/>
              </w:rPr>
            </w:pPr>
            <w:r>
              <w:rPr>
                <w:rFonts w:ascii="Cambria" w:hAnsi="Cambria"/>
                <w:sz w:val="20"/>
                <w:szCs w:val="20"/>
                <w:lang w:val="es-AR"/>
              </w:rPr>
              <w:t xml:space="preserve">Artículos </w:t>
            </w:r>
            <w:r w:rsidR="007E0463" w:rsidRPr="00BC3827">
              <w:rPr>
                <w:rFonts w:ascii="Cambria" w:hAnsi="Cambria"/>
                <w:sz w:val="20"/>
                <w:szCs w:val="20"/>
                <w:lang w:val="es-AR"/>
              </w:rPr>
              <w:t>8</w:t>
            </w:r>
            <w:r w:rsidR="007E0463">
              <w:rPr>
                <w:rFonts w:ascii="Cambria" w:hAnsi="Cambria"/>
                <w:sz w:val="20"/>
                <w:szCs w:val="20"/>
                <w:lang w:val="es-AR"/>
              </w:rPr>
              <w:t xml:space="preserve"> (garantías judiciales)</w:t>
            </w:r>
            <w:r w:rsidR="00A23C0B">
              <w:rPr>
                <w:rFonts w:ascii="Cambria" w:hAnsi="Cambria"/>
                <w:sz w:val="20"/>
                <w:szCs w:val="20"/>
                <w:lang w:val="es-AR"/>
              </w:rPr>
              <w:t xml:space="preserve">, 9 </w:t>
            </w:r>
            <w:r w:rsidR="003C38E3">
              <w:rPr>
                <w:rFonts w:ascii="Cambria" w:hAnsi="Cambria"/>
                <w:sz w:val="20"/>
                <w:szCs w:val="20"/>
                <w:lang w:val="es-AR"/>
              </w:rPr>
              <w:t>(</w:t>
            </w:r>
            <w:r w:rsidR="003C38E3" w:rsidRPr="003C38E3">
              <w:rPr>
                <w:rFonts w:ascii="Cambria" w:hAnsi="Cambria"/>
                <w:sz w:val="20"/>
                <w:szCs w:val="20"/>
                <w:lang w:val="es-PE"/>
              </w:rPr>
              <w:t>Principio de Legalidad y de Retroactividad)</w:t>
            </w:r>
            <w:r w:rsidR="003C38E3">
              <w:rPr>
                <w:rFonts w:ascii="Cambria" w:hAnsi="Cambria"/>
                <w:sz w:val="20"/>
                <w:szCs w:val="20"/>
                <w:lang w:val="es-PE"/>
              </w:rPr>
              <w:t>,</w:t>
            </w:r>
            <w:r w:rsidR="007E0463" w:rsidRPr="00BC3827">
              <w:rPr>
                <w:rFonts w:ascii="Cambria" w:hAnsi="Cambria"/>
                <w:sz w:val="20"/>
                <w:szCs w:val="20"/>
                <w:lang w:val="es-AR"/>
              </w:rPr>
              <w:t xml:space="preserve"> 24</w:t>
            </w:r>
            <w:r w:rsidR="007E0463">
              <w:rPr>
                <w:rFonts w:ascii="Cambria" w:hAnsi="Cambria"/>
                <w:sz w:val="20"/>
                <w:szCs w:val="20"/>
                <w:lang w:val="es-AR"/>
              </w:rPr>
              <w:t xml:space="preserve"> (igualdad ante la ley)</w:t>
            </w:r>
            <w:r w:rsidR="007E0463" w:rsidRPr="00BC3827">
              <w:rPr>
                <w:rFonts w:ascii="Cambria" w:hAnsi="Cambria"/>
                <w:sz w:val="20"/>
                <w:szCs w:val="20"/>
                <w:lang w:val="es-AR"/>
              </w:rPr>
              <w:t xml:space="preserve"> y 25</w:t>
            </w:r>
            <w:r w:rsidR="007E0463">
              <w:rPr>
                <w:rFonts w:ascii="Cambria" w:hAnsi="Cambria"/>
                <w:sz w:val="20"/>
                <w:szCs w:val="20"/>
                <w:lang w:val="es-AR"/>
              </w:rPr>
              <w:t xml:space="preserve"> (protección judicial)</w:t>
            </w:r>
            <w:r>
              <w:rPr>
                <w:rFonts w:ascii="Cambria" w:hAnsi="Cambria"/>
                <w:sz w:val="20"/>
                <w:szCs w:val="20"/>
                <w:lang w:val="es-AR"/>
              </w:rPr>
              <w:t xml:space="preserve"> </w:t>
            </w:r>
            <w:r w:rsidRPr="00CB1CEA">
              <w:rPr>
                <w:rFonts w:ascii="Cambria" w:hAnsi="Cambria"/>
                <w:sz w:val="20"/>
                <w:szCs w:val="20"/>
                <w:lang w:val="es-AR"/>
              </w:rPr>
              <w:t>de la Convención Americana sobre Derechos Humanos</w:t>
            </w:r>
            <w:r w:rsidRPr="00DF4403">
              <w:rPr>
                <w:rStyle w:val="FootnoteReference"/>
                <w:rFonts w:ascii="Cambria" w:hAnsi="Cambria"/>
                <w:bCs/>
                <w:sz w:val="20"/>
                <w:szCs w:val="20"/>
                <w:lang w:val="es-MX"/>
              </w:rPr>
              <w:footnoteReference w:id="2"/>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3570A40E" w:rsidR="004C2312" w:rsidRPr="003239B8" w:rsidRDefault="00415E0E">
            <w:pPr>
              <w:jc w:val="both"/>
              <w:rPr>
                <w:rFonts w:ascii="Cambria" w:hAnsi="Cambria"/>
                <w:bCs/>
                <w:sz w:val="20"/>
                <w:szCs w:val="20"/>
                <w:lang w:val="es-ES"/>
              </w:rPr>
            </w:pPr>
            <w:r>
              <w:rPr>
                <w:rFonts w:ascii="Cambria" w:hAnsi="Cambria"/>
                <w:bCs/>
                <w:sz w:val="20"/>
                <w:szCs w:val="20"/>
                <w:lang w:val="es-ES"/>
              </w:rPr>
              <w:t>10 de abril de 2015</w:t>
            </w:r>
          </w:p>
        </w:tc>
      </w:tr>
      <w:tr w:rsidR="00131425" w:rsidRPr="0024202E"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37B655CE" w:rsidR="00131425" w:rsidRPr="003239B8" w:rsidRDefault="00244150">
            <w:pPr>
              <w:jc w:val="both"/>
              <w:rPr>
                <w:rFonts w:ascii="Cambria" w:hAnsi="Cambria"/>
                <w:bCs/>
                <w:sz w:val="20"/>
                <w:szCs w:val="20"/>
                <w:lang w:val="es-ES"/>
              </w:rPr>
            </w:pPr>
            <w:r>
              <w:rPr>
                <w:rFonts w:ascii="Cambria" w:hAnsi="Cambria"/>
                <w:bCs/>
                <w:sz w:val="20"/>
                <w:szCs w:val="20"/>
                <w:lang w:val="es-ES"/>
              </w:rPr>
              <w:t>31 de julio de 2017</w:t>
            </w:r>
          </w:p>
        </w:tc>
      </w:tr>
      <w:tr w:rsidR="004C2312" w:rsidRPr="0024202E"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1DD402EF" w:rsidR="004C2312" w:rsidRPr="003239B8" w:rsidRDefault="00244150">
            <w:pPr>
              <w:jc w:val="both"/>
              <w:rPr>
                <w:rFonts w:ascii="Cambria" w:hAnsi="Cambria"/>
                <w:bCs/>
                <w:sz w:val="20"/>
                <w:szCs w:val="20"/>
                <w:lang w:val="es-ES"/>
              </w:rPr>
            </w:pPr>
            <w:r>
              <w:rPr>
                <w:rFonts w:ascii="Cambria" w:hAnsi="Cambria"/>
                <w:bCs/>
                <w:sz w:val="20"/>
                <w:szCs w:val="20"/>
                <w:lang w:val="es-ES"/>
              </w:rPr>
              <w:t>29 de mayo de 2019</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5232D92A" w:rsidR="004C2312" w:rsidRPr="003239B8" w:rsidRDefault="00A97F8E">
            <w:pPr>
              <w:jc w:val="both"/>
              <w:rPr>
                <w:rFonts w:ascii="Cambria" w:hAnsi="Cambria"/>
                <w:bCs/>
                <w:sz w:val="20"/>
                <w:szCs w:val="20"/>
                <w:lang w:val="es-ES"/>
              </w:rPr>
            </w:pPr>
            <w:r>
              <w:rPr>
                <w:rFonts w:ascii="Cambria" w:hAnsi="Cambria"/>
                <w:bCs/>
                <w:sz w:val="20"/>
                <w:szCs w:val="20"/>
                <w:lang w:val="es-ES"/>
              </w:rPr>
              <w:t>6 de septiembre de 2019</w:t>
            </w:r>
          </w:p>
        </w:tc>
      </w:tr>
      <w:tr w:rsidR="004C2312" w:rsidRPr="001E5ACB"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266093E6" w:rsidR="004C2312" w:rsidRPr="003239B8" w:rsidRDefault="00951A6C">
            <w:pPr>
              <w:jc w:val="both"/>
              <w:rPr>
                <w:rFonts w:ascii="Cambria" w:hAnsi="Cambria"/>
                <w:bCs/>
                <w:sz w:val="20"/>
                <w:szCs w:val="20"/>
                <w:lang w:val="es-ES"/>
              </w:rPr>
            </w:pPr>
            <w:r>
              <w:rPr>
                <w:rFonts w:ascii="Cambria" w:hAnsi="Cambria"/>
                <w:bCs/>
                <w:sz w:val="20"/>
                <w:szCs w:val="20"/>
                <w:lang w:val="es-ES"/>
              </w:rPr>
              <w:t>16 de marzo de 2020</w:t>
            </w:r>
            <w:r w:rsidR="004E3DED">
              <w:rPr>
                <w:rFonts w:ascii="Cambria" w:hAnsi="Cambria"/>
                <w:bCs/>
                <w:sz w:val="20"/>
                <w:szCs w:val="20"/>
                <w:lang w:val="es-ES"/>
              </w:rPr>
              <w:t xml:space="preserve"> y 8 de diciembre de 2024</w:t>
            </w:r>
          </w:p>
        </w:tc>
      </w:tr>
      <w:tr w:rsidR="004C2312" w:rsidRPr="001E5ACB"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760" w:type="dxa"/>
            <w:vAlign w:val="center"/>
          </w:tcPr>
          <w:p w14:paraId="3CE49AFE" w14:textId="5324AF14" w:rsidR="004C2312" w:rsidRPr="004E3DED" w:rsidRDefault="00951A6C">
            <w:pPr>
              <w:jc w:val="both"/>
              <w:rPr>
                <w:rFonts w:ascii="Cambria" w:hAnsi="Cambria"/>
                <w:bCs/>
                <w:sz w:val="20"/>
                <w:szCs w:val="20"/>
                <w:lang w:val="es-PE"/>
              </w:rPr>
            </w:pPr>
            <w:r w:rsidRPr="004E3DED">
              <w:rPr>
                <w:rFonts w:ascii="Cambria" w:hAnsi="Cambria"/>
                <w:bCs/>
                <w:sz w:val="20"/>
                <w:szCs w:val="20"/>
                <w:lang w:val="es-PE"/>
              </w:rPr>
              <w:t xml:space="preserve">25 de </w:t>
            </w:r>
            <w:r w:rsidR="009E5D66" w:rsidRPr="004E3DED">
              <w:rPr>
                <w:rFonts w:ascii="Cambria" w:hAnsi="Cambria"/>
                <w:bCs/>
                <w:sz w:val="20"/>
                <w:szCs w:val="20"/>
                <w:lang w:val="es-PE"/>
              </w:rPr>
              <w:t>a</w:t>
            </w:r>
            <w:r w:rsidRPr="004E3DED">
              <w:rPr>
                <w:rFonts w:ascii="Cambria" w:hAnsi="Cambria"/>
                <w:bCs/>
                <w:sz w:val="20"/>
                <w:szCs w:val="20"/>
                <w:lang w:val="es-PE"/>
              </w:rPr>
              <w:t>gosto de 2020</w:t>
            </w:r>
            <w:r w:rsidR="004E3DED" w:rsidRPr="004E3DED">
              <w:rPr>
                <w:rFonts w:ascii="Cambria" w:hAnsi="Cambria"/>
                <w:bCs/>
                <w:sz w:val="20"/>
                <w:szCs w:val="20"/>
                <w:lang w:val="es-PE"/>
              </w:rPr>
              <w:t xml:space="preserve"> y 13 d</w:t>
            </w:r>
            <w:r w:rsidR="004E3DED">
              <w:rPr>
                <w:rFonts w:ascii="Cambria" w:hAnsi="Cambria"/>
                <w:bCs/>
                <w:sz w:val="20"/>
                <w:szCs w:val="20"/>
                <w:lang w:val="es-PE"/>
              </w:rPr>
              <w:t>e septiembre de 2024</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5FF19C82" w:rsidR="001E49E7" w:rsidRPr="003239B8" w:rsidRDefault="009E5D66">
            <w:pPr>
              <w:jc w:val="both"/>
              <w:rPr>
                <w:rFonts w:ascii="Cambria" w:hAnsi="Cambria"/>
                <w:bCs/>
                <w:sz w:val="20"/>
                <w:szCs w:val="20"/>
                <w:lang w:val="es-ES"/>
              </w:rPr>
            </w:pPr>
            <w:r>
              <w:rPr>
                <w:rFonts w:ascii="Cambria" w:hAnsi="Cambria"/>
                <w:bCs/>
                <w:sz w:val="20"/>
                <w:szCs w:val="20"/>
                <w:lang w:val="es-ES"/>
              </w:rPr>
              <w:t>5 de marzo de 2024</w:t>
            </w:r>
          </w:p>
        </w:tc>
      </w:tr>
      <w:tr w:rsidR="001E49E7" w:rsidRPr="0024202E"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4F008C06" w:rsidR="001E49E7" w:rsidRPr="003239B8" w:rsidRDefault="009E5D66">
            <w:pPr>
              <w:jc w:val="both"/>
              <w:rPr>
                <w:rFonts w:ascii="Cambria" w:hAnsi="Cambria"/>
                <w:bCs/>
                <w:sz w:val="20"/>
                <w:szCs w:val="20"/>
                <w:lang w:val="es-ES"/>
              </w:rPr>
            </w:pPr>
            <w:r>
              <w:rPr>
                <w:rFonts w:ascii="Cambria" w:hAnsi="Cambria"/>
                <w:bCs/>
                <w:sz w:val="20"/>
                <w:szCs w:val="20"/>
                <w:lang w:val="es-ES"/>
              </w:rPr>
              <w:t>8 de marzo de 2024</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540F17" w14:paraId="072532AD" w14:textId="77777777" w:rsidTr="007F6938">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B3745F" w:rsidRDefault="003239B8">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0" w:type="dxa"/>
            <w:vAlign w:val="center"/>
          </w:tcPr>
          <w:p w14:paraId="7707F3E9" w14:textId="588D02F3" w:rsidR="003239B8" w:rsidRPr="00B3745F" w:rsidRDefault="009F0517">
            <w:pPr>
              <w:rPr>
                <w:rFonts w:ascii="Cambria" w:hAnsi="Cambria"/>
                <w:bCs/>
                <w:sz w:val="20"/>
                <w:szCs w:val="20"/>
              </w:rPr>
            </w:pPr>
            <w:r>
              <w:rPr>
                <w:rFonts w:ascii="Cambria" w:hAnsi="Cambria"/>
                <w:bCs/>
                <w:sz w:val="20"/>
                <w:szCs w:val="20"/>
              </w:rPr>
              <w:t>Sí</w:t>
            </w:r>
          </w:p>
        </w:tc>
      </w:tr>
      <w:tr w:rsidR="003239B8" w:rsidRPr="00540F17" w14:paraId="4B8802DA" w14:textId="77777777" w:rsidTr="007F6938">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0" w:type="dxa"/>
            <w:vAlign w:val="center"/>
          </w:tcPr>
          <w:p w14:paraId="12C931CB" w14:textId="40A0D51B" w:rsidR="003239B8" w:rsidRPr="00B3745F" w:rsidRDefault="009F0517">
            <w:pPr>
              <w:rPr>
                <w:rFonts w:ascii="Cambria" w:hAnsi="Cambria"/>
                <w:bCs/>
                <w:sz w:val="20"/>
                <w:szCs w:val="20"/>
              </w:rPr>
            </w:pPr>
            <w:r>
              <w:rPr>
                <w:rFonts w:ascii="Cambria" w:hAnsi="Cambria"/>
                <w:bCs/>
                <w:sz w:val="20"/>
                <w:szCs w:val="20"/>
              </w:rPr>
              <w:t>Sí</w:t>
            </w:r>
          </w:p>
        </w:tc>
      </w:tr>
      <w:tr w:rsidR="003239B8" w:rsidRPr="00540F17" w14:paraId="4362FDF3" w14:textId="77777777" w:rsidTr="007F6938">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0" w:type="dxa"/>
            <w:vAlign w:val="center"/>
          </w:tcPr>
          <w:p w14:paraId="6F8B059B" w14:textId="3C939DC9" w:rsidR="003239B8" w:rsidRPr="00B3745F" w:rsidRDefault="009F0517">
            <w:pPr>
              <w:rPr>
                <w:rFonts w:ascii="Cambria" w:hAnsi="Cambria"/>
                <w:bCs/>
                <w:sz w:val="20"/>
                <w:szCs w:val="20"/>
              </w:rPr>
            </w:pPr>
            <w:r>
              <w:rPr>
                <w:rFonts w:ascii="Cambria" w:hAnsi="Cambria"/>
                <w:bCs/>
                <w:sz w:val="20"/>
                <w:szCs w:val="20"/>
              </w:rPr>
              <w:t>Sí</w:t>
            </w:r>
          </w:p>
        </w:tc>
      </w:tr>
      <w:tr w:rsidR="009F0517" w:rsidRPr="001E5ACB" w14:paraId="30ABEC3E" w14:textId="77777777" w:rsidTr="007F6938">
        <w:trPr>
          <w:cantSplit/>
        </w:trPr>
        <w:tc>
          <w:tcPr>
            <w:tcW w:w="3567" w:type="dxa"/>
            <w:tcBorders>
              <w:top w:val="single" w:sz="6" w:space="0" w:color="auto"/>
              <w:bottom w:val="single" w:sz="6" w:space="0" w:color="auto"/>
            </w:tcBorders>
            <w:shd w:val="clear" w:color="auto" w:fill="386294"/>
            <w:vAlign w:val="center"/>
          </w:tcPr>
          <w:p w14:paraId="47B529D2" w14:textId="77777777" w:rsidR="009F0517" w:rsidRPr="00B3745F" w:rsidRDefault="009F0517" w:rsidP="009F0517">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materiae</w:t>
            </w:r>
            <w:r w:rsidRPr="00B3745F">
              <w:rPr>
                <w:rFonts w:ascii="Cambria" w:hAnsi="Cambria"/>
                <w:b/>
                <w:bCs/>
                <w:color w:val="FFFFFF" w:themeColor="background1"/>
                <w:sz w:val="20"/>
                <w:szCs w:val="20"/>
              </w:rPr>
              <w:t>:</w:t>
            </w:r>
          </w:p>
        </w:tc>
        <w:tc>
          <w:tcPr>
            <w:tcW w:w="5770" w:type="dxa"/>
            <w:vAlign w:val="center"/>
          </w:tcPr>
          <w:p w14:paraId="0C122F44" w14:textId="137778DB" w:rsidR="009F0517" w:rsidRPr="00B3745F" w:rsidRDefault="009F0517" w:rsidP="009F0517">
            <w:pPr>
              <w:jc w:val="both"/>
              <w:rPr>
                <w:rFonts w:ascii="Cambria" w:hAnsi="Cambria"/>
                <w:bCs/>
                <w:sz w:val="20"/>
                <w:szCs w:val="20"/>
                <w:lang w:val="es-ES"/>
              </w:rPr>
            </w:pPr>
            <w:r>
              <w:rPr>
                <w:rFonts w:ascii="Cambria" w:hAnsi="Cambria"/>
                <w:bCs/>
                <w:sz w:val="20"/>
                <w:szCs w:val="20"/>
                <w:lang w:val="es-PE"/>
              </w:rPr>
              <w:t xml:space="preserve">Sí, </w:t>
            </w:r>
            <w:r w:rsidRPr="00DD7708">
              <w:rPr>
                <w:rFonts w:ascii="Cambria" w:hAnsi="Cambria"/>
                <w:bCs/>
                <w:sz w:val="20"/>
                <w:szCs w:val="20"/>
                <w:lang w:val="es-PE"/>
              </w:rPr>
              <w:t xml:space="preserve">Convención </w:t>
            </w:r>
            <w:r w:rsidRPr="00B54296">
              <w:rPr>
                <w:rFonts w:ascii="Cambria" w:hAnsi="Cambria"/>
                <w:bCs/>
                <w:sz w:val="20"/>
                <w:szCs w:val="20"/>
                <w:lang w:val="es-PE"/>
              </w:rPr>
              <w:t>Americana (depósito del instrumento de ratificación realizado el 28 de julio de 1978)</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4B1350" w14:paraId="1231C988" w14:textId="77777777" w:rsidTr="007F6938">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4B1929" w:rsidRDefault="00EE00E9">
            <w:pPr>
              <w:jc w:val="center"/>
              <w:rPr>
                <w:rFonts w:ascii="Cambria" w:hAnsi="Cambria"/>
                <w:b/>
                <w:bCs/>
                <w:color w:val="FFFFFF" w:themeColor="background1"/>
                <w:sz w:val="20"/>
                <w:szCs w:val="20"/>
                <w:lang w:val="es-PE"/>
              </w:rPr>
            </w:pPr>
            <w:r w:rsidRPr="004B1929">
              <w:rPr>
                <w:rFonts w:ascii="Cambria" w:hAnsi="Cambria"/>
                <w:b/>
                <w:bCs/>
                <w:color w:val="FFFFFF" w:themeColor="background1"/>
                <w:sz w:val="20"/>
                <w:szCs w:val="20"/>
                <w:lang w:val="es-PE"/>
              </w:rPr>
              <w:t>Duplicación de procedimientos y cosa juzgada internacional:</w:t>
            </w:r>
          </w:p>
        </w:tc>
        <w:tc>
          <w:tcPr>
            <w:tcW w:w="5771" w:type="dxa"/>
            <w:vAlign w:val="center"/>
          </w:tcPr>
          <w:p w14:paraId="240941E6" w14:textId="1D3B42E2" w:rsidR="00EE00E9" w:rsidRPr="004B1929" w:rsidRDefault="00170A8A">
            <w:pPr>
              <w:jc w:val="both"/>
              <w:rPr>
                <w:rFonts w:ascii="Cambria" w:hAnsi="Cambria"/>
                <w:bCs/>
                <w:sz w:val="20"/>
                <w:szCs w:val="20"/>
                <w:lang w:val="es-PE"/>
              </w:rPr>
            </w:pPr>
            <w:r w:rsidRPr="004B1929">
              <w:rPr>
                <w:rFonts w:ascii="Cambria" w:hAnsi="Cambria"/>
                <w:bCs/>
                <w:sz w:val="20"/>
                <w:szCs w:val="20"/>
                <w:lang w:val="es-PE"/>
              </w:rPr>
              <w:t>No</w:t>
            </w:r>
          </w:p>
        </w:tc>
      </w:tr>
      <w:tr w:rsidR="003239B8" w:rsidRPr="002021CE" w14:paraId="15FAA7D1" w14:textId="77777777" w:rsidTr="007F6938">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4B1929" w:rsidRDefault="003239B8">
            <w:pPr>
              <w:jc w:val="center"/>
              <w:rPr>
                <w:rFonts w:ascii="Cambria" w:hAnsi="Cambria"/>
                <w:b/>
                <w:bCs/>
                <w:i/>
                <w:color w:val="FFFFFF" w:themeColor="background1"/>
                <w:sz w:val="20"/>
                <w:szCs w:val="20"/>
                <w:lang w:val="es-PE"/>
              </w:rPr>
            </w:pPr>
            <w:r w:rsidRPr="004B1929">
              <w:rPr>
                <w:rFonts w:ascii="Cambria" w:hAnsi="Cambria"/>
                <w:b/>
                <w:bCs/>
                <w:color w:val="FFFFFF" w:themeColor="background1"/>
                <w:sz w:val="20"/>
                <w:szCs w:val="20"/>
                <w:lang w:val="es-PE"/>
              </w:rPr>
              <w:t>Derechos declarados admisibles</w:t>
            </w:r>
            <w:r w:rsidRPr="004B1929">
              <w:rPr>
                <w:rFonts w:ascii="Cambria" w:hAnsi="Cambria"/>
                <w:b/>
                <w:bCs/>
                <w:i/>
                <w:color w:val="FFFFFF" w:themeColor="background1"/>
                <w:sz w:val="20"/>
                <w:szCs w:val="20"/>
                <w:lang w:val="es-PE"/>
              </w:rPr>
              <w:t>:</w:t>
            </w:r>
          </w:p>
        </w:tc>
        <w:tc>
          <w:tcPr>
            <w:tcW w:w="5771" w:type="dxa"/>
            <w:vAlign w:val="center"/>
          </w:tcPr>
          <w:p w14:paraId="6310C8F7" w14:textId="6D3CA31E" w:rsidR="003239B8" w:rsidRPr="004B1929" w:rsidRDefault="00C04649">
            <w:pPr>
              <w:jc w:val="both"/>
              <w:rPr>
                <w:rFonts w:ascii="Cambria" w:hAnsi="Cambria"/>
                <w:bCs/>
                <w:sz w:val="20"/>
                <w:szCs w:val="20"/>
                <w:lang w:val="es-PE"/>
              </w:rPr>
            </w:pPr>
            <w:r w:rsidRPr="004B1929">
              <w:rPr>
                <w:rFonts w:ascii="Cambria" w:hAnsi="Cambria"/>
                <w:bCs/>
                <w:sz w:val="20"/>
                <w:szCs w:val="20"/>
                <w:lang w:val="es-PE"/>
              </w:rPr>
              <w:t>Ninguno</w:t>
            </w:r>
          </w:p>
        </w:tc>
      </w:tr>
      <w:tr w:rsidR="003239B8" w:rsidRPr="001E5ACB" w14:paraId="4EFD141E" w14:textId="77777777" w:rsidTr="007F6938">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4B1929" w:rsidRDefault="003239B8">
            <w:pPr>
              <w:jc w:val="center"/>
              <w:rPr>
                <w:rFonts w:ascii="Cambria" w:hAnsi="Cambria"/>
                <w:b/>
                <w:bCs/>
                <w:color w:val="FFFFFF" w:themeColor="background1"/>
                <w:sz w:val="20"/>
                <w:szCs w:val="20"/>
                <w:lang w:val="es-PE"/>
              </w:rPr>
            </w:pPr>
            <w:r w:rsidRPr="004B1929">
              <w:rPr>
                <w:rFonts w:ascii="Cambria" w:hAnsi="Cambria"/>
                <w:b/>
                <w:bCs/>
                <w:color w:val="FFFFFF" w:themeColor="background1"/>
                <w:sz w:val="20"/>
                <w:szCs w:val="20"/>
                <w:lang w:val="es-PE"/>
              </w:rPr>
              <w:t>Agotamiento de recursos internos</w:t>
            </w:r>
            <w:r w:rsidR="00EE00E9" w:rsidRPr="004B1929">
              <w:rPr>
                <w:rFonts w:ascii="Cambria" w:hAnsi="Cambria"/>
                <w:b/>
                <w:bCs/>
                <w:color w:val="FFFFFF" w:themeColor="background1"/>
                <w:sz w:val="20"/>
                <w:szCs w:val="20"/>
                <w:lang w:val="es-PE"/>
              </w:rPr>
              <w:t xml:space="preserve"> o procedencia de una excepción</w:t>
            </w:r>
            <w:r w:rsidRPr="004B1929">
              <w:rPr>
                <w:rFonts w:ascii="Cambria" w:hAnsi="Cambria"/>
                <w:b/>
                <w:bCs/>
                <w:color w:val="FFFFFF" w:themeColor="background1"/>
                <w:sz w:val="20"/>
                <w:szCs w:val="20"/>
                <w:lang w:val="es-PE"/>
              </w:rPr>
              <w:t>:</w:t>
            </w:r>
          </w:p>
        </w:tc>
        <w:tc>
          <w:tcPr>
            <w:tcW w:w="5771" w:type="dxa"/>
            <w:vAlign w:val="center"/>
          </w:tcPr>
          <w:p w14:paraId="69C53E8A" w14:textId="48BA5828" w:rsidR="003239B8" w:rsidRPr="004B1929" w:rsidRDefault="00170A8A">
            <w:pPr>
              <w:rPr>
                <w:rFonts w:ascii="Cambria" w:hAnsi="Cambria"/>
                <w:bCs/>
                <w:sz w:val="20"/>
                <w:szCs w:val="20"/>
                <w:lang w:val="es-PE"/>
              </w:rPr>
            </w:pPr>
            <w:r w:rsidRPr="004B1929">
              <w:rPr>
                <w:rFonts w:ascii="Cambria" w:hAnsi="Cambria"/>
                <w:bCs/>
                <w:sz w:val="20"/>
                <w:szCs w:val="20"/>
                <w:lang w:val="es-PE"/>
              </w:rPr>
              <w:t>Sí, en los términos de la sección VI</w:t>
            </w:r>
          </w:p>
        </w:tc>
      </w:tr>
      <w:tr w:rsidR="003239B8" w:rsidRPr="001E5ACB" w14:paraId="52B5BA17" w14:textId="77777777" w:rsidTr="007F6938">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4B1929" w:rsidRDefault="003239B8">
            <w:pPr>
              <w:jc w:val="center"/>
              <w:rPr>
                <w:rFonts w:ascii="Cambria" w:hAnsi="Cambria"/>
                <w:b/>
                <w:bCs/>
                <w:color w:val="FFFFFF" w:themeColor="background1"/>
                <w:sz w:val="20"/>
                <w:szCs w:val="20"/>
                <w:lang w:val="es-PE"/>
              </w:rPr>
            </w:pPr>
            <w:r w:rsidRPr="004B1929">
              <w:rPr>
                <w:rFonts w:ascii="Cambria" w:hAnsi="Cambria"/>
                <w:b/>
                <w:bCs/>
                <w:color w:val="FFFFFF" w:themeColor="background1"/>
                <w:sz w:val="20"/>
                <w:szCs w:val="20"/>
                <w:lang w:val="es-PE"/>
              </w:rPr>
              <w:t>Presentación dentro de plazo:</w:t>
            </w:r>
          </w:p>
        </w:tc>
        <w:tc>
          <w:tcPr>
            <w:tcW w:w="5771" w:type="dxa"/>
            <w:vAlign w:val="center"/>
          </w:tcPr>
          <w:p w14:paraId="4A2A4569" w14:textId="05F010A2" w:rsidR="003239B8" w:rsidRPr="004B1929" w:rsidRDefault="00170A8A">
            <w:pPr>
              <w:rPr>
                <w:rFonts w:ascii="Cambria" w:hAnsi="Cambria"/>
                <w:bCs/>
                <w:sz w:val="20"/>
                <w:szCs w:val="20"/>
                <w:lang w:val="es-PE"/>
              </w:rPr>
            </w:pPr>
            <w:r w:rsidRPr="004B1929">
              <w:rPr>
                <w:rFonts w:ascii="Cambria" w:hAnsi="Cambria"/>
                <w:bCs/>
                <w:sz w:val="20"/>
                <w:szCs w:val="20"/>
                <w:lang w:val="es-PE"/>
              </w:rPr>
              <w:t>Sí, en los términos de la sección VI</w:t>
            </w:r>
          </w:p>
        </w:tc>
      </w:tr>
    </w:tbl>
    <w:p w14:paraId="18E6423B" w14:textId="0107F3A7" w:rsidR="003239B8" w:rsidRPr="00021B73" w:rsidRDefault="00223A29" w:rsidP="00EF76F5">
      <w:pPr>
        <w:spacing w:before="240" w:after="240"/>
        <w:ind w:firstLine="720"/>
        <w:jc w:val="both"/>
        <w:rPr>
          <w:rFonts w:asciiTheme="majorHAnsi" w:hAnsiTheme="majorHAnsi"/>
          <w:b/>
          <w:sz w:val="20"/>
          <w:szCs w:val="20"/>
          <w:lang w:val="es-ES"/>
        </w:rPr>
      </w:pPr>
      <w:r w:rsidRPr="00021B73">
        <w:rPr>
          <w:rFonts w:asciiTheme="majorHAnsi" w:hAnsiTheme="majorHAnsi"/>
          <w:b/>
          <w:sz w:val="20"/>
          <w:szCs w:val="20"/>
          <w:lang w:val="es-ES"/>
        </w:rPr>
        <w:t xml:space="preserve">V. </w:t>
      </w:r>
      <w:r w:rsidRPr="00021B73">
        <w:rPr>
          <w:rFonts w:asciiTheme="majorHAnsi" w:hAnsiTheme="majorHAnsi"/>
          <w:b/>
          <w:sz w:val="20"/>
          <w:szCs w:val="20"/>
          <w:lang w:val="es-ES"/>
        </w:rPr>
        <w:tab/>
      </w:r>
      <w:r w:rsidR="00867314" w:rsidRPr="00021B73">
        <w:rPr>
          <w:rFonts w:asciiTheme="majorHAnsi" w:hAnsiTheme="majorHAnsi"/>
          <w:b/>
          <w:sz w:val="20"/>
          <w:szCs w:val="20"/>
          <w:lang w:val="es-ES"/>
        </w:rPr>
        <w:t>POSICIÓN DE LAS PARTES</w:t>
      </w:r>
    </w:p>
    <w:p w14:paraId="16FB6418" w14:textId="5EB79371" w:rsidR="0083100C" w:rsidRPr="00021B73" w:rsidRDefault="007F7C5F" w:rsidP="00EF76F5">
      <w:pPr>
        <w:spacing w:before="240" w:after="240"/>
        <w:ind w:firstLine="720"/>
        <w:jc w:val="both"/>
        <w:rPr>
          <w:rFonts w:asciiTheme="majorHAnsi" w:hAnsiTheme="majorHAnsi"/>
          <w:b/>
          <w:sz w:val="20"/>
          <w:szCs w:val="20"/>
          <w:lang w:val="es-ES"/>
        </w:rPr>
      </w:pPr>
      <w:r w:rsidRPr="00021B73">
        <w:rPr>
          <w:rFonts w:asciiTheme="majorHAnsi" w:hAnsiTheme="majorHAnsi"/>
          <w:b/>
          <w:sz w:val="20"/>
          <w:szCs w:val="20"/>
          <w:lang w:val="es-ES"/>
        </w:rPr>
        <w:t>L</w:t>
      </w:r>
      <w:r w:rsidR="0083100C" w:rsidRPr="00021B73">
        <w:rPr>
          <w:rFonts w:asciiTheme="majorHAnsi" w:hAnsiTheme="majorHAnsi"/>
          <w:b/>
          <w:sz w:val="20"/>
          <w:szCs w:val="20"/>
          <w:lang w:val="es-ES"/>
        </w:rPr>
        <w:t>a parte peticionaria</w:t>
      </w:r>
    </w:p>
    <w:p w14:paraId="3D885690" w14:textId="6D929394" w:rsidR="0055133A" w:rsidRPr="00021B73" w:rsidRDefault="003540AB" w:rsidP="003540A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La parte peticionaria denuncia que el señor José Guillermo Meza Beteta (en adelante, “la presunta víctima” o “el señor Meza”) fue sometido a un proceso penal sin las debidas garantías judiciales, el cual culminó con su condena a siete años de pena privativa de libertad. Alega que dicho proceso </w:t>
      </w:r>
      <w:r w:rsidR="00904EED" w:rsidRPr="00021B73">
        <w:rPr>
          <w:rFonts w:ascii="Cambria" w:hAnsi="Cambria"/>
          <w:sz w:val="20"/>
          <w:szCs w:val="20"/>
          <w:lang w:val="es-ES"/>
        </w:rPr>
        <w:t>fue</w:t>
      </w:r>
      <w:r w:rsidRPr="00021B73">
        <w:rPr>
          <w:rFonts w:ascii="Cambria" w:hAnsi="Cambria"/>
          <w:sz w:val="20"/>
          <w:szCs w:val="20"/>
          <w:lang w:val="es-ES"/>
        </w:rPr>
        <w:t xml:space="preserve"> promovido </w:t>
      </w:r>
      <w:r w:rsidRPr="00021B73">
        <w:rPr>
          <w:rFonts w:ascii="Cambria" w:hAnsi="Cambria"/>
          <w:sz w:val="20"/>
          <w:szCs w:val="20"/>
          <w:lang w:val="es-ES"/>
        </w:rPr>
        <w:lastRenderedPageBreak/>
        <w:t>como represalia por su negativa a aceptar presiones indebidas en el marco de un conflicto contractual con una autoridad municipal.</w:t>
      </w:r>
    </w:p>
    <w:p w14:paraId="1188A213" w14:textId="05E31AC7" w:rsidR="0055133A" w:rsidRPr="00021B73" w:rsidRDefault="00FF1880" w:rsidP="0055133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021B73">
        <w:rPr>
          <w:rFonts w:asciiTheme="majorHAnsi" w:hAnsiTheme="majorHAnsi"/>
          <w:sz w:val="20"/>
          <w:szCs w:val="20"/>
          <w:lang w:val="es-ES"/>
        </w:rPr>
        <w:t>L</w:t>
      </w:r>
      <w:r w:rsidR="0055133A" w:rsidRPr="00021B73">
        <w:rPr>
          <w:rFonts w:asciiTheme="majorHAnsi" w:hAnsiTheme="majorHAnsi"/>
          <w:sz w:val="20"/>
          <w:szCs w:val="20"/>
          <w:lang w:val="es-ES"/>
        </w:rPr>
        <w:t xml:space="preserve">a </w:t>
      </w:r>
      <w:r w:rsidR="00941780" w:rsidRPr="00021B73">
        <w:rPr>
          <w:rFonts w:asciiTheme="majorHAnsi" w:hAnsiTheme="majorHAnsi"/>
          <w:sz w:val="20"/>
          <w:szCs w:val="20"/>
          <w:lang w:val="es-ES"/>
        </w:rPr>
        <w:t xml:space="preserve">parte peticionaria narra que la </w:t>
      </w:r>
      <w:r w:rsidR="0055133A" w:rsidRPr="00021B73">
        <w:rPr>
          <w:rFonts w:asciiTheme="majorHAnsi" w:hAnsiTheme="majorHAnsi"/>
          <w:sz w:val="20"/>
          <w:szCs w:val="20"/>
          <w:lang w:val="es-ES"/>
        </w:rPr>
        <w:t>presunta víctima era el gerente general de la empresa VARMEZ S.A.C</w:t>
      </w:r>
      <w:r w:rsidR="002B2513" w:rsidRPr="00021B73">
        <w:rPr>
          <w:rFonts w:asciiTheme="majorHAnsi" w:hAnsiTheme="majorHAnsi"/>
          <w:sz w:val="20"/>
          <w:szCs w:val="20"/>
          <w:lang w:val="es-ES"/>
        </w:rPr>
        <w:t>;</w:t>
      </w:r>
      <w:r w:rsidR="0055133A" w:rsidRPr="00021B73">
        <w:rPr>
          <w:rFonts w:asciiTheme="majorHAnsi" w:hAnsiTheme="majorHAnsi"/>
          <w:sz w:val="20"/>
          <w:szCs w:val="20"/>
          <w:lang w:val="es-ES"/>
        </w:rPr>
        <w:t xml:space="preserve"> </w:t>
      </w:r>
      <w:r w:rsidR="002B2513" w:rsidRPr="00021B73">
        <w:rPr>
          <w:rFonts w:asciiTheme="majorHAnsi" w:hAnsiTheme="majorHAnsi"/>
          <w:sz w:val="20"/>
          <w:szCs w:val="20"/>
          <w:lang w:val="es-ES"/>
        </w:rPr>
        <w:t>e</w:t>
      </w:r>
      <w:r w:rsidR="0055133A" w:rsidRPr="00021B73">
        <w:rPr>
          <w:rFonts w:asciiTheme="majorHAnsi" w:hAnsiTheme="majorHAnsi"/>
          <w:sz w:val="20"/>
          <w:szCs w:val="20"/>
          <w:lang w:val="es-ES"/>
        </w:rPr>
        <w:t>n diciembre de 2005 esta compañía suscribió una serie de contratos con la Municipalidad Distrital de Cuchumbaya para la provisión de servicios de telefonía e internet en zonas altoandinas de Moquegua. Según alega la empresa ejecutó íntegramente el proyecto; sin embargo, tras el cambio de administración municipal las nuevas autoridades se habrían negado a reconocer la deuda pendiente y a efectuar el pago correspondiente, lo que dio lugar a un conflicto contractual. Como consecuencia, la empresa inició un arbitraje ante la Cámara de Comercio de Lima</w:t>
      </w:r>
      <w:r w:rsidR="001E017E" w:rsidRPr="00021B73">
        <w:rPr>
          <w:rFonts w:asciiTheme="majorHAnsi" w:hAnsiTheme="majorHAnsi"/>
          <w:sz w:val="20"/>
          <w:szCs w:val="20"/>
          <w:lang w:val="es-ES"/>
        </w:rPr>
        <w:t>,</w:t>
      </w:r>
      <w:r w:rsidR="000E2A64" w:rsidRPr="00021B73">
        <w:rPr>
          <w:rFonts w:asciiTheme="majorHAnsi" w:hAnsiTheme="majorHAnsi"/>
          <w:sz w:val="20"/>
          <w:szCs w:val="20"/>
          <w:lang w:val="es-ES"/>
        </w:rPr>
        <w:t xml:space="preserve"> </w:t>
      </w:r>
      <w:r w:rsidR="001E017E" w:rsidRPr="00021B73">
        <w:rPr>
          <w:rFonts w:asciiTheme="majorHAnsi" w:hAnsiTheme="majorHAnsi"/>
          <w:sz w:val="20"/>
          <w:szCs w:val="20"/>
          <w:lang w:val="es-ES"/>
        </w:rPr>
        <w:t>cuyo</w:t>
      </w:r>
      <w:r w:rsidR="0055133A" w:rsidRPr="00021B73">
        <w:rPr>
          <w:rFonts w:asciiTheme="majorHAnsi" w:hAnsiTheme="majorHAnsi"/>
          <w:sz w:val="20"/>
          <w:szCs w:val="20"/>
          <w:lang w:val="es-ES"/>
        </w:rPr>
        <w:t xml:space="preserve"> laudo arbitral </w:t>
      </w:r>
      <w:r w:rsidR="001E017E" w:rsidRPr="00021B73">
        <w:rPr>
          <w:rFonts w:asciiTheme="majorHAnsi" w:hAnsiTheme="majorHAnsi"/>
          <w:sz w:val="20"/>
          <w:szCs w:val="20"/>
          <w:lang w:val="es-ES"/>
        </w:rPr>
        <w:t>declaró</w:t>
      </w:r>
      <w:r w:rsidR="0055133A" w:rsidRPr="00021B73">
        <w:rPr>
          <w:rFonts w:asciiTheme="majorHAnsi" w:hAnsiTheme="majorHAnsi"/>
          <w:sz w:val="20"/>
          <w:szCs w:val="20"/>
          <w:lang w:val="es-ES"/>
        </w:rPr>
        <w:t xml:space="preserve"> fundada la demanda interpuesta por VARMEZ S.A.C., condenando a la </w:t>
      </w:r>
      <w:r w:rsidR="00A012BE" w:rsidRPr="00021B73">
        <w:rPr>
          <w:rFonts w:asciiTheme="majorHAnsi" w:hAnsiTheme="majorHAnsi"/>
          <w:sz w:val="20"/>
          <w:szCs w:val="20"/>
          <w:lang w:val="es-ES"/>
        </w:rPr>
        <w:t>m</w:t>
      </w:r>
      <w:r w:rsidR="0055133A" w:rsidRPr="00021B73">
        <w:rPr>
          <w:rFonts w:asciiTheme="majorHAnsi" w:hAnsiTheme="majorHAnsi"/>
          <w:sz w:val="20"/>
          <w:szCs w:val="20"/>
          <w:lang w:val="es-ES"/>
        </w:rPr>
        <w:t xml:space="preserve">unicipalidad al pago de S/. 327,997.18 por capital y S/. 216,450.51 por intereses, por incumplimientos contractuales. La propia </w:t>
      </w:r>
      <w:r w:rsidR="00A012BE" w:rsidRPr="00021B73">
        <w:rPr>
          <w:rFonts w:asciiTheme="majorHAnsi" w:hAnsiTheme="majorHAnsi"/>
          <w:sz w:val="20"/>
          <w:szCs w:val="20"/>
          <w:lang w:val="es-ES"/>
        </w:rPr>
        <w:t>m</w:t>
      </w:r>
      <w:r w:rsidR="0055133A" w:rsidRPr="00021B73">
        <w:rPr>
          <w:rFonts w:asciiTheme="majorHAnsi" w:hAnsiTheme="majorHAnsi"/>
          <w:sz w:val="20"/>
          <w:szCs w:val="20"/>
          <w:lang w:val="es-ES"/>
        </w:rPr>
        <w:t>unicipalidad reconoció dicha obligación</w:t>
      </w:r>
      <w:r w:rsidR="001C204F" w:rsidRPr="00021B73">
        <w:rPr>
          <w:rFonts w:asciiTheme="majorHAnsi" w:hAnsiTheme="majorHAnsi"/>
          <w:sz w:val="20"/>
          <w:szCs w:val="20"/>
          <w:lang w:val="es-ES"/>
        </w:rPr>
        <w:t xml:space="preserve"> y</w:t>
      </w:r>
      <w:r w:rsidR="0055133A" w:rsidRPr="00021B73">
        <w:rPr>
          <w:rFonts w:asciiTheme="majorHAnsi" w:hAnsiTheme="majorHAnsi"/>
          <w:sz w:val="20"/>
          <w:szCs w:val="20"/>
          <w:lang w:val="es-ES"/>
        </w:rPr>
        <w:t xml:space="preserve"> aprobó un calendario de pagos.</w:t>
      </w:r>
    </w:p>
    <w:p w14:paraId="5796FFC2" w14:textId="49C84EB2" w:rsidR="000B7833" w:rsidRPr="00021B73" w:rsidRDefault="000B7833" w:rsidP="000B7833">
      <w:pPr>
        <w:pStyle w:val="ListParagraph"/>
        <w:numPr>
          <w:ilvl w:val="0"/>
          <w:numId w:val="103"/>
        </w:numPr>
        <w:jc w:val="both"/>
        <w:rPr>
          <w:rFonts w:eastAsia="Arial Unicode MS" w:cs="Times New Roman"/>
          <w:color w:val="auto"/>
          <w:sz w:val="20"/>
          <w:szCs w:val="20"/>
          <w:lang w:val="es-ES" w:eastAsia="en-US"/>
        </w:rPr>
      </w:pPr>
      <w:r w:rsidRPr="00021B73">
        <w:rPr>
          <w:rFonts w:eastAsia="Arial Unicode MS" w:cs="Times New Roman"/>
          <w:color w:val="auto"/>
          <w:sz w:val="20"/>
          <w:szCs w:val="20"/>
          <w:lang w:val="es-ES" w:eastAsia="en-US"/>
        </w:rPr>
        <w:t xml:space="preserve">A pesar del reconocimiento del cumplimiento contractual por parte de la empresa, el </w:t>
      </w:r>
      <w:r w:rsidR="00F220A4" w:rsidRPr="00021B73">
        <w:rPr>
          <w:rFonts w:eastAsia="Arial Unicode MS" w:cs="Times New Roman"/>
          <w:color w:val="auto"/>
          <w:sz w:val="20"/>
          <w:szCs w:val="20"/>
          <w:lang w:val="es-ES" w:eastAsia="en-US"/>
        </w:rPr>
        <w:t>nuevo</w:t>
      </w:r>
      <w:r w:rsidRPr="00021B73">
        <w:rPr>
          <w:rFonts w:eastAsia="Arial Unicode MS" w:cs="Times New Roman"/>
          <w:color w:val="auto"/>
          <w:sz w:val="20"/>
          <w:szCs w:val="20"/>
          <w:lang w:val="es-ES" w:eastAsia="en-US"/>
        </w:rPr>
        <w:t xml:space="preserve"> alcalde </w:t>
      </w:r>
      <w:r w:rsidR="00D1623D" w:rsidRPr="00021B73">
        <w:rPr>
          <w:rFonts w:eastAsia="Arial Unicode MS" w:cs="Times New Roman"/>
          <w:color w:val="auto"/>
          <w:sz w:val="20"/>
          <w:szCs w:val="20"/>
          <w:lang w:val="es-ES" w:eastAsia="en-US"/>
        </w:rPr>
        <w:t>habría condicionado</w:t>
      </w:r>
      <w:r w:rsidRPr="00021B73">
        <w:rPr>
          <w:rFonts w:eastAsia="Arial Unicode MS" w:cs="Times New Roman"/>
          <w:color w:val="auto"/>
          <w:sz w:val="20"/>
          <w:szCs w:val="20"/>
          <w:lang w:val="es-ES" w:eastAsia="en-US"/>
        </w:rPr>
        <w:t xml:space="preserve"> el pago de la deuda pendiente al cumplimiento de exigencias económicas indebidas. Ante la negativa del señor Meza Beteta </w:t>
      </w:r>
      <w:r w:rsidR="00D708C8" w:rsidRPr="00021B73">
        <w:rPr>
          <w:rFonts w:eastAsia="Arial Unicode MS" w:cs="Times New Roman"/>
          <w:color w:val="auto"/>
          <w:sz w:val="20"/>
          <w:szCs w:val="20"/>
          <w:lang w:val="es-ES" w:eastAsia="en-US"/>
        </w:rPr>
        <w:t>a hacer estos pagos</w:t>
      </w:r>
      <w:r w:rsidRPr="00021B73">
        <w:rPr>
          <w:rFonts w:eastAsia="Arial Unicode MS" w:cs="Times New Roman"/>
          <w:color w:val="auto"/>
          <w:sz w:val="20"/>
          <w:szCs w:val="20"/>
          <w:lang w:val="es-ES" w:eastAsia="en-US"/>
        </w:rPr>
        <w:t xml:space="preserve">, </w:t>
      </w:r>
      <w:r w:rsidR="00817492" w:rsidRPr="00021B73">
        <w:rPr>
          <w:rFonts w:eastAsia="Arial Unicode MS" w:cs="Times New Roman"/>
          <w:color w:val="auto"/>
          <w:sz w:val="20"/>
          <w:szCs w:val="20"/>
          <w:lang w:val="es-ES" w:eastAsia="en-US"/>
        </w:rPr>
        <w:t>aquel</w:t>
      </w:r>
      <w:r w:rsidRPr="00021B73">
        <w:rPr>
          <w:rFonts w:eastAsia="Arial Unicode MS" w:cs="Times New Roman"/>
          <w:color w:val="auto"/>
          <w:sz w:val="20"/>
          <w:szCs w:val="20"/>
          <w:lang w:val="es-ES" w:eastAsia="en-US"/>
        </w:rPr>
        <w:t xml:space="preserve"> habría ordenado el desmantelamiento de la infraestructura instalada por la empresa y promovido acciones para desconocer la validez de lo ejecutado. Como parte de esta estrategia</w:t>
      </w:r>
      <w:r w:rsidR="006E5149" w:rsidRPr="00021B73">
        <w:rPr>
          <w:rFonts w:eastAsia="Arial Unicode MS" w:cs="Times New Roman"/>
          <w:color w:val="auto"/>
          <w:sz w:val="20"/>
          <w:szCs w:val="20"/>
          <w:lang w:val="es-ES" w:eastAsia="en-US"/>
        </w:rPr>
        <w:t>,</w:t>
      </w:r>
      <w:r w:rsidRPr="00021B73">
        <w:rPr>
          <w:rFonts w:eastAsia="Arial Unicode MS" w:cs="Times New Roman"/>
          <w:color w:val="auto"/>
          <w:sz w:val="20"/>
          <w:szCs w:val="20"/>
          <w:lang w:val="es-ES" w:eastAsia="en-US"/>
        </w:rPr>
        <w:t xml:space="preserve"> </w:t>
      </w:r>
      <w:r w:rsidR="00817492" w:rsidRPr="00021B73">
        <w:rPr>
          <w:rFonts w:eastAsia="Arial Unicode MS" w:cs="Times New Roman"/>
          <w:color w:val="auto"/>
          <w:sz w:val="20"/>
          <w:szCs w:val="20"/>
          <w:lang w:val="es-ES" w:eastAsia="en-US"/>
        </w:rPr>
        <w:t xml:space="preserve">el alcalde </w:t>
      </w:r>
      <w:r w:rsidRPr="00021B73">
        <w:rPr>
          <w:rFonts w:eastAsia="Arial Unicode MS" w:cs="Times New Roman"/>
          <w:color w:val="auto"/>
          <w:sz w:val="20"/>
          <w:szCs w:val="20"/>
          <w:lang w:val="es-ES" w:eastAsia="en-US"/>
        </w:rPr>
        <w:t>habría encargado un peritaje de parte, cuyos resultados fueron utilizados como base para formular una denuncia penal contra la presunta víctima por el delito de colusión con el anterior alcalde. La parte peticionaria sostiene que dicha denuncia carecía de sustento técnico, pues no se realizó un peritaje oficial e imparcial que determinara la supuesta sobrevaloración</w:t>
      </w:r>
      <w:r w:rsidR="006E5149" w:rsidRPr="00021B73">
        <w:rPr>
          <w:rFonts w:eastAsia="Arial Unicode MS" w:cs="Times New Roman"/>
          <w:color w:val="auto"/>
          <w:sz w:val="20"/>
          <w:szCs w:val="20"/>
          <w:lang w:val="es-ES" w:eastAsia="en-US"/>
        </w:rPr>
        <w:t>;</w:t>
      </w:r>
      <w:r w:rsidRPr="00021B73">
        <w:rPr>
          <w:rFonts w:eastAsia="Arial Unicode MS" w:cs="Times New Roman"/>
          <w:color w:val="auto"/>
          <w:sz w:val="20"/>
          <w:szCs w:val="20"/>
          <w:lang w:val="es-ES" w:eastAsia="en-US"/>
        </w:rPr>
        <w:t xml:space="preserve"> </w:t>
      </w:r>
      <w:r w:rsidR="006E5149" w:rsidRPr="00021B73">
        <w:rPr>
          <w:rFonts w:eastAsia="Arial Unicode MS" w:cs="Times New Roman"/>
          <w:color w:val="auto"/>
          <w:sz w:val="20"/>
          <w:szCs w:val="20"/>
          <w:lang w:val="es-ES" w:eastAsia="en-US"/>
        </w:rPr>
        <w:t>así como tampoco</w:t>
      </w:r>
      <w:r w:rsidRPr="00021B73">
        <w:rPr>
          <w:rFonts w:eastAsia="Arial Unicode MS" w:cs="Times New Roman"/>
          <w:color w:val="auto"/>
          <w:sz w:val="20"/>
          <w:szCs w:val="20"/>
          <w:lang w:val="es-ES" w:eastAsia="en-US"/>
        </w:rPr>
        <w:t xml:space="preserve"> se brindaron garantías para ejercer un adecuado control sobre la prueba utilizada en su contra.</w:t>
      </w:r>
    </w:p>
    <w:p w14:paraId="14B0D901" w14:textId="77777777" w:rsidR="000B7833" w:rsidRPr="00021B73" w:rsidRDefault="000B7833" w:rsidP="000B7833">
      <w:pPr>
        <w:pStyle w:val="ListParagraph"/>
        <w:jc w:val="both"/>
        <w:rPr>
          <w:rFonts w:eastAsia="Arial Unicode MS" w:cs="Times New Roman"/>
          <w:color w:val="auto"/>
          <w:sz w:val="20"/>
          <w:szCs w:val="20"/>
          <w:lang w:val="es-ES" w:eastAsia="en-US"/>
        </w:rPr>
      </w:pPr>
    </w:p>
    <w:p w14:paraId="1E08DC10" w14:textId="65C02734" w:rsidR="00FC03A7" w:rsidRPr="00021B73" w:rsidRDefault="00BF0853" w:rsidP="00BF0853">
      <w:pPr>
        <w:pStyle w:val="ListParagraph"/>
        <w:numPr>
          <w:ilvl w:val="0"/>
          <w:numId w:val="103"/>
        </w:numPr>
        <w:jc w:val="both"/>
        <w:rPr>
          <w:rFonts w:eastAsia="Arial Unicode MS" w:cs="Times New Roman"/>
          <w:color w:val="auto"/>
          <w:sz w:val="20"/>
          <w:szCs w:val="20"/>
          <w:lang w:val="es-ES" w:eastAsia="en-US"/>
        </w:rPr>
      </w:pPr>
      <w:r w:rsidRPr="00021B73">
        <w:rPr>
          <w:rFonts w:eastAsia="Arial Unicode MS" w:cs="Times New Roman"/>
          <w:color w:val="auto"/>
          <w:sz w:val="20"/>
          <w:szCs w:val="20"/>
          <w:lang w:val="es-ES" w:eastAsia="en-US"/>
        </w:rPr>
        <w:t>Alega que</w:t>
      </w:r>
      <w:r w:rsidR="00E47655" w:rsidRPr="00021B73">
        <w:rPr>
          <w:rFonts w:eastAsia="Arial Unicode MS" w:cs="Times New Roman"/>
          <w:color w:val="auto"/>
          <w:sz w:val="20"/>
          <w:szCs w:val="20"/>
          <w:lang w:val="es-ES" w:eastAsia="en-US"/>
        </w:rPr>
        <w:t xml:space="preserve"> </w:t>
      </w:r>
      <w:r w:rsidRPr="00021B73">
        <w:rPr>
          <w:rFonts w:eastAsia="Arial Unicode MS" w:cs="Times New Roman"/>
          <w:color w:val="auto"/>
          <w:sz w:val="20"/>
          <w:szCs w:val="20"/>
          <w:lang w:val="es-ES" w:eastAsia="en-US"/>
        </w:rPr>
        <w:t xml:space="preserve">luego de más de tres años de investigación la Fiscalía Provincial solicitó el sobreseimiento del caso el 24 de marzo de 2010, argumentando que no existía una pericia oficial que sustentara la sobrevaloración denunciada y que los hechos investigados no configuraban el delito de colusión. No obstante, mediante Disposición N.º 360-2010 del 10 de diciembre de 2010, el Fiscal Superior revocó dicha solicitud y ordenó formular acusación penal contra José Guillermo Meza Beteta por el delito de colusión, disponiendo además la exclusión del fiscal provincial del caso. </w:t>
      </w:r>
    </w:p>
    <w:p w14:paraId="54EF1E50" w14:textId="77777777" w:rsidR="00FC03A7" w:rsidRPr="00021B73" w:rsidRDefault="00FC03A7" w:rsidP="00FC03A7">
      <w:pPr>
        <w:pStyle w:val="ListParagraph"/>
        <w:rPr>
          <w:rFonts w:eastAsia="Arial Unicode MS" w:cs="Times New Roman"/>
          <w:color w:val="auto"/>
          <w:sz w:val="20"/>
          <w:szCs w:val="20"/>
          <w:lang w:val="es-ES" w:eastAsia="en-US"/>
        </w:rPr>
      </w:pPr>
    </w:p>
    <w:p w14:paraId="4365FFAA" w14:textId="4EDEDAFB" w:rsidR="00BF0853" w:rsidRPr="00021B73" w:rsidRDefault="00AA1F66" w:rsidP="002B70A4">
      <w:pPr>
        <w:pStyle w:val="ListParagraph"/>
        <w:numPr>
          <w:ilvl w:val="0"/>
          <w:numId w:val="103"/>
        </w:numPr>
        <w:jc w:val="both"/>
        <w:rPr>
          <w:rFonts w:eastAsia="Arial Unicode MS" w:cs="Times New Roman"/>
          <w:color w:val="auto"/>
          <w:sz w:val="20"/>
          <w:szCs w:val="20"/>
          <w:lang w:val="es-ES" w:eastAsia="en-US"/>
        </w:rPr>
      </w:pPr>
      <w:r w:rsidRPr="00021B73">
        <w:rPr>
          <w:rFonts w:eastAsia="Arial Unicode MS" w:cs="Times New Roman"/>
          <w:color w:val="auto"/>
          <w:sz w:val="20"/>
          <w:szCs w:val="20"/>
          <w:lang w:val="es-ES" w:eastAsia="en-US"/>
        </w:rPr>
        <w:t>E</w:t>
      </w:r>
      <w:r w:rsidR="002C52FA" w:rsidRPr="00021B73">
        <w:rPr>
          <w:rFonts w:eastAsia="Arial Unicode MS" w:cs="Times New Roman"/>
          <w:color w:val="auto"/>
          <w:sz w:val="20"/>
          <w:szCs w:val="20"/>
          <w:lang w:val="es-ES" w:eastAsia="en-US"/>
        </w:rPr>
        <w:t xml:space="preserve">l </w:t>
      </w:r>
      <w:r w:rsidR="002B70A4" w:rsidRPr="00021B73">
        <w:rPr>
          <w:rFonts w:eastAsia="Arial Unicode MS" w:cs="Times New Roman"/>
          <w:color w:val="auto"/>
          <w:sz w:val="20"/>
          <w:szCs w:val="20"/>
          <w:lang w:val="es-ES" w:eastAsia="en-US"/>
        </w:rPr>
        <w:t xml:space="preserve">18 de febrero de 2011 el nuevo fiscal formuló la acusación penal contra la presunta víctima. </w:t>
      </w:r>
      <w:r w:rsidR="00BF0853" w:rsidRPr="00021B73">
        <w:rPr>
          <w:sz w:val="20"/>
          <w:szCs w:val="20"/>
          <w:lang w:val="es-ES"/>
        </w:rPr>
        <w:t xml:space="preserve">Según la parte peticionaria </w:t>
      </w:r>
      <w:r w:rsidR="00054D35" w:rsidRPr="00021B73">
        <w:rPr>
          <w:sz w:val="20"/>
          <w:szCs w:val="20"/>
          <w:lang w:val="es-ES"/>
        </w:rPr>
        <w:t>este agente</w:t>
      </w:r>
      <w:r w:rsidR="00BF0853" w:rsidRPr="00021B73">
        <w:rPr>
          <w:sz w:val="20"/>
          <w:szCs w:val="20"/>
          <w:lang w:val="es-ES"/>
        </w:rPr>
        <w:t xml:space="preserve"> no había intervenido en la etapa de investigación preliminar ni en la instrucción, y se habría limitado a acatar la orden de su superior sin realizar una valoración autónoma de los elementos del caso. Asimismo, indica que dicha acusación introdujo la figura penal de “concertación” como parte del hecho delictivo, sin que esta hubiera sido previamente formulada ni notificada en la etapa de formalización, lo que</w:t>
      </w:r>
      <w:r w:rsidR="0027326A" w:rsidRPr="00021B73">
        <w:rPr>
          <w:sz w:val="20"/>
          <w:szCs w:val="20"/>
          <w:lang w:val="es-ES"/>
        </w:rPr>
        <w:t> </w:t>
      </w:r>
      <w:r w:rsidR="00BF0853" w:rsidRPr="00021B73">
        <w:rPr>
          <w:sz w:val="20"/>
          <w:szCs w:val="20"/>
          <w:lang w:val="es-ES"/>
        </w:rPr>
        <w:t>a su juicio vulneró el principio de legalidad y su derecho a ejercer una defensa adecuada.</w:t>
      </w:r>
    </w:p>
    <w:p w14:paraId="2F838CD8" w14:textId="77777777" w:rsidR="00BF0853" w:rsidRPr="00021B73" w:rsidRDefault="00BF0853" w:rsidP="00BF0853">
      <w:pPr>
        <w:pStyle w:val="ListParagraph"/>
        <w:jc w:val="both"/>
        <w:rPr>
          <w:rFonts w:eastAsia="Arial Unicode MS" w:cs="Times New Roman"/>
          <w:color w:val="auto"/>
          <w:sz w:val="20"/>
          <w:szCs w:val="20"/>
          <w:lang w:val="es-ES" w:eastAsia="en-US"/>
        </w:rPr>
      </w:pPr>
    </w:p>
    <w:p w14:paraId="25D0A2F7" w14:textId="161A604F" w:rsidR="00BC3827" w:rsidRPr="00021B73" w:rsidRDefault="003709A9" w:rsidP="003709A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Como resultado</w:t>
      </w:r>
      <w:r w:rsidR="00BC3827" w:rsidRPr="00021B73">
        <w:rPr>
          <w:rFonts w:ascii="Cambria" w:hAnsi="Cambria"/>
          <w:sz w:val="20"/>
          <w:szCs w:val="20"/>
          <w:lang w:val="es-ES"/>
        </w:rPr>
        <w:t xml:space="preserve">, </w:t>
      </w:r>
      <w:r w:rsidR="00B20919" w:rsidRPr="00021B73">
        <w:rPr>
          <w:rFonts w:ascii="Cambria" w:hAnsi="Cambria"/>
          <w:sz w:val="20"/>
          <w:szCs w:val="20"/>
          <w:lang w:val="es-ES"/>
        </w:rPr>
        <w:t xml:space="preserve">y luego de </w:t>
      </w:r>
      <w:r w:rsidR="007F316B" w:rsidRPr="00021B73">
        <w:rPr>
          <w:rFonts w:ascii="Cambria" w:hAnsi="Cambria"/>
          <w:sz w:val="20"/>
          <w:szCs w:val="20"/>
          <w:lang w:val="es-ES"/>
        </w:rPr>
        <w:t xml:space="preserve">varios recursos interpuestos por ambas partes, </w:t>
      </w:r>
      <w:r w:rsidR="00BC3827" w:rsidRPr="00021B73">
        <w:rPr>
          <w:rFonts w:ascii="Cambria" w:hAnsi="Cambria"/>
          <w:sz w:val="20"/>
          <w:szCs w:val="20"/>
          <w:lang w:val="es-ES"/>
        </w:rPr>
        <w:t xml:space="preserve">el </w:t>
      </w:r>
      <w:r w:rsidRPr="00021B73">
        <w:rPr>
          <w:rFonts w:ascii="Cambria" w:hAnsi="Cambria"/>
          <w:sz w:val="20"/>
          <w:szCs w:val="20"/>
          <w:lang w:val="es-ES"/>
        </w:rPr>
        <w:t xml:space="preserve">4 de febrero de 2013 </w:t>
      </w:r>
      <w:r w:rsidR="002D496B" w:rsidRPr="00021B73">
        <w:rPr>
          <w:rFonts w:ascii="Cambria" w:hAnsi="Cambria"/>
          <w:sz w:val="20"/>
          <w:szCs w:val="20"/>
          <w:lang w:val="es-ES"/>
        </w:rPr>
        <w:t>el Tercer Juzgado Unipersonal</w:t>
      </w:r>
      <w:r w:rsidRPr="00021B73">
        <w:rPr>
          <w:rFonts w:ascii="Cambria" w:hAnsi="Cambria"/>
          <w:sz w:val="20"/>
          <w:szCs w:val="20"/>
          <w:lang w:val="es-ES"/>
        </w:rPr>
        <w:t xml:space="preserve"> condenó al señor Meza</w:t>
      </w:r>
      <w:r w:rsidR="000706A0" w:rsidRPr="00021B73">
        <w:rPr>
          <w:rFonts w:ascii="Cambria" w:hAnsi="Cambria"/>
          <w:sz w:val="20"/>
          <w:szCs w:val="20"/>
          <w:lang w:val="es-ES"/>
        </w:rPr>
        <w:t xml:space="preserve"> por el delito de colusión</w:t>
      </w:r>
      <w:r w:rsidRPr="00021B73">
        <w:rPr>
          <w:rFonts w:ascii="Cambria" w:hAnsi="Cambria"/>
          <w:sz w:val="20"/>
          <w:szCs w:val="20"/>
          <w:lang w:val="es-ES"/>
        </w:rPr>
        <w:t xml:space="preserve"> a </w:t>
      </w:r>
      <w:r w:rsidR="00BC3827" w:rsidRPr="00021B73">
        <w:rPr>
          <w:rFonts w:ascii="Cambria" w:hAnsi="Cambria"/>
          <w:sz w:val="20"/>
          <w:szCs w:val="20"/>
          <w:lang w:val="es-ES"/>
        </w:rPr>
        <w:t>siete años de prisión efectiva</w:t>
      </w:r>
      <w:r w:rsidR="006250D5" w:rsidRPr="00021B73">
        <w:rPr>
          <w:rFonts w:ascii="Cambria" w:hAnsi="Cambria"/>
          <w:sz w:val="20"/>
          <w:szCs w:val="20"/>
          <w:lang w:val="es-ES"/>
        </w:rPr>
        <w:t xml:space="preserve"> </w:t>
      </w:r>
      <w:r w:rsidR="00BC3827" w:rsidRPr="00021B73">
        <w:rPr>
          <w:rFonts w:ascii="Cambria" w:hAnsi="Cambria"/>
          <w:sz w:val="20"/>
          <w:szCs w:val="20"/>
          <w:lang w:val="es-ES"/>
        </w:rPr>
        <w:t xml:space="preserve">y una reparación civil de S/. 708,303.66, pese a que el laudo arbitral había acreditado el cumplimiento del contrato por parte de la empresa. La sentencia se sustentó en un informe pericial que, según la parte peticionaria, fue elaborado de forma irregular y sin permitir el contradictorio. </w:t>
      </w:r>
      <w:r w:rsidR="009648CB" w:rsidRPr="00021B73">
        <w:rPr>
          <w:rFonts w:ascii="Cambria" w:hAnsi="Cambria"/>
          <w:sz w:val="20"/>
          <w:szCs w:val="20"/>
          <w:lang w:val="es-ES"/>
        </w:rPr>
        <w:t>Esta a</w:t>
      </w:r>
      <w:r w:rsidR="00BC3827" w:rsidRPr="00021B73">
        <w:rPr>
          <w:rFonts w:ascii="Cambria" w:hAnsi="Cambria"/>
          <w:sz w:val="20"/>
          <w:szCs w:val="20"/>
          <w:lang w:val="es-ES"/>
        </w:rPr>
        <w:t xml:space="preserve">lega </w:t>
      </w:r>
      <w:r w:rsidR="009648CB" w:rsidRPr="00021B73">
        <w:rPr>
          <w:rFonts w:ascii="Cambria" w:hAnsi="Cambria"/>
          <w:sz w:val="20"/>
          <w:szCs w:val="20"/>
          <w:lang w:val="es-ES"/>
        </w:rPr>
        <w:t xml:space="preserve">además </w:t>
      </w:r>
      <w:r w:rsidR="00BC3827" w:rsidRPr="00021B73">
        <w:rPr>
          <w:rFonts w:ascii="Cambria" w:hAnsi="Cambria"/>
          <w:sz w:val="20"/>
          <w:szCs w:val="20"/>
          <w:lang w:val="es-ES"/>
        </w:rPr>
        <w:t xml:space="preserve">que el perito utilizó </w:t>
      </w:r>
      <w:r w:rsidR="00CA13F8" w:rsidRPr="00021B73">
        <w:rPr>
          <w:rFonts w:ascii="Cambria" w:hAnsi="Cambria"/>
          <w:sz w:val="20"/>
          <w:szCs w:val="20"/>
          <w:lang w:val="es-ES"/>
        </w:rPr>
        <w:t>informes</w:t>
      </w:r>
      <w:r w:rsidR="00BC3827" w:rsidRPr="00021B73">
        <w:rPr>
          <w:rFonts w:ascii="Cambria" w:hAnsi="Cambria"/>
          <w:sz w:val="20"/>
          <w:szCs w:val="20"/>
          <w:lang w:val="es-ES"/>
        </w:rPr>
        <w:t xml:space="preserve"> de parte no introducidos válidamente en el juicio oral y que la valoración probatoria se realizó prescindiendo de estándares de legalidad, incluyendo incluso hechos distintos a los originalmente imputados, como el supuesto “incumplimiento de contrato”</w:t>
      </w:r>
      <w:r w:rsidR="00063AA1">
        <w:rPr>
          <w:rFonts w:ascii="Cambria" w:hAnsi="Cambria"/>
          <w:sz w:val="20"/>
          <w:szCs w:val="20"/>
          <w:lang w:val="es-ES"/>
        </w:rPr>
        <w:t>.</w:t>
      </w:r>
    </w:p>
    <w:p w14:paraId="4F1DA71F" w14:textId="02AC9E28" w:rsidR="00BC3827" w:rsidRPr="00021B73" w:rsidRDefault="003709A9" w:rsidP="00F0156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Ante esto, la defensa de la presunta víctima apeló la decisión argumentando que la </w:t>
      </w:r>
      <w:r w:rsidR="00BC3827" w:rsidRPr="00021B73">
        <w:rPr>
          <w:rFonts w:ascii="Cambria" w:hAnsi="Cambria"/>
          <w:sz w:val="20"/>
          <w:szCs w:val="20"/>
          <w:lang w:val="es-ES"/>
        </w:rPr>
        <w:t xml:space="preserve">infracción a los principios de congruencia, cosa juzgada y derecho a la defensa, al haberse desestimado el laudo arbitral y dictado una condena con base en argumentos contradictorios y pruebas descalificadas. No obstante, </w:t>
      </w:r>
      <w:r w:rsidR="00566AE6" w:rsidRPr="00021B73">
        <w:rPr>
          <w:rFonts w:ascii="Cambria" w:hAnsi="Cambria"/>
          <w:sz w:val="20"/>
          <w:szCs w:val="20"/>
          <w:lang w:val="es-ES"/>
        </w:rPr>
        <w:t>el</w:t>
      </w:r>
      <w:r w:rsidR="00BC3827" w:rsidRPr="00021B73">
        <w:rPr>
          <w:rFonts w:ascii="Cambria" w:hAnsi="Cambria"/>
          <w:sz w:val="20"/>
          <w:szCs w:val="20"/>
          <w:lang w:val="es-ES"/>
        </w:rPr>
        <w:t xml:space="preserve"> 9 de mayo de 2013 </w:t>
      </w:r>
      <w:r w:rsidR="00B94B1E" w:rsidRPr="00021B73">
        <w:rPr>
          <w:rFonts w:ascii="Cambria" w:hAnsi="Cambria"/>
          <w:sz w:val="20"/>
          <w:szCs w:val="20"/>
          <w:lang w:val="es-ES"/>
        </w:rPr>
        <w:t xml:space="preserve">la Sala Penal de Apelaciones </w:t>
      </w:r>
      <w:r w:rsidR="00BC3827" w:rsidRPr="00021B73">
        <w:rPr>
          <w:rFonts w:ascii="Cambria" w:hAnsi="Cambria"/>
          <w:sz w:val="20"/>
          <w:szCs w:val="20"/>
          <w:lang w:val="es-ES"/>
        </w:rPr>
        <w:t>confirmó la condena, afirmando que los hechos debatidos en sede arbitral no eran idénticos a los del proceso penal</w:t>
      </w:r>
      <w:r w:rsidR="00B20919" w:rsidRPr="00021B73">
        <w:rPr>
          <w:rFonts w:ascii="Cambria" w:hAnsi="Cambria"/>
          <w:sz w:val="20"/>
          <w:szCs w:val="20"/>
          <w:lang w:val="es-ES"/>
        </w:rPr>
        <w:t>.</w:t>
      </w:r>
    </w:p>
    <w:p w14:paraId="536CD8D4" w14:textId="2D2DB425" w:rsidR="009E5D72" w:rsidRPr="00021B73" w:rsidRDefault="00903622" w:rsidP="009E5D7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En respuesta, el </w:t>
      </w:r>
      <w:r w:rsidR="00F45A43" w:rsidRPr="00021B73">
        <w:rPr>
          <w:rFonts w:ascii="Cambria" w:hAnsi="Cambria"/>
          <w:sz w:val="20"/>
          <w:szCs w:val="20"/>
          <w:lang w:val="es-ES"/>
        </w:rPr>
        <w:t xml:space="preserve">9 de mayo de 2013 la representación de la presunta víctima interpuso un recurso de casación. </w:t>
      </w:r>
      <w:r w:rsidR="0058161B" w:rsidRPr="00021B73">
        <w:rPr>
          <w:rFonts w:ascii="Cambria" w:hAnsi="Cambria"/>
          <w:sz w:val="20"/>
          <w:szCs w:val="20"/>
          <w:lang w:val="es-ES"/>
        </w:rPr>
        <w:t xml:space="preserve">Sin embargo, el 17 de enero de 2014 la Sala Penal Permanente de la Corte Suprema de </w:t>
      </w:r>
      <w:r w:rsidR="0058161B" w:rsidRPr="00021B73">
        <w:rPr>
          <w:rFonts w:ascii="Cambria" w:hAnsi="Cambria"/>
          <w:sz w:val="20"/>
          <w:szCs w:val="20"/>
          <w:lang w:val="es-ES"/>
        </w:rPr>
        <w:lastRenderedPageBreak/>
        <w:t>Justicia la declaró improceden</w:t>
      </w:r>
      <w:r w:rsidR="00E60B65" w:rsidRPr="00021B73">
        <w:rPr>
          <w:rFonts w:ascii="Cambria" w:hAnsi="Cambria"/>
          <w:sz w:val="20"/>
          <w:szCs w:val="20"/>
          <w:lang w:val="es-ES"/>
        </w:rPr>
        <w:t>te</w:t>
      </w:r>
      <w:r w:rsidR="008D7EB0" w:rsidRPr="00021B73">
        <w:rPr>
          <w:rFonts w:ascii="Cambria" w:hAnsi="Cambria"/>
          <w:sz w:val="20"/>
          <w:szCs w:val="20"/>
          <w:lang w:val="es-ES"/>
        </w:rPr>
        <w:t xml:space="preserve"> al considerar que no se formuló un pedido claro</w:t>
      </w:r>
      <w:r w:rsidR="009723D1" w:rsidRPr="00021B73">
        <w:rPr>
          <w:rFonts w:ascii="Cambria" w:hAnsi="Cambria"/>
          <w:sz w:val="20"/>
          <w:szCs w:val="20"/>
          <w:lang w:val="es-ES"/>
        </w:rPr>
        <w:t xml:space="preserve"> y concreto, sino que se pretendía incorrectamente una nueva valoración del proceso. </w:t>
      </w:r>
      <w:r w:rsidR="009E5D72" w:rsidRPr="00021B73">
        <w:rPr>
          <w:rFonts w:ascii="Cambria" w:hAnsi="Cambria"/>
          <w:sz w:val="20"/>
          <w:szCs w:val="20"/>
          <w:lang w:val="es-ES"/>
        </w:rPr>
        <w:t>Finalmente, aunque el señor Meza</w:t>
      </w:r>
      <w:r w:rsidR="000520D8" w:rsidRPr="00021B73">
        <w:rPr>
          <w:rFonts w:ascii="Cambria" w:hAnsi="Cambria"/>
          <w:sz w:val="20"/>
          <w:szCs w:val="20"/>
          <w:lang w:val="es-ES"/>
        </w:rPr>
        <w:t xml:space="preserve"> también</w:t>
      </w:r>
      <w:r w:rsidR="009E5D72" w:rsidRPr="00021B73">
        <w:rPr>
          <w:rFonts w:ascii="Cambria" w:hAnsi="Cambria"/>
          <w:sz w:val="20"/>
          <w:szCs w:val="20"/>
          <w:lang w:val="es-ES"/>
        </w:rPr>
        <w:t xml:space="preserve"> planteó </w:t>
      </w:r>
      <w:r w:rsidR="00A74E5F" w:rsidRPr="00021B73">
        <w:rPr>
          <w:rFonts w:ascii="Cambria" w:hAnsi="Cambria"/>
          <w:sz w:val="20"/>
          <w:szCs w:val="20"/>
          <w:lang w:val="es-ES"/>
        </w:rPr>
        <w:t>dos</w:t>
      </w:r>
      <w:r w:rsidR="009E5D72" w:rsidRPr="00021B73">
        <w:rPr>
          <w:rFonts w:ascii="Cambria" w:hAnsi="Cambria"/>
          <w:sz w:val="20"/>
          <w:szCs w:val="20"/>
          <w:lang w:val="es-ES"/>
        </w:rPr>
        <w:t xml:space="preserve"> demanda</w:t>
      </w:r>
      <w:r w:rsidR="00A74E5F" w:rsidRPr="00021B73">
        <w:rPr>
          <w:rFonts w:ascii="Cambria" w:hAnsi="Cambria"/>
          <w:sz w:val="20"/>
          <w:szCs w:val="20"/>
          <w:lang w:val="es-ES"/>
        </w:rPr>
        <w:t>s</w:t>
      </w:r>
      <w:r w:rsidR="009E5D72" w:rsidRPr="00021B73">
        <w:rPr>
          <w:rFonts w:ascii="Cambria" w:hAnsi="Cambria"/>
          <w:sz w:val="20"/>
          <w:szCs w:val="20"/>
          <w:lang w:val="es-ES"/>
        </w:rPr>
        <w:t xml:space="preserve"> de revisión de sentencia, </w:t>
      </w:r>
      <w:r w:rsidR="00A74E5F" w:rsidRPr="00021B73">
        <w:rPr>
          <w:rFonts w:ascii="Cambria" w:hAnsi="Cambria"/>
          <w:sz w:val="20"/>
          <w:szCs w:val="20"/>
          <w:lang w:val="es-ES"/>
        </w:rPr>
        <w:t xml:space="preserve">el </w:t>
      </w:r>
      <w:r w:rsidR="00710C96" w:rsidRPr="00021B73">
        <w:rPr>
          <w:rFonts w:ascii="Cambria" w:hAnsi="Cambria"/>
          <w:sz w:val="20"/>
          <w:szCs w:val="20"/>
          <w:lang w:val="es-ES"/>
        </w:rPr>
        <w:t>30 de octubre de 2015</w:t>
      </w:r>
      <w:r w:rsidR="00A74E5F" w:rsidRPr="00021B73">
        <w:rPr>
          <w:rFonts w:ascii="Cambria" w:hAnsi="Cambria"/>
          <w:sz w:val="20"/>
          <w:szCs w:val="20"/>
          <w:lang w:val="es-ES"/>
        </w:rPr>
        <w:t xml:space="preserve"> y el 19 de septiembre de 2019 </w:t>
      </w:r>
      <w:r w:rsidR="009721EA" w:rsidRPr="00021B73">
        <w:rPr>
          <w:rFonts w:ascii="Cambria" w:hAnsi="Cambria"/>
          <w:sz w:val="20"/>
          <w:szCs w:val="20"/>
          <w:lang w:val="es-ES"/>
        </w:rPr>
        <w:t xml:space="preserve">respectivamente </w:t>
      </w:r>
      <w:r w:rsidR="00710C96" w:rsidRPr="00021B73">
        <w:rPr>
          <w:rFonts w:ascii="Cambria" w:hAnsi="Cambria"/>
          <w:sz w:val="20"/>
          <w:szCs w:val="20"/>
          <w:lang w:val="es-ES"/>
        </w:rPr>
        <w:t xml:space="preserve">la Sala Penal Permanente de la Corte Suprema de Justicia </w:t>
      </w:r>
      <w:r w:rsidR="00D01570" w:rsidRPr="00021B73">
        <w:rPr>
          <w:rFonts w:ascii="Cambria" w:hAnsi="Cambria"/>
          <w:sz w:val="20"/>
          <w:szCs w:val="20"/>
          <w:lang w:val="es-ES"/>
        </w:rPr>
        <w:t xml:space="preserve">lo rechazó. </w:t>
      </w:r>
    </w:p>
    <w:p w14:paraId="48B5120F" w14:textId="0A184A19" w:rsidR="007E0463" w:rsidRPr="00021B73" w:rsidRDefault="00BC382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Con base en </w:t>
      </w:r>
      <w:r w:rsidR="00691F23" w:rsidRPr="00021B73">
        <w:rPr>
          <w:rFonts w:ascii="Cambria" w:hAnsi="Cambria"/>
          <w:sz w:val="20"/>
          <w:szCs w:val="20"/>
          <w:lang w:val="es-ES"/>
        </w:rPr>
        <w:t>las consideraciones de hecho</w:t>
      </w:r>
      <w:r w:rsidRPr="00021B73">
        <w:rPr>
          <w:rFonts w:ascii="Cambria" w:hAnsi="Cambria"/>
          <w:sz w:val="20"/>
          <w:szCs w:val="20"/>
          <w:lang w:val="es-ES"/>
        </w:rPr>
        <w:t xml:space="preserve">, la parte peticionaria </w:t>
      </w:r>
      <w:r w:rsidR="00A23C0B" w:rsidRPr="00021B73">
        <w:rPr>
          <w:rFonts w:ascii="Cambria" w:hAnsi="Cambria"/>
          <w:sz w:val="20"/>
          <w:szCs w:val="20"/>
          <w:lang w:val="es-ES"/>
        </w:rPr>
        <w:t xml:space="preserve">alega que el proceso penal seguido contra el señor Meza Beteta estuvo marcado por graves irregularidades que vulneraron sus derechos al debido proceso, a la defensa, al principio de legalidad y a la tutela judicial efectiva. Afirma que la imputación penal fue consecuencia de una represalia institucional tras negarse a aceptar presuntas exigencias indebidas por parte del nuevo alcalde distrital, y que la denuncia se fundó en un peritaje de parte no contrastado con prueba oficial ni sujeto a control contradictorio. </w:t>
      </w:r>
      <w:r w:rsidR="007E0463" w:rsidRPr="00021B73">
        <w:rPr>
          <w:rFonts w:ascii="Cambria" w:hAnsi="Cambria"/>
          <w:sz w:val="20"/>
          <w:szCs w:val="20"/>
          <w:lang w:val="es-ES"/>
        </w:rPr>
        <w:t>También sostiene que la acusación le fue notificada de forma incompleta y tardía, lo que restringió su posibilidad de ejercer una defensa efectiva. Finalmente, considera que las sentencias que confirmaron su condena no valoraron debidamente el laudo arbitral que había reconocido el cumplimiento del contrato, y se basaron en elementos de prueba incorporados de forma irregular, sin respetar los principios de legalidad y congruencia procesal.</w:t>
      </w:r>
    </w:p>
    <w:p w14:paraId="129AF6A6" w14:textId="202D47E1" w:rsidR="00EF76F5" w:rsidRPr="00021B73" w:rsidRDefault="00415F37" w:rsidP="00EF76F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b/>
          <w:bCs/>
          <w:sz w:val="20"/>
          <w:szCs w:val="20"/>
          <w:lang w:val="es-ES"/>
        </w:rPr>
      </w:pPr>
      <w:r w:rsidRPr="00021B73">
        <w:rPr>
          <w:rFonts w:ascii="Cambria" w:hAnsi="Cambria"/>
          <w:b/>
          <w:bCs/>
          <w:sz w:val="20"/>
          <w:szCs w:val="20"/>
          <w:lang w:val="es-ES"/>
        </w:rPr>
        <w:t>E</w:t>
      </w:r>
      <w:r w:rsidR="00EF76F5" w:rsidRPr="00021B73">
        <w:rPr>
          <w:rFonts w:ascii="Cambria" w:hAnsi="Cambria"/>
          <w:b/>
          <w:bCs/>
          <w:sz w:val="20"/>
          <w:szCs w:val="20"/>
          <w:lang w:val="es-ES"/>
        </w:rPr>
        <w:t>l Estado</w:t>
      </w:r>
      <w:r w:rsidR="009F0517" w:rsidRPr="00021B73">
        <w:rPr>
          <w:rFonts w:ascii="Cambria" w:hAnsi="Cambria"/>
          <w:b/>
          <w:bCs/>
          <w:sz w:val="20"/>
          <w:szCs w:val="20"/>
          <w:lang w:val="es-ES"/>
        </w:rPr>
        <w:t xml:space="preserve"> peruano</w:t>
      </w:r>
    </w:p>
    <w:p w14:paraId="589BE73A" w14:textId="14D9F5A0" w:rsidR="00ED2335" w:rsidRPr="00021B73" w:rsidRDefault="00C04649" w:rsidP="007F4BF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Por su parte, el Estado replica que </w:t>
      </w:r>
      <w:r w:rsidR="00ED2335" w:rsidRPr="00021B73">
        <w:rPr>
          <w:rFonts w:ascii="Cambria" w:hAnsi="Cambria"/>
          <w:sz w:val="20"/>
          <w:szCs w:val="20"/>
          <w:lang w:val="es-ES"/>
        </w:rPr>
        <w:t>la petición es inadmisible por falta de agotamiento de l</w:t>
      </w:r>
      <w:r w:rsidR="00E65587" w:rsidRPr="00021B73">
        <w:rPr>
          <w:rFonts w:ascii="Cambria" w:hAnsi="Cambria"/>
          <w:sz w:val="20"/>
          <w:szCs w:val="20"/>
          <w:lang w:val="es-ES"/>
        </w:rPr>
        <w:t>a jurisdicción interna</w:t>
      </w:r>
      <w:r w:rsidR="00ED2335" w:rsidRPr="00021B73">
        <w:rPr>
          <w:rFonts w:ascii="Cambria" w:hAnsi="Cambria"/>
          <w:sz w:val="20"/>
          <w:szCs w:val="20"/>
          <w:lang w:val="es-ES"/>
        </w:rPr>
        <w:t xml:space="preserve">. </w:t>
      </w:r>
      <w:r w:rsidR="00C87AA6" w:rsidRPr="00021B73">
        <w:rPr>
          <w:rFonts w:ascii="Cambria" w:hAnsi="Cambria"/>
          <w:sz w:val="20"/>
          <w:szCs w:val="20"/>
          <w:lang w:val="es-ES"/>
        </w:rPr>
        <w:t>Indica</w:t>
      </w:r>
      <w:r w:rsidR="00ED2335" w:rsidRPr="00021B73">
        <w:rPr>
          <w:rFonts w:ascii="Cambria" w:hAnsi="Cambria"/>
          <w:sz w:val="20"/>
          <w:szCs w:val="20"/>
          <w:lang w:val="es-ES"/>
        </w:rPr>
        <w:t xml:space="preserve"> que </w:t>
      </w:r>
      <w:r w:rsidR="008B1C53" w:rsidRPr="00021B73">
        <w:rPr>
          <w:rFonts w:ascii="Cambria" w:hAnsi="Cambria"/>
          <w:sz w:val="20"/>
          <w:szCs w:val="20"/>
          <w:lang w:val="es-ES"/>
        </w:rPr>
        <w:t xml:space="preserve">al momento de su presentación aún continuaba pendiente de resolución </w:t>
      </w:r>
      <w:r w:rsidR="00E65587" w:rsidRPr="00021B73">
        <w:rPr>
          <w:rFonts w:ascii="Cambria" w:hAnsi="Cambria"/>
          <w:sz w:val="20"/>
          <w:szCs w:val="20"/>
          <w:lang w:val="es-ES"/>
        </w:rPr>
        <w:t>el recurso</w:t>
      </w:r>
      <w:r w:rsidR="008B1C53" w:rsidRPr="00021B73">
        <w:rPr>
          <w:rFonts w:ascii="Cambria" w:hAnsi="Cambria"/>
          <w:sz w:val="20"/>
          <w:szCs w:val="20"/>
          <w:lang w:val="es-ES"/>
        </w:rPr>
        <w:t xml:space="preserve"> de</w:t>
      </w:r>
      <w:r w:rsidR="00E65587" w:rsidRPr="00021B73">
        <w:rPr>
          <w:rFonts w:ascii="Cambria" w:hAnsi="Cambria"/>
          <w:sz w:val="20"/>
          <w:szCs w:val="20"/>
          <w:lang w:val="es-ES"/>
        </w:rPr>
        <w:t xml:space="preserve"> revisión</w:t>
      </w:r>
      <w:r w:rsidR="008B1C53" w:rsidRPr="00021B73">
        <w:rPr>
          <w:rFonts w:ascii="Cambria" w:hAnsi="Cambria"/>
          <w:sz w:val="20"/>
          <w:szCs w:val="20"/>
          <w:lang w:val="es-ES"/>
        </w:rPr>
        <w:t xml:space="preserve"> sentencia interpuest</w:t>
      </w:r>
      <w:r w:rsidR="00E65587" w:rsidRPr="00021B73">
        <w:rPr>
          <w:rFonts w:ascii="Cambria" w:hAnsi="Cambria"/>
          <w:sz w:val="20"/>
          <w:szCs w:val="20"/>
          <w:lang w:val="es-ES"/>
        </w:rPr>
        <w:t>o por la presunta víctima el 30 de abril de 2015.</w:t>
      </w:r>
      <w:r w:rsidR="008B1C53" w:rsidRPr="00021B73">
        <w:rPr>
          <w:rFonts w:ascii="Cambria" w:hAnsi="Cambria"/>
          <w:sz w:val="20"/>
          <w:szCs w:val="20"/>
          <w:lang w:val="es-ES"/>
        </w:rPr>
        <w:t xml:space="preserve"> </w:t>
      </w:r>
      <w:r w:rsidR="00860EDD" w:rsidRPr="00021B73">
        <w:rPr>
          <w:rFonts w:ascii="Cambria" w:hAnsi="Cambria"/>
          <w:sz w:val="20"/>
          <w:szCs w:val="20"/>
          <w:lang w:val="es-ES"/>
        </w:rPr>
        <w:t>Posteriormente</w:t>
      </w:r>
      <w:r w:rsidR="009721EA" w:rsidRPr="00021B73">
        <w:rPr>
          <w:rFonts w:ascii="Cambria" w:hAnsi="Cambria"/>
          <w:sz w:val="20"/>
          <w:szCs w:val="20"/>
          <w:lang w:val="es-ES"/>
        </w:rPr>
        <w:t xml:space="preserve">, </w:t>
      </w:r>
      <w:r w:rsidR="00FC79A5" w:rsidRPr="00021B73">
        <w:rPr>
          <w:rFonts w:ascii="Cambria" w:hAnsi="Cambria"/>
          <w:sz w:val="20"/>
          <w:szCs w:val="20"/>
          <w:lang w:val="es-ES"/>
        </w:rPr>
        <w:t>informa</w:t>
      </w:r>
      <w:r w:rsidR="009721EA" w:rsidRPr="00021B73">
        <w:rPr>
          <w:rFonts w:ascii="Cambria" w:hAnsi="Cambria"/>
          <w:sz w:val="20"/>
          <w:szCs w:val="20"/>
          <w:lang w:val="es-ES"/>
        </w:rPr>
        <w:t xml:space="preserve"> que</w:t>
      </w:r>
      <w:r w:rsidR="008B1C53" w:rsidRPr="00021B73">
        <w:rPr>
          <w:rFonts w:ascii="Cambria" w:hAnsi="Cambria"/>
          <w:sz w:val="20"/>
          <w:szCs w:val="20"/>
          <w:lang w:val="es-ES"/>
        </w:rPr>
        <w:t xml:space="preserve"> </w:t>
      </w:r>
      <w:r w:rsidR="00ED2335" w:rsidRPr="00021B73">
        <w:rPr>
          <w:rFonts w:ascii="Cambria" w:hAnsi="Cambria"/>
          <w:sz w:val="20"/>
          <w:szCs w:val="20"/>
          <w:lang w:val="es-ES"/>
        </w:rPr>
        <w:t>el señor Meza Beteta presentó una segunda demanda de revisión</w:t>
      </w:r>
      <w:r w:rsidR="00303974" w:rsidRPr="00021B73">
        <w:rPr>
          <w:rFonts w:ascii="Cambria" w:hAnsi="Cambria"/>
          <w:sz w:val="20"/>
          <w:szCs w:val="20"/>
          <w:lang w:val="es-ES"/>
        </w:rPr>
        <w:t xml:space="preserve">, la cual </w:t>
      </w:r>
      <w:r w:rsidR="00ED2335" w:rsidRPr="00021B73">
        <w:rPr>
          <w:rFonts w:ascii="Cambria" w:hAnsi="Cambria"/>
          <w:sz w:val="20"/>
          <w:szCs w:val="20"/>
          <w:lang w:val="es-ES"/>
        </w:rPr>
        <w:t>a la fecha de presentación del segundo escrito estatal</w:t>
      </w:r>
      <w:r w:rsidR="00303974" w:rsidRPr="00021B73">
        <w:rPr>
          <w:rFonts w:ascii="Cambria" w:hAnsi="Cambria"/>
          <w:sz w:val="20"/>
          <w:szCs w:val="20"/>
          <w:lang w:val="es-ES"/>
        </w:rPr>
        <w:t xml:space="preserve"> </w:t>
      </w:r>
      <w:r w:rsidR="00ED2335" w:rsidRPr="00021B73">
        <w:rPr>
          <w:rFonts w:ascii="Cambria" w:hAnsi="Cambria"/>
          <w:sz w:val="20"/>
          <w:szCs w:val="20"/>
          <w:lang w:val="es-ES"/>
        </w:rPr>
        <w:t xml:space="preserve">aún se encontraba pendiente de resolución, con audiencia programada para el 19 de septiembre de 2019. </w:t>
      </w:r>
    </w:p>
    <w:p w14:paraId="70027502" w14:textId="265574BE" w:rsidR="00ED2335" w:rsidRPr="00021B73" w:rsidRDefault="00ED2335" w:rsidP="00ED233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Adicionalmente, el Estado afirma que el peticionario no hizo uso de recursos constitucionales idóneos como el hábeas corpus contra resolución judicial firme. Subraya que esta vía es especialmente apta para plantear violaciones al debido proceso y garantías judiciales, y que la omisión en utilizarla configura una violación al principio de subsidiariedad. </w:t>
      </w:r>
      <w:r w:rsidR="006007E3" w:rsidRPr="00021B73">
        <w:rPr>
          <w:rFonts w:ascii="Cambria" w:hAnsi="Cambria"/>
          <w:sz w:val="20"/>
          <w:szCs w:val="20"/>
          <w:lang w:val="es-ES"/>
        </w:rPr>
        <w:t xml:space="preserve">En consecuencia, solicita a la CIDH que declare inadmisible este asunto por no cumplir el requisito del artículo 46.1.a) de la Convención Americana. </w:t>
      </w:r>
    </w:p>
    <w:p w14:paraId="16A456B0" w14:textId="5477ACC5" w:rsidR="00AA7B21" w:rsidRPr="00021B73" w:rsidRDefault="00AA7B21" w:rsidP="00AA7B21">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
        </w:rPr>
      </w:pPr>
      <w:r w:rsidRPr="00021B73">
        <w:rPr>
          <w:sz w:val="20"/>
          <w:szCs w:val="20"/>
          <w:lang w:val="es-ES"/>
        </w:rPr>
        <w:t xml:space="preserve">Sin perjuicio de lo anterior, Perú sostiene que la petición seguiría siendo inadmisible, pues </w:t>
      </w:r>
      <w:r w:rsidR="006033D7" w:rsidRPr="00021B73">
        <w:rPr>
          <w:sz w:val="20"/>
          <w:szCs w:val="20"/>
          <w:lang w:val="es-ES"/>
        </w:rPr>
        <w:t>los</w:t>
      </w:r>
      <w:r w:rsidRPr="00021B73">
        <w:rPr>
          <w:sz w:val="20"/>
          <w:szCs w:val="20"/>
          <w:lang w:val="es-ES"/>
        </w:rPr>
        <w:t xml:space="preserve"> </w:t>
      </w:r>
      <w:r w:rsidR="006033D7" w:rsidRPr="00021B73">
        <w:rPr>
          <w:sz w:val="20"/>
          <w:szCs w:val="20"/>
          <w:lang w:val="es-ES"/>
        </w:rPr>
        <w:t>alegatos</w:t>
      </w:r>
      <w:r w:rsidRPr="00021B73">
        <w:rPr>
          <w:sz w:val="20"/>
          <w:szCs w:val="20"/>
          <w:lang w:val="es-ES"/>
        </w:rPr>
        <w:t xml:space="preserve"> del peticionario carecen de sustento suficiente para caracterizar una posible violación de los derechos humanos establecidos en la Convención.</w:t>
      </w:r>
    </w:p>
    <w:p w14:paraId="3616BFE0" w14:textId="559A89CC" w:rsidR="000A4E5F" w:rsidRPr="00021B73" w:rsidRDefault="000A4E5F" w:rsidP="000A4E5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En primer lugar, el Estado sostiene que la petición incurre en la llamada </w:t>
      </w:r>
      <w:r w:rsidR="00A559DB" w:rsidRPr="00021B73">
        <w:rPr>
          <w:rFonts w:ascii="Cambria" w:hAnsi="Cambria"/>
          <w:sz w:val="20"/>
          <w:szCs w:val="20"/>
          <w:lang w:val="es-ES"/>
        </w:rPr>
        <w:t>“</w:t>
      </w:r>
      <w:r w:rsidRPr="00021B73">
        <w:rPr>
          <w:rFonts w:ascii="Cambria" w:hAnsi="Cambria"/>
          <w:sz w:val="20"/>
          <w:szCs w:val="20"/>
          <w:lang w:val="es-ES"/>
        </w:rPr>
        <w:t>fórmula de la cuarta instancia</w:t>
      </w:r>
      <w:r w:rsidR="00A559DB" w:rsidRPr="00021B73">
        <w:rPr>
          <w:rFonts w:ascii="Cambria" w:hAnsi="Cambria"/>
          <w:sz w:val="20"/>
          <w:szCs w:val="20"/>
          <w:lang w:val="es-ES"/>
        </w:rPr>
        <w:t>”</w:t>
      </w:r>
      <w:r w:rsidRPr="00021B73">
        <w:rPr>
          <w:rFonts w:ascii="Cambria" w:hAnsi="Cambria"/>
          <w:sz w:val="20"/>
          <w:szCs w:val="20"/>
          <w:lang w:val="es-ES"/>
        </w:rPr>
        <w:t xml:space="preserve">, ya que el peticionario busca que la Comisión Interamericana reexamine decisiones judiciales adoptadas en el marco de un proceso penal regular. Recuerda que no es competencia de la Comisión sustituir a los tribunales nacionales en la valoración de pruebas ni en la interpretación del derecho interno, salvo que se acredite arbitrariedad manifiesta o negación de justicia, lo que </w:t>
      </w:r>
      <w:r w:rsidR="007C1F2C" w:rsidRPr="00021B73">
        <w:rPr>
          <w:rFonts w:ascii="Cambria" w:hAnsi="Cambria"/>
          <w:sz w:val="20"/>
          <w:szCs w:val="20"/>
          <w:lang w:val="es-ES"/>
        </w:rPr>
        <w:t>–</w:t>
      </w:r>
      <w:r w:rsidRPr="00021B73">
        <w:rPr>
          <w:rFonts w:ascii="Cambria" w:hAnsi="Cambria"/>
          <w:sz w:val="20"/>
          <w:szCs w:val="20"/>
          <w:lang w:val="es-ES"/>
        </w:rPr>
        <w:t>a su juicio</w:t>
      </w:r>
      <w:r w:rsidR="00126C0C" w:rsidRPr="00021B73">
        <w:rPr>
          <w:rFonts w:ascii="Cambria" w:hAnsi="Cambria"/>
          <w:sz w:val="20"/>
          <w:szCs w:val="20"/>
          <w:lang w:val="es-ES"/>
        </w:rPr>
        <w:t>–</w:t>
      </w:r>
      <w:r w:rsidRPr="00021B73">
        <w:rPr>
          <w:rFonts w:ascii="Cambria" w:hAnsi="Cambria"/>
          <w:sz w:val="20"/>
          <w:szCs w:val="20"/>
          <w:lang w:val="es-ES"/>
        </w:rPr>
        <w:t xml:space="preserve"> no ocurre en este caso.</w:t>
      </w:r>
    </w:p>
    <w:p w14:paraId="69AD18E1" w14:textId="44BC9E34" w:rsidR="000A4E5F" w:rsidRPr="00021B73" w:rsidRDefault="000A4E5F" w:rsidP="000A4E5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En segundo lugar, </w:t>
      </w:r>
      <w:r w:rsidR="00A7392A" w:rsidRPr="00021B73">
        <w:rPr>
          <w:rFonts w:ascii="Cambria" w:hAnsi="Cambria"/>
          <w:sz w:val="20"/>
          <w:szCs w:val="20"/>
          <w:lang w:val="es-ES"/>
        </w:rPr>
        <w:t>sostiene</w:t>
      </w:r>
      <w:r w:rsidRPr="00021B73">
        <w:rPr>
          <w:rFonts w:ascii="Cambria" w:hAnsi="Cambria"/>
          <w:sz w:val="20"/>
          <w:szCs w:val="20"/>
          <w:lang w:val="es-ES"/>
        </w:rPr>
        <w:t xml:space="preserve"> que el proceso penal contra el señor Meza Beteta se desarrolló con apego al debido proceso. Explica que la acusación fue formulada conforme a derecho, luego de que el fiscal superior revocara el sobreseimiento propuesto por el fiscal provincial, en aplicación del artículo 346 del Código Procesal Penal, el cual faculta al juez de investigación preparatoria a remitir la decisión al fiscal superior en caso de discrepancia. La decisión del fiscal superior, por tanto, no fue irregular ni violatoria del derecho a la defensa. Además, aclara que el fiscal que formuló la acusación estaba legalmente facultado para continuar con el proceso y que la investigación estuvo basada en elementos objetivos, incluida una pericia contable que concluyó que la empresa VARMEZ S.A.C., representada por Meza Beteta, habría generado un perjuicio económico al Estado al concertar con autoridades municipales para sobrevalorar el contrato de servicios de telecomunicaciones.</w:t>
      </w:r>
    </w:p>
    <w:p w14:paraId="09090D03" w14:textId="301DB8E8" w:rsidR="000A4E5F" w:rsidRPr="00021B73" w:rsidRDefault="00962678" w:rsidP="000A4E5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El Estado también plantea que </w:t>
      </w:r>
      <w:r w:rsidR="000A4E5F" w:rsidRPr="00021B73">
        <w:rPr>
          <w:rFonts w:ascii="Cambria" w:hAnsi="Cambria"/>
          <w:sz w:val="20"/>
          <w:szCs w:val="20"/>
          <w:lang w:val="es-ES"/>
        </w:rPr>
        <w:t>el laudo arbitral invocado por el peticionario</w:t>
      </w:r>
      <w:r w:rsidRPr="00021B73">
        <w:rPr>
          <w:rFonts w:ascii="Cambria" w:hAnsi="Cambria"/>
          <w:sz w:val="20"/>
          <w:szCs w:val="20"/>
          <w:lang w:val="es-ES"/>
        </w:rPr>
        <w:t xml:space="preserve"> </w:t>
      </w:r>
      <w:r w:rsidR="000A4E5F" w:rsidRPr="00021B73">
        <w:rPr>
          <w:rFonts w:ascii="Cambria" w:hAnsi="Cambria"/>
          <w:sz w:val="20"/>
          <w:szCs w:val="20"/>
          <w:lang w:val="es-ES"/>
        </w:rPr>
        <w:t xml:space="preserve">fue debidamente valorado por los tribunales penales, pero desestimado en tanto no era vinculante respecto </w:t>
      </w:r>
      <w:r w:rsidR="00530F39" w:rsidRPr="00021B73">
        <w:rPr>
          <w:rFonts w:ascii="Cambria" w:hAnsi="Cambria"/>
          <w:sz w:val="20"/>
          <w:szCs w:val="20"/>
          <w:lang w:val="es-ES"/>
        </w:rPr>
        <w:t>de</w:t>
      </w:r>
      <w:r w:rsidR="000A4E5F" w:rsidRPr="00021B73">
        <w:rPr>
          <w:rFonts w:ascii="Cambria" w:hAnsi="Cambria"/>
          <w:sz w:val="20"/>
          <w:szCs w:val="20"/>
          <w:lang w:val="es-ES"/>
        </w:rPr>
        <w:t xml:space="preserve"> los hechos imputados penalmente. </w:t>
      </w:r>
      <w:r w:rsidR="008E1210" w:rsidRPr="00021B73">
        <w:rPr>
          <w:rFonts w:ascii="Cambria" w:hAnsi="Cambria"/>
          <w:sz w:val="20"/>
          <w:szCs w:val="20"/>
          <w:lang w:val="es-ES"/>
        </w:rPr>
        <w:t>E</w:t>
      </w:r>
      <w:r w:rsidR="000A4E5F" w:rsidRPr="00021B73">
        <w:rPr>
          <w:rFonts w:ascii="Cambria" w:hAnsi="Cambria"/>
          <w:sz w:val="20"/>
          <w:szCs w:val="20"/>
          <w:lang w:val="es-ES"/>
        </w:rPr>
        <w:t xml:space="preserve">l objeto del arbitraje era de naturaleza contractual y los elementos penales juzgados </w:t>
      </w:r>
      <w:r w:rsidR="000A4E5F" w:rsidRPr="00021B73">
        <w:rPr>
          <w:rFonts w:ascii="Cambria" w:hAnsi="Cambria"/>
          <w:sz w:val="20"/>
          <w:szCs w:val="20"/>
          <w:lang w:val="es-ES"/>
        </w:rPr>
        <w:lastRenderedPageBreak/>
        <w:t xml:space="preserve">eran distintos, por lo que la condena penal no </w:t>
      </w:r>
      <w:r w:rsidR="008E1210" w:rsidRPr="00021B73">
        <w:rPr>
          <w:rFonts w:ascii="Cambria" w:hAnsi="Cambria"/>
          <w:sz w:val="20"/>
          <w:szCs w:val="20"/>
          <w:lang w:val="es-ES"/>
        </w:rPr>
        <w:t>habría implicado</w:t>
      </w:r>
      <w:r w:rsidR="000A4E5F" w:rsidRPr="00021B73">
        <w:rPr>
          <w:rFonts w:ascii="Cambria" w:hAnsi="Cambria"/>
          <w:sz w:val="20"/>
          <w:szCs w:val="20"/>
          <w:lang w:val="es-ES"/>
        </w:rPr>
        <w:t xml:space="preserve"> desconocer ni revocar dicho laudo. Además, resalta que la condena impuesta fue confirmada por órganos judiciales competentes y motivada de manera suficiente, sin que se haya acreditado falta de imparcialidad o vulneración del derecho a un juez independiente.</w:t>
      </w:r>
    </w:p>
    <w:p w14:paraId="4E42CA79" w14:textId="076EF4D2" w:rsidR="008C4D54" w:rsidRPr="00021B73" w:rsidRDefault="00642AF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021B73">
        <w:rPr>
          <w:rFonts w:ascii="Cambria" w:hAnsi="Cambria"/>
          <w:sz w:val="20"/>
          <w:szCs w:val="20"/>
          <w:lang w:val="es-ES"/>
        </w:rPr>
        <w:t>Perú insiste</w:t>
      </w:r>
      <w:r w:rsidR="000A4E5F" w:rsidRPr="00021B73">
        <w:rPr>
          <w:rFonts w:ascii="Cambria" w:hAnsi="Cambria"/>
          <w:sz w:val="20"/>
          <w:szCs w:val="20"/>
          <w:lang w:val="es-ES"/>
        </w:rPr>
        <w:t xml:space="preserve"> </w:t>
      </w:r>
      <w:r w:rsidR="007138B6" w:rsidRPr="00021B73">
        <w:rPr>
          <w:rFonts w:ascii="Cambria" w:hAnsi="Cambria"/>
          <w:sz w:val="20"/>
          <w:szCs w:val="20"/>
          <w:lang w:val="es-ES"/>
        </w:rPr>
        <w:t xml:space="preserve">en </w:t>
      </w:r>
      <w:r w:rsidR="000A4E5F" w:rsidRPr="00021B73">
        <w:rPr>
          <w:rFonts w:ascii="Cambria" w:hAnsi="Cambria"/>
          <w:sz w:val="20"/>
          <w:szCs w:val="20"/>
          <w:lang w:val="es-ES"/>
        </w:rPr>
        <w:t xml:space="preserve">que </w:t>
      </w:r>
      <w:r w:rsidR="00564B16" w:rsidRPr="00021B73">
        <w:rPr>
          <w:rFonts w:ascii="Cambria" w:hAnsi="Cambria"/>
          <w:sz w:val="20"/>
          <w:szCs w:val="20"/>
          <w:lang w:val="es-ES"/>
        </w:rPr>
        <w:t>los reclamos formulados</w:t>
      </w:r>
      <w:r w:rsidR="008C4D54" w:rsidRPr="00021B73">
        <w:rPr>
          <w:rFonts w:ascii="Cambria" w:hAnsi="Cambria"/>
          <w:sz w:val="20"/>
          <w:szCs w:val="20"/>
          <w:lang w:val="es-ES"/>
        </w:rPr>
        <w:t xml:space="preserve"> </w:t>
      </w:r>
      <w:r w:rsidR="00D32970" w:rsidRPr="00021B73">
        <w:rPr>
          <w:rFonts w:ascii="Cambria" w:hAnsi="Cambria"/>
          <w:sz w:val="20"/>
          <w:szCs w:val="20"/>
          <w:lang w:val="es-ES"/>
        </w:rPr>
        <w:t>consisten fundamentalmente en</w:t>
      </w:r>
      <w:r w:rsidR="000A4E5F" w:rsidRPr="00021B73">
        <w:rPr>
          <w:rFonts w:ascii="Cambria" w:hAnsi="Cambria"/>
          <w:sz w:val="20"/>
          <w:szCs w:val="20"/>
          <w:lang w:val="es-ES"/>
        </w:rPr>
        <w:t xml:space="preserve"> </w:t>
      </w:r>
      <w:r w:rsidR="00F23144" w:rsidRPr="00021B73">
        <w:rPr>
          <w:rFonts w:ascii="Cambria" w:hAnsi="Cambria"/>
          <w:sz w:val="20"/>
          <w:szCs w:val="20"/>
          <w:lang w:val="es-ES"/>
        </w:rPr>
        <w:t>discrepancias</w:t>
      </w:r>
      <w:r w:rsidR="008C4D54" w:rsidRPr="00021B73">
        <w:rPr>
          <w:rFonts w:ascii="Cambria" w:hAnsi="Cambria"/>
          <w:sz w:val="20"/>
          <w:szCs w:val="20"/>
          <w:lang w:val="es-ES"/>
        </w:rPr>
        <w:t xml:space="preserve"> </w:t>
      </w:r>
      <w:r w:rsidR="000A4E5F" w:rsidRPr="00021B73">
        <w:rPr>
          <w:rFonts w:ascii="Cambria" w:hAnsi="Cambria"/>
          <w:sz w:val="20"/>
          <w:szCs w:val="20"/>
          <w:lang w:val="es-ES"/>
        </w:rPr>
        <w:t xml:space="preserve">con el resultado de las decisiones judiciales, sin aportar elementos que permitan establecer, </w:t>
      </w:r>
      <w:r w:rsidR="00F23144" w:rsidRPr="00021B73">
        <w:rPr>
          <w:rFonts w:ascii="Cambria" w:hAnsi="Cambria"/>
          <w:sz w:val="20"/>
          <w:szCs w:val="20"/>
          <w:lang w:val="es-ES"/>
        </w:rPr>
        <w:t xml:space="preserve">ni </w:t>
      </w:r>
      <w:r w:rsidR="000A4E5F" w:rsidRPr="00021B73">
        <w:rPr>
          <w:rFonts w:ascii="Cambria" w:hAnsi="Cambria"/>
          <w:sz w:val="20"/>
          <w:szCs w:val="20"/>
          <w:lang w:val="es-ES"/>
        </w:rPr>
        <w:t xml:space="preserve">siquiera </w:t>
      </w:r>
      <w:r w:rsidR="00F23144" w:rsidRPr="00021B73">
        <w:rPr>
          <w:rFonts w:ascii="Cambria" w:hAnsi="Cambria"/>
          <w:i/>
          <w:iCs/>
          <w:sz w:val="20"/>
          <w:szCs w:val="20"/>
          <w:lang w:val="es-ES"/>
        </w:rPr>
        <w:t>prima facie</w:t>
      </w:r>
      <w:r w:rsidR="000A4E5F" w:rsidRPr="00021B73">
        <w:rPr>
          <w:rFonts w:ascii="Cambria" w:hAnsi="Cambria"/>
          <w:sz w:val="20"/>
          <w:szCs w:val="20"/>
          <w:lang w:val="es-ES"/>
        </w:rPr>
        <w:t xml:space="preserve">, la existencia de una afectación </w:t>
      </w:r>
      <w:r w:rsidR="008C4D54" w:rsidRPr="00021B73">
        <w:rPr>
          <w:rFonts w:ascii="Cambria" w:hAnsi="Cambria"/>
          <w:sz w:val="20"/>
          <w:szCs w:val="20"/>
          <w:lang w:val="es-ES"/>
        </w:rPr>
        <w:t>de derechos</w:t>
      </w:r>
      <w:r w:rsidR="000A4E5F" w:rsidRPr="00021B73">
        <w:rPr>
          <w:rFonts w:ascii="Cambria" w:hAnsi="Cambria"/>
          <w:sz w:val="20"/>
          <w:szCs w:val="20"/>
          <w:lang w:val="es-ES"/>
        </w:rPr>
        <w:t xml:space="preserve">. Por lo tanto, solicita que la </w:t>
      </w:r>
      <w:r w:rsidR="00D32970" w:rsidRPr="00021B73">
        <w:rPr>
          <w:rFonts w:ascii="Cambria" w:hAnsi="Cambria"/>
          <w:sz w:val="20"/>
          <w:szCs w:val="20"/>
          <w:lang w:val="es-ES"/>
        </w:rPr>
        <w:t>CIDH que</w:t>
      </w:r>
      <w:r w:rsidR="000A4E5F" w:rsidRPr="00021B73">
        <w:rPr>
          <w:rFonts w:ascii="Cambria" w:hAnsi="Cambria"/>
          <w:sz w:val="20"/>
          <w:szCs w:val="20"/>
          <w:lang w:val="es-ES"/>
        </w:rPr>
        <w:t xml:space="preserve"> </w:t>
      </w:r>
      <w:r w:rsidR="00C13E5E" w:rsidRPr="00021B73">
        <w:rPr>
          <w:rFonts w:ascii="Cambria" w:hAnsi="Cambria"/>
          <w:sz w:val="20"/>
          <w:szCs w:val="20"/>
          <w:lang w:val="es-ES"/>
        </w:rPr>
        <w:t>inadmita la petición</w:t>
      </w:r>
      <w:r w:rsidR="008C4D54" w:rsidRPr="00021B73">
        <w:rPr>
          <w:rFonts w:ascii="Cambria" w:hAnsi="Cambria"/>
          <w:sz w:val="20"/>
          <w:szCs w:val="20"/>
          <w:lang w:val="es-ES"/>
        </w:rPr>
        <w:t>.</w:t>
      </w:r>
    </w:p>
    <w:p w14:paraId="6F4D4171" w14:textId="07EA9AD6" w:rsidR="003239B8" w:rsidRPr="00021B73" w:rsidRDefault="003239B8" w:rsidP="008C4D5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sz w:val="20"/>
          <w:szCs w:val="20"/>
          <w:lang w:val="es-ES"/>
        </w:rPr>
      </w:pPr>
      <w:r w:rsidRPr="00021B73">
        <w:rPr>
          <w:rFonts w:asciiTheme="majorHAnsi" w:eastAsia="Cambria" w:hAnsiTheme="majorHAnsi" w:cs="Cambria"/>
          <w:b/>
          <w:bCs/>
          <w:color w:val="000000"/>
          <w:sz w:val="20"/>
          <w:szCs w:val="20"/>
          <w:u w:color="000000"/>
          <w:lang w:val="es-ES" w:eastAsia="es-ES"/>
        </w:rPr>
        <w:t>VI.</w:t>
      </w:r>
      <w:r w:rsidRPr="00021B73">
        <w:rPr>
          <w:rFonts w:asciiTheme="majorHAnsi" w:eastAsia="Cambria" w:hAnsiTheme="majorHAnsi" w:cs="Cambria"/>
          <w:b/>
          <w:bCs/>
          <w:color w:val="000000"/>
          <w:sz w:val="20"/>
          <w:szCs w:val="20"/>
          <w:u w:color="000000"/>
          <w:lang w:val="es-ES" w:eastAsia="es-ES"/>
        </w:rPr>
        <w:tab/>
      </w:r>
      <w:r w:rsidR="004A6A54" w:rsidRPr="00021B73">
        <w:rPr>
          <w:rFonts w:asciiTheme="majorHAnsi" w:hAnsiTheme="majorHAnsi"/>
          <w:b/>
          <w:bCs/>
          <w:sz w:val="20"/>
          <w:szCs w:val="20"/>
          <w:lang w:val="es-ES"/>
        </w:rPr>
        <w:t xml:space="preserve">ANÁLISIS DE </w:t>
      </w:r>
      <w:r w:rsidR="00C21FEF" w:rsidRPr="00021B73">
        <w:rPr>
          <w:rFonts w:asciiTheme="majorHAnsi" w:hAnsiTheme="majorHAnsi"/>
          <w:b/>
          <w:sz w:val="20"/>
          <w:szCs w:val="20"/>
          <w:lang w:val="es-ES"/>
        </w:rPr>
        <w:t>AGOTAMIENTO DE LOS RECURSOS INTERNOS Y PLAZO DE PRESENTACIÓN</w:t>
      </w:r>
      <w:r w:rsidR="00C21FEF" w:rsidRPr="00021B73">
        <w:rPr>
          <w:rFonts w:asciiTheme="majorHAnsi" w:eastAsia="Cambria" w:hAnsiTheme="majorHAnsi" w:cs="Cambria"/>
          <w:b/>
          <w:bCs/>
          <w:color w:val="000000"/>
          <w:sz w:val="20"/>
          <w:szCs w:val="20"/>
          <w:u w:color="000000"/>
          <w:lang w:val="es-ES" w:eastAsia="es-ES"/>
        </w:rPr>
        <w:t xml:space="preserve"> </w:t>
      </w:r>
    </w:p>
    <w:p w14:paraId="0CA5C527" w14:textId="6FE42A87" w:rsidR="00013960" w:rsidRPr="00021B73" w:rsidRDefault="00013960" w:rsidP="0001396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021B73">
        <w:rPr>
          <w:rFonts w:asciiTheme="majorHAnsi" w:hAnsiTheme="majorHAnsi"/>
          <w:sz w:val="20"/>
          <w:szCs w:val="20"/>
          <w:lang w:val="es-ES"/>
        </w:rPr>
        <w:t xml:space="preserve">La Comisión observa que el objeto principal de </w:t>
      </w:r>
      <w:r w:rsidR="00C13E5E" w:rsidRPr="00021B73">
        <w:rPr>
          <w:rFonts w:asciiTheme="majorHAnsi" w:hAnsiTheme="majorHAnsi"/>
          <w:sz w:val="20"/>
          <w:szCs w:val="20"/>
          <w:lang w:val="es-ES"/>
        </w:rPr>
        <w:t>la</w:t>
      </w:r>
      <w:r w:rsidRPr="00021B73">
        <w:rPr>
          <w:rFonts w:asciiTheme="majorHAnsi" w:hAnsiTheme="majorHAnsi"/>
          <w:sz w:val="20"/>
          <w:szCs w:val="20"/>
          <w:lang w:val="es-ES"/>
        </w:rPr>
        <w:t xml:space="preserve"> petición es cuestionar la condena penal impuesta al señor José Guillermo Meza Beteta. En cuanto al requisito de agotamiento de los recursos internos, se advierte que </w:t>
      </w:r>
      <w:r w:rsidR="00A367ED" w:rsidRPr="00021B73">
        <w:rPr>
          <w:rFonts w:asciiTheme="majorHAnsi" w:hAnsiTheme="majorHAnsi"/>
          <w:sz w:val="20"/>
          <w:szCs w:val="20"/>
          <w:lang w:val="es-ES"/>
        </w:rPr>
        <w:t>este</w:t>
      </w:r>
      <w:r w:rsidRPr="00021B73">
        <w:rPr>
          <w:rFonts w:asciiTheme="majorHAnsi" w:hAnsiTheme="majorHAnsi"/>
          <w:sz w:val="20"/>
          <w:szCs w:val="20"/>
          <w:lang w:val="es-ES"/>
        </w:rPr>
        <w:t xml:space="preserve"> interpuso </w:t>
      </w:r>
      <w:r w:rsidR="00007A97" w:rsidRPr="00021B73">
        <w:rPr>
          <w:rFonts w:asciiTheme="majorHAnsi" w:hAnsiTheme="majorHAnsi"/>
          <w:sz w:val="20"/>
          <w:szCs w:val="20"/>
          <w:lang w:val="es-ES"/>
        </w:rPr>
        <w:t>el</w:t>
      </w:r>
      <w:r w:rsidRPr="00021B73">
        <w:rPr>
          <w:rFonts w:asciiTheme="majorHAnsi" w:hAnsiTheme="majorHAnsi"/>
          <w:sz w:val="20"/>
          <w:szCs w:val="20"/>
          <w:lang w:val="es-ES"/>
        </w:rPr>
        <w:t xml:space="preserve"> de apelación y posteriormente</w:t>
      </w:r>
      <w:r w:rsidR="00007A97" w:rsidRPr="00021B73">
        <w:rPr>
          <w:rFonts w:asciiTheme="majorHAnsi" w:hAnsiTheme="majorHAnsi"/>
          <w:sz w:val="20"/>
          <w:szCs w:val="20"/>
          <w:lang w:val="es-ES"/>
        </w:rPr>
        <w:t xml:space="preserve"> el</w:t>
      </w:r>
      <w:r w:rsidRPr="00021B73">
        <w:rPr>
          <w:rFonts w:asciiTheme="majorHAnsi" w:hAnsiTheme="majorHAnsi"/>
          <w:sz w:val="20"/>
          <w:szCs w:val="20"/>
          <w:lang w:val="es-ES"/>
        </w:rPr>
        <w:t xml:space="preserve"> de casación, </w:t>
      </w:r>
      <w:r w:rsidR="00007A97" w:rsidRPr="00021B73">
        <w:rPr>
          <w:rFonts w:asciiTheme="majorHAnsi" w:hAnsiTheme="majorHAnsi"/>
          <w:sz w:val="20"/>
          <w:szCs w:val="20"/>
          <w:lang w:val="es-ES"/>
        </w:rPr>
        <w:t xml:space="preserve">siendo </w:t>
      </w:r>
      <w:r w:rsidRPr="00021B73">
        <w:rPr>
          <w:rFonts w:asciiTheme="majorHAnsi" w:hAnsiTheme="majorHAnsi"/>
          <w:sz w:val="20"/>
          <w:szCs w:val="20"/>
          <w:lang w:val="es-ES"/>
        </w:rPr>
        <w:t xml:space="preserve">ambos rechazados por las instancias competentes. </w:t>
      </w:r>
      <w:r w:rsidR="00007A97" w:rsidRPr="00021B73">
        <w:rPr>
          <w:rFonts w:asciiTheme="majorHAnsi" w:hAnsiTheme="majorHAnsi"/>
          <w:sz w:val="20"/>
          <w:szCs w:val="20"/>
          <w:lang w:val="es-ES"/>
        </w:rPr>
        <w:t>Luego</w:t>
      </w:r>
      <w:r w:rsidRPr="00021B73">
        <w:rPr>
          <w:rFonts w:asciiTheme="majorHAnsi" w:hAnsiTheme="majorHAnsi"/>
          <w:sz w:val="20"/>
          <w:szCs w:val="20"/>
          <w:lang w:val="es-ES"/>
        </w:rPr>
        <w:t xml:space="preserve"> promovió dos demandas de revisión de sentencia, las cuales fueron rechazadas por la Sala Penal Permanente de la Corte Suprema de Justicia. Según la información disponible la última decisión sobre estos recursos fue emitida el 19 de septiembre de 2019.</w:t>
      </w:r>
    </w:p>
    <w:p w14:paraId="74E81A6E" w14:textId="5834B1FA" w:rsidR="00013960" w:rsidRPr="00021B73" w:rsidRDefault="00013960" w:rsidP="0001396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21B73">
        <w:rPr>
          <w:rFonts w:asciiTheme="majorHAnsi" w:hAnsiTheme="majorHAnsi"/>
          <w:sz w:val="20"/>
          <w:szCs w:val="20"/>
          <w:lang w:val="es-ES"/>
        </w:rPr>
        <w:t xml:space="preserve">No obstante, el Estado peruano sostiene que al momento de presentación de la petición no se había agotado la jurisdicción interna, dado que el primer proceso de revisión aún se encontraba en trámite. Además, argumenta que el señor Meza Beteta no </w:t>
      </w:r>
      <w:r w:rsidR="00BB198D" w:rsidRPr="00021B73">
        <w:rPr>
          <w:rFonts w:asciiTheme="majorHAnsi" w:hAnsiTheme="majorHAnsi"/>
          <w:sz w:val="20"/>
          <w:szCs w:val="20"/>
          <w:lang w:val="es-ES"/>
        </w:rPr>
        <w:t>utilizó</w:t>
      </w:r>
      <w:r w:rsidRPr="00021B73">
        <w:rPr>
          <w:rFonts w:asciiTheme="majorHAnsi" w:hAnsiTheme="majorHAnsi"/>
          <w:sz w:val="20"/>
          <w:szCs w:val="20"/>
          <w:lang w:val="es-ES"/>
        </w:rPr>
        <w:t xml:space="preserve"> </w:t>
      </w:r>
      <w:r w:rsidR="00BB198D" w:rsidRPr="00021B73">
        <w:rPr>
          <w:rFonts w:asciiTheme="majorHAnsi" w:hAnsiTheme="majorHAnsi"/>
          <w:sz w:val="20"/>
          <w:szCs w:val="20"/>
          <w:lang w:val="es-ES"/>
        </w:rPr>
        <w:t>l</w:t>
      </w:r>
      <w:r w:rsidRPr="00021B73">
        <w:rPr>
          <w:rFonts w:asciiTheme="majorHAnsi" w:hAnsiTheme="majorHAnsi"/>
          <w:sz w:val="20"/>
          <w:szCs w:val="20"/>
          <w:lang w:val="es-ES"/>
        </w:rPr>
        <w:t>os recursos constitucionales disponibles</w:t>
      </w:r>
      <w:r w:rsidR="00492D93" w:rsidRPr="00021B73">
        <w:rPr>
          <w:rFonts w:asciiTheme="majorHAnsi" w:hAnsiTheme="majorHAnsi"/>
          <w:sz w:val="20"/>
          <w:szCs w:val="20"/>
          <w:lang w:val="es-ES"/>
        </w:rPr>
        <w:t>,</w:t>
      </w:r>
      <w:r w:rsidRPr="00021B73">
        <w:rPr>
          <w:rFonts w:asciiTheme="majorHAnsi" w:hAnsiTheme="majorHAnsi"/>
          <w:sz w:val="20"/>
          <w:szCs w:val="20"/>
          <w:lang w:val="es-ES"/>
        </w:rPr>
        <w:t xml:space="preserve"> en particular el hábeas corpus</w:t>
      </w:r>
      <w:r w:rsidR="00492D93" w:rsidRPr="00021B73">
        <w:rPr>
          <w:rFonts w:asciiTheme="majorHAnsi" w:hAnsiTheme="majorHAnsi"/>
          <w:sz w:val="20"/>
          <w:szCs w:val="20"/>
          <w:lang w:val="es-ES"/>
        </w:rPr>
        <w:t>,</w:t>
      </w:r>
      <w:r w:rsidRPr="00021B73">
        <w:rPr>
          <w:rFonts w:asciiTheme="majorHAnsi" w:hAnsiTheme="majorHAnsi"/>
          <w:sz w:val="20"/>
          <w:szCs w:val="20"/>
          <w:lang w:val="es-ES"/>
        </w:rPr>
        <w:t xml:space="preserve"> contra </w:t>
      </w:r>
      <w:r w:rsidR="00492D93" w:rsidRPr="00021B73">
        <w:rPr>
          <w:rFonts w:asciiTheme="majorHAnsi" w:hAnsiTheme="majorHAnsi"/>
          <w:sz w:val="20"/>
          <w:szCs w:val="20"/>
          <w:lang w:val="es-ES"/>
        </w:rPr>
        <w:t xml:space="preserve">la </w:t>
      </w:r>
      <w:r w:rsidRPr="00021B73">
        <w:rPr>
          <w:rFonts w:asciiTheme="majorHAnsi" w:hAnsiTheme="majorHAnsi"/>
          <w:sz w:val="20"/>
          <w:szCs w:val="20"/>
          <w:lang w:val="es-ES"/>
        </w:rPr>
        <w:t>resolución judicial firme</w:t>
      </w:r>
      <w:r w:rsidR="00492D93" w:rsidRPr="00021B73">
        <w:rPr>
          <w:rFonts w:asciiTheme="majorHAnsi" w:hAnsiTheme="majorHAnsi"/>
          <w:sz w:val="20"/>
          <w:szCs w:val="20"/>
          <w:lang w:val="es-ES"/>
        </w:rPr>
        <w:t>.</w:t>
      </w:r>
      <w:r w:rsidR="00B80587" w:rsidRPr="00021B73">
        <w:rPr>
          <w:rFonts w:asciiTheme="majorHAnsi" w:hAnsiTheme="majorHAnsi"/>
          <w:sz w:val="20"/>
          <w:szCs w:val="20"/>
          <w:lang w:val="es-ES"/>
        </w:rPr>
        <w:t xml:space="preserve"> Remedio este </w:t>
      </w:r>
      <w:r w:rsidRPr="00021B73">
        <w:rPr>
          <w:rFonts w:asciiTheme="majorHAnsi" w:hAnsiTheme="majorHAnsi"/>
          <w:sz w:val="20"/>
          <w:szCs w:val="20"/>
          <w:lang w:val="es-ES"/>
        </w:rPr>
        <w:t>revisto en el ordenamiento jurídico interno como una vía idónea y efectiva para alegar violaciones al debido proceso y a las garantías judiciales.</w:t>
      </w:r>
    </w:p>
    <w:p w14:paraId="3EC6B056" w14:textId="04107970" w:rsidR="00DC66D2" w:rsidRPr="00021B73" w:rsidRDefault="00DC66D2" w:rsidP="00DC66D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021B73">
        <w:rPr>
          <w:rFonts w:ascii="Cambria" w:hAnsi="Cambria"/>
          <w:sz w:val="20"/>
          <w:szCs w:val="20"/>
          <w:lang w:val="es-ES"/>
        </w:rPr>
        <w:t xml:space="preserve">Al respecto, la Comisión recuerda que el requisito de previo agotamiento de los recursos internos tiene por objeto permitir que las autoridades nacionales </w:t>
      </w:r>
      <w:r w:rsidR="00931C23" w:rsidRPr="00021B73">
        <w:rPr>
          <w:rFonts w:ascii="Cambria" w:hAnsi="Cambria"/>
          <w:sz w:val="20"/>
          <w:szCs w:val="20"/>
          <w:lang w:val="es-ES"/>
        </w:rPr>
        <w:t>conozcan</w:t>
      </w:r>
      <w:r w:rsidRPr="00021B73">
        <w:rPr>
          <w:rFonts w:ascii="Cambria" w:hAnsi="Cambria"/>
          <w:sz w:val="20"/>
          <w:szCs w:val="20"/>
          <w:lang w:val="es-ES"/>
        </w:rPr>
        <w:t xml:space="preserve"> de la presunta vulneración de un derecho protegido y, en su caso, adopten las medidas necesarias para remediar la situación antes de que sea sometida a una instancia internacional</w:t>
      </w:r>
      <w:r w:rsidRPr="00021B73">
        <w:rPr>
          <w:rStyle w:val="FootnoteReference"/>
          <w:rFonts w:ascii="Cambria" w:hAnsi="Cambria"/>
          <w:sz w:val="20"/>
          <w:szCs w:val="20"/>
          <w:lang w:val="es-ES"/>
        </w:rPr>
        <w:footnoteReference w:id="4"/>
      </w:r>
      <w:r w:rsidRPr="00021B73">
        <w:rPr>
          <w:rFonts w:ascii="Cambria" w:hAnsi="Cambria"/>
          <w:sz w:val="20"/>
          <w:szCs w:val="20"/>
          <w:lang w:val="es-ES"/>
        </w:rPr>
        <w:t>.</w:t>
      </w:r>
    </w:p>
    <w:p w14:paraId="4211363F" w14:textId="408C1B91" w:rsidR="002A1C2C" w:rsidRPr="00021B73" w:rsidRDefault="00DF14FB" w:rsidP="002A1C2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021B73">
        <w:rPr>
          <w:rFonts w:ascii="Cambria" w:hAnsi="Cambria"/>
          <w:color w:val="000000" w:themeColor="text1"/>
          <w:sz w:val="20"/>
          <w:szCs w:val="20"/>
          <w:lang w:val="es-ES"/>
        </w:rPr>
        <w:t>A este respecto</w:t>
      </w:r>
      <w:r w:rsidR="002A1C2C" w:rsidRPr="00021B73">
        <w:rPr>
          <w:rFonts w:ascii="Cambria" w:hAnsi="Cambria"/>
          <w:color w:val="000000" w:themeColor="text1"/>
          <w:sz w:val="20"/>
          <w:szCs w:val="20"/>
          <w:lang w:val="es-ES"/>
        </w:rPr>
        <w:t xml:space="preserve"> la CIDH reitera su posición constante, según la cual la situación que debe considerarse para determinar si se han agotado los recursos de la jurisdicción interna es la que existía al momento en que se decide sobre la admisibilidad de la petición. Este criterio garantiza que las autoridades nacionales tengan la oportunidad de resolver la situación denunciada en el ámbito interno. Asimismo, la Comisión recuerda que, en casos de delitos perseguibles de oficio, como homicidios, secuestros o torturas, el Estado tiene la obligación de promover e impulsar el proceso penal, el cual constituye la vía idónea para esclarecer los hechos, juzgar a los responsables y establecer las sanciones penales correspondientes, además de permitir la aplicación de otras formas de reparación pecuniaria</w:t>
      </w:r>
      <w:r w:rsidR="002A1C2C" w:rsidRPr="00021B73">
        <w:rPr>
          <w:rStyle w:val="FootnoteReference"/>
          <w:rFonts w:asciiTheme="majorHAnsi" w:hAnsiTheme="majorHAnsi"/>
          <w:color w:val="000000" w:themeColor="text1"/>
          <w:sz w:val="20"/>
          <w:szCs w:val="20"/>
          <w:lang w:val="es-ES" w:eastAsia="es-PE"/>
        </w:rPr>
        <w:footnoteReference w:id="5"/>
      </w:r>
      <w:r w:rsidR="002A1C2C" w:rsidRPr="00021B73">
        <w:rPr>
          <w:rFonts w:ascii="Cambria" w:hAnsi="Cambria"/>
          <w:color w:val="000000" w:themeColor="text1"/>
          <w:sz w:val="20"/>
          <w:szCs w:val="20"/>
          <w:lang w:val="es-ES"/>
        </w:rPr>
        <w:t>.</w:t>
      </w:r>
    </w:p>
    <w:p w14:paraId="6E25FABE" w14:textId="7CFDA39F" w:rsidR="002A1C2C" w:rsidRPr="00021B73" w:rsidRDefault="002A1C2C" w:rsidP="00611C1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021B73">
        <w:rPr>
          <w:rFonts w:ascii="Cambria" w:hAnsi="Cambria"/>
          <w:color w:val="000000" w:themeColor="text1"/>
          <w:sz w:val="20"/>
          <w:szCs w:val="20"/>
          <w:lang w:val="es-ES"/>
        </w:rPr>
        <w:t xml:space="preserve">Además, reitera que el requisito de agotamiento de los recursos internos no implica que las presuntas víctimas tengan la obligación de agotar todos los recursos posibles a su disposición. </w:t>
      </w:r>
      <w:r w:rsidR="009527CC" w:rsidRPr="00021B73">
        <w:rPr>
          <w:rFonts w:ascii="Cambria" w:hAnsi="Cambria"/>
          <w:color w:val="000000" w:themeColor="text1"/>
          <w:sz w:val="20"/>
          <w:szCs w:val="20"/>
          <w:lang w:val="es-ES"/>
        </w:rPr>
        <w:t xml:space="preserve">Ya que </w:t>
      </w:r>
      <w:r w:rsidRPr="00021B73">
        <w:rPr>
          <w:rFonts w:ascii="Cambria" w:hAnsi="Cambria"/>
          <w:color w:val="000000" w:themeColor="text1"/>
          <w:sz w:val="20"/>
          <w:szCs w:val="20"/>
          <w:lang w:val="es-ES"/>
        </w:rPr>
        <w:t>si la presunta víctima planteó la cuestión por alguna de las alternativas válidas y adecuadas según el ordenamiento jurídico interno y el Estado tuvo la oportunidad de remediar la cuestión en su jurisdicción, la finalidad de la norma internacional está cumplida</w:t>
      </w:r>
      <w:r w:rsidRPr="00021B73">
        <w:rPr>
          <w:rStyle w:val="FootnoteReference"/>
          <w:rFonts w:ascii="Cambria" w:hAnsi="Cambria"/>
          <w:color w:val="000000" w:themeColor="text1"/>
          <w:sz w:val="20"/>
          <w:szCs w:val="20"/>
          <w:lang w:val="es-ES"/>
        </w:rPr>
        <w:footnoteReference w:id="6"/>
      </w:r>
      <w:r w:rsidRPr="00021B73">
        <w:rPr>
          <w:rFonts w:ascii="Cambria" w:hAnsi="Cambria"/>
          <w:color w:val="000000" w:themeColor="text1"/>
          <w:sz w:val="20"/>
          <w:szCs w:val="20"/>
          <w:lang w:val="es-ES"/>
        </w:rPr>
        <w:t>.</w:t>
      </w:r>
    </w:p>
    <w:p w14:paraId="556CC7F8" w14:textId="77777777" w:rsidR="00C86C82" w:rsidRPr="00021B73" w:rsidRDefault="0078300C" w:rsidP="00EB5A2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021B73">
        <w:rPr>
          <w:rFonts w:asciiTheme="majorHAnsi" w:hAnsiTheme="majorHAnsi" w:cs="Baskerville Old Face"/>
          <w:sz w:val="20"/>
          <w:szCs w:val="20"/>
          <w:lang w:val="es-ES"/>
        </w:rPr>
        <w:t xml:space="preserve">Con base en ello, la Comisión advierte que en este asunto la presunta víctima empleó distintas vías idóneas para cuestionar directamente su condena, sin que haya ningún indicio de que los mecanismos empleados hayan sido utilizado sin cumplir algún requerimiento exigido por las normas internas. Por el contrario, </w:t>
      </w:r>
      <w:r w:rsidRPr="00021B73">
        <w:rPr>
          <w:rFonts w:asciiTheme="majorHAnsi" w:hAnsiTheme="majorHAnsi"/>
          <w:sz w:val="20"/>
          <w:szCs w:val="20"/>
          <w:lang w:val="es-ES"/>
        </w:rPr>
        <w:t>la Comisión aprecia que con este accionar el señor Meza le brindó la oportunidad al Estado de resolver esta situación mediante sus mecanismos internos.</w:t>
      </w:r>
    </w:p>
    <w:p w14:paraId="3CFF2429" w14:textId="325EDC6C" w:rsidR="00EB5A21" w:rsidRPr="00021B73" w:rsidRDefault="00EB5A21" w:rsidP="00F628A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021B73">
        <w:rPr>
          <w:rFonts w:asciiTheme="majorHAnsi" w:hAnsiTheme="majorHAnsi"/>
          <w:sz w:val="20"/>
          <w:szCs w:val="20"/>
          <w:lang w:val="es-ES"/>
        </w:rPr>
        <w:lastRenderedPageBreak/>
        <w:t xml:space="preserve">Por las razones expuestas, la Comisión entiende que en el presente asunto se cumple el requisito del previo agotamiento de la jurisdicción interna, dispuesto en el artículo 46.1.a) de la Convención. Asimismo, toda vez que la petición se presentó el </w:t>
      </w:r>
      <w:r w:rsidRPr="00021B73">
        <w:rPr>
          <w:rFonts w:ascii="Cambria" w:hAnsi="Cambria"/>
          <w:bCs/>
          <w:sz w:val="20"/>
          <w:szCs w:val="20"/>
          <w:lang w:val="es-ES"/>
        </w:rPr>
        <w:t>10 de abril de 2015</w:t>
      </w:r>
      <w:r w:rsidR="00C86C82" w:rsidRPr="00021B73">
        <w:rPr>
          <w:rFonts w:ascii="Cambria" w:hAnsi="Cambria"/>
          <w:bCs/>
          <w:sz w:val="20"/>
          <w:szCs w:val="20"/>
          <w:lang w:val="es-ES"/>
        </w:rPr>
        <w:t xml:space="preserve"> y que la última decisión sobre el presente asunto se profirió el </w:t>
      </w:r>
      <w:r w:rsidR="00C86C82" w:rsidRPr="00021B73">
        <w:rPr>
          <w:rFonts w:asciiTheme="majorHAnsi" w:hAnsiTheme="majorHAnsi"/>
          <w:sz w:val="20"/>
          <w:szCs w:val="20"/>
          <w:lang w:val="es-ES"/>
        </w:rPr>
        <w:t>19 de septiembre de 2019</w:t>
      </w:r>
      <w:r w:rsidRPr="00021B73">
        <w:rPr>
          <w:rFonts w:asciiTheme="majorHAnsi" w:hAnsiTheme="majorHAnsi"/>
          <w:bCs/>
          <w:sz w:val="20"/>
          <w:szCs w:val="20"/>
          <w:lang w:val="es-ES"/>
        </w:rPr>
        <w:t>, esta también cumple con el plazo previsto en la disposición 46.1.b) de dicho tratado.</w:t>
      </w:r>
    </w:p>
    <w:p w14:paraId="4FFBE378" w14:textId="64322DE9" w:rsidR="003239B8" w:rsidRPr="00021B73" w:rsidRDefault="003239B8" w:rsidP="003239B8">
      <w:pPr>
        <w:pStyle w:val="ListParagraph"/>
        <w:spacing w:before="240" w:after="240"/>
        <w:jc w:val="both"/>
        <w:rPr>
          <w:rFonts w:asciiTheme="majorHAnsi" w:hAnsiTheme="majorHAnsi"/>
          <w:b/>
          <w:sz w:val="20"/>
          <w:szCs w:val="20"/>
          <w:lang w:val="es-ES"/>
        </w:rPr>
      </w:pPr>
      <w:r w:rsidRPr="00021B73">
        <w:rPr>
          <w:rFonts w:asciiTheme="majorHAnsi" w:hAnsiTheme="majorHAnsi"/>
          <w:b/>
          <w:bCs/>
          <w:sz w:val="20"/>
          <w:szCs w:val="20"/>
          <w:lang w:val="es-ES"/>
        </w:rPr>
        <w:t>VII.</w:t>
      </w:r>
      <w:r w:rsidRPr="00021B73">
        <w:rPr>
          <w:rFonts w:asciiTheme="majorHAnsi" w:hAnsiTheme="majorHAnsi"/>
          <w:b/>
          <w:bCs/>
          <w:sz w:val="20"/>
          <w:szCs w:val="20"/>
          <w:lang w:val="es-ES"/>
        </w:rPr>
        <w:tab/>
      </w:r>
      <w:r w:rsidR="004A6A54" w:rsidRPr="00021B73">
        <w:rPr>
          <w:rFonts w:asciiTheme="majorHAnsi" w:hAnsiTheme="majorHAnsi"/>
          <w:b/>
          <w:bCs/>
          <w:sz w:val="20"/>
          <w:szCs w:val="20"/>
          <w:lang w:val="es-ES"/>
        </w:rPr>
        <w:t xml:space="preserve">ANÁLISIS DE </w:t>
      </w:r>
      <w:r w:rsidR="00C21FEF" w:rsidRPr="00021B73">
        <w:rPr>
          <w:rFonts w:asciiTheme="majorHAnsi" w:hAnsiTheme="majorHAnsi"/>
          <w:b/>
          <w:bCs/>
          <w:sz w:val="20"/>
          <w:szCs w:val="20"/>
          <w:lang w:val="es-ES"/>
        </w:rPr>
        <w:t>CARACTERIZACIÓN DE LOS HECHOS ALEGADOS</w:t>
      </w:r>
    </w:p>
    <w:p w14:paraId="10D97E60" w14:textId="410C7D2B" w:rsidR="00813574" w:rsidRPr="00021B73" w:rsidRDefault="003B5C4C" w:rsidP="00813574">
      <w:pPr>
        <w:pStyle w:val="ListParagraph"/>
        <w:numPr>
          <w:ilvl w:val="0"/>
          <w:numId w:val="103"/>
        </w:numPr>
        <w:jc w:val="both"/>
        <w:rPr>
          <w:rFonts w:asciiTheme="majorHAnsi" w:hAnsiTheme="majorHAnsi"/>
          <w:sz w:val="20"/>
          <w:szCs w:val="20"/>
          <w:lang w:val="es-ES"/>
        </w:rPr>
      </w:pPr>
      <w:r w:rsidRPr="00021B73">
        <w:rPr>
          <w:rFonts w:asciiTheme="majorHAnsi" w:hAnsiTheme="majorHAnsi"/>
          <w:sz w:val="20"/>
          <w:szCs w:val="20"/>
          <w:lang w:val="es-ES"/>
        </w:rPr>
        <w:t xml:space="preserve">A los 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021B73">
        <w:rPr>
          <w:rFonts w:asciiTheme="majorHAnsi" w:hAnsiTheme="majorHAnsi"/>
          <w:i/>
          <w:iCs/>
          <w:sz w:val="20"/>
          <w:szCs w:val="20"/>
          <w:lang w:val="es-ES"/>
        </w:rPr>
        <w:t>prima facie</w:t>
      </w:r>
      <w:r w:rsidRPr="00021B73">
        <w:rPr>
          <w:rFonts w:asciiTheme="majorHAnsi" w:hAnsiTheme="majorHAnsi"/>
          <w:sz w:val="20"/>
          <w:szCs w:val="20"/>
          <w:lang w:val="es-ES"/>
        </w:rPr>
        <w:t xml:space="preserve"> para determinar si la petición establece el fundamento de la violación, posible o potencial, de un derecho garantizado por la Convención, pero no para establecer la existencia de una vulneración de derechos. </w:t>
      </w:r>
    </w:p>
    <w:p w14:paraId="63BE107C" w14:textId="36FF7AC6" w:rsidR="00813574" w:rsidRPr="001E5ACB" w:rsidRDefault="003354A2" w:rsidP="69951088">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color w:val="auto"/>
          <w:sz w:val="20"/>
          <w:szCs w:val="20"/>
          <w:lang w:val="es-ES"/>
        </w:rPr>
      </w:pPr>
      <w:r w:rsidRPr="001E5ACB">
        <w:rPr>
          <w:color w:val="auto"/>
          <w:sz w:val="20"/>
          <w:szCs w:val="20"/>
          <w:lang w:val="es-ES"/>
        </w:rPr>
        <w:t>Sin perjuicio de ello, la Comisión reitera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es, entre otros, el ejercicio de la función de la jurisdicción interna, que no puede ser remplazado por la CIDH</w:t>
      </w:r>
      <w:r w:rsidRPr="69951088">
        <w:rPr>
          <w:rStyle w:val="FootnoteReference"/>
          <w:color w:val="auto"/>
          <w:sz w:val="20"/>
          <w:szCs w:val="20"/>
        </w:rPr>
        <w:footnoteReference w:id="7"/>
      </w:r>
      <w:r w:rsidRPr="001E5ACB">
        <w:rPr>
          <w:color w:val="auto"/>
          <w:sz w:val="20"/>
          <w:szCs w:val="20"/>
          <w:lang w:val="es-ES"/>
        </w:rPr>
        <w:t>. En ese sentido, la función de la Comisión consiste en garantizar la observancia de las obligaciones asumidas por los Estados parte de la Convención Americana, pero no puede hacer las veces de un tribunal de alzada para examinar supuestos errores de derecho o de hecho que puedan haber cometido los tribunales nacionales que hayan actuado dentro de los límites de su competencia</w:t>
      </w:r>
      <w:r w:rsidRPr="69951088">
        <w:rPr>
          <w:rStyle w:val="FootnoteReference"/>
          <w:color w:val="auto"/>
          <w:sz w:val="20"/>
          <w:szCs w:val="20"/>
        </w:rPr>
        <w:footnoteReference w:id="8"/>
      </w:r>
      <w:r w:rsidRPr="001E5ACB">
        <w:rPr>
          <w:color w:val="auto"/>
          <w:sz w:val="20"/>
          <w:szCs w:val="20"/>
          <w:lang w:val="es-ES"/>
        </w:rPr>
        <w:t xml:space="preserve">.  </w:t>
      </w:r>
    </w:p>
    <w:p w14:paraId="3723CBDE" w14:textId="77777777" w:rsidR="00813574" w:rsidRPr="00021B73" w:rsidRDefault="00813574" w:rsidP="00813574">
      <w:pPr>
        <w:pStyle w:val="ListParagraph"/>
        <w:numPr>
          <w:ilvl w:val="0"/>
          <w:numId w:val="103"/>
        </w:numPr>
        <w:jc w:val="both"/>
        <w:rPr>
          <w:rFonts w:asciiTheme="majorHAnsi" w:hAnsiTheme="majorHAnsi"/>
          <w:sz w:val="20"/>
          <w:szCs w:val="20"/>
          <w:lang w:val="es-ES"/>
        </w:rPr>
      </w:pPr>
      <w:r w:rsidRPr="00021B73">
        <w:rPr>
          <w:rFonts w:asciiTheme="majorHAnsi" w:hAnsiTheme="majorHAnsi"/>
          <w:sz w:val="20"/>
          <w:szCs w:val="20"/>
          <w:lang w:val="es-ES"/>
        </w:rPr>
        <w:t>Del análisis integral de los elementos de hecho presentados por la parte peticionaria, la Comisión observa que el objeto de la presente denuncia se refiere principalmente a supuestas irregularidades ocurridas en el marco del proceso penal seguido contra el señor José Guillermo Meza Beteta, que concluyó con una condena a siete años de prisión por el delito de colusión. Según el peticionario, dicho proceso habría estado motivado por represalias institucionales vinculadas con un conflicto contractual previo, y se habrían vulnerado diversas garantías del debido proceso, entre ellas el derecho a un juez imparcial, a la defensa y a una resolución debidamente motivada.</w:t>
      </w:r>
    </w:p>
    <w:p w14:paraId="7350D791" w14:textId="77777777" w:rsidR="00813574" w:rsidRPr="00021B73" w:rsidRDefault="00813574" w:rsidP="00813574">
      <w:pPr>
        <w:pStyle w:val="ListParagraph"/>
        <w:jc w:val="both"/>
        <w:rPr>
          <w:rFonts w:asciiTheme="majorHAnsi" w:hAnsiTheme="majorHAnsi"/>
          <w:sz w:val="20"/>
          <w:szCs w:val="20"/>
          <w:lang w:val="es-ES"/>
        </w:rPr>
      </w:pPr>
    </w:p>
    <w:p w14:paraId="3EFC4605" w14:textId="578385AB" w:rsidR="00813574" w:rsidRPr="00021B73" w:rsidRDefault="00813574" w:rsidP="00813574">
      <w:pPr>
        <w:pStyle w:val="ListParagraph"/>
        <w:numPr>
          <w:ilvl w:val="0"/>
          <w:numId w:val="103"/>
        </w:numPr>
        <w:jc w:val="both"/>
        <w:rPr>
          <w:rFonts w:asciiTheme="majorHAnsi" w:hAnsiTheme="majorHAnsi"/>
          <w:sz w:val="20"/>
          <w:szCs w:val="20"/>
          <w:lang w:val="es-ES"/>
        </w:rPr>
      </w:pPr>
      <w:r w:rsidRPr="00021B73">
        <w:rPr>
          <w:rFonts w:asciiTheme="majorHAnsi" w:hAnsiTheme="majorHAnsi"/>
          <w:sz w:val="20"/>
          <w:szCs w:val="20"/>
          <w:lang w:val="es-ES"/>
        </w:rPr>
        <w:t xml:space="preserve">No obstante, del conjunto de alegatos y documentación aportada no se desprenden elementos que </w:t>
      </w:r>
      <w:r w:rsidR="00B24206" w:rsidRPr="00021B73">
        <w:rPr>
          <w:rFonts w:asciiTheme="majorHAnsi" w:hAnsiTheme="majorHAnsi"/>
          <w:i/>
          <w:iCs/>
          <w:sz w:val="20"/>
          <w:szCs w:val="20"/>
          <w:lang w:val="es-ES"/>
        </w:rPr>
        <w:t>prima facie</w:t>
      </w:r>
      <w:r w:rsidRPr="00021B73">
        <w:rPr>
          <w:rFonts w:asciiTheme="majorHAnsi" w:hAnsiTheme="majorHAnsi"/>
          <w:sz w:val="20"/>
          <w:szCs w:val="20"/>
          <w:lang w:val="es-ES"/>
        </w:rPr>
        <w:t xml:space="preserve"> permitan establecer una posible vulneración de derechos protegidos por la Convención Americana. En primer lugar, se constata que el señor Beteta tuvo acceso a recursos ordinarios y extraordinarios dentro del ordenamiento jurídico interno, incluyendo la posibilidad de apelar la condena, recurrir en casación y presentar dos demandas de revisión ante la Corte Suprema. Las decisiones adoptadas por los órganos judiciales competentes fueron debidamente motivadas, y la parte peticionaria no ha mostrado que tales resoluciones hayan sido arbitrarias, infundadas o emitidas con desconocimiento de las garantías procesales esenciales.</w:t>
      </w:r>
    </w:p>
    <w:p w14:paraId="7332DD18" w14:textId="77777777" w:rsidR="00F813CB" w:rsidRPr="00021B73" w:rsidRDefault="00F813CB" w:rsidP="00F813CB">
      <w:pPr>
        <w:pStyle w:val="ListParagraph"/>
        <w:jc w:val="both"/>
        <w:rPr>
          <w:rFonts w:asciiTheme="majorHAnsi" w:hAnsiTheme="majorHAnsi"/>
          <w:sz w:val="20"/>
          <w:szCs w:val="20"/>
          <w:lang w:val="es-ES"/>
        </w:rPr>
      </w:pPr>
    </w:p>
    <w:p w14:paraId="3BEC5237" w14:textId="6F7F33EB" w:rsidR="005B4DE6" w:rsidRPr="00021B73" w:rsidRDefault="00F813CB" w:rsidP="005B4DE6">
      <w:pPr>
        <w:pStyle w:val="ListParagraph"/>
        <w:numPr>
          <w:ilvl w:val="0"/>
          <w:numId w:val="103"/>
        </w:numPr>
        <w:jc w:val="both"/>
        <w:rPr>
          <w:rFonts w:asciiTheme="majorHAnsi" w:hAnsiTheme="majorHAnsi"/>
          <w:sz w:val="20"/>
          <w:szCs w:val="20"/>
          <w:lang w:val="es-ES"/>
        </w:rPr>
      </w:pPr>
      <w:r w:rsidRPr="00021B73">
        <w:rPr>
          <w:rFonts w:asciiTheme="majorHAnsi" w:hAnsiTheme="majorHAnsi"/>
          <w:sz w:val="20"/>
          <w:szCs w:val="20"/>
          <w:lang w:val="es-ES"/>
        </w:rPr>
        <w:t xml:space="preserve">En cuanto al laudo arbitral emitido en favor de la empresa VARMEZ S.A.C., la Comisión observa que </w:t>
      </w:r>
      <w:r w:rsidR="003950F1" w:rsidRPr="00021B73">
        <w:rPr>
          <w:rFonts w:asciiTheme="majorHAnsi" w:hAnsiTheme="majorHAnsi"/>
          <w:sz w:val="20"/>
          <w:szCs w:val="20"/>
          <w:lang w:val="es-ES"/>
        </w:rPr>
        <w:t xml:space="preserve">este </w:t>
      </w:r>
      <w:r w:rsidRPr="00021B73">
        <w:rPr>
          <w:rFonts w:asciiTheme="majorHAnsi" w:hAnsiTheme="majorHAnsi"/>
          <w:sz w:val="20"/>
          <w:szCs w:val="20"/>
          <w:lang w:val="es-ES"/>
        </w:rPr>
        <w:t xml:space="preserve">tuvo como objeto un reclamo por incumplimiento contractual y resultó favorable a la empresa de la cual la presunta víctima era gerente. No obstante, el peticionario no demuestra de qué manera dicho laudo tendría un efecto vinculante o excluyente respecto del proceso penal que culminó con su condena por el delito de colusión. En ese sentido, la información disponible indica que los órganos judiciales valoraron dicho laudo, pero concluyeron que su contenido no se superponía ni neutralizaba los hechos investigados en sede penal, los cuales involucraban presunta concertación entre el contratista y funcionarios públicos para defraudar al Estado mediante sobrevaloración. En ausencia de elementos que acrediten que el laudo impedía jurídicamente </w:t>
      </w:r>
      <w:r w:rsidRPr="00021B73">
        <w:rPr>
          <w:rFonts w:asciiTheme="majorHAnsi" w:hAnsiTheme="majorHAnsi"/>
          <w:sz w:val="20"/>
          <w:szCs w:val="20"/>
          <w:lang w:val="es-ES"/>
        </w:rPr>
        <w:lastRenderedPageBreak/>
        <w:t>la continuación del proceso penal o que fue indebidamente excluido del análisis judicial, la Comisión considera que el alegato del peticionario constituye una discrepancia sobre la interpretación de prueba y el derecho aplicable, sin que se evidencie un uso arbitrario o discriminatorio de los mecanismos de justicia internos.</w:t>
      </w:r>
    </w:p>
    <w:p w14:paraId="43B56539" w14:textId="77777777" w:rsidR="005B4DE6" w:rsidRPr="00021B73" w:rsidRDefault="005B4DE6" w:rsidP="005B4DE6">
      <w:pPr>
        <w:pStyle w:val="ListParagraph"/>
        <w:jc w:val="both"/>
        <w:rPr>
          <w:rFonts w:asciiTheme="majorHAnsi" w:hAnsiTheme="majorHAnsi"/>
          <w:sz w:val="20"/>
          <w:szCs w:val="20"/>
          <w:lang w:val="es-ES"/>
        </w:rPr>
      </w:pPr>
    </w:p>
    <w:p w14:paraId="78EB075C" w14:textId="4A422634" w:rsidR="00F813CB" w:rsidRPr="00021B73" w:rsidRDefault="00813574" w:rsidP="005B4DE6">
      <w:pPr>
        <w:pStyle w:val="ListParagraph"/>
        <w:numPr>
          <w:ilvl w:val="0"/>
          <w:numId w:val="103"/>
        </w:numPr>
        <w:jc w:val="both"/>
        <w:rPr>
          <w:rFonts w:asciiTheme="majorHAnsi" w:hAnsiTheme="majorHAnsi"/>
          <w:sz w:val="20"/>
          <w:szCs w:val="20"/>
          <w:lang w:val="es-ES"/>
        </w:rPr>
      </w:pPr>
      <w:r w:rsidRPr="00021B73">
        <w:rPr>
          <w:rFonts w:eastAsia="Times New Roman"/>
          <w:sz w:val="20"/>
          <w:szCs w:val="20"/>
          <w:bdr w:val="none" w:sz="0" w:space="0" w:color="auto"/>
          <w:lang w:val="es-ES" w:eastAsia="es-PE"/>
        </w:rPr>
        <w:t>Por lo tanto, conforme al artículo 47.b</w:t>
      </w:r>
      <w:r w:rsidR="00021B73" w:rsidRPr="00021B73">
        <w:rPr>
          <w:rFonts w:eastAsia="Times New Roman"/>
          <w:sz w:val="20"/>
          <w:szCs w:val="20"/>
          <w:bdr w:val="none" w:sz="0" w:space="0" w:color="auto"/>
          <w:lang w:val="es-ES" w:eastAsia="es-PE"/>
        </w:rPr>
        <w:t>)</w:t>
      </w:r>
      <w:r w:rsidRPr="00021B73">
        <w:rPr>
          <w:rFonts w:eastAsia="Times New Roman"/>
          <w:sz w:val="20"/>
          <w:szCs w:val="20"/>
          <w:bdr w:val="none" w:sz="0" w:space="0" w:color="auto"/>
          <w:lang w:val="es-ES" w:eastAsia="es-PE"/>
        </w:rPr>
        <w:t xml:space="preserve"> de la Convención Americana, la Comisión concluye que los hechos alegados no caracterizan, prima facie, una violación de derechos humanos y que la petición debe ser declarada inadmisible en esta etapa.</w:t>
      </w:r>
    </w:p>
    <w:p w14:paraId="29BB41F5" w14:textId="77777777" w:rsidR="003239B8" w:rsidRPr="00021B73" w:rsidRDefault="003239B8" w:rsidP="003239B8">
      <w:pPr>
        <w:pStyle w:val="ListParagraph"/>
        <w:spacing w:before="240" w:after="240"/>
        <w:jc w:val="both"/>
        <w:rPr>
          <w:rFonts w:asciiTheme="majorHAnsi" w:hAnsiTheme="majorHAnsi"/>
          <w:b/>
          <w:bCs/>
          <w:sz w:val="20"/>
          <w:szCs w:val="20"/>
          <w:lang w:val="es-ES"/>
        </w:rPr>
      </w:pPr>
      <w:r w:rsidRPr="00021B73">
        <w:rPr>
          <w:rFonts w:asciiTheme="majorHAnsi" w:hAnsiTheme="majorHAnsi"/>
          <w:b/>
          <w:bCs/>
          <w:sz w:val="20"/>
          <w:szCs w:val="20"/>
          <w:lang w:val="es-ES"/>
        </w:rPr>
        <w:t xml:space="preserve">VIII. </w:t>
      </w:r>
      <w:r w:rsidRPr="00021B73">
        <w:rPr>
          <w:rFonts w:asciiTheme="majorHAnsi" w:hAnsiTheme="majorHAnsi"/>
          <w:b/>
          <w:bCs/>
          <w:sz w:val="20"/>
          <w:szCs w:val="20"/>
          <w:lang w:val="es-ES"/>
        </w:rPr>
        <w:tab/>
        <w:t>DECISIÓN</w:t>
      </w:r>
    </w:p>
    <w:p w14:paraId="570DA61C" w14:textId="7F5D4CCB" w:rsidR="000419AD" w:rsidRPr="00021B73" w:rsidRDefault="000419AD" w:rsidP="000419AD">
      <w:pPr>
        <w:pStyle w:val="ListParagraph"/>
        <w:numPr>
          <w:ilvl w:val="0"/>
          <w:numId w:val="109"/>
        </w:numPr>
        <w:rPr>
          <w:rFonts w:eastAsia="Arial Unicode MS" w:cs="Times New Roman"/>
          <w:color w:val="auto"/>
          <w:sz w:val="20"/>
          <w:szCs w:val="20"/>
          <w:lang w:val="es-ES" w:eastAsia="en-US"/>
        </w:rPr>
      </w:pPr>
      <w:r w:rsidRPr="00021B73">
        <w:rPr>
          <w:rFonts w:eastAsia="Arial Unicode MS" w:cs="Times New Roman"/>
          <w:color w:val="auto"/>
          <w:sz w:val="20"/>
          <w:szCs w:val="20"/>
          <w:lang w:val="es-ES" w:eastAsia="en-US"/>
        </w:rPr>
        <w:t xml:space="preserve">Declarar </w:t>
      </w:r>
      <w:r w:rsidRPr="00A50407">
        <w:rPr>
          <w:rFonts w:eastAsia="Arial Unicode MS" w:cs="Times New Roman"/>
          <w:color w:val="auto"/>
          <w:sz w:val="20"/>
          <w:szCs w:val="20"/>
          <w:lang w:val="es-ES" w:eastAsia="en-US"/>
        </w:rPr>
        <w:t xml:space="preserve">inadmisible </w:t>
      </w:r>
      <w:r w:rsidRPr="00021B73">
        <w:rPr>
          <w:rFonts w:eastAsia="Arial Unicode MS" w:cs="Times New Roman"/>
          <w:color w:val="auto"/>
          <w:sz w:val="20"/>
          <w:szCs w:val="20"/>
          <w:lang w:val="es-ES" w:eastAsia="en-US"/>
        </w:rPr>
        <w:t>la presente petición</w:t>
      </w:r>
      <w:r w:rsidR="00A758AA" w:rsidRPr="00021B73">
        <w:rPr>
          <w:rFonts w:eastAsia="Arial Unicode MS" w:cs="Times New Roman"/>
          <w:color w:val="auto"/>
          <w:sz w:val="20"/>
          <w:szCs w:val="20"/>
          <w:lang w:val="es-ES" w:eastAsia="en-US"/>
        </w:rPr>
        <w:t>;</w:t>
      </w:r>
      <w:r w:rsidR="004A6A54" w:rsidRPr="00021B73">
        <w:rPr>
          <w:rFonts w:eastAsia="Arial Unicode MS" w:cs="Times New Roman"/>
          <w:color w:val="auto"/>
          <w:sz w:val="20"/>
          <w:szCs w:val="20"/>
          <w:lang w:val="es-ES" w:eastAsia="en-US"/>
        </w:rPr>
        <w:t xml:space="preserve"> y</w:t>
      </w:r>
    </w:p>
    <w:p w14:paraId="41AA5BF6" w14:textId="77777777" w:rsidR="000419AD" w:rsidRPr="00021B73" w:rsidRDefault="000419AD" w:rsidP="000419AD">
      <w:pPr>
        <w:pStyle w:val="ListParagraph"/>
        <w:rPr>
          <w:rFonts w:eastAsia="Arial Unicode MS" w:cs="Times New Roman"/>
          <w:color w:val="auto"/>
          <w:sz w:val="20"/>
          <w:szCs w:val="20"/>
          <w:lang w:val="es-ES" w:eastAsia="en-US"/>
        </w:rPr>
      </w:pPr>
    </w:p>
    <w:p w14:paraId="12A7002C" w14:textId="0310119D" w:rsidR="004A6A54" w:rsidRPr="00063AA1" w:rsidRDefault="004A6A54" w:rsidP="004A6A54">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021B73">
        <w:rPr>
          <w:rFonts w:asciiTheme="majorHAnsi" w:hAnsiTheme="majorHAnsi"/>
          <w:sz w:val="20"/>
          <w:szCs w:val="20"/>
          <w:lang w:val="es-ES"/>
        </w:rPr>
        <w:t>Notificar a las partes la presente decisión; y publicar esta decisión e incluirla en su Informe Anual a la Asamblea General de la Organización de los Estados Ame</w:t>
      </w:r>
      <w:r w:rsidRPr="00063AA1">
        <w:rPr>
          <w:rFonts w:asciiTheme="majorHAnsi" w:hAnsiTheme="majorHAnsi"/>
          <w:sz w:val="20"/>
          <w:szCs w:val="20"/>
          <w:lang w:val="es-ES"/>
        </w:rPr>
        <w:t>ricanos.</w:t>
      </w:r>
    </w:p>
    <w:p w14:paraId="70B26B45" w14:textId="1ED8A120" w:rsidR="00063AA1" w:rsidRPr="00063AA1" w:rsidRDefault="00063AA1" w:rsidP="00063AA1">
      <w:pPr>
        <w:suppressAutoHyphens/>
        <w:ind w:firstLine="720"/>
        <w:jc w:val="both"/>
        <w:rPr>
          <w:rFonts w:ascii="Segoe UI" w:hAnsi="Segoe UI" w:cs="Segoe UI"/>
          <w:sz w:val="18"/>
          <w:szCs w:val="18"/>
          <w:lang w:val="es-ES"/>
        </w:rPr>
      </w:pPr>
      <w:r w:rsidRPr="00063AA1">
        <w:rPr>
          <w:rStyle w:val="normaltextrun"/>
          <w:rFonts w:ascii="Cambria" w:hAnsi="Cambria" w:cs="Segoe UI"/>
          <w:sz w:val="20"/>
          <w:szCs w:val="20"/>
          <w:lang w:val="es-CL"/>
        </w:rPr>
        <w:t xml:space="preserve">Aprobado por la Comisión Interamericana de Derechos Humanos a los </w:t>
      </w:r>
      <w:r w:rsidR="007E3EEE">
        <w:rPr>
          <w:rStyle w:val="normaltextrun"/>
          <w:rFonts w:ascii="Cambria" w:hAnsi="Cambria" w:cs="Segoe UI"/>
          <w:sz w:val="20"/>
          <w:szCs w:val="20"/>
          <w:lang w:val="es-CL"/>
        </w:rPr>
        <w:t>12</w:t>
      </w:r>
      <w:r w:rsidRPr="00063AA1">
        <w:rPr>
          <w:rStyle w:val="normaltextrun"/>
          <w:rFonts w:ascii="Cambria" w:hAnsi="Cambria" w:cs="Segoe UI"/>
          <w:sz w:val="20"/>
          <w:szCs w:val="20"/>
          <w:lang w:val="es-CL"/>
        </w:rPr>
        <w:t xml:space="preserve"> días del mes de </w:t>
      </w:r>
      <w:r w:rsidR="007E3EEE">
        <w:rPr>
          <w:rStyle w:val="normaltextrun"/>
          <w:rFonts w:ascii="Cambria" w:hAnsi="Cambria" w:cs="Segoe UI"/>
          <w:sz w:val="20"/>
          <w:szCs w:val="20"/>
          <w:lang w:val="es-CL"/>
        </w:rPr>
        <w:t>agosto</w:t>
      </w:r>
      <w:r w:rsidRPr="00063AA1">
        <w:rPr>
          <w:rStyle w:val="normaltextrun"/>
          <w:rFonts w:ascii="Cambria" w:hAnsi="Cambria" w:cs="Segoe UI"/>
          <w:sz w:val="20"/>
          <w:szCs w:val="20"/>
          <w:lang w:val="es-CL"/>
        </w:rPr>
        <w:t xml:space="preserve"> de 2025.  (Firmado): José Luis Caballero Ochoa, Presidente; Arif Bulkan, Segundo Vicepresidente; Edgar Stuardo Ralón Orellana (en disidencia) y Roberta Clarke, </w:t>
      </w:r>
      <w:r w:rsidR="008132CE">
        <w:rPr>
          <w:rStyle w:val="normaltextrun"/>
          <w:rFonts w:ascii="Cambria" w:hAnsi="Cambria" w:cs="Segoe UI"/>
          <w:sz w:val="20"/>
          <w:szCs w:val="20"/>
          <w:lang w:val="es-CL"/>
        </w:rPr>
        <w:t>m</w:t>
      </w:r>
      <w:r w:rsidRPr="00063AA1">
        <w:rPr>
          <w:rStyle w:val="normaltextrun"/>
          <w:rFonts w:ascii="Cambria" w:hAnsi="Cambria" w:cs="Segoe UI"/>
          <w:sz w:val="20"/>
          <w:szCs w:val="20"/>
          <w:lang w:val="es-CL"/>
        </w:rPr>
        <w:t xml:space="preserve">iembros de la Comisión. </w:t>
      </w:r>
      <w:r w:rsidRPr="00063AA1">
        <w:rPr>
          <w:rStyle w:val="eop"/>
          <w:rFonts w:ascii="Cambria" w:hAnsi="Cambria" w:cs="Segoe UI"/>
          <w:sz w:val="20"/>
          <w:szCs w:val="20"/>
          <w:lang w:val="es-ES"/>
        </w:rPr>
        <w:t> </w:t>
      </w:r>
    </w:p>
    <w:p w14:paraId="4A587148"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E465EE7"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466EE64"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48A094A2"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78187EDA"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22733D88"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3EDEA6C"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101FC786"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E1639D8"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12D5F96A"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B5A64CC"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5F2F6D3B"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E83BF20"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9CCEB26"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6EC73CD"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24BDA355"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4087F24"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6FA8B7A"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9E494AD"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586C357E"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7475BEB"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0B52074"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7B04E3FD"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17DF4822"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5DA9F8D"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8397DDC"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C4A95AC"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78233FDC"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244074ED"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41AD2769"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40982DB"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1EFF5D51"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7978AC1"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5EA95190"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57B7210B"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48B8A0AC"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797B92E4" w14:textId="77777777" w:rsidR="00501BE8" w:rsidRDefault="00501BE8" w:rsidP="00063AA1">
      <w:pPr>
        <w:pStyle w:val="paragraph"/>
        <w:spacing w:before="0" w:beforeAutospacing="0" w:after="0" w:afterAutospacing="0"/>
        <w:jc w:val="center"/>
        <w:textAlignment w:val="baseline"/>
        <w:rPr>
          <w:rStyle w:val="normaltextrun"/>
          <w:rFonts w:ascii="Cambria" w:hAnsi="Cambria" w:cs="Segoe UI"/>
          <w:sz w:val="20"/>
          <w:szCs w:val="20"/>
          <w:lang w:val="es-CL"/>
        </w:rPr>
      </w:pPr>
    </w:p>
    <w:p w14:paraId="2EAE87C1" w14:textId="77777777" w:rsidR="000D34A7" w:rsidRPr="000D34A7" w:rsidRDefault="00F73954" w:rsidP="00063AA1">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lastRenderedPageBreak/>
        <w:t>VOTO RAZONADO DEL COMISIONADO EDGAR STUARDO RALÓN</w:t>
      </w:r>
      <w:r w:rsidR="00297BB9" w:rsidRPr="000D34A7">
        <w:rPr>
          <w:rFonts w:ascii="Cambria" w:hAnsi="Cambria" w:cs="Calibri"/>
          <w:b/>
          <w:bCs/>
          <w:sz w:val="20"/>
          <w:szCs w:val="20"/>
          <w:lang w:val="es-ES"/>
        </w:rPr>
        <w:t xml:space="preserve"> ORELLANA </w:t>
      </w:r>
    </w:p>
    <w:p w14:paraId="7FAAD8DA" w14:textId="65CE1954" w:rsidR="00232A04" w:rsidRDefault="00297BB9" w:rsidP="00063AA1">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t>FRENTE AL INFORME DE INADMISIBILIDAD</w:t>
      </w:r>
      <w:r w:rsidR="000D34A7" w:rsidRPr="000D34A7">
        <w:rPr>
          <w:rFonts w:ascii="Cambria" w:hAnsi="Cambria" w:cs="Calibri"/>
          <w:b/>
          <w:bCs/>
          <w:sz w:val="20"/>
          <w:szCs w:val="20"/>
          <w:lang w:val="es-ES"/>
        </w:rPr>
        <w:t xml:space="preserve"> DE LA PETICIÓN 389-15</w:t>
      </w:r>
    </w:p>
    <w:p w14:paraId="6401ACD3" w14:textId="77777777" w:rsidR="000D34A7" w:rsidRDefault="000D34A7" w:rsidP="00063AA1">
      <w:pPr>
        <w:pStyle w:val="paragraph"/>
        <w:spacing w:before="0" w:beforeAutospacing="0" w:after="0" w:afterAutospacing="0"/>
        <w:jc w:val="center"/>
        <w:textAlignment w:val="baseline"/>
        <w:rPr>
          <w:rFonts w:ascii="Cambria" w:hAnsi="Cambria" w:cs="Calibri"/>
          <w:b/>
          <w:bCs/>
          <w:sz w:val="20"/>
          <w:szCs w:val="20"/>
          <w:lang w:val="es-ES"/>
        </w:rPr>
      </w:pPr>
    </w:p>
    <w:p w14:paraId="327EA7EE" w14:textId="77777777" w:rsidR="000D34A7" w:rsidRPr="000D34A7" w:rsidRDefault="000D34A7" w:rsidP="000D34A7">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t>JOSÉ GUILLERMO MEZA BETETA</w:t>
      </w:r>
    </w:p>
    <w:p w14:paraId="3FFD26D5" w14:textId="77777777" w:rsidR="000D34A7" w:rsidRDefault="000D34A7" w:rsidP="000D34A7">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t>PERÚ</w:t>
      </w:r>
    </w:p>
    <w:p w14:paraId="37CB424A" w14:textId="77777777" w:rsidR="000D34A7" w:rsidRDefault="000D34A7" w:rsidP="000D34A7">
      <w:pPr>
        <w:pStyle w:val="paragraph"/>
        <w:spacing w:before="0" w:beforeAutospacing="0" w:after="0" w:afterAutospacing="0"/>
        <w:jc w:val="center"/>
        <w:textAlignment w:val="baseline"/>
        <w:rPr>
          <w:rFonts w:ascii="Cambria" w:hAnsi="Cambria" w:cs="Calibri"/>
          <w:b/>
          <w:bCs/>
          <w:sz w:val="20"/>
          <w:szCs w:val="20"/>
          <w:lang w:val="es-ES"/>
        </w:rPr>
      </w:pPr>
    </w:p>
    <w:p w14:paraId="1E247D5D" w14:textId="7E0DD4A2" w:rsidR="000D34A7" w:rsidRPr="0012115D" w:rsidRDefault="0012115D" w:rsidP="007579B8">
      <w:pPr>
        <w:pStyle w:val="paragraph"/>
        <w:spacing w:before="0" w:beforeAutospacing="0" w:after="0" w:afterAutospacing="0"/>
        <w:jc w:val="both"/>
        <w:textAlignment w:val="baseline"/>
        <w:rPr>
          <w:rFonts w:asciiTheme="majorHAnsi" w:hAnsiTheme="majorHAnsi" w:cstheme="minorHAnsi"/>
          <w:sz w:val="20"/>
          <w:szCs w:val="20"/>
          <w:lang w:val="es-ES"/>
        </w:rPr>
      </w:pPr>
      <w:r w:rsidRPr="0012115D">
        <w:rPr>
          <w:rFonts w:asciiTheme="majorHAnsi" w:hAnsiTheme="majorHAnsi" w:cstheme="minorHAnsi"/>
          <w:sz w:val="20"/>
          <w:szCs w:val="20"/>
          <w:lang w:val="es-ES"/>
        </w:rPr>
        <w:t>Debido a que existe una Resolución de una mayoría de Comisionados que impide al Comisionado Bernal integrar en asuntos de Perú, y como ya indiqu</w:t>
      </w:r>
      <w:r w:rsidR="009C6C53">
        <w:rPr>
          <w:rFonts w:asciiTheme="majorHAnsi" w:hAnsiTheme="majorHAnsi" w:cstheme="minorHAnsi"/>
          <w:sz w:val="20"/>
          <w:szCs w:val="20"/>
          <w:lang w:val="es-ES"/>
        </w:rPr>
        <w:t>é</w:t>
      </w:r>
      <w:r w:rsidRPr="0012115D">
        <w:rPr>
          <w:rFonts w:asciiTheme="majorHAnsi" w:hAnsiTheme="majorHAnsi" w:cstheme="minorHAnsi"/>
          <w:sz w:val="20"/>
          <w:szCs w:val="20"/>
          <w:lang w:val="es-ES"/>
        </w:rPr>
        <w:t xml:space="preserve"> en mi voto razonado considero no tiene sustento reglamentario, mi voto es en contra para salvaguardar el respeto al debido proceso.</w:t>
      </w:r>
    </w:p>
    <w:p w14:paraId="297496AC" w14:textId="77777777" w:rsidR="000D34A7" w:rsidRPr="00F73954" w:rsidRDefault="000D34A7" w:rsidP="00063AA1">
      <w:pPr>
        <w:pStyle w:val="paragraph"/>
        <w:spacing w:before="0" w:beforeAutospacing="0" w:after="0" w:afterAutospacing="0"/>
        <w:jc w:val="center"/>
        <w:textAlignment w:val="baseline"/>
        <w:rPr>
          <w:rFonts w:ascii="Cambria" w:hAnsi="Cambria" w:cs="Calibri"/>
          <w:sz w:val="20"/>
          <w:szCs w:val="20"/>
          <w:lang w:val="es-ES"/>
        </w:rPr>
      </w:pPr>
    </w:p>
    <w:sectPr w:rsidR="000D34A7" w:rsidRPr="00F73954"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6F99" w14:textId="77777777" w:rsidR="00661590" w:rsidRDefault="00661590">
      <w:r>
        <w:separator/>
      </w:r>
    </w:p>
  </w:endnote>
  <w:endnote w:type="continuationSeparator" w:id="0">
    <w:p w14:paraId="4C5A7F52" w14:textId="77777777" w:rsidR="00661590" w:rsidRDefault="0066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E678" w14:textId="77777777" w:rsidR="00661590" w:rsidRPr="000F35ED" w:rsidRDefault="00661590">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FB2E031" w14:textId="77777777" w:rsidR="00661590" w:rsidRPr="000F35ED" w:rsidRDefault="00661590" w:rsidP="000F35ED">
      <w:pPr>
        <w:rPr>
          <w:rFonts w:asciiTheme="majorHAnsi" w:hAnsiTheme="majorHAnsi"/>
          <w:sz w:val="16"/>
          <w:szCs w:val="16"/>
        </w:rPr>
      </w:pPr>
      <w:r w:rsidRPr="000F35ED">
        <w:rPr>
          <w:rFonts w:asciiTheme="majorHAnsi" w:hAnsiTheme="majorHAnsi"/>
          <w:sz w:val="16"/>
          <w:szCs w:val="16"/>
        </w:rPr>
        <w:separator/>
      </w:r>
    </w:p>
    <w:p w14:paraId="2C4F7BD6" w14:textId="77777777" w:rsidR="00661590" w:rsidRPr="000F35ED" w:rsidRDefault="00661590"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2259C74" w14:textId="77777777" w:rsidR="00661590" w:rsidRPr="000F35ED" w:rsidRDefault="00661590"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2E802AD" w14:textId="68A9554D" w:rsidR="00730961" w:rsidRPr="00E16652" w:rsidRDefault="00730961" w:rsidP="00A37212">
      <w:pPr>
        <w:pStyle w:val="FootnoteText"/>
        <w:ind w:firstLine="720"/>
        <w:rPr>
          <w:rFonts w:asciiTheme="majorHAnsi" w:hAnsiTheme="majorHAnsi"/>
          <w:sz w:val="16"/>
          <w:szCs w:val="16"/>
          <w:lang w:val="es-BO"/>
        </w:rPr>
      </w:pPr>
      <w:r w:rsidRPr="00E16652">
        <w:rPr>
          <w:rStyle w:val="FootnoteReference"/>
          <w:rFonts w:asciiTheme="majorHAnsi" w:hAnsiTheme="majorHAnsi"/>
          <w:sz w:val="16"/>
          <w:szCs w:val="16"/>
        </w:rPr>
        <w:footnoteRef/>
      </w:r>
      <w:r w:rsidRPr="00E16652">
        <w:rPr>
          <w:rFonts w:asciiTheme="majorHAnsi" w:hAnsiTheme="majorHAnsi"/>
          <w:sz w:val="16"/>
          <w:szCs w:val="16"/>
          <w:lang w:val="es-BO"/>
        </w:rPr>
        <w:t xml:space="preserve"> En adelante “</w:t>
      </w:r>
      <w:r w:rsidR="007F7C5F">
        <w:rPr>
          <w:rFonts w:asciiTheme="majorHAnsi" w:hAnsiTheme="majorHAnsi"/>
          <w:sz w:val="16"/>
          <w:szCs w:val="16"/>
          <w:lang w:val="es-BO"/>
        </w:rPr>
        <w:t>l</w:t>
      </w:r>
      <w:r w:rsidRPr="00E16652">
        <w:rPr>
          <w:rFonts w:asciiTheme="majorHAnsi" w:hAnsiTheme="majorHAnsi"/>
          <w:sz w:val="16"/>
          <w:szCs w:val="16"/>
          <w:lang w:val="es-BO"/>
        </w:rPr>
        <w:t>a Convención” o “</w:t>
      </w:r>
      <w:r w:rsidR="007F7C5F">
        <w:rPr>
          <w:rFonts w:asciiTheme="majorHAnsi" w:hAnsiTheme="majorHAnsi"/>
          <w:sz w:val="16"/>
          <w:szCs w:val="16"/>
          <w:lang w:val="es-BO"/>
        </w:rPr>
        <w:t xml:space="preserve">la </w:t>
      </w:r>
      <w:r w:rsidRPr="00E16652">
        <w:rPr>
          <w:rFonts w:asciiTheme="majorHAnsi" w:hAnsiTheme="majorHAnsi"/>
          <w:sz w:val="16"/>
          <w:szCs w:val="16"/>
          <w:lang w:val="es-BO"/>
        </w:rPr>
        <w:t>Convención Americana”.</w:t>
      </w:r>
    </w:p>
  </w:footnote>
  <w:footnote w:id="3">
    <w:p w14:paraId="79F07139" w14:textId="77777777" w:rsidR="008E3BFE" w:rsidRPr="00537490" w:rsidRDefault="008E3BFE" w:rsidP="000337EF">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4">
    <w:p w14:paraId="0CFAEC3D" w14:textId="77777777" w:rsidR="00DC66D2" w:rsidRPr="00A35B48" w:rsidRDefault="00DC66D2" w:rsidP="00DC66D2">
      <w:pPr>
        <w:pStyle w:val="FootnoteText"/>
        <w:ind w:firstLine="720"/>
        <w:jc w:val="both"/>
        <w:rPr>
          <w:rFonts w:asciiTheme="majorHAnsi" w:hAnsiTheme="majorHAnsi"/>
          <w:sz w:val="16"/>
          <w:szCs w:val="16"/>
          <w:lang w:val="es-PE"/>
        </w:rPr>
      </w:pPr>
      <w:r w:rsidRPr="00A35B48">
        <w:rPr>
          <w:rStyle w:val="FootnoteReference"/>
          <w:rFonts w:asciiTheme="majorHAnsi" w:hAnsiTheme="majorHAnsi"/>
          <w:sz w:val="16"/>
          <w:szCs w:val="16"/>
        </w:rPr>
        <w:footnoteRef/>
      </w:r>
      <w:r w:rsidRPr="00A35B48">
        <w:rPr>
          <w:rFonts w:asciiTheme="majorHAnsi" w:hAnsiTheme="majorHAnsi"/>
          <w:sz w:val="16"/>
          <w:szCs w:val="16"/>
          <w:lang w:val="es-PE"/>
        </w:rPr>
        <w:t xml:space="preserve"> CIDH, Informe No. 82/17, Petición 1067-07. Admisibilidad. Rosa Ángela Martino y María Cristina González. </w:t>
      </w:r>
      <w:r w:rsidRPr="002945AB">
        <w:rPr>
          <w:rFonts w:asciiTheme="majorHAnsi" w:hAnsiTheme="majorHAnsi"/>
          <w:sz w:val="16"/>
          <w:szCs w:val="16"/>
          <w:lang w:val="es-PE"/>
        </w:rPr>
        <w:t>Argentina. 7 de julio de 2017, párr. 12.</w:t>
      </w:r>
    </w:p>
  </w:footnote>
  <w:footnote w:id="5">
    <w:p w14:paraId="1F377DE6" w14:textId="77777777" w:rsidR="002A1C2C" w:rsidRPr="00FC1463" w:rsidRDefault="002A1C2C" w:rsidP="002A1C2C">
      <w:pPr>
        <w:pStyle w:val="FootnoteText"/>
        <w:ind w:firstLine="720"/>
        <w:jc w:val="both"/>
        <w:rPr>
          <w:rFonts w:asciiTheme="majorHAnsi" w:hAnsiTheme="majorHAnsi"/>
          <w:sz w:val="16"/>
          <w:szCs w:val="16"/>
          <w:lang w:val="es-PE"/>
        </w:rPr>
      </w:pPr>
      <w:r w:rsidRPr="00FC1463">
        <w:rPr>
          <w:rStyle w:val="FootnoteReference"/>
          <w:rFonts w:asciiTheme="majorHAnsi" w:hAnsiTheme="majorHAnsi"/>
          <w:sz w:val="16"/>
          <w:szCs w:val="16"/>
        </w:rPr>
        <w:footnoteRef/>
      </w:r>
      <w:r w:rsidRPr="00FC1463">
        <w:rPr>
          <w:rFonts w:asciiTheme="majorHAnsi" w:hAnsiTheme="majorHAnsi"/>
          <w:sz w:val="16"/>
          <w:szCs w:val="16"/>
          <w:lang w:val="es-PE"/>
        </w:rPr>
        <w:t xml:space="preserve"> CIDH, Informe No. 155/17, Petición 1470-08</w:t>
      </w:r>
      <w:r>
        <w:rPr>
          <w:rFonts w:asciiTheme="majorHAnsi" w:hAnsiTheme="majorHAnsi"/>
          <w:sz w:val="16"/>
          <w:szCs w:val="16"/>
          <w:lang w:val="es-PE"/>
        </w:rPr>
        <w:t>,</w:t>
      </w:r>
      <w:r w:rsidRPr="00FC1463">
        <w:rPr>
          <w:rFonts w:asciiTheme="majorHAnsi" w:hAnsiTheme="majorHAnsi"/>
          <w:sz w:val="16"/>
          <w:szCs w:val="16"/>
          <w:lang w:val="es-PE"/>
        </w:rPr>
        <w:t xml:space="preserve"> Admisibilidad. Beatriz Elena San Miguel Bastidas y familia</w:t>
      </w:r>
      <w:r>
        <w:rPr>
          <w:rFonts w:asciiTheme="majorHAnsi" w:hAnsiTheme="majorHAnsi"/>
          <w:sz w:val="16"/>
          <w:szCs w:val="16"/>
          <w:lang w:val="es-PE"/>
        </w:rPr>
        <w:t>,</w:t>
      </w:r>
      <w:r w:rsidRPr="00FC1463">
        <w:rPr>
          <w:rFonts w:asciiTheme="majorHAnsi" w:hAnsiTheme="majorHAnsi"/>
          <w:sz w:val="16"/>
          <w:szCs w:val="16"/>
          <w:lang w:val="es-PE"/>
        </w:rPr>
        <w:t xml:space="preserve"> Colombia. 30 noviembre de 2017, párr. 9.</w:t>
      </w:r>
    </w:p>
  </w:footnote>
  <w:footnote w:id="6">
    <w:p w14:paraId="2EE5B4DA" w14:textId="77777777" w:rsidR="002A1C2C" w:rsidRPr="00C90651" w:rsidRDefault="002A1C2C" w:rsidP="001F2352">
      <w:pPr>
        <w:pStyle w:val="FootnoteText"/>
        <w:ind w:firstLine="720"/>
        <w:jc w:val="both"/>
        <w:rPr>
          <w:rFonts w:asciiTheme="majorHAnsi" w:hAnsiTheme="majorHAnsi"/>
          <w:sz w:val="16"/>
          <w:szCs w:val="16"/>
          <w:lang w:val="es-PE"/>
        </w:rPr>
      </w:pPr>
      <w:r w:rsidRPr="00C90651">
        <w:rPr>
          <w:rStyle w:val="FootnoteReference"/>
          <w:rFonts w:asciiTheme="majorHAnsi" w:hAnsiTheme="majorHAnsi"/>
          <w:sz w:val="16"/>
          <w:szCs w:val="16"/>
        </w:rPr>
        <w:footnoteRef/>
      </w:r>
      <w:r w:rsidRPr="00C90651">
        <w:rPr>
          <w:rFonts w:asciiTheme="majorHAnsi" w:hAnsiTheme="majorHAnsi"/>
          <w:sz w:val="16"/>
          <w:szCs w:val="16"/>
          <w:lang w:val="es-PE"/>
        </w:rPr>
        <w:t xml:space="preserve"> CIDH, Informe No. 70/04, Petición 667/01, Admisibilidad, Jesús Manuel Naranjo Cárdenas y otros, Jubilados de la empresa venezolana de aviación VIASA</w:t>
      </w:r>
      <w:r>
        <w:rPr>
          <w:rFonts w:asciiTheme="majorHAnsi" w:hAnsiTheme="majorHAnsi"/>
          <w:sz w:val="16"/>
          <w:szCs w:val="16"/>
          <w:lang w:val="es-PE"/>
        </w:rPr>
        <w:t>,</w:t>
      </w:r>
      <w:r w:rsidRPr="00C90651">
        <w:rPr>
          <w:rFonts w:asciiTheme="majorHAnsi" w:hAnsiTheme="majorHAnsi"/>
          <w:sz w:val="16"/>
          <w:szCs w:val="16"/>
          <w:lang w:val="es-PE"/>
        </w:rPr>
        <w:t xml:space="preserve"> Venezuela, 15 de octubre de 2004, párr. 52.</w:t>
      </w:r>
    </w:p>
  </w:footnote>
  <w:footnote w:id="7">
    <w:p w14:paraId="7AF1B9AD" w14:textId="77777777" w:rsidR="003354A2" w:rsidRDefault="003354A2" w:rsidP="003354A2">
      <w:pPr>
        <w:pStyle w:val="FootnoteText"/>
        <w:ind w:firstLine="720"/>
        <w:jc w:val="both"/>
        <w:rPr>
          <w:rFonts w:ascii="Cambria" w:hAnsi="Cambria"/>
          <w:sz w:val="16"/>
          <w:szCs w:val="16"/>
          <w:lang w:val="es-US"/>
        </w:rPr>
      </w:pPr>
      <w:r>
        <w:rPr>
          <w:rStyle w:val="FootnoteReference"/>
          <w:rFonts w:ascii="Cambria" w:hAnsi="Cambria"/>
          <w:sz w:val="16"/>
          <w:szCs w:val="16"/>
        </w:rPr>
        <w:footnoteRef/>
      </w:r>
      <w:r>
        <w:rPr>
          <w:rFonts w:ascii="Cambria" w:hAnsi="Cambria"/>
          <w:sz w:val="16"/>
          <w:szCs w:val="16"/>
          <w:lang w:val="es-US"/>
        </w:rPr>
        <w:t xml:space="preserve"> CIDH, Informe Nº 83/05 (Inadmisibilidad), Petición 644/00, Carlos Alberto López Urquía, Honduras, 24 de octubre de 2005, párr. </w:t>
      </w:r>
      <w:r>
        <w:rPr>
          <w:rFonts w:ascii="Cambria" w:hAnsi="Cambria"/>
          <w:sz w:val="16"/>
          <w:szCs w:val="16"/>
          <w:lang w:val="es-ES"/>
        </w:rPr>
        <w:t>72.</w:t>
      </w:r>
    </w:p>
  </w:footnote>
  <w:footnote w:id="8">
    <w:p w14:paraId="266D0DE5" w14:textId="77777777" w:rsidR="003354A2" w:rsidRDefault="003354A2" w:rsidP="003354A2">
      <w:pPr>
        <w:pStyle w:val="FootnoteText"/>
        <w:ind w:firstLine="720"/>
        <w:jc w:val="both"/>
        <w:rPr>
          <w:rFonts w:ascii="Cambria" w:hAnsi="Cambria"/>
          <w:sz w:val="16"/>
          <w:szCs w:val="16"/>
          <w:lang w:val="es-US"/>
        </w:rPr>
      </w:pPr>
      <w:r>
        <w:rPr>
          <w:rStyle w:val="FootnoteReference"/>
          <w:rFonts w:ascii="Cambria" w:hAnsi="Cambria"/>
          <w:sz w:val="16"/>
          <w:szCs w:val="16"/>
        </w:rPr>
        <w:footnoteRef/>
      </w:r>
      <w:r>
        <w:rPr>
          <w:rFonts w:ascii="Cambria" w:hAnsi="Cambria"/>
          <w:sz w:val="16"/>
          <w:szCs w:val="16"/>
          <w:lang w:val="es-US"/>
        </w:rPr>
        <w:t xml:space="preserve"> CIDH, Informe Nº 70/08, (Admisibilidad), Petición 12.242, Clínica Pediátrica de la Región de los Lago, Brasil, 16 de octubre de 2008, párr.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860A83"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0ECE60C0"/>
    <w:lvl w:ilvl="0" w:tplc="FABA6EE2">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 w:numId="110" w16cid:durableId="1625572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07A97"/>
    <w:rsid w:val="00013960"/>
    <w:rsid w:val="0001788C"/>
    <w:rsid w:val="00021B73"/>
    <w:rsid w:val="000337EF"/>
    <w:rsid w:val="00040C3A"/>
    <w:rsid w:val="000419AD"/>
    <w:rsid w:val="000433C9"/>
    <w:rsid w:val="000520D8"/>
    <w:rsid w:val="00054D35"/>
    <w:rsid w:val="00062899"/>
    <w:rsid w:val="00063AA1"/>
    <w:rsid w:val="000706A0"/>
    <w:rsid w:val="000716C5"/>
    <w:rsid w:val="00075E23"/>
    <w:rsid w:val="000779C6"/>
    <w:rsid w:val="0008552F"/>
    <w:rsid w:val="00091623"/>
    <w:rsid w:val="0009344A"/>
    <w:rsid w:val="00094E80"/>
    <w:rsid w:val="00096CDF"/>
    <w:rsid w:val="000A1974"/>
    <w:rsid w:val="000A392E"/>
    <w:rsid w:val="000A4E5F"/>
    <w:rsid w:val="000A575F"/>
    <w:rsid w:val="000B062C"/>
    <w:rsid w:val="000B0FE9"/>
    <w:rsid w:val="000B7833"/>
    <w:rsid w:val="000D05CB"/>
    <w:rsid w:val="000D10DB"/>
    <w:rsid w:val="000D1DAB"/>
    <w:rsid w:val="000D34A7"/>
    <w:rsid w:val="000E2A64"/>
    <w:rsid w:val="000E5EB5"/>
    <w:rsid w:val="000F35ED"/>
    <w:rsid w:val="00107131"/>
    <w:rsid w:val="0010736F"/>
    <w:rsid w:val="00113F73"/>
    <w:rsid w:val="0012115D"/>
    <w:rsid w:val="00121CC2"/>
    <w:rsid w:val="00126C0C"/>
    <w:rsid w:val="00130498"/>
    <w:rsid w:val="00131425"/>
    <w:rsid w:val="00133EE5"/>
    <w:rsid w:val="00167A34"/>
    <w:rsid w:val="00170A8A"/>
    <w:rsid w:val="00175181"/>
    <w:rsid w:val="0018203B"/>
    <w:rsid w:val="0019566B"/>
    <w:rsid w:val="00195B9B"/>
    <w:rsid w:val="001A7870"/>
    <w:rsid w:val="001B3A00"/>
    <w:rsid w:val="001C1B41"/>
    <w:rsid w:val="001C204F"/>
    <w:rsid w:val="001D65EF"/>
    <w:rsid w:val="001D7945"/>
    <w:rsid w:val="001E017E"/>
    <w:rsid w:val="001E49E7"/>
    <w:rsid w:val="001E5ACB"/>
    <w:rsid w:val="001F2352"/>
    <w:rsid w:val="001F7201"/>
    <w:rsid w:val="002016C1"/>
    <w:rsid w:val="00223A29"/>
    <w:rsid w:val="002250A3"/>
    <w:rsid w:val="0022737A"/>
    <w:rsid w:val="00232A04"/>
    <w:rsid w:val="00235217"/>
    <w:rsid w:val="0024202E"/>
    <w:rsid w:val="00244150"/>
    <w:rsid w:val="00244556"/>
    <w:rsid w:val="002469D2"/>
    <w:rsid w:val="00246D1F"/>
    <w:rsid w:val="00247403"/>
    <w:rsid w:val="00247542"/>
    <w:rsid w:val="00256D10"/>
    <w:rsid w:val="0026020D"/>
    <w:rsid w:val="00266B61"/>
    <w:rsid w:val="0026712A"/>
    <w:rsid w:val="002704DB"/>
    <w:rsid w:val="00270FE6"/>
    <w:rsid w:val="0027326A"/>
    <w:rsid w:val="00277FB3"/>
    <w:rsid w:val="00297BB9"/>
    <w:rsid w:val="002A0114"/>
    <w:rsid w:val="002A0AAE"/>
    <w:rsid w:val="002A1C2C"/>
    <w:rsid w:val="002A5820"/>
    <w:rsid w:val="002B2513"/>
    <w:rsid w:val="002B4B34"/>
    <w:rsid w:val="002B70A4"/>
    <w:rsid w:val="002C52FA"/>
    <w:rsid w:val="002D2A68"/>
    <w:rsid w:val="002D2B26"/>
    <w:rsid w:val="002D496B"/>
    <w:rsid w:val="002D7EA2"/>
    <w:rsid w:val="002E187C"/>
    <w:rsid w:val="002E351E"/>
    <w:rsid w:val="00302733"/>
    <w:rsid w:val="00303974"/>
    <w:rsid w:val="00314078"/>
    <w:rsid w:val="0031535D"/>
    <w:rsid w:val="00315BFC"/>
    <w:rsid w:val="003239B8"/>
    <w:rsid w:val="0033169F"/>
    <w:rsid w:val="003354A2"/>
    <w:rsid w:val="00344977"/>
    <w:rsid w:val="00346C95"/>
    <w:rsid w:val="003540AB"/>
    <w:rsid w:val="00356185"/>
    <w:rsid w:val="00360380"/>
    <w:rsid w:val="003709A9"/>
    <w:rsid w:val="0037519E"/>
    <w:rsid w:val="00386CF0"/>
    <w:rsid w:val="00394049"/>
    <w:rsid w:val="003950F1"/>
    <w:rsid w:val="003B1B44"/>
    <w:rsid w:val="003B5C4C"/>
    <w:rsid w:val="003B70FB"/>
    <w:rsid w:val="003C2239"/>
    <w:rsid w:val="003C38E3"/>
    <w:rsid w:val="003C676B"/>
    <w:rsid w:val="003D3BC2"/>
    <w:rsid w:val="003D4FE3"/>
    <w:rsid w:val="003E6CA1"/>
    <w:rsid w:val="00405F9C"/>
    <w:rsid w:val="004065A8"/>
    <w:rsid w:val="00415E0E"/>
    <w:rsid w:val="00415F37"/>
    <w:rsid w:val="004165C2"/>
    <w:rsid w:val="00436B39"/>
    <w:rsid w:val="00441524"/>
    <w:rsid w:val="00441E0D"/>
    <w:rsid w:val="00441ECB"/>
    <w:rsid w:val="00445193"/>
    <w:rsid w:val="00451127"/>
    <w:rsid w:val="00462C1B"/>
    <w:rsid w:val="00467B7E"/>
    <w:rsid w:val="00473BB4"/>
    <w:rsid w:val="00477592"/>
    <w:rsid w:val="00486F1C"/>
    <w:rsid w:val="00492D93"/>
    <w:rsid w:val="0049419D"/>
    <w:rsid w:val="004A6A54"/>
    <w:rsid w:val="004B1350"/>
    <w:rsid w:val="004B1929"/>
    <w:rsid w:val="004B4197"/>
    <w:rsid w:val="004C20D2"/>
    <w:rsid w:val="004C2312"/>
    <w:rsid w:val="004C4B62"/>
    <w:rsid w:val="004C54C9"/>
    <w:rsid w:val="004D4ABA"/>
    <w:rsid w:val="004D6025"/>
    <w:rsid w:val="004E2649"/>
    <w:rsid w:val="004E3DED"/>
    <w:rsid w:val="004E74B0"/>
    <w:rsid w:val="004E7D88"/>
    <w:rsid w:val="004F626F"/>
    <w:rsid w:val="00501399"/>
    <w:rsid w:val="00501BE8"/>
    <w:rsid w:val="0050633D"/>
    <w:rsid w:val="00507BC4"/>
    <w:rsid w:val="005128E4"/>
    <w:rsid w:val="005133DB"/>
    <w:rsid w:val="00514504"/>
    <w:rsid w:val="0052527A"/>
    <w:rsid w:val="00525560"/>
    <w:rsid w:val="00530F39"/>
    <w:rsid w:val="00544C49"/>
    <w:rsid w:val="0055133A"/>
    <w:rsid w:val="005516A1"/>
    <w:rsid w:val="005559EF"/>
    <w:rsid w:val="005564B7"/>
    <w:rsid w:val="00563557"/>
    <w:rsid w:val="00564B16"/>
    <w:rsid w:val="00566AE6"/>
    <w:rsid w:val="0057402A"/>
    <w:rsid w:val="005771D0"/>
    <w:rsid w:val="0058161B"/>
    <w:rsid w:val="0058698D"/>
    <w:rsid w:val="00590EB0"/>
    <w:rsid w:val="0059191A"/>
    <w:rsid w:val="005921FF"/>
    <w:rsid w:val="005A24ED"/>
    <w:rsid w:val="005A254F"/>
    <w:rsid w:val="005A6D0E"/>
    <w:rsid w:val="005B4DE6"/>
    <w:rsid w:val="005B52B0"/>
    <w:rsid w:val="005B6806"/>
    <w:rsid w:val="005C2EF9"/>
    <w:rsid w:val="005C4225"/>
    <w:rsid w:val="005D38F9"/>
    <w:rsid w:val="005F0DAD"/>
    <w:rsid w:val="005F0F33"/>
    <w:rsid w:val="005F297B"/>
    <w:rsid w:val="006007E3"/>
    <w:rsid w:val="00600DEB"/>
    <w:rsid w:val="006033D7"/>
    <w:rsid w:val="00611C1A"/>
    <w:rsid w:val="006250D5"/>
    <w:rsid w:val="00627C9F"/>
    <w:rsid w:val="006311E9"/>
    <w:rsid w:val="00632354"/>
    <w:rsid w:val="006341A1"/>
    <w:rsid w:val="00635421"/>
    <w:rsid w:val="00642810"/>
    <w:rsid w:val="00642AFE"/>
    <w:rsid w:val="00643B64"/>
    <w:rsid w:val="00652333"/>
    <w:rsid w:val="00661590"/>
    <w:rsid w:val="00661A14"/>
    <w:rsid w:val="0068009E"/>
    <w:rsid w:val="00685A4D"/>
    <w:rsid w:val="00691F23"/>
    <w:rsid w:val="00692219"/>
    <w:rsid w:val="006A05B8"/>
    <w:rsid w:val="006A17D2"/>
    <w:rsid w:val="006A73E6"/>
    <w:rsid w:val="006B2D5C"/>
    <w:rsid w:val="006C4EB1"/>
    <w:rsid w:val="006D5B19"/>
    <w:rsid w:val="006E0166"/>
    <w:rsid w:val="006E2FFB"/>
    <w:rsid w:val="006E5149"/>
    <w:rsid w:val="006E7B34"/>
    <w:rsid w:val="006F3327"/>
    <w:rsid w:val="0070697F"/>
    <w:rsid w:val="00710C96"/>
    <w:rsid w:val="007138B6"/>
    <w:rsid w:val="0072199C"/>
    <w:rsid w:val="00722123"/>
    <w:rsid w:val="00722C9F"/>
    <w:rsid w:val="007253B8"/>
    <w:rsid w:val="007278E9"/>
    <w:rsid w:val="00730961"/>
    <w:rsid w:val="00731741"/>
    <w:rsid w:val="0073741F"/>
    <w:rsid w:val="007579B8"/>
    <w:rsid w:val="0076643F"/>
    <w:rsid w:val="00767DAF"/>
    <w:rsid w:val="00777F63"/>
    <w:rsid w:val="00781542"/>
    <w:rsid w:val="0078300C"/>
    <w:rsid w:val="007A5817"/>
    <w:rsid w:val="007B05C4"/>
    <w:rsid w:val="007B60E9"/>
    <w:rsid w:val="007B6CC3"/>
    <w:rsid w:val="007B76D3"/>
    <w:rsid w:val="007C1F2C"/>
    <w:rsid w:val="007C3334"/>
    <w:rsid w:val="007C7E8C"/>
    <w:rsid w:val="007D2B98"/>
    <w:rsid w:val="007D3DA9"/>
    <w:rsid w:val="007E0463"/>
    <w:rsid w:val="007E21BC"/>
    <w:rsid w:val="007E3EEE"/>
    <w:rsid w:val="007E7C82"/>
    <w:rsid w:val="007F2AA1"/>
    <w:rsid w:val="007F316B"/>
    <w:rsid w:val="007F4BF8"/>
    <w:rsid w:val="007F588D"/>
    <w:rsid w:val="007F6938"/>
    <w:rsid w:val="007F7C5F"/>
    <w:rsid w:val="00803F1C"/>
    <w:rsid w:val="0080600E"/>
    <w:rsid w:val="008068DD"/>
    <w:rsid w:val="00807C8E"/>
    <w:rsid w:val="008132CE"/>
    <w:rsid w:val="00813574"/>
    <w:rsid w:val="00814688"/>
    <w:rsid w:val="00817492"/>
    <w:rsid w:val="00817612"/>
    <w:rsid w:val="0083100C"/>
    <w:rsid w:val="008338A4"/>
    <w:rsid w:val="00834D49"/>
    <w:rsid w:val="00837C45"/>
    <w:rsid w:val="00844730"/>
    <w:rsid w:val="008457C2"/>
    <w:rsid w:val="00857A82"/>
    <w:rsid w:val="00860A83"/>
    <w:rsid w:val="00860EDD"/>
    <w:rsid w:val="00867314"/>
    <w:rsid w:val="00873836"/>
    <w:rsid w:val="0087784D"/>
    <w:rsid w:val="00885737"/>
    <w:rsid w:val="00890650"/>
    <w:rsid w:val="008952EF"/>
    <w:rsid w:val="00897E12"/>
    <w:rsid w:val="008A7E0F"/>
    <w:rsid w:val="008B12F5"/>
    <w:rsid w:val="008B1C53"/>
    <w:rsid w:val="008C4D54"/>
    <w:rsid w:val="008C5E2D"/>
    <w:rsid w:val="008D768D"/>
    <w:rsid w:val="008D7EB0"/>
    <w:rsid w:val="008E1210"/>
    <w:rsid w:val="008E3759"/>
    <w:rsid w:val="008E3BFE"/>
    <w:rsid w:val="008F0EE1"/>
    <w:rsid w:val="008F1912"/>
    <w:rsid w:val="0090270B"/>
    <w:rsid w:val="00903622"/>
    <w:rsid w:val="009041DC"/>
    <w:rsid w:val="00904EED"/>
    <w:rsid w:val="00917B5A"/>
    <w:rsid w:val="00920A58"/>
    <w:rsid w:val="00920A8C"/>
    <w:rsid w:val="00931C23"/>
    <w:rsid w:val="00932D59"/>
    <w:rsid w:val="00934A2C"/>
    <w:rsid w:val="00940D0A"/>
    <w:rsid w:val="00941780"/>
    <w:rsid w:val="00951A6C"/>
    <w:rsid w:val="009527CC"/>
    <w:rsid w:val="00955CCE"/>
    <w:rsid w:val="00956B39"/>
    <w:rsid w:val="00962678"/>
    <w:rsid w:val="009648CB"/>
    <w:rsid w:val="0096706E"/>
    <w:rsid w:val="00971423"/>
    <w:rsid w:val="009721EA"/>
    <w:rsid w:val="009723D1"/>
    <w:rsid w:val="00974491"/>
    <w:rsid w:val="00975C4E"/>
    <w:rsid w:val="00981FBA"/>
    <w:rsid w:val="00994C89"/>
    <w:rsid w:val="00997BC5"/>
    <w:rsid w:val="009A4F41"/>
    <w:rsid w:val="009B381B"/>
    <w:rsid w:val="009C6676"/>
    <w:rsid w:val="009C6C53"/>
    <w:rsid w:val="009D1753"/>
    <w:rsid w:val="009D7611"/>
    <w:rsid w:val="009E0B61"/>
    <w:rsid w:val="009E53DE"/>
    <w:rsid w:val="009E5D66"/>
    <w:rsid w:val="009E5D72"/>
    <w:rsid w:val="009F0517"/>
    <w:rsid w:val="009F3A06"/>
    <w:rsid w:val="009F6CF2"/>
    <w:rsid w:val="00A012BE"/>
    <w:rsid w:val="00A11212"/>
    <w:rsid w:val="00A11E44"/>
    <w:rsid w:val="00A23907"/>
    <w:rsid w:val="00A23C0B"/>
    <w:rsid w:val="00A30100"/>
    <w:rsid w:val="00A328B3"/>
    <w:rsid w:val="00A367ED"/>
    <w:rsid w:val="00A37212"/>
    <w:rsid w:val="00A50407"/>
    <w:rsid w:val="00A50FCF"/>
    <w:rsid w:val="00A528D1"/>
    <w:rsid w:val="00A53162"/>
    <w:rsid w:val="00A559DB"/>
    <w:rsid w:val="00A610CD"/>
    <w:rsid w:val="00A7392A"/>
    <w:rsid w:val="00A74E5F"/>
    <w:rsid w:val="00A758AA"/>
    <w:rsid w:val="00A97F8E"/>
    <w:rsid w:val="00AA09A2"/>
    <w:rsid w:val="00AA1F66"/>
    <w:rsid w:val="00AA52AC"/>
    <w:rsid w:val="00AA674C"/>
    <w:rsid w:val="00AA7996"/>
    <w:rsid w:val="00AA7B21"/>
    <w:rsid w:val="00AB74CF"/>
    <w:rsid w:val="00AC1949"/>
    <w:rsid w:val="00AC19CB"/>
    <w:rsid w:val="00AE5488"/>
    <w:rsid w:val="00AE6F91"/>
    <w:rsid w:val="00AF5571"/>
    <w:rsid w:val="00AF5672"/>
    <w:rsid w:val="00B07341"/>
    <w:rsid w:val="00B11747"/>
    <w:rsid w:val="00B16192"/>
    <w:rsid w:val="00B20919"/>
    <w:rsid w:val="00B24206"/>
    <w:rsid w:val="00B30539"/>
    <w:rsid w:val="00B314DB"/>
    <w:rsid w:val="00B361F2"/>
    <w:rsid w:val="00B3718B"/>
    <w:rsid w:val="00B3745F"/>
    <w:rsid w:val="00B4632A"/>
    <w:rsid w:val="00B530F1"/>
    <w:rsid w:val="00B53E98"/>
    <w:rsid w:val="00B77C4B"/>
    <w:rsid w:val="00B80340"/>
    <w:rsid w:val="00B80587"/>
    <w:rsid w:val="00B809ED"/>
    <w:rsid w:val="00B94B1E"/>
    <w:rsid w:val="00B95335"/>
    <w:rsid w:val="00BA276C"/>
    <w:rsid w:val="00BA5CD3"/>
    <w:rsid w:val="00BB198D"/>
    <w:rsid w:val="00BB306F"/>
    <w:rsid w:val="00BB43C5"/>
    <w:rsid w:val="00BC1D62"/>
    <w:rsid w:val="00BC3827"/>
    <w:rsid w:val="00BC6C64"/>
    <w:rsid w:val="00BD4B89"/>
    <w:rsid w:val="00BD5922"/>
    <w:rsid w:val="00BF02CB"/>
    <w:rsid w:val="00BF0853"/>
    <w:rsid w:val="00BF26A6"/>
    <w:rsid w:val="00BF6FD8"/>
    <w:rsid w:val="00C03680"/>
    <w:rsid w:val="00C03DE6"/>
    <w:rsid w:val="00C04649"/>
    <w:rsid w:val="00C054DF"/>
    <w:rsid w:val="00C05500"/>
    <w:rsid w:val="00C13E5E"/>
    <w:rsid w:val="00C21762"/>
    <w:rsid w:val="00C21FEF"/>
    <w:rsid w:val="00C23BA4"/>
    <w:rsid w:val="00C24543"/>
    <w:rsid w:val="00C256A2"/>
    <w:rsid w:val="00C25ADB"/>
    <w:rsid w:val="00C304FA"/>
    <w:rsid w:val="00C51515"/>
    <w:rsid w:val="00C5412C"/>
    <w:rsid w:val="00C5660B"/>
    <w:rsid w:val="00C66B72"/>
    <w:rsid w:val="00C71C19"/>
    <w:rsid w:val="00C737B2"/>
    <w:rsid w:val="00C741C1"/>
    <w:rsid w:val="00C77B81"/>
    <w:rsid w:val="00C86C82"/>
    <w:rsid w:val="00C87AA6"/>
    <w:rsid w:val="00C87AC4"/>
    <w:rsid w:val="00C9567A"/>
    <w:rsid w:val="00CA13F8"/>
    <w:rsid w:val="00CB212D"/>
    <w:rsid w:val="00CB2660"/>
    <w:rsid w:val="00CC442D"/>
    <w:rsid w:val="00CC5E90"/>
    <w:rsid w:val="00CD046C"/>
    <w:rsid w:val="00CD187E"/>
    <w:rsid w:val="00CE076C"/>
    <w:rsid w:val="00CE13B3"/>
    <w:rsid w:val="00CE5199"/>
    <w:rsid w:val="00CE66D5"/>
    <w:rsid w:val="00CF3505"/>
    <w:rsid w:val="00CF637A"/>
    <w:rsid w:val="00D01570"/>
    <w:rsid w:val="00D059DE"/>
    <w:rsid w:val="00D05ABD"/>
    <w:rsid w:val="00D103AE"/>
    <w:rsid w:val="00D13530"/>
    <w:rsid w:val="00D13FCE"/>
    <w:rsid w:val="00D1623D"/>
    <w:rsid w:val="00D306D1"/>
    <w:rsid w:val="00D30800"/>
    <w:rsid w:val="00D32970"/>
    <w:rsid w:val="00D34786"/>
    <w:rsid w:val="00D37BFC"/>
    <w:rsid w:val="00D47A8E"/>
    <w:rsid w:val="00D52D14"/>
    <w:rsid w:val="00D708C8"/>
    <w:rsid w:val="00D712D3"/>
    <w:rsid w:val="00D71422"/>
    <w:rsid w:val="00D72DC6"/>
    <w:rsid w:val="00D74C0A"/>
    <w:rsid w:val="00D7558D"/>
    <w:rsid w:val="00D81D92"/>
    <w:rsid w:val="00D839AA"/>
    <w:rsid w:val="00D876F9"/>
    <w:rsid w:val="00D9078A"/>
    <w:rsid w:val="00DA3DA0"/>
    <w:rsid w:val="00DA7B5F"/>
    <w:rsid w:val="00DB5685"/>
    <w:rsid w:val="00DC11E7"/>
    <w:rsid w:val="00DC1EC4"/>
    <w:rsid w:val="00DC24E3"/>
    <w:rsid w:val="00DC3219"/>
    <w:rsid w:val="00DC5E4E"/>
    <w:rsid w:val="00DC66D2"/>
    <w:rsid w:val="00DC7023"/>
    <w:rsid w:val="00DC769A"/>
    <w:rsid w:val="00DD3D86"/>
    <w:rsid w:val="00DD4AD2"/>
    <w:rsid w:val="00DE3939"/>
    <w:rsid w:val="00DF14FB"/>
    <w:rsid w:val="00DF1EC4"/>
    <w:rsid w:val="00E0340B"/>
    <w:rsid w:val="00E04A90"/>
    <w:rsid w:val="00E0551F"/>
    <w:rsid w:val="00E219C7"/>
    <w:rsid w:val="00E358C4"/>
    <w:rsid w:val="00E4118C"/>
    <w:rsid w:val="00E43157"/>
    <w:rsid w:val="00E461CE"/>
    <w:rsid w:val="00E47655"/>
    <w:rsid w:val="00E54D28"/>
    <w:rsid w:val="00E573E4"/>
    <w:rsid w:val="00E60B65"/>
    <w:rsid w:val="00E64C3D"/>
    <w:rsid w:val="00E65587"/>
    <w:rsid w:val="00E67C67"/>
    <w:rsid w:val="00E720CA"/>
    <w:rsid w:val="00E82DDC"/>
    <w:rsid w:val="00E84EB5"/>
    <w:rsid w:val="00E85662"/>
    <w:rsid w:val="00E8789F"/>
    <w:rsid w:val="00E95CDD"/>
    <w:rsid w:val="00E97B71"/>
    <w:rsid w:val="00EA3D34"/>
    <w:rsid w:val="00EB197F"/>
    <w:rsid w:val="00EB454D"/>
    <w:rsid w:val="00EB5A21"/>
    <w:rsid w:val="00EB7132"/>
    <w:rsid w:val="00ED2335"/>
    <w:rsid w:val="00ED392F"/>
    <w:rsid w:val="00ED549D"/>
    <w:rsid w:val="00ED76BE"/>
    <w:rsid w:val="00EE00E9"/>
    <w:rsid w:val="00EF1AAA"/>
    <w:rsid w:val="00EF619B"/>
    <w:rsid w:val="00EF76F5"/>
    <w:rsid w:val="00F00B55"/>
    <w:rsid w:val="00F01568"/>
    <w:rsid w:val="00F02AD1"/>
    <w:rsid w:val="00F07455"/>
    <w:rsid w:val="00F220A4"/>
    <w:rsid w:val="00F23144"/>
    <w:rsid w:val="00F253CC"/>
    <w:rsid w:val="00F25DE8"/>
    <w:rsid w:val="00F25FB0"/>
    <w:rsid w:val="00F37106"/>
    <w:rsid w:val="00F44E25"/>
    <w:rsid w:val="00F45A43"/>
    <w:rsid w:val="00F519CF"/>
    <w:rsid w:val="00F52897"/>
    <w:rsid w:val="00F56BA5"/>
    <w:rsid w:val="00F60E22"/>
    <w:rsid w:val="00F628AC"/>
    <w:rsid w:val="00F73954"/>
    <w:rsid w:val="00F81395"/>
    <w:rsid w:val="00F813CB"/>
    <w:rsid w:val="00F81BB8"/>
    <w:rsid w:val="00F90C64"/>
    <w:rsid w:val="00F917D1"/>
    <w:rsid w:val="00F9653B"/>
    <w:rsid w:val="00FA2FD2"/>
    <w:rsid w:val="00FB1B96"/>
    <w:rsid w:val="00FB62CF"/>
    <w:rsid w:val="00FC02F3"/>
    <w:rsid w:val="00FC03A7"/>
    <w:rsid w:val="00FC79A5"/>
    <w:rsid w:val="00FD3C3B"/>
    <w:rsid w:val="00FD50A6"/>
    <w:rsid w:val="00FE07DD"/>
    <w:rsid w:val="00FE6B45"/>
    <w:rsid w:val="00FF1880"/>
    <w:rsid w:val="00FF55F3"/>
    <w:rsid w:val="00FF5851"/>
    <w:rsid w:val="00FF775F"/>
    <w:rsid w:val="00FF7B79"/>
    <w:rsid w:val="6995108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73096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AA7B21"/>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3540AB"/>
  </w:style>
  <w:style w:type="character" w:styleId="Strong">
    <w:name w:val="Strong"/>
    <w:basedOn w:val="DefaultParagraphFont"/>
    <w:uiPriority w:val="22"/>
    <w:qFormat/>
    <w:rsid w:val="00813574"/>
    <w:rPr>
      <w:b/>
      <w:bCs/>
    </w:rPr>
  </w:style>
  <w:style w:type="paragraph" w:customStyle="1" w:styleId="paragraph">
    <w:name w:val="paragraph"/>
    <w:basedOn w:val="Normal"/>
    <w:rsid w:val="00063A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063AA1"/>
  </w:style>
  <w:style w:type="character" w:customStyle="1" w:styleId="eop">
    <w:name w:val="eop"/>
    <w:basedOn w:val="DefaultParagraphFont"/>
    <w:rsid w:val="00063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672">
      <w:bodyDiv w:val="1"/>
      <w:marLeft w:val="0"/>
      <w:marRight w:val="0"/>
      <w:marTop w:val="0"/>
      <w:marBottom w:val="0"/>
      <w:divBdr>
        <w:top w:val="none" w:sz="0" w:space="0" w:color="auto"/>
        <w:left w:val="none" w:sz="0" w:space="0" w:color="auto"/>
        <w:bottom w:val="none" w:sz="0" w:space="0" w:color="auto"/>
        <w:right w:val="none" w:sz="0" w:space="0" w:color="auto"/>
      </w:divBdr>
    </w:div>
    <w:div w:id="212861007">
      <w:bodyDiv w:val="1"/>
      <w:marLeft w:val="0"/>
      <w:marRight w:val="0"/>
      <w:marTop w:val="0"/>
      <w:marBottom w:val="0"/>
      <w:divBdr>
        <w:top w:val="none" w:sz="0" w:space="0" w:color="auto"/>
        <w:left w:val="none" w:sz="0" w:space="0" w:color="auto"/>
        <w:bottom w:val="none" w:sz="0" w:space="0" w:color="auto"/>
        <w:right w:val="none" w:sz="0" w:space="0" w:color="auto"/>
      </w:divBdr>
    </w:div>
    <w:div w:id="312687013">
      <w:bodyDiv w:val="1"/>
      <w:marLeft w:val="0"/>
      <w:marRight w:val="0"/>
      <w:marTop w:val="0"/>
      <w:marBottom w:val="0"/>
      <w:divBdr>
        <w:top w:val="none" w:sz="0" w:space="0" w:color="auto"/>
        <w:left w:val="none" w:sz="0" w:space="0" w:color="auto"/>
        <w:bottom w:val="none" w:sz="0" w:space="0" w:color="auto"/>
        <w:right w:val="none" w:sz="0" w:space="0" w:color="auto"/>
      </w:divBdr>
      <w:divsChild>
        <w:div w:id="779495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7007">
      <w:bodyDiv w:val="1"/>
      <w:marLeft w:val="0"/>
      <w:marRight w:val="0"/>
      <w:marTop w:val="0"/>
      <w:marBottom w:val="0"/>
      <w:divBdr>
        <w:top w:val="none" w:sz="0" w:space="0" w:color="auto"/>
        <w:left w:val="none" w:sz="0" w:space="0" w:color="auto"/>
        <w:bottom w:val="none" w:sz="0" w:space="0" w:color="auto"/>
        <w:right w:val="none" w:sz="0" w:space="0" w:color="auto"/>
      </w:divBdr>
    </w:div>
    <w:div w:id="470024540">
      <w:bodyDiv w:val="1"/>
      <w:marLeft w:val="0"/>
      <w:marRight w:val="0"/>
      <w:marTop w:val="0"/>
      <w:marBottom w:val="0"/>
      <w:divBdr>
        <w:top w:val="none" w:sz="0" w:space="0" w:color="auto"/>
        <w:left w:val="none" w:sz="0" w:space="0" w:color="auto"/>
        <w:bottom w:val="none" w:sz="0" w:space="0" w:color="auto"/>
        <w:right w:val="none" w:sz="0" w:space="0" w:color="auto"/>
      </w:divBdr>
    </w:div>
    <w:div w:id="1093866109">
      <w:bodyDiv w:val="1"/>
      <w:marLeft w:val="0"/>
      <w:marRight w:val="0"/>
      <w:marTop w:val="0"/>
      <w:marBottom w:val="0"/>
      <w:divBdr>
        <w:top w:val="none" w:sz="0" w:space="0" w:color="auto"/>
        <w:left w:val="none" w:sz="0" w:space="0" w:color="auto"/>
        <w:bottom w:val="none" w:sz="0" w:space="0" w:color="auto"/>
        <w:right w:val="none" w:sz="0" w:space="0" w:color="auto"/>
      </w:divBdr>
    </w:div>
    <w:div w:id="1163011077">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06149908">
      <w:bodyDiv w:val="1"/>
      <w:marLeft w:val="0"/>
      <w:marRight w:val="0"/>
      <w:marTop w:val="0"/>
      <w:marBottom w:val="0"/>
      <w:divBdr>
        <w:top w:val="none" w:sz="0" w:space="0" w:color="auto"/>
        <w:left w:val="none" w:sz="0" w:space="0" w:color="auto"/>
        <w:bottom w:val="none" w:sz="0" w:space="0" w:color="auto"/>
        <w:right w:val="none" w:sz="0" w:space="0" w:color="auto"/>
      </w:divBdr>
    </w:div>
    <w:div w:id="1463310536">
      <w:bodyDiv w:val="1"/>
      <w:marLeft w:val="0"/>
      <w:marRight w:val="0"/>
      <w:marTop w:val="0"/>
      <w:marBottom w:val="0"/>
      <w:divBdr>
        <w:top w:val="none" w:sz="0" w:space="0" w:color="auto"/>
        <w:left w:val="none" w:sz="0" w:space="0" w:color="auto"/>
        <w:bottom w:val="none" w:sz="0" w:space="0" w:color="auto"/>
        <w:right w:val="none" w:sz="0" w:space="0" w:color="auto"/>
      </w:divBdr>
      <w:divsChild>
        <w:div w:id="380978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891379">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20922118">
      <w:bodyDiv w:val="1"/>
      <w:marLeft w:val="0"/>
      <w:marRight w:val="0"/>
      <w:marTop w:val="0"/>
      <w:marBottom w:val="0"/>
      <w:divBdr>
        <w:top w:val="none" w:sz="0" w:space="0" w:color="auto"/>
        <w:left w:val="none" w:sz="0" w:space="0" w:color="auto"/>
        <w:bottom w:val="none" w:sz="0" w:space="0" w:color="auto"/>
        <w:right w:val="none" w:sz="0" w:space="0" w:color="auto"/>
      </w:divBdr>
    </w:div>
    <w:div w:id="2105807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75181"/>
    <w:rsid w:val="00182F71"/>
    <w:rsid w:val="001B68CE"/>
    <w:rsid w:val="00200821"/>
    <w:rsid w:val="002016C1"/>
    <w:rsid w:val="00201CE6"/>
    <w:rsid w:val="0025245B"/>
    <w:rsid w:val="002A3923"/>
    <w:rsid w:val="00394049"/>
    <w:rsid w:val="003C4213"/>
    <w:rsid w:val="003E4EFC"/>
    <w:rsid w:val="00451127"/>
    <w:rsid w:val="00493874"/>
    <w:rsid w:val="004B5BBB"/>
    <w:rsid w:val="004F2DF8"/>
    <w:rsid w:val="00643B64"/>
    <w:rsid w:val="006F24A1"/>
    <w:rsid w:val="00787C63"/>
    <w:rsid w:val="00956B39"/>
    <w:rsid w:val="00966BFE"/>
    <w:rsid w:val="00971423"/>
    <w:rsid w:val="009A261B"/>
    <w:rsid w:val="009C3CB6"/>
    <w:rsid w:val="00A2647E"/>
    <w:rsid w:val="00A4418E"/>
    <w:rsid w:val="00AA2E17"/>
    <w:rsid w:val="00AC15A4"/>
    <w:rsid w:val="00B0336C"/>
    <w:rsid w:val="00B30277"/>
    <w:rsid w:val="00B423D0"/>
    <w:rsid w:val="00B77C4B"/>
    <w:rsid w:val="00C05500"/>
    <w:rsid w:val="00D241E9"/>
    <w:rsid w:val="00D74C0A"/>
    <w:rsid w:val="00D7750D"/>
    <w:rsid w:val="00EA2477"/>
    <w:rsid w:val="00F00D2F"/>
    <w:rsid w:val="00F128DF"/>
    <w:rsid w:val="00F7220C"/>
    <w:rsid w:val="00FB26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95B158DE-E72B-4ED1-9815-C340330D3FDC}">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D6E92456-08DB-4EC5-BBE0-778EF561057B}">
  <ds:schemaRefs>
    <ds:schemaRef ds:uri="http://schemas.microsoft.com/sharepoint/v3/contenttype/forms"/>
  </ds:schemaRefs>
</ds:datastoreItem>
</file>

<file path=customXml/itemProps4.xml><?xml version="1.0" encoding="utf-8"?>
<ds:datastoreItem xmlns:ds="http://schemas.openxmlformats.org/officeDocument/2006/customXml" ds:itemID="{B89A1B3D-9B30-401E-ADFA-DFEC9C6E0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3160</Words>
  <Characters>18016</Characters>
  <Application>Microsoft Office Word</Application>
  <DocSecurity>0</DocSecurity>
  <Lines>150</Lines>
  <Paragraphs>42</Paragraphs>
  <ScaleCrop>false</ScaleCrop>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2026-01-29T14:16:00Z</dcterms:created>
  <dcterms:modified xsi:type="dcterms:W3CDTF">2026-01-29T14:16:00Z</dcterms:modified>
</cp:coreProperties>
</file>