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DFD5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202210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76789">
                              <w:rPr>
                                <w:rFonts w:asciiTheme="majorHAnsi" w:hAnsiTheme="majorHAnsi" w:cs="Arial"/>
                                <w:b/>
                                <w:bCs/>
                                <w:color w:val="0D0D0D" w:themeColor="text1" w:themeTint="F2"/>
                                <w:sz w:val="36"/>
                                <w:szCs w:val="22"/>
                                <w:lang w:val="es-ES_tradnl"/>
                              </w:rPr>
                              <w:t>298</w:t>
                            </w:r>
                            <w:r w:rsidR="007B05C4">
                              <w:rPr>
                                <w:rFonts w:asciiTheme="majorHAnsi" w:hAnsiTheme="majorHAnsi" w:cs="Arial"/>
                                <w:b/>
                                <w:bCs/>
                                <w:color w:val="0D0D0D" w:themeColor="text1" w:themeTint="F2"/>
                                <w:sz w:val="36"/>
                                <w:szCs w:val="22"/>
                                <w:lang w:val="es-ES_tradnl"/>
                              </w:rPr>
                              <w:t>/</w:t>
                            </w:r>
                            <w:r w:rsidR="00C404BB">
                              <w:rPr>
                                <w:rFonts w:asciiTheme="majorHAnsi" w:hAnsiTheme="majorHAnsi" w:cs="Arial"/>
                                <w:b/>
                                <w:bCs/>
                                <w:color w:val="0D0D0D" w:themeColor="text1" w:themeTint="F2"/>
                                <w:sz w:val="36"/>
                                <w:szCs w:val="22"/>
                                <w:lang w:val="es-ES_tradnl"/>
                              </w:rPr>
                              <w:t>25</w:t>
                            </w:r>
                          </w:p>
                          <w:p w14:paraId="45F30ECA" w14:textId="418A6F7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D51B5">
                              <w:rPr>
                                <w:rFonts w:asciiTheme="majorHAnsi" w:hAnsiTheme="majorHAnsi" w:cs="Arial"/>
                                <w:b/>
                                <w:color w:val="0D0D0D" w:themeColor="text1" w:themeTint="F2"/>
                                <w:sz w:val="36"/>
                                <w:szCs w:val="22"/>
                                <w:lang w:val="es-ES_tradnl"/>
                              </w:rPr>
                              <w:t>1560</w:t>
                            </w:r>
                            <w:r w:rsidR="00246D1F" w:rsidRPr="004E2649">
                              <w:rPr>
                                <w:rFonts w:asciiTheme="majorHAnsi" w:hAnsiTheme="majorHAnsi" w:cs="Arial"/>
                                <w:b/>
                                <w:color w:val="0D0D0D" w:themeColor="text1" w:themeTint="F2"/>
                                <w:sz w:val="36"/>
                                <w:szCs w:val="22"/>
                                <w:lang w:val="es-ES_tradnl"/>
                              </w:rPr>
                              <w:t>-</w:t>
                            </w:r>
                            <w:r w:rsidR="007D51B5">
                              <w:rPr>
                                <w:rFonts w:asciiTheme="majorHAnsi" w:hAnsiTheme="majorHAnsi" w:cs="Arial"/>
                                <w:b/>
                                <w:color w:val="0D0D0D" w:themeColor="text1" w:themeTint="F2"/>
                                <w:sz w:val="36"/>
                                <w:szCs w:val="22"/>
                                <w:lang w:val="es-ES_tradnl"/>
                              </w:rPr>
                              <w:t>16</w:t>
                            </w:r>
                            <w:r w:rsidR="00246D1F" w:rsidRPr="004E2649">
                              <w:rPr>
                                <w:rFonts w:asciiTheme="majorHAnsi" w:hAnsiTheme="majorHAnsi" w:cs="Arial"/>
                                <w:b/>
                                <w:color w:val="0D0D0D" w:themeColor="text1" w:themeTint="F2"/>
                                <w:sz w:val="36"/>
                                <w:szCs w:val="22"/>
                                <w:lang w:val="es-ES_tradnl"/>
                              </w:rPr>
                              <w:t xml:space="preserve"> </w:t>
                            </w:r>
                          </w:p>
                          <w:p w14:paraId="188B4303" w14:textId="758E8F8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5849A781" w:rsidR="005B52B0" w:rsidRPr="0010736F" w:rsidRDefault="007D51B5"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DAMIÁN DELVALLE SANABRIA </w:t>
                            </w:r>
                          </w:p>
                          <w:bookmarkEnd w:id="0"/>
                          <w:p w14:paraId="0B9F7D22" w14:textId="4489C76D" w:rsidR="005B52B0" w:rsidRPr="00F56ECB" w:rsidRDefault="005B52B0" w:rsidP="00F56ECB">
                            <w:pPr>
                              <w:spacing w:line="276" w:lineRule="auto"/>
                              <w:rPr>
                                <w:rFonts w:asciiTheme="majorHAnsi" w:hAnsiTheme="majorHAnsi" w:cs="Arial"/>
                                <w:color w:val="0D0D0D" w:themeColor="text1" w:themeTint="F2"/>
                                <w:szCs w:val="22"/>
                                <w:lang w:val="es-ES"/>
                              </w:rPr>
                            </w:pPr>
                            <w:r w:rsidRPr="0010736F">
                              <w:rPr>
                                <w:rFonts w:asciiTheme="majorHAnsi" w:hAnsiTheme="majorHAnsi" w:cs="Arial"/>
                                <w:color w:val="0D0D0D" w:themeColor="text1" w:themeTint="F2"/>
                                <w:szCs w:val="22"/>
                                <w:lang w:val="es-ES_tradnl"/>
                              </w:rPr>
                              <w:t>PA</w:t>
                            </w:r>
                            <w:r w:rsidR="007D51B5">
                              <w:rPr>
                                <w:rFonts w:asciiTheme="majorHAnsi" w:hAnsiTheme="majorHAnsi" w:cs="Arial"/>
                                <w:color w:val="0D0D0D" w:themeColor="text1" w:themeTint="F2"/>
                                <w:szCs w:val="22"/>
                                <w:lang w:val="es-ES_tradnl"/>
                              </w:rPr>
                              <w:t>RAGUAY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202210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76789">
                        <w:rPr>
                          <w:rFonts w:asciiTheme="majorHAnsi" w:hAnsiTheme="majorHAnsi" w:cs="Arial"/>
                          <w:b/>
                          <w:bCs/>
                          <w:color w:val="0D0D0D" w:themeColor="text1" w:themeTint="F2"/>
                          <w:sz w:val="36"/>
                          <w:szCs w:val="22"/>
                          <w:lang w:val="es-ES_tradnl"/>
                        </w:rPr>
                        <w:t>298</w:t>
                      </w:r>
                      <w:r w:rsidR="007B05C4">
                        <w:rPr>
                          <w:rFonts w:asciiTheme="majorHAnsi" w:hAnsiTheme="majorHAnsi" w:cs="Arial"/>
                          <w:b/>
                          <w:bCs/>
                          <w:color w:val="0D0D0D" w:themeColor="text1" w:themeTint="F2"/>
                          <w:sz w:val="36"/>
                          <w:szCs w:val="22"/>
                          <w:lang w:val="es-ES_tradnl"/>
                        </w:rPr>
                        <w:t>/</w:t>
                      </w:r>
                      <w:r w:rsidR="00C404BB">
                        <w:rPr>
                          <w:rFonts w:asciiTheme="majorHAnsi" w:hAnsiTheme="majorHAnsi" w:cs="Arial"/>
                          <w:b/>
                          <w:bCs/>
                          <w:color w:val="0D0D0D" w:themeColor="text1" w:themeTint="F2"/>
                          <w:sz w:val="36"/>
                          <w:szCs w:val="22"/>
                          <w:lang w:val="es-ES_tradnl"/>
                        </w:rPr>
                        <w:t>25</w:t>
                      </w:r>
                    </w:p>
                    <w:p w14:paraId="45F30ECA" w14:textId="418A6F7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D51B5">
                        <w:rPr>
                          <w:rFonts w:asciiTheme="majorHAnsi" w:hAnsiTheme="majorHAnsi" w:cs="Arial"/>
                          <w:b/>
                          <w:color w:val="0D0D0D" w:themeColor="text1" w:themeTint="F2"/>
                          <w:sz w:val="36"/>
                          <w:szCs w:val="22"/>
                          <w:lang w:val="es-ES_tradnl"/>
                        </w:rPr>
                        <w:t>1560</w:t>
                      </w:r>
                      <w:r w:rsidR="00246D1F" w:rsidRPr="004E2649">
                        <w:rPr>
                          <w:rFonts w:asciiTheme="majorHAnsi" w:hAnsiTheme="majorHAnsi" w:cs="Arial"/>
                          <w:b/>
                          <w:color w:val="0D0D0D" w:themeColor="text1" w:themeTint="F2"/>
                          <w:sz w:val="36"/>
                          <w:szCs w:val="22"/>
                          <w:lang w:val="es-ES_tradnl"/>
                        </w:rPr>
                        <w:t>-</w:t>
                      </w:r>
                      <w:r w:rsidR="007D51B5">
                        <w:rPr>
                          <w:rFonts w:asciiTheme="majorHAnsi" w:hAnsiTheme="majorHAnsi" w:cs="Arial"/>
                          <w:b/>
                          <w:color w:val="0D0D0D" w:themeColor="text1" w:themeTint="F2"/>
                          <w:sz w:val="36"/>
                          <w:szCs w:val="22"/>
                          <w:lang w:val="es-ES_tradnl"/>
                        </w:rPr>
                        <w:t>16</w:t>
                      </w:r>
                      <w:r w:rsidR="00246D1F" w:rsidRPr="004E2649">
                        <w:rPr>
                          <w:rFonts w:asciiTheme="majorHAnsi" w:hAnsiTheme="majorHAnsi" w:cs="Arial"/>
                          <w:b/>
                          <w:color w:val="0D0D0D" w:themeColor="text1" w:themeTint="F2"/>
                          <w:sz w:val="36"/>
                          <w:szCs w:val="22"/>
                          <w:lang w:val="es-ES_tradnl"/>
                        </w:rPr>
                        <w:t xml:space="preserve"> </w:t>
                      </w:r>
                    </w:p>
                    <w:p w14:paraId="188B4303" w14:textId="758E8F8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5849A781" w:rsidR="005B52B0" w:rsidRPr="0010736F" w:rsidRDefault="007D51B5"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DAMIÁN DELVALLE SANABRIA </w:t>
                      </w:r>
                    </w:p>
                    <w:bookmarkEnd w:id="1"/>
                    <w:p w14:paraId="0B9F7D22" w14:textId="4489C76D" w:rsidR="005B52B0" w:rsidRPr="00F56ECB" w:rsidRDefault="005B52B0" w:rsidP="00F56ECB">
                      <w:pPr>
                        <w:spacing w:line="276" w:lineRule="auto"/>
                        <w:rPr>
                          <w:rFonts w:asciiTheme="majorHAnsi" w:hAnsiTheme="majorHAnsi" w:cs="Arial"/>
                          <w:color w:val="0D0D0D" w:themeColor="text1" w:themeTint="F2"/>
                          <w:szCs w:val="22"/>
                          <w:lang w:val="es-ES"/>
                        </w:rPr>
                      </w:pPr>
                      <w:r w:rsidRPr="0010736F">
                        <w:rPr>
                          <w:rFonts w:asciiTheme="majorHAnsi" w:hAnsiTheme="majorHAnsi" w:cs="Arial"/>
                          <w:color w:val="0D0D0D" w:themeColor="text1" w:themeTint="F2"/>
                          <w:szCs w:val="22"/>
                          <w:lang w:val="es-ES_tradnl"/>
                        </w:rPr>
                        <w:t>PA</w:t>
                      </w:r>
                      <w:r w:rsidR="007D51B5">
                        <w:rPr>
                          <w:rFonts w:asciiTheme="majorHAnsi" w:hAnsiTheme="majorHAnsi" w:cs="Arial"/>
                          <w:color w:val="0D0D0D" w:themeColor="text1" w:themeTint="F2"/>
                          <w:szCs w:val="22"/>
                          <w:lang w:val="es-ES_tradnl"/>
                        </w:rPr>
                        <w:t>RAGUAY</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770CDD6" w:rsidR="00627C9F" w:rsidRPr="0033043C" w:rsidRDefault="00834D49" w:rsidP="007A5817">
                            <w:pPr>
                              <w:spacing w:line="276" w:lineRule="auto"/>
                              <w:jc w:val="right"/>
                              <w:rPr>
                                <w:rFonts w:asciiTheme="minorHAnsi" w:hAnsiTheme="minorHAnsi"/>
                                <w:color w:val="FFFFFF" w:themeColor="background1"/>
                                <w:sz w:val="22"/>
                                <w:lang w:val="es-ES"/>
                              </w:rPr>
                            </w:pPr>
                            <w:r w:rsidRPr="0033043C">
                              <w:rPr>
                                <w:rFonts w:asciiTheme="minorHAnsi" w:hAnsiTheme="minorHAnsi"/>
                                <w:color w:val="FFFFFF" w:themeColor="background1"/>
                                <w:sz w:val="22"/>
                                <w:lang w:val="es-ES"/>
                              </w:rPr>
                              <w:t>OEA/Ser.L/V/II</w:t>
                            </w:r>
                          </w:p>
                          <w:p w14:paraId="71D2D5D2" w14:textId="1A759209" w:rsidR="00627C9F" w:rsidRPr="00F8730C" w:rsidRDefault="00627C9F" w:rsidP="007A5817">
                            <w:pPr>
                              <w:spacing w:line="276" w:lineRule="auto"/>
                              <w:jc w:val="right"/>
                              <w:rPr>
                                <w:rFonts w:asciiTheme="minorHAnsi" w:hAnsiTheme="minorHAnsi"/>
                                <w:color w:val="FFFFFF" w:themeColor="background1"/>
                                <w:sz w:val="22"/>
                                <w:lang w:val="es-ES"/>
                              </w:rPr>
                            </w:pPr>
                            <w:r w:rsidRPr="00F8730C">
                              <w:rPr>
                                <w:rFonts w:asciiTheme="minorHAnsi" w:hAnsiTheme="minorHAnsi"/>
                                <w:color w:val="FFFFFF" w:themeColor="background1"/>
                                <w:sz w:val="22"/>
                                <w:lang w:val="es-ES"/>
                              </w:rPr>
                              <w:t xml:space="preserve">Doc. </w:t>
                            </w:r>
                            <w:r w:rsidR="00F8730C" w:rsidRPr="00F8730C">
                              <w:rPr>
                                <w:rFonts w:asciiTheme="minorHAnsi" w:hAnsiTheme="minorHAnsi"/>
                                <w:color w:val="FFFFFF" w:themeColor="background1"/>
                                <w:sz w:val="22"/>
                                <w:lang w:val="es-ES"/>
                              </w:rPr>
                              <w:t>31</w:t>
                            </w:r>
                            <w:r w:rsidR="00F8730C">
                              <w:rPr>
                                <w:rFonts w:asciiTheme="minorHAnsi" w:hAnsiTheme="minorHAnsi"/>
                                <w:color w:val="FFFFFF" w:themeColor="background1"/>
                                <w:sz w:val="22"/>
                                <w:lang w:val="es-ES"/>
                              </w:rPr>
                              <w:t>3</w:t>
                            </w:r>
                          </w:p>
                          <w:p w14:paraId="4061DBBD" w14:textId="0BCF05C2" w:rsidR="00627C9F" w:rsidRPr="00C25ADB" w:rsidRDefault="00F8730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770CDD6" w:rsidR="00627C9F" w:rsidRPr="0033043C" w:rsidRDefault="00834D49" w:rsidP="007A5817">
                      <w:pPr>
                        <w:spacing w:line="276" w:lineRule="auto"/>
                        <w:jc w:val="right"/>
                        <w:rPr>
                          <w:rFonts w:asciiTheme="minorHAnsi" w:hAnsiTheme="minorHAnsi"/>
                          <w:color w:val="FFFFFF" w:themeColor="background1"/>
                          <w:sz w:val="22"/>
                          <w:lang w:val="es-ES"/>
                        </w:rPr>
                      </w:pPr>
                      <w:r w:rsidRPr="0033043C">
                        <w:rPr>
                          <w:rFonts w:asciiTheme="minorHAnsi" w:hAnsiTheme="minorHAnsi"/>
                          <w:color w:val="FFFFFF" w:themeColor="background1"/>
                          <w:sz w:val="22"/>
                          <w:lang w:val="es-ES"/>
                        </w:rPr>
                        <w:t>OEA/Ser.L/V/II</w:t>
                      </w:r>
                    </w:p>
                    <w:p w14:paraId="71D2D5D2" w14:textId="1A759209" w:rsidR="00627C9F" w:rsidRPr="00F8730C" w:rsidRDefault="00627C9F" w:rsidP="007A5817">
                      <w:pPr>
                        <w:spacing w:line="276" w:lineRule="auto"/>
                        <w:jc w:val="right"/>
                        <w:rPr>
                          <w:rFonts w:asciiTheme="minorHAnsi" w:hAnsiTheme="minorHAnsi"/>
                          <w:color w:val="FFFFFF" w:themeColor="background1"/>
                          <w:sz w:val="22"/>
                          <w:lang w:val="es-ES"/>
                        </w:rPr>
                      </w:pPr>
                      <w:r w:rsidRPr="00F8730C">
                        <w:rPr>
                          <w:rFonts w:asciiTheme="minorHAnsi" w:hAnsiTheme="minorHAnsi"/>
                          <w:color w:val="FFFFFF" w:themeColor="background1"/>
                          <w:sz w:val="22"/>
                          <w:lang w:val="es-ES"/>
                        </w:rPr>
                        <w:t xml:space="preserve">Doc. </w:t>
                      </w:r>
                      <w:r w:rsidR="00F8730C" w:rsidRPr="00F8730C">
                        <w:rPr>
                          <w:rFonts w:asciiTheme="minorHAnsi" w:hAnsiTheme="minorHAnsi"/>
                          <w:color w:val="FFFFFF" w:themeColor="background1"/>
                          <w:sz w:val="22"/>
                          <w:lang w:val="es-ES"/>
                        </w:rPr>
                        <w:t>31</w:t>
                      </w:r>
                      <w:r w:rsidR="00F8730C">
                        <w:rPr>
                          <w:rFonts w:asciiTheme="minorHAnsi" w:hAnsiTheme="minorHAnsi"/>
                          <w:color w:val="FFFFFF" w:themeColor="background1"/>
                          <w:sz w:val="22"/>
                          <w:lang w:val="es-ES"/>
                        </w:rPr>
                        <w:t>3</w:t>
                      </w:r>
                    </w:p>
                    <w:p w14:paraId="4061DBBD" w14:textId="0BCF05C2" w:rsidR="00627C9F" w:rsidRPr="00C25ADB" w:rsidRDefault="00F8730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BA8E4BA"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76789">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A76789">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C404BB">
                              <w:rPr>
                                <w:rFonts w:asciiTheme="majorHAnsi" w:hAnsiTheme="majorHAnsi"/>
                                <w:color w:val="0D0D0D" w:themeColor="text1" w:themeTint="F2"/>
                                <w:sz w:val="18"/>
                                <w:szCs w:val="22"/>
                                <w:lang w:val="es-ES"/>
                              </w:rPr>
                              <w:t>5</w:t>
                            </w:r>
                            <w:r w:rsidR="00A7678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BA8E4BA"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76789">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A76789">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C404BB">
                        <w:rPr>
                          <w:rFonts w:asciiTheme="majorHAnsi" w:hAnsiTheme="majorHAnsi"/>
                          <w:color w:val="0D0D0D" w:themeColor="text1" w:themeTint="F2"/>
                          <w:sz w:val="18"/>
                          <w:szCs w:val="22"/>
                          <w:lang w:val="es-ES"/>
                        </w:rPr>
                        <w:t>5</w:t>
                      </w:r>
                      <w:r w:rsidR="00A7678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CF407" w14:textId="13CA067C" w:rsidR="00B6590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65908" w:rsidRPr="0033043C">
                              <w:rPr>
                                <w:rFonts w:asciiTheme="majorHAnsi" w:hAnsiTheme="majorHAnsi"/>
                                <w:color w:val="595959" w:themeColor="text1" w:themeTint="A6"/>
                                <w:sz w:val="18"/>
                                <w:szCs w:val="18"/>
                                <w:lang w:val="pt-PT"/>
                              </w:rPr>
                              <w:t>298</w:t>
                            </w:r>
                            <w:r w:rsidR="007B05C4" w:rsidRPr="0033043C">
                              <w:rPr>
                                <w:rFonts w:asciiTheme="majorHAnsi" w:hAnsiTheme="majorHAnsi"/>
                                <w:color w:val="595959" w:themeColor="text1" w:themeTint="A6"/>
                                <w:sz w:val="18"/>
                                <w:szCs w:val="18"/>
                                <w:lang w:val="pt-PT"/>
                              </w:rPr>
                              <w:t>/</w:t>
                            </w:r>
                            <w:r w:rsidR="00B65908" w:rsidRPr="0033043C">
                              <w:rPr>
                                <w:rFonts w:asciiTheme="majorHAnsi" w:hAnsiTheme="majorHAnsi"/>
                                <w:color w:val="595959" w:themeColor="text1" w:themeTint="A6"/>
                                <w:sz w:val="18"/>
                                <w:szCs w:val="18"/>
                                <w:lang w:val="pt-PT"/>
                              </w:rPr>
                              <w:t>25</w:t>
                            </w:r>
                            <w:r w:rsidRPr="0033043C">
                              <w:rPr>
                                <w:rFonts w:asciiTheme="majorHAnsi" w:hAnsiTheme="majorHAnsi"/>
                                <w:color w:val="595959" w:themeColor="text1" w:themeTint="A6"/>
                                <w:sz w:val="18"/>
                                <w:szCs w:val="18"/>
                                <w:lang w:val="pt-PT"/>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7448">
                              <w:rPr>
                                <w:rFonts w:asciiTheme="majorHAnsi" w:hAnsiTheme="majorHAnsi"/>
                                <w:color w:val="595959" w:themeColor="text1" w:themeTint="A6"/>
                                <w:sz w:val="18"/>
                                <w:szCs w:val="18"/>
                                <w:lang w:val="es-ES"/>
                              </w:rPr>
                              <w:t>1560</w:t>
                            </w:r>
                            <w:r w:rsidR="000433C9">
                              <w:rPr>
                                <w:rFonts w:asciiTheme="majorHAnsi" w:hAnsiTheme="majorHAnsi"/>
                                <w:color w:val="595959" w:themeColor="text1" w:themeTint="A6"/>
                                <w:sz w:val="18"/>
                                <w:szCs w:val="18"/>
                                <w:lang w:val="es-ES"/>
                              </w:rPr>
                              <w:t>-</w:t>
                            </w:r>
                            <w:r w:rsidR="00357448">
                              <w:rPr>
                                <w:rFonts w:asciiTheme="majorHAnsi" w:hAnsiTheme="majorHAnsi"/>
                                <w:color w:val="595959" w:themeColor="text1" w:themeTint="A6"/>
                                <w:sz w:val="18"/>
                                <w:szCs w:val="18"/>
                                <w:lang w:val="es-ES"/>
                              </w:rPr>
                              <w:t>16</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50BD36D2" w:rsidR="00113F73" w:rsidRPr="007B05C4" w:rsidRDefault="0035744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Damián Delvalle Sanabria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Paraguay</w:t>
                            </w:r>
                            <w:r w:rsidR="00113F73" w:rsidRPr="00890650">
                              <w:rPr>
                                <w:rFonts w:asciiTheme="majorHAnsi" w:hAnsiTheme="majorHAnsi"/>
                                <w:color w:val="595959" w:themeColor="text1" w:themeTint="A6"/>
                                <w:sz w:val="18"/>
                                <w:szCs w:val="18"/>
                                <w:lang w:val="es-ES_tradnl"/>
                              </w:rPr>
                              <w:t xml:space="preserve">. </w:t>
                            </w:r>
                            <w:r w:rsidR="000B24EA">
                              <w:rPr>
                                <w:rFonts w:asciiTheme="majorHAnsi" w:hAnsiTheme="majorHAnsi"/>
                                <w:color w:val="595959" w:themeColor="text1" w:themeTint="A6"/>
                                <w:sz w:val="18"/>
                                <w:szCs w:val="18"/>
                                <w:lang w:val="es-ES"/>
                              </w:rPr>
                              <w:t>14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5ECF407" w14:textId="13CA067C" w:rsidR="00B6590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65908" w:rsidRPr="0033043C">
                        <w:rPr>
                          <w:rFonts w:asciiTheme="majorHAnsi" w:hAnsiTheme="majorHAnsi"/>
                          <w:color w:val="595959" w:themeColor="text1" w:themeTint="A6"/>
                          <w:sz w:val="18"/>
                          <w:szCs w:val="18"/>
                          <w:lang w:val="pt-PT"/>
                        </w:rPr>
                        <w:t>298</w:t>
                      </w:r>
                      <w:r w:rsidR="007B05C4" w:rsidRPr="0033043C">
                        <w:rPr>
                          <w:rFonts w:asciiTheme="majorHAnsi" w:hAnsiTheme="majorHAnsi"/>
                          <w:color w:val="595959" w:themeColor="text1" w:themeTint="A6"/>
                          <w:sz w:val="18"/>
                          <w:szCs w:val="18"/>
                          <w:lang w:val="pt-PT"/>
                        </w:rPr>
                        <w:t>/</w:t>
                      </w:r>
                      <w:r w:rsidR="00B65908" w:rsidRPr="0033043C">
                        <w:rPr>
                          <w:rFonts w:asciiTheme="majorHAnsi" w:hAnsiTheme="majorHAnsi"/>
                          <w:color w:val="595959" w:themeColor="text1" w:themeTint="A6"/>
                          <w:sz w:val="18"/>
                          <w:szCs w:val="18"/>
                          <w:lang w:val="pt-PT"/>
                        </w:rPr>
                        <w:t>25</w:t>
                      </w:r>
                      <w:r w:rsidRPr="0033043C">
                        <w:rPr>
                          <w:rFonts w:asciiTheme="majorHAnsi" w:hAnsiTheme="majorHAnsi"/>
                          <w:color w:val="595959" w:themeColor="text1" w:themeTint="A6"/>
                          <w:sz w:val="18"/>
                          <w:szCs w:val="18"/>
                          <w:lang w:val="pt-PT"/>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7448">
                        <w:rPr>
                          <w:rFonts w:asciiTheme="majorHAnsi" w:hAnsiTheme="majorHAnsi"/>
                          <w:color w:val="595959" w:themeColor="text1" w:themeTint="A6"/>
                          <w:sz w:val="18"/>
                          <w:szCs w:val="18"/>
                          <w:lang w:val="es-ES"/>
                        </w:rPr>
                        <w:t>1560</w:t>
                      </w:r>
                      <w:r w:rsidR="000433C9">
                        <w:rPr>
                          <w:rFonts w:asciiTheme="majorHAnsi" w:hAnsiTheme="majorHAnsi"/>
                          <w:color w:val="595959" w:themeColor="text1" w:themeTint="A6"/>
                          <w:sz w:val="18"/>
                          <w:szCs w:val="18"/>
                          <w:lang w:val="es-ES"/>
                        </w:rPr>
                        <w:t>-</w:t>
                      </w:r>
                      <w:r w:rsidR="00357448">
                        <w:rPr>
                          <w:rFonts w:asciiTheme="majorHAnsi" w:hAnsiTheme="majorHAnsi"/>
                          <w:color w:val="595959" w:themeColor="text1" w:themeTint="A6"/>
                          <w:sz w:val="18"/>
                          <w:szCs w:val="18"/>
                          <w:lang w:val="es-ES"/>
                        </w:rPr>
                        <w:t>16</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50BD36D2" w:rsidR="00113F73" w:rsidRPr="007B05C4" w:rsidRDefault="0035744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Damián Delvalle Sanabria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Paraguay</w:t>
                      </w:r>
                      <w:r w:rsidR="00113F73" w:rsidRPr="00890650">
                        <w:rPr>
                          <w:rFonts w:asciiTheme="majorHAnsi" w:hAnsiTheme="majorHAnsi"/>
                          <w:color w:val="595959" w:themeColor="text1" w:themeTint="A6"/>
                          <w:sz w:val="18"/>
                          <w:szCs w:val="18"/>
                          <w:lang w:val="es-ES_tradnl"/>
                        </w:rPr>
                        <w:t xml:space="preserve">. </w:t>
                      </w:r>
                      <w:r w:rsidR="000B24EA">
                        <w:rPr>
                          <w:rFonts w:asciiTheme="majorHAnsi" w:hAnsiTheme="majorHAnsi"/>
                          <w:color w:val="595959" w:themeColor="text1" w:themeTint="A6"/>
                          <w:sz w:val="18"/>
                          <w:szCs w:val="18"/>
                          <w:lang w:val="es-ES"/>
                        </w:rPr>
                        <w:t>14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8BBCE87" w:rsidR="00D72DC6" w:rsidRPr="00D72DC6" w:rsidRDefault="00EC5FAE" w:rsidP="00F02AD1">
                            <w:pPr>
                              <w:rPr>
                                <w:color w:val="FFFFFF" w:themeColor="background1"/>
                                <w14:textFill>
                                  <w14:noFill/>
                                </w14:textFill>
                              </w:rPr>
                            </w:pPr>
                            <w:r>
                              <w:rPr>
                                <w:noProof/>
                                <w:color w:val="FFFFFF" w:themeColor="background1"/>
                              </w:rPr>
                              <w:drawing>
                                <wp:inline distT="0" distB="0" distL="0" distR="0" wp14:anchorId="17EEE0FF" wp14:editId="423A42D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8BBCE87" w:rsidR="00D72DC6" w:rsidRPr="00D72DC6" w:rsidRDefault="00EC5FAE" w:rsidP="00F02AD1">
                      <w:pPr>
                        <w:rPr>
                          <w:color w:val="FFFFFF" w:themeColor="background1"/>
                          <w14:textFill>
                            <w14:noFill/>
                          </w14:textFill>
                        </w:rPr>
                      </w:pPr>
                      <w:r>
                        <w:rPr>
                          <w:noProof/>
                          <w:color w:val="FFFFFF" w:themeColor="background1"/>
                        </w:rPr>
                        <w:drawing>
                          <wp:inline distT="0" distB="0" distL="0" distR="0" wp14:anchorId="17EEE0FF" wp14:editId="423A42D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0CF0655F" w:rsidR="003239B8" w:rsidRPr="000D05CB" w:rsidRDefault="001B4699" w:rsidP="008D2290">
            <w:pPr>
              <w:jc w:val="both"/>
              <w:rPr>
                <w:rFonts w:ascii="Cambria" w:hAnsi="Cambria"/>
                <w:bCs/>
                <w:sz w:val="20"/>
                <w:szCs w:val="20"/>
              </w:rPr>
            </w:pPr>
            <w:r>
              <w:rPr>
                <w:rFonts w:ascii="Cambria" w:hAnsi="Cambria"/>
                <w:bCs/>
                <w:sz w:val="20"/>
                <w:szCs w:val="20"/>
              </w:rPr>
              <w:t>Secundino M</w:t>
            </w:r>
            <w:r w:rsidR="000A1699">
              <w:rPr>
                <w:rFonts w:ascii="Cambria" w:hAnsi="Cambria"/>
                <w:bCs/>
                <w:sz w:val="20"/>
                <w:szCs w:val="20"/>
              </w:rPr>
              <w:t>é</w:t>
            </w:r>
            <w:r>
              <w:rPr>
                <w:rFonts w:ascii="Cambria" w:hAnsi="Cambria"/>
                <w:bCs/>
                <w:sz w:val="20"/>
                <w:szCs w:val="20"/>
              </w:rPr>
              <w:t>ndez Duarte</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A6394E"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27C16AF1" w:rsidR="003239B8" w:rsidRPr="000D05CB" w:rsidRDefault="001B4699" w:rsidP="008D2290">
            <w:pPr>
              <w:jc w:val="both"/>
              <w:rPr>
                <w:rFonts w:ascii="Cambria" w:hAnsi="Cambria"/>
                <w:bCs/>
                <w:sz w:val="20"/>
                <w:szCs w:val="20"/>
                <w:lang w:val="es-ES"/>
              </w:rPr>
            </w:pPr>
            <w:r>
              <w:rPr>
                <w:rFonts w:ascii="Cambria" w:hAnsi="Cambria"/>
                <w:bCs/>
                <w:sz w:val="20"/>
                <w:szCs w:val="20"/>
                <w:lang w:val="es-ES"/>
              </w:rPr>
              <w:t>Dami</w:t>
            </w:r>
            <w:r w:rsidR="000A1699">
              <w:rPr>
                <w:rFonts w:ascii="Cambria" w:hAnsi="Cambria"/>
                <w:bCs/>
                <w:sz w:val="20"/>
                <w:szCs w:val="20"/>
                <w:lang w:val="es-ES"/>
              </w:rPr>
              <w:t>á</w:t>
            </w:r>
            <w:r>
              <w:rPr>
                <w:rFonts w:ascii="Cambria" w:hAnsi="Cambria"/>
                <w:bCs/>
                <w:sz w:val="20"/>
                <w:szCs w:val="20"/>
                <w:lang w:val="es-ES"/>
              </w:rPr>
              <w:t>n Delvalle Sanabria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0EB9E55F" w:rsidR="003239B8" w:rsidRPr="000D05CB" w:rsidRDefault="001B4699" w:rsidP="008D2290">
            <w:pPr>
              <w:jc w:val="both"/>
              <w:rPr>
                <w:rFonts w:ascii="Cambria" w:hAnsi="Cambria"/>
                <w:bCs/>
                <w:sz w:val="20"/>
                <w:szCs w:val="20"/>
              </w:rPr>
            </w:pPr>
            <w:r>
              <w:rPr>
                <w:rFonts w:ascii="Cambria" w:hAnsi="Cambria"/>
                <w:bCs/>
                <w:sz w:val="20"/>
                <w:szCs w:val="20"/>
              </w:rPr>
              <w:t>Paraguay</w:t>
            </w:r>
          </w:p>
        </w:tc>
      </w:tr>
      <w:tr w:rsidR="00223A29" w:rsidRPr="0033043C"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6FA0D5C4" w:rsidR="00223A29" w:rsidRPr="00684CAC" w:rsidRDefault="002E04FC" w:rsidP="008D2290">
            <w:pPr>
              <w:jc w:val="both"/>
              <w:rPr>
                <w:rFonts w:ascii="Cambria" w:hAnsi="Cambria"/>
                <w:bCs/>
                <w:sz w:val="20"/>
                <w:szCs w:val="20"/>
                <w:lang w:val="es-AR"/>
              </w:rPr>
            </w:pPr>
            <w:r w:rsidRPr="002E04FC">
              <w:rPr>
                <w:rFonts w:ascii="Cambria" w:hAnsi="Cambria"/>
                <w:bCs/>
                <w:sz w:val="20"/>
                <w:szCs w:val="20"/>
                <w:lang w:val="es-AR"/>
              </w:rPr>
              <w:t>Artículos 7 (</w:t>
            </w:r>
            <w:r>
              <w:rPr>
                <w:rFonts w:ascii="Cambria" w:hAnsi="Cambria"/>
                <w:bCs/>
                <w:sz w:val="20"/>
                <w:szCs w:val="20"/>
                <w:lang w:val="es-AR"/>
              </w:rPr>
              <w:t>libertad personal)</w:t>
            </w:r>
            <w:r w:rsidRPr="002E04FC">
              <w:rPr>
                <w:rFonts w:ascii="Cambria" w:hAnsi="Cambria"/>
                <w:bCs/>
                <w:sz w:val="20"/>
                <w:szCs w:val="20"/>
                <w:lang w:val="es-AR"/>
              </w:rPr>
              <w:t>, 8 (garantías judiciales)</w:t>
            </w:r>
            <w:r>
              <w:rPr>
                <w:rFonts w:ascii="Cambria" w:hAnsi="Cambria"/>
                <w:bCs/>
                <w:sz w:val="20"/>
                <w:szCs w:val="20"/>
                <w:lang w:val="es-AR"/>
              </w:rPr>
              <w:t xml:space="preserve"> </w:t>
            </w:r>
            <w:r w:rsidRPr="002E04FC">
              <w:rPr>
                <w:rFonts w:ascii="Cambria" w:hAnsi="Cambria"/>
                <w:bCs/>
                <w:sz w:val="20"/>
                <w:szCs w:val="20"/>
                <w:lang w:val="es-AR"/>
              </w:rPr>
              <w:t>y 25 (protección judicial)</w:t>
            </w:r>
            <w:r>
              <w:rPr>
                <w:rFonts w:ascii="Cambria" w:hAnsi="Cambria"/>
                <w:bCs/>
                <w:sz w:val="20"/>
                <w:szCs w:val="20"/>
                <w:lang w:val="es-AR"/>
              </w:rPr>
              <w:t xml:space="preserve"> de la Convención Americana sobre Derechos Humanos</w:t>
            </w:r>
            <w:r w:rsidRPr="002E04FC">
              <w:rPr>
                <w:rStyle w:val="FootnoteReference"/>
                <w:rFonts w:ascii="Cambria" w:hAnsi="Cambria"/>
                <w:bCs/>
                <w:sz w:val="20"/>
                <w:szCs w:val="20"/>
              </w:rPr>
              <w:footnoteReference w:id="2"/>
            </w:r>
          </w:p>
        </w:tc>
      </w:tr>
    </w:tbl>
    <w:p w14:paraId="176FB213" w14:textId="7A7BDD5A"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67E5908D" w:rsidR="004C2312" w:rsidRPr="003239B8" w:rsidRDefault="002E04FC" w:rsidP="002625EA">
            <w:pPr>
              <w:jc w:val="both"/>
              <w:rPr>
                <w:rFonts w:ascii="Cambria" w:hAnsi="Cambria"/>
                <w:bCs/>
                <w:sz w:val="20"/>
                <w:szCs w:val="20"/>
                <w:lang w:val="es-ES"/>
              </w:rPr>
            </w:pPr>
            <w:r>
              <w:rPr>
                <w:rFonts w:ascii="Cambria" w:hAnsi="Cambria"/>
                <w:bCs/>
                <w:sz w:val="20"/>
                <w:szCs w:val="20"/>
                <w:lang w:val="es-ES"/>
              </w:rPr>
              <w:t>8 de agosto de 2016</w:t>
            </w:r>
          </w:p>
        </w:tc>
      </w:tr>
      <w:tr w:rsidR="004C2312" w:rsidRPr="001B4699"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15D691B9" w:rsidR="004C2312" w:rsidRPr="003239B8" w:rsidRDefault="00CA0D20" w:rsidP="008D2290">
            <w:pPr>
              <w:jc w:val="both"/>
              <w:rPr>
                <w:rFonts w:ascii="Cambria" w:hAnsi="Cambria"/>
                <w:bCs/>
                <w:sz w:val="20"/>
                <w:szCs w:val="20"/>
                <w:lang w:val="es-ES"/>
              </w:rPr>
            </w:pPr>
            <w:r>
              <w:rPr>
                <w:rFonts w:ascii="Cambria" w:hAnsi="Cambria"/>
                <w:bCs/>
                <w:sz w:val="20"/>
                <w:szCs w:val="20"/>
                <w:lang w:val="es-ES"/>
              </w:rPr>
              <w:t>28 de octubre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47A04981" w:rsidR="004C2312" w:rsidRPr="003239B8" w:rsidRDefault="00C8639B" w:rsidP="008D2290">
            <w:pPr>
              <w:jc w:val="both"/>
              <w:rPr>
                <w:rFonts w:ascii="Cambria" w:hAnsi="Cambria"/>
                <w:bCs/>
                <w:sz w:val="20"/>
                <w:szCs w:val="20"/>
                <w:lang w:val="es-ES"/>
              </w:rPr>
            </w:pPr>
            <w:r>
              <w:rPr>
                <w:rFonts w:ascii="Cambria" w:hAnsi="Cambria"/>
                <w:bCs/>
                <w:sz w:val="20"/>
                <w:szCs w:val="20"/>
                <w:lang w:val="es-ES"/>
              </w:rPr>
              <w:t>28 de septiembre de 2020</w:t>
            </w:r>
          </w:p>
        </w:tc>
      </w:tr>
      <w:tr w:rsidR="004C2312" w:rsidRPr="0033043C"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67DAB6A1" w:rsidR="004C2312" w:rsidRPr="003239B8" w:rsidRDefault="00C8639B" w:rsidP="008D2290">
            <w:pPr>
              <w:jc w:val="both"/>
              <w:rPr>
                <w:rFonts w:ascii="Cambria" w:hAnsi="Cambria"/>
                <w:bCs/>
                <w:sz w:val="20"/>
                <w:szCs w:val="20"/>
                <w:lang w:val="es-ES"/>
              </w:rPr>
            </w:pPr>
            <w:r>
              <w:rPr>
                <w:rFonts w:ascii="Cambria" w:hAnsi="Cambria"/>
                <w:bCs/>
                <w:sz w:val="20"/>
                <w:szCs w:val="20"/>
                <w:lang w:val="es-ES"/>
              </w:rPr>
              <w:t>18 de marzo de 2021</w:t>
            </w:r>
            <w:r w:rsidR="004A0975">
              <w:rPr>
                <w:rFonts w:ascii="Cambria" w:hAnsi="Cambria"/>
                <w:bCs/>
                <w:sz w:val="20"/>
                <w:szCs w:val="20"/>
                <w:lang w:val="es-ES"/>
              </w:rPr>
              <w:t xml:space="preserve"> </w:t>
            </w:r>
            <w:r w:rsidR="00B46B22" w:rsidRPr="00B46B22">
              <w:rPr>
                <w:rFonts w:asciiTheme="majorHAnsi" w:hAnsiTheme="majorHAnsi"/>
                <w:bCs/>
                <w:sz w:val="20"/>
                <w:szCs w:val="20"/>
                <w:lang w:val="es-ES"/>
              </w:rPr>
              <w:t>y 31 de marzo de 2025</w:t>
            </w:r>
          </w:p>
        </w:tc>
      </w:tr>
      <w:tr w:rsidR="004C2312" w:rsidRPr="009111EC" w14:paraId="30D2D9CB" w14:textId="77777777" w:rsidTr="004A0975">
        <w:trPr>
          <w:trHeight w:val="338"/>
        </w:trPr>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58DBFDEC" w:rsidR="004C2312" w:rsidRPr="009111EC" w:rsidRDefault="00C8639B" w:rsidP="008D2290">
            <w:pPr>
              <w:jc w:val="both"/>
              <w:rPr>
                <w:rFonts w:ascii="Cambria" w:hAnsi="Cambria"/>
                <w:bCs/>
                <w:sz w:val="20"/>
                <w:szCs w:val="20"/>
              </w:rPr>
            </w:pPr>
            <w:r>
              <w:rPr>
                <w:rFonts w:ascii="Cambria" w:hAnsi="Cambria"/>
                <w:bCs/>
                <w:sz w:val="20"/>
                <w:szCs w:val="20"/>
              </w:rPr>
              <w:t>21 de junio de 2021</w:t>
            </w:r>
            <w:r w:rsidR="00357448">
              <w:rPr>
                <w:rFonts w:ascii="Cambria" w:hAnsi="Cambria"/>
                <w:bCs/>
                <w:sz w:val="20"/>
                <w:szCs w:val="20"/>
              </w:rPr>
              <w:t xml:space="preserve"> </w:t>
            </w:r>
          </w:p>
        </w:tc>
      </w:tr>
      <w:tr w:rsidR="004A0975" w:rsidRPr="009111EC" w14:paraId="0710C05B" w14:textId="77777777" w:rsidTr="004A0975">
        <w:trPr>
          <w:trHeight w:val="338"/>
        </w:trPr>
        <w:tc>
          <w:tcPr>
            <w:tcW w:w="3600" w:type="dxa"/>
            <w:tcBorders>
              <w:top w:val="single" w:sz="6" w:space="0" w:color="auto"/>
              <w:bottom w:val="single" w:sz="6" w:space="0" w:color="auto"/>
            </w:tcBorders>
            <w:shd w:val="clear" w:color="auto" w:fill="386294"/>
            <w:vAlign w:val="center"/>
          </w:tcPr>
          <w:p w14:paraId="3904DD99" w14:textId="07BC07AB" w:rsidR="004A0975" w:rsidRPr="00706824" w:rsidRDefault="004A0975" w:rsidP="008E3BFE">
            <w:pPr>
              <w:jc w:val="center"/>
              <w:rPr>
                <w:rFonts w:ascii="Cambria" w:hAnsi="Cambria"/>
                <w:b/>
                <w:bCs/>
                <w:color w:val="FFFFFF" w:themeColor="background1"/>
                <w:sz w:val="20"/>
                <w:szCs w:val="20"/>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647" w:type="dxa"/>
            <w:vAlign w:val="center"/>
          </w:tcPr>
          <w:p w14:paraId="0AB61A04" w14:textId="4B268E3E" w:rsidR="004A0975" w:rsidRDefault="004A0975" w:rsidP="008D2290">
            <w:pPr>
              <w:jc w:val="both"/>
              <w:rPr>
                <w:rFonts w:ascii="Cambria" w:hAnsi="Cambria"/>
                <w:bCs/>
                <w:sz w:val="20"/>
                <w:szCs w:val="20"/>
              </w:rPr>
            </w:pPr>
            <w:r>
              <w:rPr>
                <w:rFonts w:ascii="Cambria" w:hAnsi="Cambria"/>
                <w:bCs/>
                <w:sz w:val="20"/>
                <w:szCs w:val="20"/>
              </w:rPr>
              <w:t>5 de marzo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5769FA79" w:rsidR="003239B8" w:rsidRPr="00B3745F" w:rsidRDefault="000203DF"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647F8136" w:rsidR="003239B8" w:rsidRPr="00B3745F" w:rsidRDefault="000203DF"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25CD9316" w:rsidR="003239B8" w:rsidRPr="00B3745F" w:rsidRDefault="000203DF" w:rsidP="008D2290">
            <w:pPr>
              <w:rPr>
                <w:rFonts w:ascii="Cambria" w:hAnsi="Cambria"/>
                <w:bCs/>
                <w:sz w:val="20"/>
                <w:szCs w:val="20"/>
              </w:rPr>
            </w:pPr>
            <w:r>
              <w:rPr>
                <w:rFonts w:ascii="Cambria" w:hAnsi="Cambria"/>
                <w:bCs/>
                <w:sz w:val="20"/>
                <w:szCs w:val="20"/>
              </w:rPr>
              <w:t>Sí</w:t>
            </w:r>
          </w:p>
        </w:tc>
      </w:tr>
      <w:tr w:rsidR="003239B8" w:rsidRPr="001E49E7"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250C015" w14:textId="77777777" w:rsidR="000203DF" w:rsidRPr="000203DF" w:rsidRDefault="000203DF" w:rsidP="000203DF">
            <w:pPr>
              <w:jc w:val="both"/>
              <w:rPr>
                <w:rFonts w:ascii="Cambria" w:hAnsi="Cambria"/>
                <w:bCs/>
                <w:sz w:val="20"/>
                <w:szCs w:val="20"/>
                <w:lang w:val="es-ES"/>
              </w:rPr>
            </w:pPr>
            <w:r w:rsidRPr="000203DF">
              <w:rPr>
                <w:rFonts w:ascii="Cambria" w:hAnsi="Cambria"/>
                <w:bCs/>
                <w:sz w:val="20"/>
                <w:szCs w:val="20"/>
                <w:lang w:val="es-ES"/>
              </w:rPr>
              <w:t>Sí, la Convención Americana (depósito de instrumento realizado</w:t>
            </w:r>
          </w:p>
          <w:p w14:paraId="257C8337" w14:textId="0EE5B4D5" w:rsidR="003239B8" w:rsidRPr="00B3745F" w:rsidRDefault="000203DF" w:rsidP="000203DF">
            <w:pPr>
              <w:jc w:val="both"/>
              <w:rPr>
                <w:rFonts w:ascii="Cambria" w:hAnsi="Cambria"/>
                <w:bCs/>
                <w:sz w:val="20"/>
                <w:szCs w:val="20"/>
                <w:lang w:val="es-ES"/>
              </w:rPr>
            </w:pPr>
            <w:r w:rsidRPr="000203DF">
              <w:rPr>
                <w:rFonts w:ascii="Cambria" w:hAnsi="Cambria"/>
                <w:bCs/>
                <w:sz w:val="20"/>
                <w:szCs w:val="20"/>
                <w:lang w:val="es-ES"/>
              </w:rPr>
              <w:t>el 24 de agosto de 1989)</w:t>
            </w:r>
          </w:p>
        </w:tc>
      </w:tr>
    </w:tbl>
    <w:p w14:paraId="299A386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EE00E9">
        <w:rPr>
          <w:rFonts w:asciiTheme="majorHAnsi" w:hAnsiTheme="majorHAnsi"/>
          <w:b/>
          <w:bCs/>
          <w:sz w:val="20"/>
          <w:szCs w:val="20"/>
          <w:lang w:val="es-ES"/>
        </w:rPr>
        <w:t xml:space="preserve">, </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1B4699"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2E0CBD9F" w:rsidR="00EE00E9" w:rsidRPr="00DC24E3" w:rsidRDefault="000203DF" w:rsidP="008D2290">
            <w:pPr>
              <w:jc w:val="both"/>
              <w:rPr>
                <w:rFonts w:ascii="Cambria" w:hAnsi="Cambria"/>
                <w:bCs/>
                <w:sz w:val="20"/>
                <w:szCs w:val="20"/>
                <w:lang w:val="es-ES"/>
              </w:rPr>
            </w:pPr>
            <w:r>
              <w:rPr>
                <w:rFonts w:ascii="Cambria" w:hAnsi="Cambria"/>
                <w:bCs/>
                <w:sz w:val="20"/>
                <w:szCs w:val="20"/>
                <w:lang w:val="es-ES"/>
              </w:rPr>
              <w:t>No</w:t>
            </w:r>
          </w:p>
        </w:tc>
      </w:tr>
      <w:tr w:rsidR="003239B8" w:rsidRPr="0033043C"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518056E0" w:rsidR="003239B8" w:rsidRPr="00684CAC" w:rsidRDefault="00C8639B" w:rsidP="008D2290">
            <w:pPr>
              <w:jc w:val="both"/>
              <w:rPr>
                <w:rFonts w:ascii="Cambria" w:hAnsi="Cambria"/>
                <w:bCs/>
                <w:sz w:val="20"/>
                <w:szCs w:val="20"/>
                <w:lang w:val="es-AR"/>
              </w:rPr>
            </w:pPr>
            <w:r w:rsidRPr="002E04FC">
              <w:rPr>
                <w:rFonts w:ascii="Cambria" w:hAnsi="Cambria"/>
                <w:bCs/>
                <w:sz w:val="20"/>
                <w:szCs w:val="20"/>
                <w:lang w:val="es-AR"/>
              </w:rPr>
              <w:t>Artículos 7 (</w:t>
            </w:r>
            <w:r>
              <w:rPr>
                <w:rFonts w:ascii="Cambria" w:hAnsi="Cambria"/>
                <w:bCs/>
                <w:sz w:val="20"/>
                <w:szCs w:val="20"/>
                <w:lang w:val="es-AR"/>
              </w:rPr>
              <w:t>libertad personal)</w:t>
            </w:r>
            <w:r w:rsidRPr="002E04FC">
              <w:rPr>
                <w:rFonts w:ascii="Cambria" w:hAnsi="Cambria"/>
                <w:bCs/>
                <w:sz w:val="20"/>
                <w:szCs w:val="20"/>
                <w:lang w:val="es-AR"/>
              </w:rPr>
              <w:t>, 8 (garantías judiciales)</w:t>
            </w:r>
            <w:r>
              <w:rPr>
                <w:rFonts w:ascii="Cambria" w:hAnsi="Cambria"/>
                <w:bCs/>
                <w:sz w:val="20"/>
                <w:szCs w:val="20"/>
                <w:lang w:val="es-AR"/>
              </w:rPr>
              <w:t xml:space="preserve"> </w:t>
            </w:r>
            <w:r w:rsidRPr="002E04FC">
              <w:rPr>
                <w:rFonts w:ascii="Cambria" w:hAnsi="Cambria"/>
                <w:bCs/>
                <w:sz w:val="20"/>
                <w:szCs w:val="20"/>
                <w:lang w:val="es-AR"/>
              </w:rPr>
              <w:t>y 25 (protección judicial)</w:t>
            </w:r>
            <w:r>
              <w:rPr>
                <w:rFonts w:ascii="Cambria" w:hAnsi="Cambria"/>
                <w:bCs/>
                <w:sz w:val="20"/>
                <w:szCs w:val="20"/>
                <w:lang w:val="es-AR"/>
              </w:rPr>
              <w:t xml:space="preserve"> de la Convención Americana</w:t>
            </w:r>
            <w:r w:rsidR="00B47BC9">
              <w:rPr>
                <w:rFonts w:ascii="Cambria" w:hAnsi="Cambria"/>
                <w:bCs/>
                <w:sz w:val="20"/>
                <w:szCs w:val="20"/>
                <w:lang w:val="es-AR"/>
              </w:rPr>
              <w:t>,</w:t>
            </w:r>
            <w:r>
              <w:rPr>
                <w:rFonts w:ascii="Cambria" w:hAnsi="Cambria"/>
                <w:bCs/>
                <w:sz w:val="20"/>
                <w:szCs w:val="20"/>
                <w:lang w:val="es-AR"/>
              </w:rPr>
              <w:t xml:space="preserve"> </w:t>
            </w:r>
            <w:r w:rsidR="00721142">
              <w:rPr>
                <w:rFonts w:ascii="Cambria" w:hAnsi="Cambria"/>
                <w:bCs/>
                <w:sz w:val="20"/>
                <w:szCs w:val="20"/>
                <w:lang w:val="es-AR"/>
              </w:rPr>
              <w:t xml:space="preserve">en relación con </w:t>
            </w:r>
            <w:r w:rsidR="00B47BC9">
              <w:rPr>
                <w:rFonts w:ascii="Cambria" w:hAnsi="Cambria"/>
                <w:bCs/>
                <w:sz w:val="20"/>
                <w:szCs w:val="20"/>
                <w:lang w:val="es-AR"/>
              </w:rPr>
              <w:t>su</w:t>
            </w:r>
            <w:r w:rsidR="00721142">
              <w:rPr>
                <w:rFonts w:ascii="Cambria" w:hAnsi="Cambria"/>
                <w:bCs/>
                <w:sz w:val="20"/>
                <w:szCs w:val="20"/>
                <w:lang w:val="es-AR"/>
              </w:rPr>
              <w:t xml:space="preserve"> artículo 1.1</w:t>
            </w:r>
            <w:r w:rsidR="00EC5587">
              <w:rPr>
                <w:rFonts w:ascii="Cambria" w:hAnsi="Cambria"/>
                <w:bCs/>
                <w:sz w:val="20"/>
                <w:szCs w:val="20"/>
                <w:lang w:val="es-AR"/>
              </w:rPr>
              <w:t xml:space="preserve"> (obligación de respetar los derechos)</w:t>
            </w:r>
            <w:r w:rsidR="00721142">
              <w:rPr>
                <w:rFonts w:ascii="Cambria" w:hAnsi="Cambria"/>
                <w:bCs/>
                <w:sz w:val="20"/>
                <w:szCs w:val="20"/>
                <w:lang w:val="es-AR"/>
              </w:rPr>
              <w:t xml:space="preserve"> </w:t>
            </w:r>
          </w:p>
        </w:tc>
      </w:tr>
      <w:tr w:rsidR="003239B8" w:rsidRPr="0033043C"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545C56AC" w:rsidR="003239B8" w:rsidRPr="00DC24E3" w:rsidRDefault="000203DF" w:rsidP="008D2290">
            <w:pPr>
              <w:rPr>
                <w:rFonts w:ascii="Cambria" w:hAnsi="Cambria"/>
                <w:bCs/>
                <w:sz w:val="20"/>
                <w:szCs w:val="20"/>
                <w:lang w:val="es-ES"/>
              </w:rPr>
            </w:pPr>
            <w:r w:rsidRPr="000203DF">
              <w:rPr>
                <w:rFonts w:ascii="Cambria" w:hAnsi="Cambria"/>
                <w:bCs/>
                <w:sz w:val="20"/>
                <w:szCs w:val="20"/>
                <w:lang w:val="es-ES"/>
              </w:rPr>
              <w:t>Sí, en los términos de la Sección VI</w:t>
            </w:r>
          </w:p>
        </w:tc>
      </w:tr>
      <w:tr w:rsidR="003239B8" w:rsidRPr="0033043C"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72D0BED5" w:rsidR="003239B8" w:rsidRPr="000203DF" w:rsidRDefault="000203DF" w:rsidP="008D2290">
            <w:pPr>
              <w:rPr>
                <w:rFonts w:ascii="Cambria" w:hAnsi="Cambria"/>
                <w:bCs/>
                <w:sz w:val="20"/>
                <w:szCs w:val="20"/>
                <w:lang w:val="es-AR"/>
              </w:rPr>
            </w:pPr>
            <w:r w:rsidRPr="000203DF">
              <w:rPr>
                <w:rFonts w:ascii="Cambria" w:hAnsi="Cambria"/>
                <w:bCs/>
                <w:sz w:val="20"/>
                <w:szCs w:val="20"/>
                <w:lang w:val="es-AR"/>
              </w:rPr>
              <w:t>Sí, en los términos de la Sección VI</w:t>
            </w:r>
          </w:p>
        </w:tc>
      </w:tr>
    </w:tbl>
    <w:p w14:paraId="56FD5D57" w14:textId="252B1FD5" w:rsidR="003239B8" w:rsidRDefault="00223A29" w:rsidP="00C8446B">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BA60E5">
        <w:rPr>
          <w:rFonts w:asciiTheme="majorHAnsi" w:hAnsiTheme="majorHAnsi"/>
          <w:b/>
          <w:sz w:val="20"/>
          <w:szCs w:val="20"/>
          <w:lang w:val="es-ES"/>
        </w:rPr>
        <w:t>POSICIÓN DE LAS PARTES</w:t>
      </w:r>
      <w:r w:rsidR="003239B8" w:rsidRPr="00BA60E5">
        <w:rPr>
          <w:rFonts w:asciiTheme="majorHAnsi" w:hAnsiTheme="majorHAnsi"/>
          <w:b/>
          <w:sz w:val="20"/>
          <w:szCs w:val="20"/>
          <w:lang w:val="es-ES"/>
        </w:rPr>
        <w:t xml:space="preserve"> </w:t>
      </w:r>
    </w:p>
    <w:p w14:paraId="0DB50AF4" w14:textId="5A697A45" w:rsidR="00DB432A" w:rsidRPr="00BA60E5" w:rsidRDefault="009F502C" w:rsidP="00C8446B">
      <w:pPr>
        <w:spacing w:before="240" w:after="240"/>
        <w:ind w:firstLine="720"/>
        <w:jc w:val="both"/>
        <w:rPr>
          <w:rFonts w:asciiTheme="majorHAnsi" w:hAnsiTheme="majorHAnsi"/>
          <w:b/>
          <w:sz w:val="20"/>
          <w:szCs w:val="20"/>
          <w:lang w:val="es-ES"/>
        </w:rPr>
      </w:pPr>
      <w:r>
        <w:rPr>
          <w:rFonts w:asciiTheme="majorHAnsi" w:hAnsiTheme="majorHAnsi"/>
          <w:b/>
          <w:sz w:val="20"/>
          <w:szCs w:val="20"/>
          <w:lang w:val="es-ES"/>
        </w:rPr>
        <w:t>La p</w:t>
      </w:r>
      <w:r w:rsidR="00DB432A">
        <w:rPr>
          <w:rFonts w:asciiTheme="majorHAnsi" w:hAnsiTheme="majorHAnsi"/>
          <w:b/>
          <w:sz w:val="20"/>
          <w:szCs w:val="20"/>
          <w:lang w:val="es-ES"/>
        </w:rPr>
        <w:t>arte peticionaria</w:t>
      </w:r>
    </w:p>
    <w:p w14:paraId="69F4BCB5" w14:textId="202C97D3" w:rsidR="00DC39BD" w:rsidRPr="00581F03" w:rsidRDefault="00DC39BD" w:rsidP="009C24FE">
      <w:pPr>
        <w:pStyle w:val="ListParagraph"/>
        <w:numPr>
          <w:ilvl w:val="0"/>
          <w:numId w:val="55"/>
        </w:numPr>
        <w:spacing w:before="240" w:after="240"/>
        <w:ind w:left="0" w:firstLine="720"/>
        <w:jc w:val="both"/>
        <w:rPr>
          <w:rFonts w:asciiTheme="majorHAnsi" w:hAnsiTheme="majorHAnsi"/>
          <w:bCs/>
          <w:sz w:val="20"/>
          <w:szCs w:val="20"/>
          <w:lang w:val="es-ES"/>
        </w:rPr>
      </w:pPr>
      <w:r w:rsidRPr="00581F03">
        <w:rPr>
          <w:rFonts w:asciiTheme="majorHAnsi" w:hAnsiTheme="majorHAnsi"/>
          <w:bCs/>
          <w:sz w:val="20"/>
          <w:szCs w:val="20"/>
          <w:lang w:val="es-ES"/>
        </w:rPr>
        <w:t xml:space="preserve">La parte peticionaria alega que Damián Delvalle Sanabria (en adelante “el señor Delvalle” o “la presunta víctima”) </w:t>
      </w:r>
      <w:r w:rsidR="00CF49FF" w:rsidRPr="00CF49FF">
        <w:rPr>
          <w:rFonts w:asciiTheme="majorHAnsi" w:hAnsiTheme="majorHAnsi"/>
          <w:bCs/>
          <w:sz w:val="20"/>
          <w:szCs w:val="20"/>
          <w:lang w:val="es-ES"/>
        </w:rPr>
        <w:t>fue objeto de una detención ilegal</w:t>
      </w:r>
      <w:r w:rsidR="00A53BE3">
        <w:rPr>
          <w:rFonts w:asciiTheme="majorHAnsi" w:hAnsiTheme="majorHAnsi"/>
          <w:bCs/>
          <w:sz w:val="20"/>
          <w:szCs w:val="20"/>
          <w:lang w:val="es-ES"/>
        </w:rPr>
        <w:t>,</w:t>
      </w:r>
      <w:r w:rsidR="00CF49FF">
        <w:rPr>
          <w:rFonts w:asciiTheme="majorHAnsi" w:hAnsiTheme="majorHAnsi"/>
          <w:bCs/>
          <w:sz w:val="20"/>
          <w:szCs w:val="20"/>
          <w:lang w:val="es-ES"/>
        </w:rPr>
        <w:t xml:space="preserve"> </w:t>
      </w:r>
      <w:r w:rsidRPr="00581F03">
        <w:rPr>
          <w:rFonts w:asciiTheme="majorHAnsi" w:hAnsiTheme="majorHAnsi"/>
          <w:bCs/>
          <w:sz w:val="20"/>
          <w:szCs w:val="20"/>
          <w:lang w:val="es-ES"/>
        </w:rPr>
        <w:t>y que durante el proceso penal seguido en su contra se produjeron múltiples irregularidades que vulneraron las garantías judiciales y el derecho al debido proceso.</w:t>
      </w:r>
    </w:p>
    <w:p w14:paraId="10F94BB0" w14:textId="154B0A39" w:rsidR="00DC39BD" w:rsidRPr="00581F03" w:rsidRDefault="004567BE" w:rsidP="009C24FE">
      <w:pPr>
        <w:pStyle w:val="ListParagraph"/>
        <w:numPr>
          <w:ilvl w:val="0"/>
          <w:numId w:val="55"/>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El peticionario narra</w:t>
      </w:r>
      <w:r w:rsidR="00DC39BD" w:rsidRPr="00581F03">
        <w:rPr>
          <w:rFonts w:asciiTheme="majorHAnsi" w:hAnsiTheme="majorHAnsi"/>
          <w:bCs/>
          <w:sz w:val="20"/>
          <w:szCs w:val="20"/>
          <w:lang w:val="es-ES"/>
        </w:rPr>
        <w:t xml:space="preserve"> que el 14 de junio de 2010 se inició una investigación fiscal en su contra</w:t>
      </w:r>
      <w:r w:rsidR="00957911">
        <w:rPr>
          <w:rFonts w:asciiTheme="majorHAnsi" w:hAnsiTheme="majorHAnsi"/>
          <w:bCs/>
          <w:sz w:val="20"/>
          <w:szCs w:val="20"/>
          <w:lang w:val="es-ES"/>
        </w:rPr>
        <w:t>; y</w:t>
      </w:r>
      <w:r w:rsidR="00DC39BD" w:rsidRPr="00581F03">
        <w:rPr>
          <w:rFonts w:asciiTheme="majorHAnsi" w:hAnsiTheme="majorHAnsi"/>
          <w:bCs/>
          <w:sz w:val="20"/>
          <w:szCs w:val="20"/>
          <w:lang w:val="es-ES"/>
        </w:rPr>
        <w:t xml:space="preserve"> que el 19 de noviembre de</w:t>
      </w:r>
      <w:r w:rsidR="00957911">
        <w:rPr>
          <w:rFonts w:asciiTheme="majorHAnsi" w:hAnsiTheme="majorHAnsi"/>
          <w:bCs/>
          <w:sz w:val="20"/>
          <w:szCs w:val="20"/>
          <w:lang w:val="es-ES"/>
        </w:rPr>
        <w:t xml:space="preserve"> ese año</w:t>
      </w:r>
      <w:r w:rsidR="00DC39BD" w:rsidRPr="00581F03">
        <w:rPr>
          <w:rFonts w:asciiTheme="majorHAnsi" w:hAnsiTheme="majorHAnsi"/>
          <w:bCs/>
          <w:sz w:val="20"/>
          <w:szCs w:val="20"/>
          <w:lang w:val="es-ES"/>
        </w:rPr>
        <w:t xml:space="preserve">, mientras se desplazaba en un vehículo en la ciudad de Asunción, fue detenido sin orden judicial y sin que existiera una situación de flagrancia. Aduce que fue el fiscal quien dispuso </w:t>
      </w:r>
      <w:r w:rsidR="00DC39BD" w:rsidRPr="00581F03">
        <w:rPr>
          <w:rFonts w:asciiTheme="majorHAnsi" w:hAnsiTheme="majorHAnsi"/>
          <w:bCs/>
          <w:sz w:val="20"/>
          <w:szCs w:val="20"/>
          <w:lang w:val="es-ES"/>
        </w:rPr>
        <w:lastRenderedPageBreak/>
        <w:t xml:space="preserve">su traslado a la localidad de Presidente Hayes, donde se encontraban </w:t>
      </w:r>
      <w:r w:rsidR="00EA1DFE">
        <w:rPr>
          <w:rFonts w:asciiTheme="majorHAnsi" w:hAnsiTheme="majorHAnsi"/>
          <w:bCs/>
          <w:sz w:val="20"/>
          <w:szCs w:val="20"/>
          <w:lang w:val="es-ES"/>
        </w:rPr>
        <w:t>“</w:t>
      </w:r>
      <w:r w:rsidR="00DC39BD" w:rsidRPr="00581F03">
        <w:rPr>
          <w:rFonts w:asciiTheme="majorHAnsi" w:hAnsiTheme="majorHAnsi"/>
          <w:bCs/>
          <w:sz w:val="20"/>
          <w:szCs w:val="20"/>
          <w:lang w:val="es-ES"/>
        </w:rPr>
        <w:t>tambores</w:t>
      </w:r>
      <w:r w:rsidR="00EA1DFE">
        <w:rPr>
          <w:rFonts w:asciiTheme="majorHAnsi" w:hAnsiTheme="majorHAnsi"/>
          <w:bCs/>
          <w:sz w:val="20"/>
          <w:szCs w:val="20"/>
          <w:lang w:val="es-ES"/>
        </w:rPr>
        <w:t>”</w:t>
      </w:r>
      <w:r w:rsidR="00DC39BD" w:rsidRPr="00581F03">
        <w:rPr>
          <w:rFonts w:asciiTheme="majorHAnsi" w:hAnsiTheme="majorHAnsi"/>
          <w:bCs/>
          <w:sz w:val="20"/>
          <w:szCs w:val="20"/>
          <w:lang w:val="es-ES"/>
        </w:rPr>
        <w:t xml:space="preserve"> con presunta sustancia estupefaciente</w:t>
      </w:r>
      <w:r w:rsidR="00354EA7">
        <w:rPr>
          <w:rFonts w:asciiTheme="majorHAnsi" w:hAnsiTheme="majorHAnsi"/>
          <w:bCs/>
          <w:sz w:val="20"/>
          <w:szCs w:val="20"/>
          <w:lang w:val="es-ES"/>
        </w:rPr>
        <w:t>;</w:t>
      </w:r>
      <w:r w:rsidR="00DC39BD" w:rsidRPr="00581F03">
        <w:rPr>
          <w:rFonts w:asciiTheme="majorHAnsi" w:hAnsiTheme="majorHAnsi"/>
          <w:bCs/>
          <w:sz w:val="20"/>
          <w:szCs w:val="20"/>
          <w:lang w:val="es-ES"/>
        </w:rPr>
        <w:t xml:space="preserve"> y que recién al momento de su declaración indagatoria se le informó el motivo de su detención, vulnerando así su derecho a ser informado previamente y en detalle de la acusación, así como a disponer del tiempo y los medios adecuados para preparar su defensa en libre comunicación. Explica que la orden de detención fue emitida por el fiscal al día siguiente, y que el 21 de noviembre de 2010 el Juzgado Penal de Garantías decretó su prisión preventiva.</w:t>
      </w:r>
    </w:p>
    <w:p w14:paraId="1C12E8F9" w14:textId="79E8E130" w:rsidR="00DC39BD" w:rsidRPr="00581F03" w:rsidRDefault="00DC39BD" w:rsidP="009C24FE">
      <w:pPr>
        <w:pStyle w:val="ListParagraph"/>
        <w:numPr>
          <w:ilvl w:val="0"/>
          <w:numId w:val="55"/>
        </w:numPr>
        <w:spacing w:before="240" w:after="240"/>
        <w:ind w:left="0" w:firstLine="720"/>
        <w:jc w:val="both"/>
        <w:rPr>
          <w:rFonts w:asciiTheme="majorHAnsi" w:hAnsiTheme="majorHAnsi"/>
          <w:bCs/>
          <w:sz w:val="20"/>
          <w:szCs w:val="20"/>
          <w:lang w:val="es-ES"/>
        </w:rPr>
      </w:pPr>
      <w:r w:rsidRPr="00581F03">
        <w:rPr>
          <w:rFonts w:asciiTheme="majorHAnsi" w:hAnsiTheme="majorHAnsi"/>
          <w:bCs/>
          <w:sz w:val="20"/>
          <w:szCs w:val="20"/>
          <w:lang w:val="es-ES"/>
        </w:rPr>
        <w:t>La parte peticionaria sostiene que la causa se inició por tráfico internacional de cocaína, pero la condena se impuso por tráfico de marihuana, sin que la modificación del presupuesto fáctico fuera comunicada oportunamente. Alega que la investigación fue llevada a cabo por la Secretaría Nacional Antidrogas (SENAD) mediante operaciones secretas, y que la condena se basó en testimonios anónimos</w:t>
      </w:r>
      <w:r w:rsidR="00780E49">
        <w:rPr>
          <w:rFonts w:asciiTheme="majorHAnsi" w:hAnsiTheme="majorHAnsi"/>
          <w:bCs/>
          <w:sz w:val="20"/>
          <w:szCs w:val="20"/>
          <w:lang w:val="es-ES"/>
        </w:rPr>
        <w:t xml:space="preserve"> de testigos de oídas</w:t>
      </w:r>
      <w:r w:rsidRPr="00581F03">
        <w:rPr>
          <w:rFonts w:asciiTheme="majorHAnsi" w:hAnsiTheme="majorHAnsi"/>
          <w:bCs/>
          <w:sz w:val="20"/>
          <w:szCs w:val="20"/>
          <w:lang w:val="es-ES"/>
        </w:rPr>
        <w:t xml:space="preserve"> que no comparecieron en el debate oral y público. Afirma que en Paraguay no existe la figura del testigo con reserva de identidad, y que durante el juicio se incorporaron pruebas obtenidas por la SENAD sin orden judicial.</w:t>
      </w:r>
    </w:p>
    <w:p w14:paraId="031008EE" w14:textId="57B4F376" w:rsidR="00DC39BD" w:rsidRPr="00581F03" w:rsidRDefault="00460350" w:rsidP="009C24FE">
      <w:pPr>
        <w:pStyle w:val="ListParagraph"/>
        <w:numPr>
          <w:ilvl w:val="0"/>
          <w:numId w:val="55"/>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El peticionario s</w:t>
      </w:r>
      <w:r w:rsidR="00DC39BD" w:rsidRPr="00581F03">
        <w:rPr>
          <w:rFonts w:asciiTheme="majorHAnsi" w:hAnsiTheme="majorHAnsi"/>
          <w:bCs/>
          <w:sz w:val="20"/>
          <w:szCs w:val="20"/>
          <w:lang w:val="es-ES"/>
        </w:rPr>
        <w:t xml:space="preserve">eñala que el 31 de julio de 2014 el Tribunal Penal de Sentencia de la Capital condenó al señor Delvalle a </w:t>
      </w:r>
      <w:r w:rsidR="00BF61FE">
        <w:rPr>
          <w:rFonts w:asciiTheme="majorHAnsi" w:hAnsiTheme="majorHAnsi"/>
          <w:bCs/>
          <w:sz w:val="20"/>
          <w:szCs w:val="20"/>
          <w:lang w:val="es-ES"/>
        </w:rPr>
        <w:t>15</w:t>
      </w:r>
      <w:r w:rsidR="00DC39BD" w:rsidRPr="00581F03">
        <w:rPr>
          <w:rFonts w:asciiTheme="majorHAnsi" w:hAnsiTheme="majorHAnsi"/>
          <w:bCs/>
          <w:sz w:val="20"/>
          <w:szCs w:val="20"/>
          <w:lang w:val="es-ES"/>
        </w:rPr>
        <w:t xml:space="preserve"> años de prisión por el delito de tenencia y tráfico de drogas, previsto en el artículo 26 de la Ley 1340/88. Indica que interpuso un recurso de casación directa o </w:t>
      </w:r>
      <w:r w:rsidR="00DC39BD" w:rsidRPr="00581F03">
        <w:rPr>
          <w:rFonts w:asciiTheme="majorHAnsi" w:hAnsiTheme="majorHAnsi"/>
          <w:bCs/>
          <w:i/>
          <w:iCs/>
          <w:sz w:val="20"/>
          <w:szCs w:val="20"/>
          <w:lang w:val="es-ES"/>
        </w:rPr>
        <w:t>per saltum</w:t>
      </w:r>
      <w:r w:rsidR="00DC39BD" w:rsidRPr="00581F03">
        <w:rPr>
          <w:rFonts w:asciiTheme="majorHAnsi" w:hAnsiTheme="majorHAnsi"/>
          <w:bCs/>
          <w:sz w:val="20"/>
          <w:szCs w:val="20"/>
          <w:lang w:val="es-ES"/>
        </w:rPr>
        <w:t xml:space="preserve"> ante la Sala Penal de la Corte Suprema de Justicia, la cual confirmó la condena el 30 de diciembre de 2015, </w:t>
      </w:r>
      <w:r w:rsidR="00BF61FE">
        <w:rPr>
          <w:rFonts w:asciiTheme="majorHAnsi" w:hAnsiTheme="majorHAnsi"/>
          <w:bCs/>
          <w:sz w:val="20"/>
          <w:szCs w:val="20"/>
          <w:lang w:val="es-ES"/>
        </w:rPr>
        <w:t xml:space="preserve">la cual fue </w:t>
      </w:r>
      <w:r w:rsidR="00DC39BD" w:rsidRPr="00581F03">
        <w:rPr>
          <w:rFonts w:asciiTheme="majorHAnsi" w:hAnsiTheme="majorHAnsi"/>
          <w:bCs/>
          <w:sz w:val="20"/>
          <w:szCs w:val="20"/>
          <w:lang w:val="es-ES"/>
        </w:rPr>
        <w:t>notificada el 8 de febrero de 2016.</w:t>
      </w:r>
      <w:r w:rsidR="00ED1EAF">
        <w:rPr>
          <w:rFonts w:asciiTheme="majorHAnsi" w:hAnsiTheme="majorHAnsi"/>
          <w:bCs/>
          <w:sz w:val="20"/>
          <w:szCs w:val="20"/>
          <w:lang w:val="es-ES"/>
        </w:rPr>
        <w:t xml:space="preserve"> </w:t>
      </w:r>
      <w:r w:rsidR="00BF61FE">
        <w:rPr>
          <w:rFonts w:asciiTheme="majorHAnsi" w:hAnsiTheme="majorHAnsi"/>
          <w:bCs/>
          <w:sz w:val="20"/>
          <w:szCs w:val="20"/>
          <w:lang w:val="es-ES"/>
        </w:rPr>
        <w:t xml:space="preserve">Considera que así la </w:t>
      </w:r>
      <w:r w:rsidR="00014A6B">
        <w:rPr>
          <w:rFonts w:asciiTheme="majorHAnsi" w:hAnsiTheme="majorHAnsi"/>
          <w:bCs/>
          <w:sz w:val="20"/>
          <w:szCs w:val="20"/>
          <w:lang w:val="es-ES"/>
        </w:rPr>
        <w:t>petición cumple</w:t>
      </w:r>
      <w:r w:rsidR="00ED1EAF">
        <w:rPr>
          <w:rFonts w:asciiTheme="majorHAnsi" w:hAnsiTheme="majorHAnsi"/>
          <w:bCs/>
          <w:sz w:val="20"/>
          <w:szCs w:val="20"/>
          <w:lang w:val="es-ES"/>
        </w:rPr>
        <w:t xml:space="preserve"> con el requisito de agotamiento de recursos internos. </w:t>
      </w:r>
    </w:p>
    <w:p w14:paraId="7AC91A64" w14:textId="0AD9E727" w:rsidR="00581F03" w:rsidRDefault="00DC39BD" w:rsidP="009C24FE">
      <w:pPr>
        <w:pStyle w:val="ListParagraph"/>
        <w:numPr>
          <w:ilvl w:val="0"/>
          <w:numId w:val="55"/>
        </w:numPr>
        <w:spacing w:before="240" w:after="240"/>
        <w:ind w:left="0" w:firstLine="720"/>
        <w:jc w:val="both"/>
        <w:rPr>
          <w:rFonts w:asciiTheme="majorHAnsi" w:hAnsiTheme="majorHAnsi"/>
          <w:bCs/>
          <w:sz w:val="20"/>
          <w:szCs w:val="20"/>
          <w:lang w:val="es-ES"/>
        </w:rPr>
      </w:pPr>
      <w:r w:rsidRPr="00581F03">
        <w:rPr>
          <w:rFonts w:asciiTheme="majorHAnsi" w:hAnsiTheme="majorHAnsi"/>
          <w:bCs/>
          <w:sz w:val="20"/>
          <w:szCs w:val="20"/>
          <w:lang w:val="es-ES"/>
        </w:rPr>
        <w:t>En virtud de lo anterior, la parte peticionaria afirma que la privación de libertad del señor Delvalle fue ilegal y arbitraria</w:t>
      </w:r>
      <w:r w:rsidR="00682417">
        <w:rPr>
          <w:rFonts w:asciiTheme="majorHAnsi" w:hAnsiTheme="majorHAnsi"/>
          <w:bCs/>
          <w:sz w:val="20"/>
          <w:szCs w:val="20"/>
          <w:lang w:val="es-ES"/>
        </w:rPr>
        <w:t>;</w:t>
      </w:r>
      <w:r w:rsidRPr="00581F03">
        <w:rPr>
          <w:rFonts w:asciiTheme="majorHAnsi" w:hAnsiTheme="majorHAnsi"/>
          <w:bCs/>
          <w:sz w:val="20"/>
          <w:szCs w:val="20"/>
          <w:lang w:val="es-ES"/>
        </w:rPr>
        <w:t xml:space="preserve"> que los recursos internos resultaron ineficaces</w:t>
      </w:r>
      <w:r w:rsidR="00682417">
        <w:rPr>
          <w:rFonts w:asciiTheme="majorHAnsi" w:hAnsiTheme="majorHAnsi"/>
          <w:bCs/>
          <w:sz w:val="20"/>
          <w:szCs w:val="20"/>
          <w:lang w:val="es-ES"/>
        </w:rPr>
        <w:t>;</w:t>
      </w:r>
      <w:r w:rsidRPr="00581F03">
        <w:rPr>
          <w:rFonts w:asciiTheme="majorHAnsi" w:hAnsiTheme="majorHAnsi"/>
          <w:bCs/>
          <w:sz w:val="20"/>
          <w:szCs w:val="20"/>
          <w:lang w:val="es-ES"/>
        </w:rPr>
        <w:t xml:space="preserve"> y que las decisiones judiciales fueron arbitrarias y </w:t>
      </w:r>
      <w:r w:rsidR="00CF49FF">
        <w:rPr>
          <w:rFonts w:asciiTheme="majorHAnsi" w:hAnsiTheme="majorHAnsi"/>
          <w:bCs/>
          <w:sz w:val="20"/>
          <w:szCs w:val="20"/>
          <w:lang w:val="es-ES"/>
        </w:rPr>
        <w:t xml:space="preserve">sin una </w:t>
      </w:r>
      <w:r w:rsidRPr="00581F03">
        <w:rPr>
          <w:rFonts w:asciiTheme="majorHAnsi" w:hAnsiTheme="majorHAnsi"/>
          <w:bCs/>
          <w:sz w:val="20"/>
          <w:szCs w:val="20"/>
          <w:lang w:val="es-ES"/>
        </w:rPr>
        <w:t>motivación suficiente.</w:t>
      </w:r>
      <w:r w:rsidR="002A2FD5" w:rsidRPr="00581F03">
        <w:rPr>
          <w:rFonts w:asciiTheme="majorHAnsi" w:hAnsiTheme="majorHAnsi"/>
          <w:bCs/>
          <w:sz w:val="20"/>
          <w:szCs w:val="20"/>
          <w:lang w:val="es-ES"/>
        </w:rPr>
        <w:t xml:space="preserve">  </w:t>
      </w:r>
    </w:p>
    <w:p w14:paraId="63397A74" w14:textId="33BEFBF3" w:rsidR="00DB432A" w:rsidRPr="00DB432A" w:rsidRDefault="00DB432A" w:rsidP="009C24FE">
      <w:pPr>
        <w:spacing w:before="240" w:after="240"/>
        <w:ind w:firstLine="720"/>
        <w:jc w:val="both"/>
        <w:rPr>
          <w:rFonts w:asciiTheme="majorHAnsi" w:hAnsiTheme="majorHAnsi"/>
          <w:b/>
          <w:sz w:val="20"/>
          <w:szCs w:val="20"/>
          <w:lang w:val="es-ES"/>
        </w:rPr>
      </w:pPr>
      <w:r w:rsidRPr="00DB432A">
        <w:rPr>
          <w:rFonts w:asciiTheme="majorHAnsi" w:hAnsiTheme="majorHAnsi"/>
          <w:b/>
          <w:sz w:val="20"/>
          <w:szCs w:val="20"/>
          <w:lang w:val="es-ES"/>
        </w:rPr>
        <w:t>El Estado</w:t>
      </w:r>
      <w:r w:rsidR="00014A6B">
        <w:rPr>
          <w:rFonts w:asciiTheme="majorHAnsi" w:hAnsiTheme="majorHAnsi"/>
          <w:b/>
          <w:sz w:val="20"/>
          <w:szCs w:val="20"/>
          <w:lang w:val="es-ES"/>
        </w:rPr>
        <w:t xml:space="preserve"> paraguayo</w:t>
      </w:r>
    </w:p>
    <w:p w14:paraId="35882F52" w14:textId="436411E0" w:rsidR="00581F03" w:rsidRPr="000F0168" w:rsidRDefault="00ED1EAF" w:rsidP="000F0168">
      <w:pPr>
        <w:pStyle w:val="ListParagraph"/>
        <w:numPr>
          <w:ilvl w:val="0"/>
          <w:numId w:val="55"/>
        </w:numPr>
        <w:spacing w:before="240" w:after="240"/>
        <w:ind w:left="0" w:firstLine="720"/>
        <w:jc w:val="both"/>
        <w:rPr>
          <w:rFonts w:asciiTheme="majorHAnsi" w:hAnsiTheme="majorHAnsi"/>
          <w:bCs/>
          <w:sz w:val="20"/>
          <w:szCs w:val="20"/>
          <w:lang w:val="es-ES"/>
        </w:rPr>
      </w:pPr>
      <w:r>
        <w:rPr>
          <w:rFonts w:asciiTheme="majorHAnsi" w:hAnsiTheme="majorHAnsi"/>
          <w:sz w:val="20"/>
          <w:szCs w:val="20"/>
          <w:lang w:val="es-AR"/>
        </w:rPr>
        <w:t>E</w:t>
      </w:r>
      <w:r w:rsidR="00581F03" w:rsidRPr="00581F03">
        <w:rPr>
          <w:rFonts w:asciiTheme="majorHAnsi" w:hAnsiTheme="majorHAnsi"/>
          <w:sz w:val="20"/>
          <w:szCs w:val="20"/>
          <w:lang w:val="es-AR"/>
        </w:rPr>
        <w:t xml:space="preserve">l Estado </w:t>
      </w:r>
      <w:r w:rsidR="00581F03" w:rsidRPr="009C33DE">
        <w:rPr>
          <w:rFonts w:asciiTheme="majorHAnsi" w:hAnsiTheme="majorHAnsi"/>
          <w:sz w:val="20"/>
          <w:szCs w:val="20"/>
          <w:lang w:val="es-AR"/>
        </w:rPr>
        <w:t>sos</w:t>
      </w:r>
      <w:r w:rsidR="009C33DE" w:rsidRPr="009C33DE">
        <w:rPr>
          <w:rFonts w:asciiTheme="majorHAnsi" w:hAnsiTheme="majorHAnsi"/>
          <w:sz w:val="20"/>
          <w:szCs w:val="20"/>
          <w:lang w:val="es-AR"/>
        </w:rPr>
        <w:t>t</w:t>
      </w:r>
      <w:r w:rsidR="009C33DE">
        <w:rPr>
          <w:rFonts w:asciiTheme="majorHAnsi" w:hAnsiTheme="majorHAnsi"/>
          <w:sz w:val="20"/>
          <w:szCs w:val="20"/>
          <w:lang w:val="es-AR"/>
        </w:rPr>
        <w:t>iene</w:t>
      </w:r>
      <w:r w:rsidR="00581F03" w:rsidRPr="00581F03">
        <w:rPr>
          <w:rFonts w:asciiTheme="majorHAnsi" w:hAnsiTheme="majorHAnsi"/>
          <w:sz w:val="20"/>
          <w:szCs w:val="20"/>
          <w:lang w:val="es-AR"/>
        </w:rPr>
        <w:t xml:space="preserve"> que la </w:t>
      </w:r>
      <w:r w:rsidR="00581F03" w:rsidRPr="00581F03">
        <w:rPr>
          <w:rStyle w:val="Strong"/>
          <w:rFonts w:asciiTheme="majorHAnsi" w:hAnsiTheme="majorHAnsi"/>
          <w:b w:val="0"/>
          <w:bCs w:val="0"/>
          <w:sz w:val="20"/>
          <w:szCs w:val="20"/>
          <w:lang w:val="es-AR"/>
        </w:rPr>
        <w:t>petición debe ser declarada inadmisible</w:t>
      </w:r>
      <w:r w:rsidR="00581F03" w:rsidRPr="00581F03">
        <w:rPr>
          <w:rFonts w:asciiTheme="majorHAnsi" w:hAnsiTheme="majorHAnsi"/>
          <w:sz w:val="20"/>
          <w:szCs w:val="20"/>
          <w:lang w:val="es-AR"/>
        </w:rPr>
        <w:t xml:space="preserve"> de conformidad con el </w:t>
      </w:r>
      <w:r w:rsidR="00581F03" w:rsidRPr="00581F03">
        <w:rPr>
          <w:rStyle w:val="Strong"/>
          <w:rFonts w:asciiTheme="majorHAnsi" w:hAnsiTheme="majorHAnsi"/>
          <w:b w:val="0"/>
          <w:bCs w:val="0"/>
          <w:sz w:val="20"/>
          <w:szCs w:val="20"/>
          <w:lang w:val="es-AR"/>
        </w:rPr>
        <w:t>artículo 47.b</w:t>
      </w:r>
      <w:r w:rsidR="00295E62">
        <w:rPr>
          <w:rStyle w:val="Strong"/>
          <w:rFonts w:asciiTheme="majorHAnsi" w:hAnsiTheme="majorHAnsi"/>
          <w:b w:val="0"/>
          <w:bCs w:val="0"/>
          <w:sz w:val="20"/>
          <w:szCs w:val="20"/>
          <w:lang w:val="es-AR"/>
        </w:rPr>
        <w:t>)</w:t>
      </w:r>
      <w:r w:rsidR="00581F03" w:rsidRPr="00581F03">
        <w:rPr>
          <w:rStyle w:val="Strong"/>
          <w:rFonts w:asciiTheme="majorHAnsi" w:hAnsiTheme="majorHAnsi"/>
          <w:b w:val="0"/>
          <w:bCs w:val="0"/>
          <w:sz w:val="20"/>
          <w:szCs w:val="20"/>
          <w:lang w:val="es-AR"/>
        </w:rPr>
        <w:t xml:space="preserve"> de la Convención Americana</w:t>
      </w:r>
      <w:r w:rsidR="00581F03" w:rsidRPr="00581F03">
        <w:rPr>
          <w:rFonts w:asciiTheme="majorHAnsi" w:hAnsiTheme="majorHAnsi"/>
          <w:sz w:val="20"/>
          <w:szCs w:val="20"/>
          <w:lang w:val="es-AR"/>
        </w:rPr>
        <w:t xml:space="preserve">, por cuanto </w:t>
      </w:r>
      <w:r w:rsidR="00581F03" w:rsidRPr="00581F03">
        <w:rPr>
          <w:rStyle w:val="Strong"/>
          <w:rFonts w:asciiTheme="majorHAnsi" w:hAnsiTheme="majorHAnsi"/>
          <w:b w:val="0"/>
          <w:bCs w:val="0"/>
          <w:sz w:val="20"/>
          <w:szCs w:val="20"/>
          <w:lang w:val="es-AR"/>
        </w:rPr>
        <w:t>los hechos alegados no tienden a caracterizar violaciones de los derechos protegidos por dicho instrumento</w:t>
      </w:r>
      <w:r>
        <w:rPr>
          <w:rStyle w:val="Strong"/>
          <w:rFonts w:asciiTheme="majorHAnsi" w:hAnsiTheme="majorHAnsi"/>
          <w:b w:val="0"/>
          <w:bCs w:val="0"/>
          <w:sz w:val="20"/>
          <w:szCs w:val="20"/>
          <w:lang w:val="es-AR"/>
        </w:rPr>
        <w:t>.</w:t>
      </w:r>
      <w:r w:rsidR="000F0168">
        <w:rPr>
          <w:rStyle w:val="Strong"/>
          <w:rFonts w:asciiTheme="majorHAnsi" w:hAnsiTheme="majorHAnsi"/>
          <w:b w:val="0"/>
          <w:bCs w:val="0"/>
          <w:sz w:val="20"/>
          <w:szCs w:val="20"/>
          <w:lang w:val="es-AR"/>
        </w:rPr>
        <w:t xml:space="preserve"> En este sentido </w:t>
      </w:r>
      <w:r w:rsidR="000F0168">
        <w:rPr>
          <w:rFonts w:asciiTheme="majorHAnsi" w:hAnsiTheme="majorHAnsi"/>
          <w:sz w:val="20"/>
          <w:szCs w:val="20"/>
          <w:lang w:val="es-ES"/>
        </w:rPr>
        <w:t>a</w:t>
      </w:r>
      <w:r w:rsidR="00581F03" w:rsidRPr="000F0168">
        <w:rPr>
          <w:rFonts w:asciiTheme="majorHAnsi" w:hAnsiTheme="majorHAnsi"/>
          <w:sz w:val="20"/>
          <w:szCs w:val="20"/>
          <w:lang w:val="es-ES"/>
        </w:rPr>
        <w:t>rgument</w:t>
      </w:r>
      <w:r w:rsidR="009C33DE" w:rsidRPr="000F0168">
        <w:rPr>
          <w:rFonts w:asciiTheme="majorHAnsi" w:hAnsiTheme="majorHAnsi"/>
          <w:sz w:val="20"/>
          <w:szCs w:val="20"/>
          <w:lang w:val="es-ES"/>
        </w:rPr>
        <w:t>a</w:t>
      </w:r>
      <w:r w:rsidR="00581F03" w:rsidRPr="000F0168">
        <w:rPr>
          <w:rFonts w:asciiTheme="majorHAnsi" w:hAnsiTheme="majorHAnsi"/>
          <w:sz w:val="20"/>
          <w:szCs w:val="20"/>
          <w:lang w:val="es-ES"/>
        </w:rPr>
        <w:t xml:space="preserve"> que el </w:t>
      </w:r>
      <w:r w:rsidR="00581F03" w:rsidRPr="000F0168">
        <w:rPr>
          <w:rStyle w:val="Strong"/>
          <w:rFonts w:asciiTheme="majorHAnsi" w:hAnsiTheme="majorHAnsi"/>
          <w:b w:val="0"/>
          <w:bCs w:val="0"/>
          <w:sz w:val="20"/>
          <w:szCs w:val="20"/>
          <w:lang w:val="es-ES"/>
        </w:rPr>
        <w:t>proceso penal</w:t>
      </w:r>
      <w:r w:rsidR="00581F03" w:rsidRPr="000F0168">
        <w:rPr>
          <w:rFonts w:asciiTheme="majorHAnsi" w:hAnsiTheme="majorHAnsi"/>
          <w:sz w:val="20"/>
          <w:szCs w:val="20"/>
          <w:lang w:val="es-ES"/>
        </w:rPr>
        <w:t xml:space="preserve"> seguido contra el señor Delvalle </w:t>
      </w:r>
      <w:r w:rsidR="00581F03" w:rsidRPr="000F0168">
        <w:rPr>
          <w:rStyle w:val="Strong"/>
          <w:rFonts w:asciiTheme="majorHAnsi" w:hAnsiTheme="majorHAnsi"/>
          <w:b w:val="0"/>
          <w:bCs w:val="0"/>
          <w:sz w:val="20"/>
          <w:szCs w:val="20"/>
          <w:lang w:val="es-ES"/>
        </w:rPr>
        <w:t>respetó las garantías del debido proceso</w:t>
      </w:r>
      <w:r w:rsidR="00B83675">
        <w:rPr>
          <w:rStyle w:val="Strong"/>
          <w:rFonts w:asciiTheme="majorHAnsi" w:hAnsiTheme="majorHAnsi"/>
          <w:b w:val="0"/>
          <w:bCs w:val="0"/>
          <w:sz w:val="20"/>
          <w:szCs w:val="20"/>
          <w:lang w:val="es-ES"/>
        </w:rPr>
        <w:t>;</w:t>
      </w:r>
      <w:r w:rsidR="00DB49F4">
        <w:rPr>
          <w:rStyle w:val="Strong"/>
          <w:rFonts w:asciiTheme="majorHAnsi" w:hAnsiTheme="majorHAnsi"/>
          <w:b w:val="0"/>
          <w:bCs w:val="0"/>
          <w:sz w:val="20"/>
          <w:szCs w:val="20"/>
          <w:lang w:val="es-ES"/>
        </w:rPr>
        <w:t xml:space="preserve"> </w:t>
      </w:r>
      <w:r w:rsidR="00DB49F4">
        <w:rPr>
          <w:rFonts w:asciiTheme="majorHAnsi" w:hAnsiTheme="majorHAnsi"/>
          <w:sz w:val="20"/>
          <w:szCs w:val="20"/>
          <w:lang w:val="es-ES"/>
        </w:rPr>
        <w:t>que este</w:t>
      </w:r>
      <w:r w:rsidR="00581F03" w:rsidRPr="00DB49F4">
        <w:rPr>
          <w:rFonts w:asciiTheme="majorHAnsi" w:hAnsiTheme="majorHAnsi"/>
          <w:sz w:val="20"/>
          <w:szCs w:val="20"/>
          <w:lang w:val="es-ES"/>
        </w:rPr>
        <w:t xml:space="preserve"> pudo ejercer su </w:t>
      </w:r>
      <w:r w:rsidR="00581F03" w:rsidRPr="00DB49F4">
        <w:rPr>
          <w:rStyle w:val="Strong"/>
          <w:rFonts w:asciiTheme="majorHAnsi" w:hAnsiTheme="majorHAnsi"/>
          <w:b w:val="0"/>
          <w:bCs w:val="0"/>
          <w:sz w:val="20"/>
          <w:szCs w:val="20"/>
          <w:lang w:val="es-ES"/>
        </w:rPr>
        <w:t>derecho de defensa y contradicción</w:t>
      </w:r>
      <w:r w:rsidR="00581F03" w:rsidRPr="00DB49F4">
        <w:rPr>
          <w:rFonts w:asciiTheme="majorHAnsi" w:hAnsiTheme="majorHAnsi"/>
          <w:sz w:val="20"/>
          <w:szCs w:val="20"/>
          <w:lang w:val="es-ES"/>
        </w:rPr>
        <w:t xml:space="preserve"> en todas las etapas del procedimiento</w:t>
      </w:r>
      <w:r w:rsidR="00B83675">
        <w:rPr>
          <w:rFonts w:asciiTheme="majorHAnsi" w:hAnsiTheme="majorHAnsi"/>
          <w:sz w:val="20"/>
          <w:szCs w:val="20"/>
          <w:lang w:val="es-ES"/>
        </w:rPr>
        <w:t>; y que</w:t>
      </w:r>
      <w:r w:rsidR="00581F03" w:rsidRPr="00DB49F4">
        <w:rPr>
          <w:rFonts w:asciiTheme="majorHAnsi" w:hAnsiTheme="majorHAnsi"/>
          <w:sz w:val="20"/>
          <w:szCs w:val="20"/>
          <w:lang w:val="es-ES"/>
        </w:rPr>
        <w:t xml:space="preserve"> tuvo </w:t>
      </w:r>
      <w:r w:rsidR="00581F03" w:rsidRPr="00DB49F4">
        <w:rPr>
          <w:rStyle w:val="Strong"/>
          <w:rFonts w:asciiTheme="majorHAnsi" w:hAnsiTheme="majorHAnsi"/>
          <w:b w:val="0"/>
          <w:bCs w:val="0"/>
          <w:sz w:val="20"/>
          <w:szCs w:val="20"/>
          <w:lang w:val="es-ES"/>
        </w:rPr>
        <w:t>acceso a los recursos disponibles</w:t>
      </w:r>
      <w:r w:rsidR="00581F03" w:rsidRPr="00DB49F4">
        <w:rPr>
          <w:rFonts w:asciiTheme="majorHAnsi" w:hAnsiTheme="majorHAnsi"/>
          <w:sz w:val="20"/>
          <w:szCs w:val="20"/>
          <w:lang w:val="es-ES"/>
        </w:rPr>
        <w:t xml:space="preserve"> y a la revisión judicial de la sentencia. </w:t>
      </w:r>
      <w:r w:rsidR="00B83675" w:rsidRPr="00B83675">
        <w:rPr>
          <w:rFonts w:asciiTheme="majorHAnsi" w:hAnsiTheme="majorHAnsi"/>
          <w:sz w:val="20"/>
          <w:szCs w:val="20"/>
          <w:lang w:val="es-ES"/>
        </w:rPr>
        <w:t>E</w:t>
      </w:r>
      <w:r w:rsidR="00581F03" w:rsidRPr="00B83675">
        <w:rPr>
          <w:rFonts w:asciiTheme="majorHAnsi" w:hAnsiTheme="majorHAnsi"/>
          <w:sz w:val="20"/>
          <w:szCs w:val="20"/>
          <w:lang w:val="es-ES"/>
        </w:rPr>
        <w:t xml:space="preserve">l </w:t>
      </w:r>
      <w:r w:rsidR="00581F03" w:rsidRPr="00B83675">
        <w:rPr>
          <w:rStyle w:val="Strong"/>
          <w:rFonts w:asciiTheme="majorHAnsi" w:hAnsiTheme="majorHAnsi"/>
          <w:b w:val="0"/>
          <w:bCs w:val="0"/>
          <w:sz w:val="20"/>
          <w:szCs w:val="20"/>
          <w:lang w:val="es-ES"/>
        </w:rPr>
        <w:t>desacuerdo de</w:t>
      </w:r>
      <w:r w:rsidRPr="00B83675">
        <w:rPr>
          <w:rStyle w:val="Strong"/>
          <w:rFonts w:asciiTheme="majorHAnsi" w:hAnsiTheme="majorHAnsi"/>
          <w:b w:val="0"/>
          <w:bCs w:val="0"/>
          <w:sz w:val="20"/>
          <w:szCs w:val="20"/>
          <w:lang w:val="es-ES"/>
        </w:rPr>
        <w:t xml:space="preserve"> </w:t>
      </w:r>
      <w:r w:rsidR="00581F03" w:rsidRPr="00B83675">
        <w:rPr>
          <w:rStyle w:val="Strong"/>
          <w:rFonts w:asciiTheme="majorHAnsi" w:hAnsiTheme="majorHAnsi"/>
          <w:b w:val="0"/>
          <w:bCs w:val="0"/>
          <w:sz w:val="20"/>
          <w:szCs w:val="20"/>
          <w:lang w:val="es-ES"/>
        </w:rPr>
        <w:t>l</w:t>
      </w:r>
      <w:r w:rsidRPr="00B83675">
        <w:rPr>
          <w:rStyle w:val="Strong"/>
          <w:rFonts w:asciiTheme="majorHAnsi" w:hAnsiTheme="majorHAnsi"/>
          <w:b w:val="0"/>
          <w:bCs w:val="0"/>
          <w:sz w:val="20"/>
          <w:szCs w:val="20"/>
          <w:lang w:val="es-ES"/>
        </w:rPr>
        <w:t xml:space="preserve">a presunta víctima </w:t>
      </w:r>
      <w:r w:rsidR="00581F03" w:rsidRPr="00B83675">
        <w:rPr>
          <w:rStyle w:val="Strong"/>
          <w:rFonts w:asciiTheme="majorHAnsi" w:hAnsiTheme="majorHAnsi"/>
          <w:b w:val="0"/>
          <w:bCs w:val="0"/>
          <w:sz w:val="20"/>
          <w:szCs w:val="20"/>
          <w:lang w:val="es-ES"/>
        </w:rPr>
        <w:t>con las decisiones judiciales</w:t>
      </w:r>
      <w:r w:rsidR="00581F03" w:rsidRPr="00B83675">
        <w:rPr>
          <w:rFonts w:asciiTheme="majorHAnsi" w:hAnsiTheme="majorHAnsi"/>
          <w:sz w:val="20"/>
          <w:szCs w:val="20"/>
          <w:lang w:val="es-ES"/>
        </w:rPr>
        <w:t xml:space="preserve"> no constituye fundamento suficiente para la admisibilidad de la petición, recordando que la </w:t>
      </w:r>
      <w:r w:rsidR="00581F03" w:rsidRPr="00B83675">
        <w:rPr>
          <w:rStyle w:val="Strong"/>
          <w:rFonts w:asciiTheme="majorHAnsi" w:hAnsiTheme="majorHAnsi"/>
          <w:b w:val="0"/>
          <w:bCs w:val="0"/>
          <w:sz w:val="20"/>
          <w:szCs w:val="20"/>
          <w:lang w:val="es-ES"/>
        </w:rPr>
        <w:t>Comisión no actúa como una cuarta instancia</w:t>
      </w:r>
      <w:r w:rsidR="00581F03" w:rsidRPr="00B83675">
        <w:rPr>
          <w:rFonts w:asciiTheme="majorHAnsi" w:hAnsiTheme="majorHAnsi"/>
          <w:sz w:val="20"/>
          <w:szCs w:val="20"/>
          <w:lang w:val="es-ES"/>
        </w:rPr>
        <w:t xml:space="preserve"> revisora de la valoración probatoria o de la interpretación del derecho interno efectuada por los tribunales nacionales, en atención al </w:t>
      </w:r>
      <w:r w:rsidR="00581F03" w:rsidRPr="00B83675">
        <w:rPr>
          <w:rStyle w:val="Strong"/>
          <w:rFonts w:asciiTheme="majorHAnsi" w:hAnsiTheme="majorHAnsi"/>
          <w:b w:val="0"/>
          <w:bCs w:val="0"/>
          <w:sz w:val="20"/>
          <w:szCs w:val="20"/>
          <w:lang w:val="es-ES"/>
        </w:rPr>
        <w:t>principio de subsidiariedad</w:t>
      </w:r>
      <w:r w:rsidR="00581F03" w:rsidRPr="00B83675">
        <w:rPr>
          <w:rFonts w:asciiTheme="majorHAnsi" w:hAnsiTheme="majorHAnsi"/>
          <w:sz w:val="20"/>
          <w:szCs w:val="20"/>
          <w:lang w:val="es-ES"/>
        </w:rPr>
        <w:t xml:space="preserve"> del sistema interamericano.</w:t>
      </w:r>
    </w:p>
    <w:p w14:paraId="519735FB" w14:textId="40E7DB41" w:rsidR="00581F03" w:rsidRPr="007751A7" w:rsidRDefault="00581F03" w:rsidP="007751A7">
      <w:pPr>
        <w:pStyle w:val="NormalWeb"/>
        <w:numPr>
          <w:ilvl w:val="0"/>
          <w:numId w:val="55"/>
        </w:numPr>
        <w:spacing w:before="240" w:beforeAutospacing="0" w:after="240" w:afterAutospacing="0"/>
        <w:ind w:left="0" w:firstLine="720"/>
        <w:jc w:val="both"/>
        <w:rPr>
          <w:rFonts w:asciiTheme="majorHAnsi" w:hAnsiTheme="majorHAnsi"/>
          <w:sz w:val="20"/>
          <w:szCs w:val="20"/>
        </w:rPr>
      </w:pPr>
      <w:r w:rsidRPr="00581F03">
        <w:rPr>
          <w:rFonts w:asciiTheme="majorHAnsi" w:hAnsiTheme="majorHAnsi"/>
          <w:sz w:val="20"/>
          <w:szCs w:val="20"/>
        </w:rPr>
        <w:t>El Estado afirm</w:t>
      </w:r>
      <w:r w:rsidR="009C33DE">
        <w:rPr>
          <w:rFonts w:asciiTheme="majorHAnsi" w:hAnsiTheme="majorHAnsi"/>
          <w:sz w:val="20"/>
          <w:szCs w:val="20"/>
        </w:rPr>
        <w:t>a</w:t>
      </w:r>
      <w:r w:rsidRPr="00581F03">
        <w:rPr>
          <w:rFonts w:asciiTheme="majorHAnsi" w:hAnsiTheme="majorHAnsi"/>
          <w:sz w:val="20"/>
          <w:szCs w:val="20"/>
        </w:rPr>
        <w:t xml:space="preserve"> que </w:t>
      </w:r>
      <w:r w:rsidRPr="00581F03">
        <w:rPr>
          <w:rStyle w:val="Strong"/>
          <w:rFonts w:asciiTheme="majorHAnsi" w:hAnsiTheme="majorHAnsi"/>
          <w:b w:val="0"/>
          <w:bCs w:val="0"/>
          <w:sz w:val="20"/>
          <w:szCs w:val="20"/>
        </w:rPr>
        <w:t xml:space="preserve">no se </w:t>
      </w:r>
      <w:r w:rsidR="008939E1">
        <w:rPr>
          <w:rStyle w:val="Strong"/>
          <w:rFonts w:asciiTheme="majorHAnsi" w:hAnsiTheme="majorHAnsi"/>
          <w:b w:val="0"/>
          <w:bCs w:val="0"/>
          <w:sz w:val="20"/>
          <w:szCs w:val="20"/>
        </w:rPr>
        <w:t>dio ninguna</w:t>
      </w:r>
      <w:r w:rsidRPr="00581F03">
        <w:rPr>
          <w:rStyle w:val="Strong"/>
          <w:rFonts w:asciiTheme="majorHAnsi" w:hAnsiTheme="majorHAnsi"/>
          <w:b w:val="0"/>
          <w:bCs w:val="0"/>
          <w:sz w:val="20"/>
          <w:szCs w:val="20"/>
        </w:rPr>
        <w:t xml:space="preserve"> arbitrariedad en el procedimiento penal</w:t>
      </w:r>
      <w:r w:rsidRPr="00581F03">
        <w:rPr>
          <w:rFonts w:asciiTheme="majorHAnsi" w:hAnsiTheme="majorHAnsi"/>
          <w:sz w:val="20"/>
          <w:szCs w:val="20"/>
        </w:rPr>
        <w:t xml:space="preserve">. En </w:t>
      </w:r>
      <w:r w:rsidR="00127141">
        <w:rPr>
          <w:rFonts w:asciiTheme="majorHAnsi" w:hAnsiTheme="majorHAnsi"/>
          <w:sz w:val="20"/>
          <w:szCs w:val="20"/>
        </w:rPr>
        <w:t>cuanto a</w:t>
      </w:r>
      <w:r w:rsidRPr="00581F03">
        <w:rPr>
          <w:rFonts w:asciiTheme="majorHAnsi" w:hAnsiTheme="majorHAnsi"/>
          <w:sz w:val="20"/>
          <w:szCs w:val="20"/>
        </w:rPr>
        <w:t xml:space="preserve"> la </w:t>
      </w:r>
      <w:r w:rsidRPr="00581F03">
        <w:rPr>
          <w:rStyle w:val="Strong"/>
          <w:rFonts w:asciiTheme="majorHAnsi" w:hAnsiTheme="majorHAnsi"/>
          <w:b w:val="0"/>
          <w:bCs w:val="0"/>
          <w:sz w:val="20"/>
          <w:szCs w:val="20"/>
        </w:rPr>
        <w:t>modificación del hecho imputado</w:t>
      </w:r>
      <w:r w:rsidRPr="00581F03">
        <w:rPr>
          <w:rFonts w:asciiTheme="majorHAnsi" w:hAnsiTheme="majorHAnsi"/>
          <w:sz w:val="20"/>
          <w:szCs w:val="20"/>
        </w:rPr>
        <w:t>, sost</w:t>
      </w:r>
      <w:r w:rsidR="009C33DE">
        <w:rPr>
          <w:rFonts w:asciiTheme="majorHAnsi" w:hAnsiTheme="majorHAnsi"/>
          <w:sz w:val="20"/>
          <w:szCs w:val="20"/>
        </w:rPr>
        <w:t>iene</w:t>
      </w:r>
      <w:r w:rsidRPr="00581F03">
        <w:rPr>
          <w:rFonts w:asciiTheme="majorHAnsi" w:hAnsiTheme="majorHAnsi"/>
          <w:sz w:val="20"/>
          <w:szCs w:val="20"/>
        </w:rPr>
        <w:t xml:space="preserve"> que se produjo durante la </w:t>
      </w:r>
      <w:r w:rsidRPr="00581F03">
        <w:rPr>
          <w:rStyle w:val="Strong"/>
          <w:rFonts w:asciiTheme="majorHAnsi" w:hAnsiTheme="majorHAnsi"/>
          <w:b w:val="0"/>
          <w:bCs w:val="0"/>
          <w:sz w:val="20"/>
          <w:szCs w:val="20"/>
        </w:rPr>
        <w:t>investigación preliminar</w:t>
      </w:r>
      <w:r w:rsidR="00E73F2D">
        <w:rPr>
          <w:rFonts w:asciiTheme="majorHAnsi" w:hAnsiTheme="majorHAnsi"/>
          <w:sz w:val="20"/>
          <w:szCs w:val="20"/>
        </w:rPr>
        <w:t>;</w:t>
      </w:r>
      <w:r w:rsidRPr="00581F03">
        <w:rPr>
          <w:rFonts w:asciiTheme="majorHAnsi" w:hAnsiTheme="majorHAnsi"/>
          <w:sz w:val="20"/>
          <w:szCs w:val="20"/>
        </w:rPr>
        <w:t xml:space="preserve"> </w:t>
      </w:r>
      <w:r w:rsidR="00CF49FF" w:rsidRPr="00CF49FF">
        <w:rPr>
          <w:rFonts w:asciiTheme="majorHAnsi" w:hAnsiTheme="majorHAnsi"/>
          <w:sz w:val="20"/>
          <w:szCs w:val="20"/>
        </w:rPr>
        <w:t>que al momento de la detención el señor Delvalle fue debidamente informado del hecho ilícito imputado</w:t>
      </w:r>
      <w:r w:rsidR="00E73F2D">
        <w:rPr>
          <w:rFonts w:asciiTheme="majorHAnsi" w:hAnsiTheme="majorHAnsi"/>
          <w:sz w:val="20"/>
          <w:szCs w:val="20"/>
        </w:rPr>
        <w:t>;</w:t>
      </w:r>
      <w:r w:rsidRPr="00581F03">
        <w:rPr>
          <w:rFonts w:asciiTheme="majorHAnsi" w:hAnsiTheme="majorHAnsi"/>
          <w:sz w:val="20"/>
          <w:szCs w:val="20"/>
        </w:rPr>
        <w:t xml:space="preserve"> y que </w:t>
      </w:r>
      <w:r w:rsidRPr="00581F03">
        <w:rPr>
          <w:rStyle w:val="Strong"/>
          <w:rFonts w:asciiTheme="majorHAnsi" w:hAnsiTheme="majorHAnsi"/>
          <w:b w:val="0"/>
          <w:bCs w:val="0"/>
          <w:sz w:val="20"/>
          <w:szCs w:val="20"/>
        </w:rPr>
        <w:t>tuvo acceso a las pruebas recabadas</w:t>
      </w:r>
      <w:r w:rsidRPr="00581F03">
        <w:rPr>
          <w:rFonts w:asciiTheme="majorHAnsi" w:hAnsiTheme="majorHAnsi"/>
          <w:sz w:val="20"/>
          <w:szCs w:val="20"/>
        </w:rPr>
        <w:t xml:space="preserve"> por el fiscal en todo momento. Afirm</w:t>
      </w:r>
      <w:r w:rsidR="009C33DE">
        <w:rPr>
          <w:rFonts w:asciiTheme="majorHAnsi" w:hAnsiTheme="majorHAnsi"/>
          <w:sz w:val="20"/>
          <w:szCs w:val="20"/>
        </w:rPr>
        <w:t>a</w:t>
      </w:r>
      <w:r w:rsidRPr="00581F03">
        <w:rPr>
          <w:rFonts w:asciiTheme="majorHAnsi" w:hAnsiTheme="majorHAnsi"/>
          <w:sz w:val="20"/>
          <w:szCs w:val="20"/>
        </w:rPr>
        <w:t xml:space="preserve"> que </w:t>
      </w:r>
      <w:r w:rsidRPr="00581F03">
        <w:rPr>
          <w:rStyle w:val="Strong"/>
          <w:rFonts w:asciiTheme="majorHAnsi" w:hAnsiTheme="majorHAnsi"/>
          <w:b w:val="0"/>
          <w:bCs w:val="0"/>
          <w:sz w:val="20"/>
          <w:szCs w:val="20"/>
        </w:rPr>
        <w:t>se respetó la identidad de los hechos</w:t>
      </w:r>
      <w:r w:rsidRPr="00581F03">
        <w:rPr>
          <w:rFonts w:asciiTheme="majorHAnsi" w:hAnsiTheme="majorHAnsi"/>
          <w:sz w:val="20"/>
          <w:szCs w:val="20"/>
        </w:rPr>
        <w:t xml:space="preserve"> entre la imputación, la acusación, la apertura a juicio y la sentencia.</w:t>
      </w:r>
      <w:r w:rsidR="007751A7">
        <w:rPr>
          <w:rFonts w:asciiTheme="majorHAnsi" w:hAnsiTheme="majorHAnsi"/>
          <w:sz w:val="20"/>
          <w:szCs w:val="20"/>
        </w:rPr>
        <w:t xml:space="preserve"> </w:t>
      </w:r>
      <w:r w:rsidRPr="007751A7">
        <w:rPr>
          <w:rFonts w:asciiTheme="majorHAnsi" w:hAnsiTheme="majorHAnsi"/>
          <w:sz w:val="20"/>
          <w:szCs w:val="20"/>
        </w:rPr>
        <w:t xml:space="preserve">Asimismo, que la </w:t>
      </w:r>
      <w:r w:rsidRPr="007751A7">
        <w:rPr>
          <w:rStyle w:val="Strong"/>
          <w:rFonts w:asciiTheme="majorHAnsi" w:hAnsiTheme="majorHAnsi"/>
          <w:b w:val="0"/>
          <w:bCs w:val="0"/>
          <w:sz w:val="20"/>
          <w:szCs w:val="20"/>
        </w:rPr>
        <w:t>detención</w:t>
      </w:r>
      <w:r w:rsidRPr="007751A7">
        <w:rPr>
          <w:rFonts w:asciiTheme="majorHAnsi" w:hAnsiTheme="majorHAnsi"/>
          <w:sz w:val="20"/>
          <w:szCs w:val="20"/>
        </w:rPr>
        <w:t xml:space="preserve"> del señor Delvalle fue </w:t>
      </w:r>
      <w:r w:rsidRPr="007751A7">
        <w:rPr>
          <w:rStyle w:val="Strong"/>
          <w:rFonts w:asciiTheme="majorHAnsi" w:hAnsiTheme="majorHAnsi"/>
          <w:b w:val="0"/>
          <w:bCs w:val="0"/>
          <w:sz w:val="20"/>
          <w:szCs w:val="20"/>
        </w:rPr>
        <w:t>legal y legítima</w:t>
      </w:r>
      <w:r w:rsidRPr="007751A7">
        <w:rPr>
          <w:rFonts w:asciiTheme="majorHAnsi" w:hAnsiTheme="majorHAnsi"/>
          <w:sz w:val="20"/>
          <w:szCs w:val="20"/>
        </w:rPr>
        <w:t xml:space="preserve">, al haber sido dispuesta por </w:t>
      </w:r>
      <w:r w:rsidRPr="007751A7">
        <w:rPr>
          <w:rStyle w:val="Strong"/>
          <w:rFonts w:asciiTheme="majorHAnsi" w:hAnsiTheme="majorHAnsi"/>
          <w:b w:val="0"/>
          <w:bCs w:val="0"/>
          <w:sz w:val="20"/>
          <w:szCs w:val="20"/>
        </w:rPr>
        <w:t>juez competente</w:t>
      </w:r>
      <w:r w:rsidRPr="007751A7">
        <w:rPr>
          <w:rFonts w:asciiTheme="majorHAnsi" w:hAnsiTheme="majorHAnsi"/>
          <w:sz w:val="20"/>
          <w:szCs w:val="20"/>
        </w:rPr>
        <w:t xml:space="preserve">, motivada en la </w:t>
      </w:r>
      <w:r w:rsidRPr="007751A7">
        <w:rPr>
          <w:rStyle w:val="Strong"/>
          <w:rFonts w:asciiTheme="majorHAnsi" w:hAnsiTheme="majorHAnsi"/>
          <w:b w:val="0"/>
          <w:bCs w:val="0"/>
          <w:sz w:val="20"/>
          <w:szCs w:val="20"/>
        </w:rPr>
        <w:t>gravedad del hecho</w:t>
      </w:r>
      <w:r w:rsidRPr="007751A7">
        <w:rPr>
          <w:rFonts w:asciiTheme="majorHAnsi" w:hAnsiTheme="majorHAnsi"/>
          <w:sz w:val="20"/>
          <w:szCs w:val="20"/>
        </w:rPr>
        <w:t xml:space="preserve"> y el </w:t>
      </w:r>
      <w:r w:rsidRPr="007751A7">
        <w:rPr>
          <w:rStyle w:val="Strong"/>
          <w:rFonts w:asciiTheme="majorHAnsi" w:hAnsiTheme="majorHAnsi"/>
          <w:b w:val="0"/>
          <w:bCs w:val="0"/>
          <w:sz w:val="20"/>
          <w:szCs w:val="20"/>
        </w:rPr>
        <w:t>riesgo procesal derivado de la expectativa de pena</w:t>
      </w:r>
      <w:r w:rsidRPr="007751A7">
        <w:rPr>
          <w:rFonts w:asciiTheme="majorHAnsi" w:hAnsiTheme="majorHAnsi"/>
          <w:sz w:val="20"/>
          <w:szCs w:val="20"/>
        </w:rPr>
        <w:t>.</w:t>
      </w:r>
    </w:p>
    <w:p w14:paraId="30FEB135" w14:textId="6837A0D9" w:rsidR="00581F03" w:rsidRPr="00581F03" w:rsidRDefault="00581F03" w:rsidP="009C24FE">
      <w:pPr>
        <w:pStyle w:val="NormalWeb"/>
        <w:numPr>
          <w:ilvl w:val="0"/>
          <w:numId w:val="55"/>
        </w:numPr>
        <w:spacing w:before="240" w:beforeAutospacing="0" w:after="240" w:afterAutospacing="0"/>
        <w:ind w:left="0" w:firstLine="720"/>
        <w:jc w:val="both"/>
        <w:rPr>
          <w:rFonts w:asciiTheme="majorHAnsi" w:hAnsiTheme="majorHAnsi"/>
          <w:sz w:val="20"/>
          <w:szCs w:val="20"/>
        </w:rPr>
      </w:pPr>
      <w:r w:rsidRPr="00581F03">
        <w:rPr>
          <w:rFonts w:asciiTheme="majorHAnsi" w:hAnsiTheme="majorHAnsi"/>
          <w:sz w:val="20"/>
          <w:szCs w:val="20"/>
        </w:rPr>
        <w:t xml:space="preserve">En cuanto a la </w:t>
      </w:r>
      <w:r w:rsidRPr="00581F03">
        <w:rPr>
          <w:rStyle w:val="Strong"/>
          <w:rFonts w:asciiTheme="majorHAnsi" w:hAnsiTheme="majorHAnsi"/>
          <w:b w:val="0"/>
          <w:bCs w:val="0"/>
          <w:sz w:val="20"/>
          <w:szCs w:val="20"/>
        </w:rPr>
        <w:t>prueba utilizada</w:t>
      </w:r>
      <w:r w:rsidRPr="00581F03">
        <w:rPr>
          <w:rFonts w:asciiTheme="majorHAnsi" w:hAnsiTheme="majorHAnsi"/>
          <w:sz w:val="20"/>
          <w:szCs w:val="20"/>
        </w:rPr>
        <w:t>, el Estado señal</w:t>
      </w:r>
      <w:r w:rsidR="009C33DE">
        <w:rPr>
          <w:rFonts w:asciiTheme="majorHAnsi" w:hAnsiTheme="majorHAnsi"/>
          <w:sz w:val="20"/>
          <w:szCs w:val="20"/>
        </w:rPr>
        <w:t>a</w:t>
      </w:r>
      <w:r w:rsidRPr="00581F03">
        <w:rPr>
          <w:rFonts w:asciiTheme="majorHAnsi" w:hAnsiTheme="majorHAnsi"/>
          <w:sz w:val="20"/>
          <w:szCs w:val="20"/>
        </w:rPr>
        <w:t xml:space="preserve"> que </w:t>
      </w:r>
      <w:r w:rsidRPr="00581F03">
        <w:rPr>
          <w:rStyle w:val="Strong"/>
          <w:rFonts w:asciiTheme="majorHAnsi" w:hAnsiTheme="majorHAnsi"/>
          <w:b w:val="0"/>
          <w:bCs w:val="0"/>
          <w:sz w:val="20"/>
          <w:szCs w:val="20"/>
        </w:rPr>
        <w:t>la condena no se basó en la actuación de agentes encubiertos</w:t>
      </w:r>
      <w:r w:rsidRPr="00581F03">
        <w:rPr>
          <w:rFonts w:asciiTheme="majorHAnsi" w:hAnsiTheme="majorHAnsi"/>
          <w:sz w:val="20"/>
          <w:szCs w:val="20"/>
        </w:rPr>
        <w:t xml:space="preserve">, sino en </w:t>
      </w:r>
      <w:r w:rsidRPr="00581F03">
        <w:rPr>
          <w:rStyle w:val="Strong"/>
          <w:rFonts w:asciiTheme="majorHAnsi" w:hAnsiTheme="majorHAnsi"/>
          <w:b w:val="0"/>
          <w:bCs w:val="0"/>
          <w:sz w:val="20"/>
          <w:szCs w:val="20"/>
        </w:rPr>
        <w:t>información aportada por informantes</w:t>
      </w:r>
      <w:r w:rsidRPr="00581F03">
        <w:rPr>
          <w:rFonts w:asciiTheme="majorHAnsi" w:hAnsiTheme="majorHAnsi"/>
          <w:sz w:val="20"/>
          <w:szCs w:val="20"/>
        </w:rPr>
        <w:t xml:space="preserve">, la cual fue </w:t>
      </w:r>
      <w:r w:rsidRPr="00581F03">
        <w:rPr>
          <w:rStyle w:val="Strong"/>
          <w:rFonts w:asciiTheme="majorHAnsi" w:hAnsiTheme="majorHAnsi"/>
          <w:b w:val="0"/>
          <w:bCs w:val="0"/>
          <w:sz w:val="20"/>
          <w:szCs w:val="20"/>
        </w:rPr>
        <w:t>corroborada durante la investigación fiscal</w:t>
      </w:r>
      <w:r w:rsidRPr="00581F03">
        <w:rPr>
          <w:rFonts w:asciiTheme="majorHAnsi" w:hAnsiTheme="majorHAnsi"/>
          <w:sz w:val="20"/>
          <w:szCs w:val="20"/>
        </w:rPr>
        <w:t>. Sost</w:t>
      </w:r>
      <w:r w:rsidR="009C33DE">
        <w:rPr>
          <w:rFonts w:asciiTheme="majorHAnsi" w:hAnsiTheme="majorHAnsi"/>
          <w:sz w:val="20"/>
          <w:szCs w:val="20"/>
        </w:rPr>
        <w:t>iene</w:t>
      </w:r>
      <w:r w:rsidRPr="00581F03">
        <w:rPr>
          <w:rFonts w:asciiTheme="majorHAnsi" w:hAnsiTheme="majorHAnsi"/>
          <w:sz w:val="20"/>
          <w:szCs w:val="20"/>
        </w:rPr>
        <w:t xml:space="preserve"> que las </w:t>
      </w:r>
      <w:r w:rsidRPr="00581F03">
        <w:rPr>
          <w:rStyle w:val="Strong"/>
          <w:rFonts w:asciiTheme="majorHAnsi" w:hAnsiTheme="majorHAnsi"/>
          <w:b w:val="0"/>
          <w:bCs w:val="0"/>
          <w:sz w:val="20"/>
          <w:szCs w:val="20"/>
        </w:rPr>
        <w:t>actividades de vigilancia</w:t>
      </w:r>
      <w:r w:rsidRPr="00581F03">
        <w:rPr>
          <w:rFonts w:asciiTheme="majorHAnsi" w:hAnsiTheme="majorHAnsi"/>
          <w:sz w:val="20"/>
          <w:szCs w:val="20"/>
        </w:rPr>
        <w:t xml:space="preserve"> fueron </w:t>
      </w:r>
      <w:r w:rsidRPr="00581F03">
        <w:rPr>
          <w:rStyle w:val="Strong"/>
          <w:rFonts w:asciiTheme="majorHAnsi" w:hAnsiTheme="majorHAnsi"/>
          <w:b w:val="0"/>
          <w:bCs w:val="0"/>
          <w:sz w:val="20"/>
          <w:szCs w:val="20"/>
        </w:rPr>
        <w:t>controladas por el Ministerio Público</w:t>
      </w:r>
      <w:r w:rsidRPr="00581F03">
        <w:rPr>
          <w:rFonts w:asciiTheme="majorHAnsi" w:hAnsiTheme="majorHAnsi"/>
          <w:sz w:val="20"/>
          <w:szCs w:val="20"/>
        </w:rPr>
        <w:t xml:space="preserve"> y </w:t>
      </w:r>
      <w:r w:rsidRPr="00581F03">
        <w:rPr>
          <w:rStyle w:val="Strong"/>
          <w:rFonts w:asciiTheme="majorHAnsi" w:hAnsiTheme="majorHAnsi"/>
          <w:b w:val="0"/>
          <w:bCs w:val="0"/>
          <w:sz w:val="20"/>
          <w:szCs w:val="20"/>
        </w:rPr>
        <w:t>comunicadas al juez de la causa</w:t>
      </w:r>
      <w:r w:rsidRPr="00581F03">
        <w:rPr>
          <w:rFonts w:asciiTheme="majorHAnsi" w:hAnsiTheme="majorHAnsi"/>
          <w:sz w:val="20"/>
          <w:szCs w:val="20"/>
        </w:rPr>
        <w:t xml:space="preserve">, y que la legislación paraguaya </w:t>
      </w:r>
      <w:r w:rsidRPr="00581F03">
        <w:rPr>
          <w:rStyle w:val="Strong"/>
          <w:rFonts w:asciiTheme="majorHAnsi" w:hAnsiTheme="majorHAnsi"/>
          <w:b w:val="0"/>
          <w:bCs w:val="0"/>
          <w:sz w:val="20"/>
          <w:szCs w:val="20"/>
        </w:rPr>
        <w:t>no exige autorización judicial previa</w:t>
      </w:r>
      <w:r w:rsidRPr="00581F03">
        <w:rPr>
          <w:rFonts w:asciiTheme="majorHAnsi" w:hAnsiTheme="majorHAnsi"/>
          <w:sz w:val="20"/>
          <w:szCs w:val="20"/>
        </w:rPr>
        <w:t xml:space="preserve"> para tales diligencias. Afirm</w:t>
      </w:r>
      <w:r w:rsidR="009C33DE">
        <w:rPr>
          <w:rFonts w:asciiTheme="majorHAnsi" w:hAnsiTheme="majorHAnsi"/>
          <w:sz w:val="20"/>
          <w:szCs w:val="20"/>
        </w:rPr>
        <w:t>a</w:t>
      </w:r>
      <w:r w:rsidRPr="00581F03">
        <w:rPr>
          <w:rFonts w:asciiTheme="majorHAnsi" w:hAnsiTheme="majorHAnsi"/>
          <w:sz w:val="20"/>
          <w:szCs w:val="20"/>
        </w:rPr>
        <w:t xml:space="preserve"> que la figura del informante es </w:t>
      </w:r>
      <w:r w:rsidRPr="00581F03">
        <w:rPr>
          <w:rStyle w:val="Strong"/>
          <w:rFonts w:asciiTheme="majorHAnsi" w:hAnsiTheme="majorHAnsi"/>
          <w:b w:val="0"/>
          <w:bCs w:val="0"/>
          <w:sz w:val="20"/>
          <w:szCs w:val="20"/>
        </w:rPr>
        <w:t>válida conforme al derecho interno</w:t>
      </w:r>
      <w:r w:rsidRPr="00581F03">
        <w:rPr>
          <w:rFonts w:asciiTheme="majorHAnsi" w:hAnsiTheme="majorHAnsi"/>
          <w:sz w:val="20"/>
          <w:szCs w:val="20"/>
        </w:rPr>
        <w:t>, siempre que su información sea contrastada con otras pruebas y comunicada al juez competente. Indic</w:t>
      </w:r>
      <w:r w:rsidR="009C33DE">
        <w:rPr>
          <w:rFonts w:asciiTheme="majorHAnsi" w:hAnsiTheme="majorHAnsi"/>
          <w:sz w:val="20"/>
          <w:szCs w:val="20"/>
        </w:rPr>
        <w:t>a</w:t>
      </w:r>
      <w:r w:rsidRPr="00581F03">
        <w:rPr>
          <w:rFonts w:asciiTheme="majorHAnsi" w:hAnsiTheme="majorHAnsi"/>
          <w:sz w:val="20"/>
          <w:szCs w:val="20"/>
        </w:rPr>
        <w:t xml:space="preserve"> que </w:t>
      </w:r>
      <w:r w:rsidRPr="00581F03">
        <w:rPr>
          <w:rStyle w:val="Strong"/>
          <w:rFonts w:asciiTheme="majorHAnsi" w:hAnsiTheme="majorHAnsi"/>
          <w:b w:val="0"/>
          <w:bCs w:val="0"/>
          <w:sz w:val="20"/>
          <w:szCs w:val="20"/>
        </w:rPr>
        <w:t>la comparecencia de los informantes como testigos no es exigida por la ley</w:t>
      </w:r>
      <w:r w:rsidRPr="00581F03">
        <w:rPr>
          <w:rFonts w:asciiTheme="majorHAnsi" w:hAnsiTheme="majorHAnsi"/>
          <w:sz w:val="20"/>
          <w:szCs w:val="20"/>
        </w:rPr>
        <w:t>.</w:t>
      </w:r>
    </w:p>
    <w:p w14:paraId="262882BA" w14:textId="1B2E39C5" w:rsidR="00CE5C85" w:rsidRPr="00581F03" w:rsidRDefault="00581F03" w:rsidP="009C24FE">
      <w:pPr>
        <w:pStyle w:val="NormalWeb"/>
        <w:numPr>
          <w:ilvl w:val="0"/>
          <w:numId w:val="55"/>
        </w:numPr>
        <w:spacing w:before="240" w:beforeAutospacing="0" w:after="240" w:afterAutospacing="0"/>
        <w:ind w:left="0" w:firstLine="720"/>
        <w:jc w:val="both"/>
        <w:rPr>
          <w:rFonts w:asciiTheme="majorHAnsi" w:hAnsiTheme="majorHAnsi"/>
          <w:sz w:val="20"/>
          <w:szCs w:val="20"/>
        </w:rPr>
      </w:pPr>
      <w:r w:rsidRPr="00581F03">
        <w:rPr>
          <w:rFonts w:asciiTheme="majorHAnsi" w:hAnsiTheme="majorHAnsi"/>
          <w:sz w:val="20"/>
          <w:szCs w:val="20"/>
        </w:rPr>
        <w:t>Finalmente, el Estado inform</w:t>
      </w:r>
      <w:r w:rsidR="009C33DE">
        <w:rPr>
          <w:rFonts w:asciiTheme="majorHAnsi" w:hAnsiTheme="majorHAnsi"/>
          <w:sz w:val="20"/>
          <w:szCs w:val="20"/>
        </w:rPr>
        <w:t>a</w:t>
      </w:r>
      <w:r w:rsidRPr="00581F03">
        <w:rPr>
          <w:rFonts w:asciiTheme="majorHAnsi" w:hAnsiTheme="majorHAnsi"/>
          <w:sz w:val="20"/>
          <w:szCs w:val="20"/>
        </w:rPr>
        <w:t xml:space="preserve"> que el expediente fue remitido al </w:t>
      </w:r>
      <w:r w:rsidRPr="00581F03">
        <w:rPr>
          <w:rStyle w:val="Strong"/>
          <w:rFonts w:asciiTheme="majorHAnsi" w:hAnsiTheme="majorHAnsi"/>
          <w:b w:val="0"/>
          <w:bCs w:val="0"/>
          <w:sz w:val="20"/>
          <w:szCs w:val="20"/>
        </w:rPr>
        <w:t>Juzgado de Ejecución Penal de la Capital</w:t>
      </w:r>
      <w:r w:rsidRPr="00581F03">
        <w:rPr>
          <w:rFonts w:asciiTheme="majorHAnsi" w:hAnsiTheme="majorHAnsi"/>
          <w:sz w:val="20"/>
          <w:szCs w:val="20"/>
        </w:rPr>
        <w:t xml:space="preserve"> para la ejecución de la sentencia. </w:t>
      </w:r>
      <w:r w:rsidR="00BD7973">
        <w:rPr>
          <w:rFonts w:asciiTheme="majorHAnsi" w:hAnsiTheme="majorHAnsi"/>
          <w:sz w:val="20"/>
          <w:szCs w:val="20"/>
        </w:rPr>
        <w:t>E</w:t>
      </w:r>
      <w:r w:rsidRPr="00581F03">
        <w:rPr>
          <w:rFonts w:asciiTheme="majorHAnsi" w:hAnsiTheme="majorHAnsi"/>
          <w:sz w:val="20"/>
          <w:szCs w:val="20"/>
        </w:rPr>
        <w:t xml:space="preserve">l </w:t>
      </w:r>
      <w:r w:rsidRPr="00581F03">
        <w:rPr>
          <w:rStyle w:val="Strong"/>
          <w:rFonts w:asciiTheme="majorHAnsi" w:hAnsiTheme="majorHAnsi"/>
          <w:b w:val="0"/>
          <w:bCs w:val="0"/>
          <w:sz w:val="20"/>
          <w:szCs w:val="20"/>
        </w:rPr>
        <w:t>28 de abril de 2016</w:t>
      </w:r>
      <w:r w:rsidRPr="00581F03">
        <w:rPr>
          <w:rFonts w:asciiTheme="majorHAnsi" w:hAnsiTheme="majorHAnsi"/>
          <w:sz w:val="20"/>
          <w:szCs w:val="20"/>
        </w:rPr>
        <w:t xml:space="preserve"> </w:t>
      </w:r>
      <w:r w:rsidR="007018C0">
        <w:rPr>
          <w:rFonts w:asciiTheme="majorHAnsi" w:hAnsiTheme="majorHAnsi"/>
          <w:sz w:val="20"/>
          <w:szCs w:val="20"/>
        </w:rPr>
        <w:t>este</w:t>
      </w:r>
      <w:r w:rsidRPr="00581F03">
        <w:rPr>
          <w:rFonts w:asciiTheme="majorHAnsi" w:hAnsiTheme="majorHAnsi"/>
          <w:sz w:val="20"/>
          <w:szCs w:val="20"/>
        </w:rPr>
        <w:t xml:space="preserve"> juzgado determinó el </w:t>
      </w:r>
      <w:r w:rsidRPr="00581F03">
        <w:rPr>
          <w:rStyle w:val="Strong"/>
          <w:rFonts w:asciiTheme="majorHAnsi" w:hAnsiTheme="majorHAnsi"/>
          <w:b w:val="0"/>
          <w:bCs w:val="0"/>
          <w:sz w:val="20"/>
          <w:szCs w:val="20"/>
        </w:rPr>
        <w:t xml:space="preserve">cómputo </w:t>
      </w:r>
      <w:r w:rsidRPr="00581F03">
        <w:rPr>
          <w:rStyle w:val="Strong"/>
          <w:rFonts w:asciiTheme="majorHAnsi" w:hAnsiTheme="majorHAnsi"/>
          <w:b w:val="0"/>
          <w:bCs w:val="0"/>
          <w:sz w:val="20"/>
          <w:szCs w:val="20"/>
        </w:rPr>
        <w:lastRenderedPageBreak/>
        <w:t>definitivo de la pena</w:t>
      </w:r>
      <w:r w:rsidRPr="00581F03">
        <w:rPr>
          <w:rFonts w:asciiTheme="majorHAnsi" w:hAnsiTheme="majorHAnsi"/>
          <w:sz w:val="20"/>
          <w:szCs w:val="20"/>
        </w:rPr>
        <w:t xml:space="preserve"> en </w:t>
      </w:r>
      <w:r w:rsidR="007018C0">
        <w:rPr>
          <w:rFonts w:asciiTheme="majorHAnsi" w:hAnsiTheme="majorHAnsi"/>
          <w:sz w:val="20"/>
          <w:szCs w:val="20"/>
        </w:rPr>
        <w:t>15</w:t>
      </w:r>
      <w:r w:rsidRPr="00581F03">
        <w:rPr>
          <w:rFonts w:asciiTheme="majorHAnsi" w:hAnsiTheme="majorHAnsi"/>
          <w:sz w:val="20"/>
          <w:szCs w:val="20"/>
        </w:rPr>
        <w:t xml:space="preserve"> años</w:t>
      </w:r>
      <w:r w:rsidR="007018C0">
        <w:rPr>
          <w:rFonts w:asciiTheme="majorHAnsi" w:hAnsiTheme="majorHAnsi"/>
          <w:sz w:val="20"/>
          <w:szCs w:val="20"/>
        </w:rPr>
        <w:t xml:space="preserve">; </w:t>
      </w:r>
      <w:r w:rsidRPr="00581F03">
        <w:rPr>
          <w:rFonts w:asciiTheme="majorHAnsi" w:hAnsiTheme="majorHAnsi"/>
          <w:sz w:val="20"/>
          <w:szCs w:val="20"/>
        </w:rPr>
        <w:t xml:space="preserve">el señor Delvalle podría solicitar la </w:t>
      </w:r>
      <w:r w:rsidRPr="00581F03">
        <w:rPr>
          <w:rStyle w:val="Strong"/>
          <w:rFonts w:asciiTheme="majorHAnsi" w:hAnsiTheme="majorHAnsi"/>
          <w:b w:val="0"/>
          <w:bCs w:val="0"/>
          <w:sz w:val="20"/>
          <w:szCs w:val="20"/>
        </w:rPr>
        <w:t>libertad condicional a partir del 12 de marzo de 2023</w:t>
      </w:r>
      <w:r w:rsidRPr="00581F03">
        <w:rPr>
          <w:rFonts w:asciiTheme="majorHAnsi" w:hAnsiTheme="majorHAnsi"/>
          <w:sz w:val="20"/>
          <w:szCs w:val="20"/>
        </w:rPr>
        <w:t xml:space="preserve">. </w:t>
      </w:r>
      <w:r w:rsidR="006B200B">
        <w:rPr>
          <w:rFonts w:asciiTheme="majorHAnsi" w:hAnsiTheme="majorHAnsi"/>
          <w:sz w:val="20"/>
          <w:szCs w:val="20"/>
        </w:rPr>
        <w:t>E</w:t>
      </w:r>
      <w:r w:rsidRPr="00581F03">
        <w:rPr>
          <w:rFonts w:asciiTheme="majorHAnsi" w:hAnsiTheme="majorHAnsi"/>
          <w:sz w:val="20"/>
          <w:szCs w:val="20"/>
        </w:rPr>
        <w:t xml:space="preserve">l </w:t>
      </w:r>
      <w:r w:rsidRPr="00581F03">
        <w:rPr>
          <w:rStyle w:val="Strong"/>
          <w:rFonts w:asciiTheme="majorHAnsi" w:hAnsiTheme="majorHAnsi"/>
          <w:b w:val="0"/>
          <w:bCs w:val="0"/>
          <w:sz w:val="20"/>
          <w:szCs w:val="20"/>
        </w:rPr>
        <w:t>5 de julio de 2016</w:t>
      </w:r>
      <w:r w:rsidRPr="00581F03">
        <w:rPr>
          <w:rFonts w:asciiTheme="majorHAnsi" w:hAnsiTheme="majorHAnsi"/>
          <w:sz w:val="20"/>
          <w:szCs w:val="20"/>
        </w:rPr>
        <w:t xml:space="preserve"> se ordenó la </w:t>
      </w:r>
      <w:r w:rsidRPr="00581F03">
        <w:rPr>
          <w:rStyle w:val="Strong"/>
          <w:rFonts w:asciiTheme="majorHAnsi" w:hAnsiTheme="majorHAnsi"/>
          <w:b w:val="0"/>
          <w:bCs w:val="0"/>
          <w:sz w:val="20"/>
          <w:szCs w:val="20"/>
        </w:rPr>
        <w:t>remisión de la causa al Juzgado de Ejecución Penal de Encarnación</w:t>
      </w:r>
      <w:r w:rsidRPr="00581F03">
        <w:rPr>
          <w:rFonts w:asciiTheme="majorHAnsi" w:hAnsiTheme="majorHAnsi"/>
          <w:sz w:val="20"/>
          <w:szCs w:val="20"/>
        </w:rPr>
        <w:t xml:space="preserve">, el cual en </w:t>
      </w:r>
      <w:r w:rsidRPr="00581F03">
        <w:rPr>
          <w:rStyle w:val="Strong"/>
          <w:rFonts w:asciiTheme="majorHAnsi" w:hAnsiTheme="majorHAnsi"/>
          <w:b w:val="0"/>
          <w:bCs w:val="0"/>
          <w:sz w:val="20"/>
          <w:szCs w:val="20"/>
        </w:rPr>
        <w:t>abril y diciembre de 2018</w:t>
      </w:r>
      <w:r w:rsidRPr="00581F03">
        <w:rPr>
          <w:rFonts w:asciiTheme="majorHAnsi" w:hAnsiTheme="majorHAnsi"/>
          <w:sz w:val="20"/>
          <w:szCs w:val="20"/>
        </w:rPr>
        <w:t xml:space="preserve"> hizo lugar a </w:t>
      </w:r>
      <w:r w:rsidRPr="00581F03">
        <w:rPr>
          <w:rStyle w:val="Strong"/>
          <w:rFonts w:asciiTheme="majorHAnsi" w:hAnsiTheme="majorHAnsi"/>
          <w:b w:val="0"/>
          <w:bCs w:val="0"/>
          <w:sz w:val="20"/>
          <w:szCs w:val="20"/>
        </w:rPr>
        <w:t>incidentes de redención ordinaria</w:t>
      </w:r>
      <w:r w:rsidRPr="00581F03">
        <w:rPr>
          <w:rFonts w:asciiTheme="majorHAnsi" w:hAnsiTheme="majorHAnsi"/>
          <w:sz w:val="20"/>
          <w:szCs w:val="20"/>
        </w:rPr>
        <w:t xml:space="preserve"> presentados por la defensa</w:t>
      </w:r>
      <w:r w:rsidR="00C13055">
        <w:rPr>
          <w:rFonts w:asciiTheme="majorHAnsi" w:hAnsiTheme="majorHAnsi"/>
          <w:sz w:val="20"/>
          <w:szCs w:val="20"/>
        </w:rPr>
        <w:t>,</w:t>
      </w:r>
      <w:r w:rsidRPr="00581F03">
        <w:rPr>
          <w:rFonts w:asciiTheme="majorHAnsi" w:hAnsiTheme="majorHAnsi"/>
          <w:sz w:val="20"/>
          <w:szCs w:val="20"/>
        </w:rPr>
        <w:t xml:space="preserve"> y dispuso el </w:t>
      </w:r>
      <w:r w:rsidRPr="00581F03">
        <w:rPr>
          <w:rStyle w:val="Strong"/>
          <w:rFonts w:asciiTheme="majorHAnsi" w:hAnsiTheme="majorHAnsi"/>
          <w:b w:val="0"/>
          <w:bCs w:val="0"/>
          <w:sz w:val="20"/>
          <w:szCs w:val="20"/>
        </w:rPr>
        <w:t>descuento de 332 y 30 días</w:t>
      </w:r>
      <w:r w:rsidRPr="00581F03">
        <w:rPr>
          <w:rFonts w:asciiTheme="majorHAnsi" w:hAnsiTheme="majorHAnsi"/>
          <w:sz w:val="20"/>
          <w:szCs w:val="20"/>
        </w:rPr>
        <w:t xml:space="preserve"> de reclusión respectivamente. Indic</w:t>
      </w:r>
      <w:r w:rsidR="009C33DE">
        <w:rPr>
          <w:rFonts w:asciiTheme="majorHAnsi" w:hAnsiTheme="majorHAnsi"/>
          <w:sz w:val="20"/>
          <w:szCs w:val="20"/>
        </w:rPr>
        <w:t>a</w:t>
      </w:r>
      <w:r w:rsidRPr="00581F03">
        <w:rPr>
          <w:rFonts w:asciiTheme="majorHAnsi" w:hAnsiTheme="majorHAnsi"/>
          <w:sz w:val="20"/>
          <w:szCs w:val="20"/>
        </w:rPr>
        <w:t xml:space="preserve"> que la última decisión fue </w:t>
      </w:r>
      <w:r w:rsidRPr="00581F03">
        <w:rPr>
          <w:rStyle w:val="Strong"/>
          <w:rFonts w:asciiTheme="majorHAnsi" w:hAnsiTheme="majorHAnsi"/>
          <w:b w:val="0"/>
          <w:bCs w:val="0"/>
          <w:sz w:val="20"/>
          <w:szCs w:val="20"/>
        </w:rPr>
        <w:t>confirmada por el Tribunal de Apelación Penal, Primera Sala de Itapúa, el 14 de diciembre de 2018</w:t>
      </w:r>
      <w:r w:rsidRPr="00581F03">
        <w:rPr>
          <w:rFonts w:asciiTheme="majorHAnsi" w:hAnsiTheme="majorHAnsi"/>
          <w:sz w:val="20"/>
          <w:szCs w:val="20"/>
        </w:rPr>
        <w:t>.</w:t>
      </w:r>
    </w:p>
    <w:p w14:paraId="344C73D8" w14:textId="0FE8A8A1" w:rsidR="00316863" w:rsidRPr="0032328A" w:rsidRDefault="003239B8" w:rsidP="009C24FE">
      <w:pPr>
        <w:spacing w:before="240" w:after="240"/>
        <w:ind w:firstLine="720"/>
        <w:jc w:val="both"/>
        <w:rPr>
          <w:rFonts w:ascii="Cambria" w:hAnsi="Cambria"/>
          <w:sz w:val="20"/>
          <w:szCs w:val="20"/>
          <w:lang w:val="es-ES"/>
        </w:rPr>
      </w:pPr>
      <w:r w:rsidRPr="00BA60E5">
        <w:rPr>
          <w:rFonts w:asciiTheme="majorHAnsi" w:eastAsia="Cambria" w:hAnsiTheme="majorHAnsi" w:cs="Cambria"/>
          <w:b/>
          <w:bCs/>
          <w:color w:val="000000"/>
          <w:sz w:val="20"/>
          <w:szCs w:val="20"/>
          <w:u w:color="000000"/>
          <w:lang w:val="es-ES" w:eastAsia="es-ES"/>
        </w:rPr>
        <w:t>VI.</w:t>
      </w:r>
      <w:r w:rsidRPr="00BA60E5">
        <w:rPr>
          <w:rFonts w:asciiTheme="majorHAnsi" w:eastAsia="Cambria" w:hAnsiTheme="majorHAnsi" w:cs="Cambria"/>
          <w:b/>
          <w:bCs/>
          <w:color w:val="000000"/>
          <w:sz w:val="20"/>
          <w:szCs w:val="20"/>
          <w:u w:color="000000"/>
          <w:lang w:val="es-ES" w:eastAsia="es-ES"/>
        </w:rPr>
        <w:tab/>
      </w:r>
      <w:r w:rsidR="004A6A54" w:rsidRPr="00BA60E5">
        <w:rPr>
          <w:rFonts w:asciiTheme="majorHAnsi" w:hAnsiTheme="majorHAnsi"/>
          <w:b/>
          <w:bCs/>
          <w:sz w:val="20"/>
          <w:szCs w:val="20"/>
          <w:lang w:val="es-ES"/>
        </w:rPr>
        <w:t xml:space="preserve">ANÁLISIS DE </w:t>
      </w:r>
      <w:r w:rsidR="00C21FEF" w:rsidRPr="00BA60E5">
        <w:rPr>
          <w:rFonts w:asciiTheme="majorHAnsi" w:hAnsiTheme="majorHAnsi"/>
          <w:b/>
          <w:sz w:val="20"/>
          <w:szCs w:val="20"/>
          <w:lang w:val="es-ES"/>
        </w:rPr>
        <w:t>AGOTAMIENTO DE LOS RECURSOS INTERNOS Y PLAZO DE PRESENTACIÓN</w:t>
      </w:r>
      <w:r w:rsidR="00C21FEF" w:rsidRPr="00BA60E5">
        <w:rPr>
          <w:rFonts w:asciiTheme="majorHAnsi" w:eastAsia="Cambria" w:hAnsiTheme="majorHAnsi" w:cs="Cambria"/>
          <w:b/>
          <w:bCs/>
          <w:color w:val="000000"/>
          <w:sz w:val="20"/>
          <w:szCs w:val="20"/>
          <w:u w:color="000000"/>
          <w:lang w:val="es-ES" w:eastAsia="es-ES"/>
        </w:rPr>
        <w:t xml:space="preserve"> </w:t>
      </w:r>
    </w:p>
    <w:p w14:paraId="1884AB51" w14:textId="3DAB2D84" w:rsidR="00080C49" w:rsidRPr="00080C49" w:rsidRDefault="0032328A" w:rsidP="009C24FE">
      <w:pPr>
        <w:pStyle w:val="NormalWeb"/>
        <w:numPr>
          <w:ilvl w:val="0"/>
          <w:numId w:val="55"/>
        </w:numPr>
        <w:spacing w:before="240" w:beforeAutospacing="0" w:after="240" w:afterAutospacing="0"/>
        <w:ind w:left="0" w:firstLine="720"/>
        <w:jc w:val="both"/>
        <w:rPr>
          <w:rStyle w:val="Strong"/>
          <w:rFonts w:asciiTheme="majorHAnsi" w:hAnsiTheme="majorHAnsi" w:cstheme="minorHAnsi"/>
          <w:b w:val="0"/>
          <w:bCs w:val="0"/>
          <w:sz w:val="20"/>
          <w:szCs w:val="20"/>
        </w:rPr>
      </w:pPr>
      <w:r w:rsidRPr="0032328A">
        <w:rPr>
          <w:rStyle w:val="Strong"/>
          <w:rFonts w:asciiTheme="majorHAnsi" w:hAnsiTheme="majorHAnsi" w:cstheme="minorHAnsi"/>
          <w:b w:val="0"/>
          <w:bCs w:val="0"/>
          <w:sz w:val="20"/>
          <w:szCs w:val="20"/>
        </w:rPr>
        <w:t>La parte peticionaria alega que los recursos internos fueron agotados con la sentencia dictada por la Corte Suprema de Justicia el 30 de diciembre de 2015, mediante la cual se confirmó la condena impuesta al señor Damián Delvalle Sanabria. Indica que contra dicha decisión no existe recurso ulterior disponible en el ordenamiento jurídico paraguayo. Señala que la sentencia condenatoria fue emitida el 31 de julio de 2014 y que, frente a ella, interpuso un recurso extraordinario de casación directa, el cual fue resuelto por la Corte Suprema. En cuanto al plazo de presentación, sostiene que la petición fue presentada el 8 de agosto de 2016, dentro del plazo de seis meses establecido en el artículo 46.1.b</w:t>
      </w:r>
      <w:r w:rsidR="00A2694F">
        <w:rPr>
          <w:rStyle w:val="Strong"/>
          <w:rFonts w:asciiTheme="majorHAnsi" w:hAnsiTheme="majorHAnsi" w:cstheme="minorHAnsi"/>
          <w:b w:val="0"/>
          <w:bCs w:val="0"/>
          <w:sz w:val="20"/>
          <w:szCs w:val="20"/>
        </w:rPr>
        <w:t>)</w:t>
      </w:r>
      <w:r w:rsidRPr="0032328A">
        <w:rPr>
          <w:rStyle w:val="Strong"/>
          <w:rFonts w:asciiTheme="majorHAnsi" w:hAnsiTheme="majorHAnsi" w:cstheme="minorHAnsi"/>
          <w:b w:val="0"/>
          <w:bCs w:val="0"/>
          <w:sz w:val="20"/>
          <w:szCs w:val="20"/>
        </w:rPr>
        <w:t xml:space="preserve"> de la Convención Americana, dado que la sentencia definitiva fue notificada el 8 de febrero de 2016.</w:t>
      </w:r>
    </w:p>
    <w:p w14:paraId="0BD07F27" w14:textId="75D43CE9" w:rsidR="00080C49" w:rsidRDefault="0032328A" w:rsidP="009C24FE">
      <w:pPr>
        <w:pStyle w:val="NormalWeb"/>
        <w:numPr>
          <w:ilvl w:val="0"/>
          <w:numId w:val="55"/>
        </w:numPr>
        <w:spacing w:before="240" w:beforeAutospacing="0" w:after="240" w:afterAutospacing="0"/>
        <w:ind w:left="0" w:firstLine="720"/>
        <w:jc w:val="both"/>
        <w:rPr>
          <w:rStyle w:val="Strong"/>
          <w:rFonts w:asciiTheme="majorHAnsi" w:hAnsiTheme="majorHAnsi" w:cstheme="minorHAnsi"/>
          <w:b w:val="0"/>
          <w:bCs w:val="0"/>
          <w:sz w:val="20"/>
          <w:szCs w:val="20"/>
        </w:rPr>
      </w:pPr>
      <w:r w:rsidRPr="00080C49">
        <w:rPr>
          <w:rStyle w:val="Strong"/>
          <w:rFonts w:asciiTheme="majorHAnsi" w:hAnsiTheme="majorHAnsi" w:cstheme="minorHAnsi"/>
          <w:b w:val="0"/>
          <w:bCs w:val="0"/>
          <w:sz w:val="20"/>
          <w:szCs w:val="20"/>
        </w:rPr>
        <w:t xml:space="preserve">Por su parte, el Estado </w:t>
      </w:r>
      <w:r w:rsidR="00ED1EAF">
        <w:rPr>
          <w:rStyle w:val="Strong"/>
          <w:rFonts w:asciiTheme="majorHAnsi" w:hAnsiTheme="majorHAnsi" w:cstheme="minorHAnsi"/>
          <w:b w:val="0"/>
          <w:bCs w:val="0"/>
          <w:sz w:val="20"/>
          <w:szCs w:val="20"/>
        </w:rPr>
        <w:t xml:space="preserve">no presentó alegatos relacionados con el análisis de agotamiento de recursos internos. </w:t>
      </w:r>
      <w:r w:rsidR="00A2694F">
        <w:rPr>
          <w:rStyle w:val="Strong"/>
          <w:rFonts w:asciiTheme="majorHAnsi" w:hAnsiTheme="majorHAnsi" w:cstheme="minorHAnsi"/>
          <w:b w:val="0"/>
          <w:bCs w:val="0"/>
          <w:sz w:val="20"/>
          <w:szCs w:val="20"/>
        </w:rPr>
        <w:t>S</w:t>
      </w:r>
      <w:r w:rsidR="00ED1EAF">
        <w:rPr>
          <w:rStyle w:val="Strong"/>
          <w:rFonts w:asciiTheme="majorHAnsi" w:hAnsiTheme="majorHAnsi" w:cstheme="minorHAnsi"/>
          <w:b w:val="0"/>
          <w:bCs w:val="0"/>
          <w:sz w:val="20"/>
          <w:szCs w:val="20"/>
        </w:rPr>
        <w:t xml:space="preserve">e limitó a </w:t>
      </w:r>
      <w:r w:rsidRPr="00080C49">
        <w:rPr>
          <w:rStyle w:val="Strong"/>
          <w:rFonts w:asciiTheme="majorHAnsi" w:hAnsiTheme="majorHAnsi" w:cstheme="minorHAnsi"/>
          <w:b w:val="0"/>
          <w:bCs w:val="0"/>
          <w:sz w:val="20"/>
          <w:szCs w:val="20"/>
        </w:rPr>
        <w:t>argument</w:t>
      </w:r>
      <w:r w:rsidR="00ED1EAF">
        <w:rPr>
          <w:rStyle w:val="Strong"/>
          <w:rFonts w:asciiTheme="majorHAnsi" w:hAnsiTheme="majorHAnsi" w:cstheme="minorHAnsi"/>
          <w:b w:val="0"/>
          <w:bCs w:val="0"/>
          <w:sz w:val="20"/>
          <w:szCs w:val="20"/>
        </w:rPr>
        <w:t>ar</w:t>
      </w:r>
      <w:r w:rsidRPr="00080C49">
        <w:rPr>
          <w:rStyle w:val="Strong"/>
          <w:rFonts w:asciiTheme="majorHAnsi" w:hAnsiTheme="majorHAnsi" w:cstheme="minorHAnsi"/>
          <w:b w:val="0"/>
          <w:bCs w:val="0"/>
          <w:sz w:val="20"/>
          <w:szCs w:val="20"/>
        </w:rPr>
        <w:t xml:space="preserve"> que los hechos alegados no configuran violaciones de derechos humanos y que, en consecuencia, la petición debe ser declarada inadmisible de conformidad con el artículo 47.b</w:t>
      </w:r>
      <w:r w:rsidR="00A2694F">
        <w:rPr>
          <w:rStyle w:val="Strong"/>
          <w:rFonts w:asciiTheme="majorHAnsi" w:hAnsiTheme="majorHAnsi" w:cstheme="minorHAnsi"/>
          <w:b w:val="0"/>
          <w:bCs w:val="0"/>
          <w:sz w:val="20"/>
          <w:szCs w:val="20"/>
        </w:rPr>
        <w:t>)</w:t>
      </w:r>
      <w:r w:rsidRPr="00080C49">
        <w:rPr>
          <w:rStyle w:val="Strong"/>
          <w:rFonts w:asciiTheme="majorHAnsi" w:hAnsiTheme="majorHAnsi" w:cstheme="minorHAnsi"/>
          <w:b w:val="0"/>
          <w:bCs w:val="0"/>
          <w:sz w:val="20"/>
          <w:szCs w:val="20"/>
        </w:rPr>
        <w:t xml:space="preserve"> de la Convención Americana</w:t>
      </w:r>
      <w:r w:rsidR="00ED1EAF">
        <w:rPr>
          <w:rStyle w:val="Strong"/>
          <w:rFonts w:asciiTheme="majorHAnsi" w:hAnsiTheme="majorHAnsi" w:cstheme="minorHAnsi"/>
          <w:b w:val="0"/>
          <w:bCs w:val="0"/>
          <w:sz w:val="20"/>
          <w:szCs w:val="20"/>
        </w:rPr>
        <w:t>, lo cual será analizado en la siguiente sección</w:t>
      </w:r>
      <w:r w:rsidRPr="00080C49">
        <w:rPr>
          <w:rStyle w:val="Strong"/>
          <w:rFonts w:asciiTheme="majorHAnsi" w:hAnsiTheme="majorHAnsi" w:cstheme="minorHAnsi"/>
          <w:b w:val="0"/>
          <w:bCs w:val="0"/>
          <w:sz w:val="20"/>
          <w:szCs w:val="20"/>
        </w:rPr>
        <w:t xml:space="preserve">. </w:t>
      </w:r>
    </w:p>
    <w:p w14:paraId="0F9C1A12" w14:textId="6D5D8FCE" w:rsidR="00487BB5" w:rsidRPr="00487BB5" w:rsidRDefault="0032328A" w:rsidP="009C24FE">
      <w:pPr>
        <w:pStyle w:val="NormalWeb"/>
        <w:numPr>
          <w:ilvl w:val="0"/>
          <w:numId w:val="55"/>
        </w:numPr>
        <w:spacing w:before="240" w:beforeAutospacing="0" w:after="240" w:afterAutospacing="0"/>
        <w:ind w:left="0" w:firstLine="720"/>
        <w:jc w:val="both"/>
        <w:rPr>
          <w:rFonts w:asciiTheme="majorHAnsi" w:hAnsiTheme="majorHAnsi" w:cstheme="minorHAnsi"/>
          <w:sz w:val="20"/>
          <w:szCs w:val="20"/>
        </w:rPr>
      </w:pPr>
      <w:r w:rsidRPr="00080C49">
        <w:rPr>
          <w:rStyle w:val="Strong"/>
          <w:rFonts w:asciiTheme="majorHAnsi" w:hAnsiTheme="majorHAnsi" w:cstheme="minorHAnsi"/>
          <w:b w:val="0"/>
          <w:bCs w:val="0"/>
          <w:sz w:val="20"/>
          <w:szCs w:val="20"/>
        </w:rPr>
        <w:t xml:space="preserve">Con base en la información aportada por las partes, la Comisión </w:t>
      </w:r>
      <w:r w:rsidR="00ED1EAF">
        <w:rPr>
          <w:rStyle w:val="Strong"/>
          <w:rFonts w:asciiTheme="majorHAnsi" w:hAnsiTheme="majorHAnsi" w:cstheme="minorHAnsi"/>
          <w:b w:val="0"/>
          <w:bCs w:val="0"/>
          <w:sz w:val="20"/>
          <w:szCs w:val="20"/>
        </w:rPr>
        <w:t>recuerda</w:t>
      </w:r>
      <w:r w:rsidRPr="00080C49">
        <w:rPr>
          <w:rStyle w:val="Strong"/>
          <w:rFonts w:asciiTheme="majorHAnsi" w:hAnsiTheme="majorHAnsi" w:cstheme="minorHAnsi"/>
          <w:b w:val="0"/>
          <w:bCs w:val="0"/>
          <w:sz w:val="20"/>
          <w:szCs w:val="20"/>
        </w:rPr>
        <w:t xml:space="preserve"> </w:t>
      </w:r>
      <w:r w:rsidR="00487BB5">
        <w:rPr>
          <w:rStyle w:val="Strong"/>
          <w:rFonts w:asciiTheme="majorHAnsi" w:hAnsiTheme="majorHAnsi" w:cstheme="minorHAnsi"/>
          <w:b w:val="0"/>
          <w:bCs w:val="0"/>
          <w:sz w:val="20"/>
          <w:szCs w:val="20"/>
        </w:rPr>
        <w:t>s</w:t>
      </w:r>
      <w:r w:rsidR="00487BB5" w:rsidRPr="00E41950">
        <w:rPr>
          <w:rFonts w:ascii="Cambria" w:hAnsi="Cambria"/>
          <w:sz w:val="20"/>
          <w:szCs w:val="20"/>
          <w:lang w:val="es-ES"/>
        </w:rPr>
        <w:t>u posición constante según la cual</w:t>
      </w:r>
      <w:r w:rsidR="00487BB5">
        <w:rPr>
          <w:rFonts w:ascii="Cambria" w:hAnsi="Cambria"/>
          <w:sz w:val="20"/>
          <w:szCs w:val="20"/>
          <w:lang w:val="es-ES"/>
        </w:rPr>
        <w:t xml:space="preserve"> </w:t>
      </w:r>
      <w:r w:rsidR="006E1327">
        <w:rPr>
          <w:rStyle w:val="Strong"/>
          <w:rFonts w:asciiTheme="majorHAnsi" w:hAnsiTheme="majorHAnsi" w:cstheme="minorHAnsi"/>
          <w:b w:val="0"/>
          <w:bCs w:val="0"/>
          <w:sz w:val="20"/>
          <w:szCs w:val="20"/>
          <w:lang w:val="es-ES"/>
        </w:rPr>
        <w:t>ante</w:t>
      </w:r>
      <w:r w:rsidR="00ED1EAF">
        <w:rPr>
          <w:rStyle w:val="Strong"/>
          <w:rFonts w:asciiTheme="majorHAnsi" w:hAnsiTheme="majorHAnsi" w:cstheme="minorHAnsi"/>
          <w:b w:val="0"/>
          <w:bCs w:val="0"/>
          <w:sz w:val="20"/>
          <w:szCs w:val="20"/>
        </w:rPr>
        <w:t xml:space="preserve"> alegatos </w:t>
      </w:r>
      <w:r w:rsidR="006E1327">
        <w:rPr>
          <w:rStyle w:val="Strong"/>
          <w:rFonts w:asciiTheme="majorHAnsi" w:hAnsiTheme="majorHAnsi" w:cstheme="minorHAnsi"/>
          <w:b w:val="0"/>
          <w:bCs w:val="0"/>
          <w:sz w:val="20"/>
          <w:szCs w:val="20"/>
        </w:rPr>
        <w:t>consistentes en</w:t>
      </w:r>
      <w:r w:rsidR="00ED1EAF">
        <w:rPr>
          <w:rStyle w:val="Strong"/>
          <w:rFonts w:asciiTheme="majorHAnsi" w:hAnsiTheme="majorHAnsi" w:cstheme="minorHAnsi"/>
          <w:b w:val="0"/>
          <w:bCs w:val="0"/>
          <w:sz w:val="20"/>
          <w:szCs w:val="20"/>
        </w:rPr>
        <w:t xml:space="preserve"> afectaciones al debido proceso</w:t>
      </w:r>
      <w:r w:rsidR="00487BB5">
        <w:rPr>
          <w:rStyle w:val="Strong"/>
          <w:rFonts w:asciiTheme="majorHAnsi" w:hAnsiTheme="majorHAnsi" w:cstheme="minorHAnsi"/>
          <w:b w:val="0"/>
          <w:bCs w:val="0"/>
          <w:sz w:val="20"/>
          <w:szCs w:val="20"/>
        </w:rPr>
        <w:t xml:space="preserve"> penal</w:t>
      </w:r>
      <w:r w:rsidR="00487BB5" w:rsidRPr="00E41950">
        <w:rPr>
          <w:rFonts w:ascii="Cambria" w:hAnsi="Cambria"/>
          <w:sz w:val="20"/>
          <w:szCs w:val="20"/>
          <w:lang w:val="es-US"/>
        </w:rPr>
        <w:t>, el recurso idóneo que se ha de agotar a nivel doméstico es la vía penal ordinaria</w:t>
      </w:r>
      <w:r w:rsidR="00487BB5">
        <w:rPr>
          <w:rFonts w:ascii="Cambria" w:hAnsi="Cambria"/>
          <w:sz w:val="20"/>
          <w:szCs w:val="20"/>
          <w:lang w:val="es-US"/>
        </w:rPr>
        <w:t xml:space="preserve">. </w:t>
      </w:r>
    </w:p>
    <w:p w14:paraId="14A28972" w14:textId="1A28895C" w:rsidR="00080C49" w:rsidRDefault="006E1327" w:rsidP="009C24FE">
      <w:pPr>
        <w:pStyle w:val="NormalWeb"/>
        <w:numPr>
          <w:ilvl w:val="0"/>
          <w:numId w:val="55"/>
        </w:numPr>
        <w:spacing w:before="240" w:beforeAutospacing="0" w:after="240" w:afterAutospacing="0"/>
        <w:ind w:left="0" w:firstLine="720"/>
        <w:jc w:val="both"/>
        <w:rPr>
          <w:rStyle w:val="Strong"/>
          <w:rFonts w:asciiTheme="majorHAnsi" w:hAnsiTheme="majorHAnsi" w:cstheme="minorHAnsi"/>
          <w:b w:val="0"/>
          <w:bCs w:val="0"/>
          <w:sz w:val="20"/>
          <w:szCs w:val="20"/>
        </w:rPr>
      </w:pPr>
      <w:r>
        <w:rPr>
          <w:rStyle w:val="Strong"/>
          <w:rFonts w:asciiTheme="majorHAnsi" w:hAnsiTheme="majorHAnsi" w:cstheme="minorHAnsi"/>
          <w:b w:val="0"/>
          <w:bCs w:val="0"/>
          <w:sz w:val="20"/>
          <w:szCs w:val="20"/>
        </w:rPr>
        <w:t>En el presente caso n</w:t>
      </w:r>
      <w:r w:rsidR="00ED1EAF">
        <w:rPr>
          <w:rStyle w:val="Strong"/>
          <w:rFonts w:asciiTheme="majorHAnsi" w:hAnsiTheme="majorHAnsi" w:cstheme="minorHAnsi"/>
          <w:b w:val="0"/>
          <w:bCs w:val="0"/>
          <w:sz w:val="20"/>
          <w:szCs w:val="20"/>
        </w:rPr>
        <w:t xml:space="preserve">o existe controversia </w:t>
      </w:r>
      <w:r w:rsidR="00E5453F">
        <w:rPr>
          <w:rStyle w:val="Strong"/>
          <w:rFonts w:asciiTheme="majorHAnsi" w:hAnsiTheme="majorHAnsi" w:cstheme="minorHAnsi"/>
          <w:b w:val="0"/>
          <w:bCs w:val="0"/>
          <w:sz w:val="20"/>
          <w:szCs w:val="20"/>
        </w:rPr>
        <w:t>en cuanto a</w:t>
      </w:r>
      <w:r w:rsidR="00ED1EAF">
        <w:rPr>
          <w:rStyle w:val="Strong"/>
          <w:rFonts w:asciiTheme="majorHAnsi" w:hAnsiTheme="majorHAnsi" w:cstheme="minorHAnsi"/>
          <w:b w:val="0"/>
          <w:bCs w:val="0"/>
          <w:sz w:val="20"/>
          <w:szCs w:val="20"/>
        </w:rPr>
        <w:t xml:space="preserve"> que</w:t>
      </w:r>
      <w:r w:rsidR="009643E8">
        <w:rPr>
          <w:rStyle w:val="Strong"/>
          <w:rFonts w:asciiTheme="majorHAnsi" w:hAnsiTheme="majorHAnsi" w:cstheme="minorHAnsi"/>
          <w:b w:val="0"/>
          <w:bCs w:val="0"/>
          <w:sz w:val="20"/>
          <w:szCs w:val="20"/>
        </w:rPr>
        <w:t>:</w:t>
      </w:r>
      <w:r w:rsidR="0032328A" w:rsidRPr="00080C49">
        <w:rPr>
          <w:rStyle w:val="Strong"/>
          <w:rFonts w:asciiTheme="majorHAnsi" w:hAnsiTheme="majorHAnsi" w:cstheme="minorHAnsi"/>
          <w:b w:val="0"/>
          <w:bCs w:val="0"/>
          <w:sz w:val="20"/>
          <w:szCs w:val="20"/>
        </w:rPr>
        <w:t xml:space="preserve"> el señor Delvalle fue </w:t>
      </w:r>
      <w:r w:rsidR="00ED1EAF">
        <w:rPr>
          <w:rStyle w:val="Strong"/>
          <w:rFonts w:asciiTheme="majorHAnsi" w:hAnsiTheme="majorHAnsi" w:cstheme="minorHAnsi"/>
          <w:b w:val="0"/>
          <w:bCs w:val="0"/>
          <w:sz w:val="20"/>
          <w:szCs w:val="20"/>
        </w:rPr>
        <w:t xml:space="preserve">procesado y </w:t>
      </w:r>
      <w:r w:rsidR="0032328A" w:rsidRPr="00080C49">
        <w:rPr>
          <w:rStyle w:val="Strong"/>
          <w:rFonts w:asciiTheme="majorHAnsi" w:hAnsiTheme="majorHAnsi" w:cstheme="minorHAnsi"/>
          <w:b w:val="0"/>
          <w:bCs w:val="0"/>
          <w:sz w:val="20"/>
          <w:szCs w:val="20"/>
        </w:rPr>
        <w:t>condenado el 31 de julio de 2014</w:t>
      </w:r>
      <w:r w:rsidR="00ED1EAF">
        <w:rPr>
          <w:rStyle w:val="Strong"/>
          <w:rFonts w:asciiTheme="majorHAnsi" w:hAnsiTheme="majorHAnsi" w:cstheme="minorHAnsi"/>
          <w:b w:val="0"/>
          <w:bCs w:val="0"/>
          <w:sz w:val="20"/>
          <w:szCs w:val="20"/>
        </w:rPr>
        <w:t>;</w:t>
      </w:r>
      <w:r w:rsidR="0032328A" w:rsidRPr="00080C49">
        <w:rPr>
          <w:rStyle w:val="Strong"/>
          <w:rFonts w:asciiTheme="majorHAnsi" w:hAnsiTheme="majorHAnsi" w:cstheme="minorHAnsi"/>
          <w:b w:val="0"/>
          <w:bCs w:val="0"/>
          <w:sz w:val="20"/>
          <w:szCs w:val="20"/>
        </w:rPr>
        <w:t xml:space="preserve"> </w:t>
      </w:r>
      <w:r w:rsidR="00E5453F">
        <w:rPr>
          <w:rStyle w:val="Strong"/>
          <w:rFonts w:asciiTheme="majorHAnsi" w:hAnsiTheme="majorHAnsi" w:cstheme="minorHAnsi"/>
          <w:b w:val="0"/>
          <w:bCs w:val="0"/>
          <w:sz w:val="20"/>
          <w:szCs w:val="20"/>
        </w:rPr>
        <w:t>y</w:t>
      </w:r>
      <w:r w:rsidR="009F502C">
        <w:rPr>
          <w:rStyle w:val="Strong"/>
          <w:rFonts w:asciiTheme="majorHAnsi" w:hAnsiTheme="majorHAnsi" w:cstheme="minorHAnsi"/>
          <w:b w:val="0"/>
          <w:bCs w:val="0"/>
          <w:sz w:val="20"/>
          <w:szCs w:val="20"/>
        </w:rPr>
        <w:t xml:space="preserve"> </w:t>
      </w:r>
      <w:r w:rsidR="00E5453F">
        <w:rPr>
          <w:rStyle w:val="Strong"/>
          <w:rFonts w:asciiTheme="majorHAnsi" w:hAnsiTheme="majorHAnsi" w:cstheme="minorHAnsi"/>
          <w:b w:val="0"/>
          <w:bCs w:val="0"/>
          <w:sz w:val="20"/>
          <w:szCs w:val="20"/>
        </w:rPr>
        <w:t xml:space="preserve">que </w:t>
      </w:r>
      <w:r w:rsidR="0032328A" w:rsidRPr="00080C49">
        <w:rPr>
          <w:rStyle w:val="Strong"/>
          <w:rFonts w:asciiTheme="majorHAnsi" w:hAnsiTheme="majorHAnsi" w:cstheme="minorHAnsi"/>
          <w:b w:val="0"/>
          <w:bCs w:val="0"/>
          <w:sz w:val="20"/>
          <w:szCs w:val="20"/>
        </w:rPr>
        <w:t xml:space="preserve">la Corte Suprema de Justicia, </w:t>
      </w:r>
      <w:r w:rsidR="009F502C">
        <w:rPr>
          <w:rStyle w:val="Strong"/>
          <w:rFonts w:asciiTheme="majorHAnsi" w:hAnsiTheme="majorHAnsi" w:cstheme="minorHAnsi"/>
          <w:b w:val="0"/>
          <w:bCs w:val="0"/>
          <w:sz w:val="20"/>
          <w:szCs w:val="20"/>
        </w:rPr>
        <w:t>frente a un</w:t>
      </w:r>
      <w:r w:rsidR="0032328A" w:rsidRPr="00080C49">
        <w:rPr>
          <w:rStyle w:val="Strong"/>
          <w:rFonts w:asciiTheme="majorHAnsi" w:hAnsiTheme="majorHAnsi" w:cstheme="minorHAnsi"/>
          <w:b w:val="0"/>
          <w:bCs w:val="0"/>
          <w:sz w:val="20"/>
          <w:szCs w:val="20"/>
        </w:rPr>
        <w:t xml:space="preserve"> recurso de casación directa, confirmó dicha condena el 30 de diciembre de 2015. </w:t>
      </w:r>
      <w:r w:rsidR="00ED1EAF">
        <w:rPr>
          <w:rStyle w:val="Strong"/>
          <w:rFonts w:asciiTheme="majorHAnsi" w:hAnsiTheme="majorHAnsi" w:cstheme="minorHAnsi"/>
          <w:b w:val="0"/>
          <w:bCs w:val="0"/>
          <w:sz w:val="20"/>
          <w:szCs w:val="20"/>
        </w:rPr>
        <w:t xml:space="preserve">Ninguna de las partes hizo referencia a otros recursos que deban haber sido agotados. </w:t>
      </w:r>
    </w:p>
    <w:p w14:paraId="1CF808C0" w14:textId="47DC2F92" w:rsidR="00080C49" w:rsidRDefault="0032328A" w:rsidP="009C24FE">
      <w:pPr>
        <w:pStyle w:val="NormalWeb"/>
        <w:numPr>
          <w:ilvl w:val="0"/>
          <w:numId w:val="55"/>
        </w:numPr>
        <w:spacing w:before="240" w:beforeAutospacing="0" w:after="240" w:afterAutospacing="0"/>
        <w:ind w:left="0" w:firstLine="720"/>
        <w:jc w:val="both"/>
        <w:rPr>
          <w:rStyle w:val="Strong"/>
          <w:rFonts w:asciiTheme="majorHAnsi" w:hAnsiTheme="majorHAnsi" w:cstheme="minorHAnsi"/>
          <w:b w:val="0"/>
          <w:bCs w:val="0"/>
          <w:sz w:val="20"/>
          <w:szCs w:val="20"/>
        </w:rPr>
      </w:pPr>
      <w:r w:rsidRPr="00080C49">
        <w:rPr>
          <w:rStyle w:val="Strong"/>
          <w:rFonts w:asciiTheme="majorHAnsi" w:hAnsiTheme="majorHAnsi" w:cstheme="minorHAnsi"/>
          <w:b w:val="0"/>
          <w:bCs w:val="0"/>
          <w:sz w:val="20"/>
          <w:szCs w:val="20"/>
        </w:rPr>
        <w:t>En consecuencia, la Comisión considera que</w:t>
      </w:r>
      <w:r w:rsidR="00ED1EAF">
        <w:rPr>
          <w:rStyle w:val="Strong"/>
          <w:rFonts w:asciiTheme="majorHAnsi" w:hAnsiTheme="majorHAnsi" w:cstheme="minorHAnsi"/>
          <w:b w:val="0"/>
          <w:bCs w:val="0"/>
          <w:sz w:val="20"/>
          <w:szCs w:val="20"/>
        </w:rPr>
        <w:t xml:space="preserve"> con la decisión de la Corte Suprema de Justicia referida en el párrafo anterior</w:t>
      </w:r>
      <w:r w:rsidRPr="00080C49">
        <w:rPr>
          <w:rStyle w:val="Strong"/>
          <w:rFonts w:asciiTheme="majorHAnsi" w:hAnsiTheme="majorHAnsi" w:cstheme="minorHAnsi"/>
          <w:b w:val="0"/>
          <w:bCs w:val="0"/>
          <w:sz w:val="20"/>
          <w:szCs w:val="20"/>
        </w:rPr>
        <w:t xml:space="preserve"> la petición cumpl</w:t>
      </w:r>
      <w:r w:rsidR="00ED1EAF">
        <w:rPr>
          <w:rStyle w:val="Strong"/>
          <w:rFonts w:asciiTheme="majorHAnsi" w:hAnsiTheme="majorHAnsi" w:cstheme="minorHAnsi"/>
          <w:b w:val="0"/>
          <w:bCs w:val="0"/>
          <w:sz w:val="20"/>
          <w:szCs w:val="20"/>
        </w:rPr>
        <w:t>ió</w:t>
      </w:r>
      <w:r w:rsidRPr="00080C49">
        <w:rPr>
          <w:rStyle w:val="Strong"/>
          <w:rFonts w:asciiTheme="majorHAnsi" w:hAnsiTheme="majorHAnsi" w:cstheme="minorHAnsi"/>
          <w:b w:val="0"/>
          <w:bCs w:val="0"/>
          <w:sz w:val="20"/>
          <w:szCs w:val="20"/>
        </w:rPr>
        <w:t xml:space="preserve"> con el requisito de agotamiento de los recursos internos, conforme a lo dispuesto en el artículo 46.1.a</w:t>
      </w:r>
      <w:r w:rsidR="00D56AB1">
        <w:rPr>
          <w:rStyle w:val="Strong"/>
          <w:rFonts w:asciiTheme="majorHAnsi" w:hAnsiTheme="majorHAnsi" w:cstheme="minorHAnsi"/>
          <w:b w:val="0"/>
          <w:bCs w:val="0"/>
          <w:sz w:val="20"/>
          <w:szCs w:val="20"/>
        </w:rPr>
        <w:t>)</w:t>
      </w:r>
      <w:r w:rsidRPr="00080C49">
        <w:rPr>
          <w:rStyle w:val="Strong"/>
          <w:rFonts w:asciiTheme="majorHAnsi" w:hAnsiTheme="majorHAnsi" w:cstheme="minorHAnsi"/>
          <w:b w:val="0"/>
          <w:bCs w:val="0"/>
          <w:sz w:val="20"/>
          <w:szCs w:val="20"/>
        </w:rPr>
        <w:t xml:space="preserve"> de la Convención Americana y el artículo 31 de su Reglamento.</w:t>
      </w:r>
    </w:p>
    <w:p w14:paraId="358BCF87" w14:textId="76BC7FE3" w:rsidR="00F5075C" w:rsidRPr="00F5075C" w:rsidRDefault="00D56AB1" w:rsidP="00D12001">
      <w:pPr>
        <w:pStyle w:val="NormalWeb"/>
        <w:numPr>
          <w:ilvl w:val="0"/>
          <w:numId w:val="55"/>
        </w:numPr>
        <w:spacing w:before="240" w:beforeAutospacing="0" w:after="240" w:afterAutospacing="0"/>
        <w:ind w:left="0" w:firstLine="720"/>
        <w:jc w:val="both"/>
        <w:rPr>
          <w:rStyle w:val="Strong"/>
          <w:rFonts w:asciiTheme="majorHAnsi" w:hAnsiTheme="majorHAnsi"/>
          <w:sz w:val="20"/>
          <w:szCs w:val="20"/>
          <w:lang w:val="es-ES"/>
        </w:rPr>
      </w:pPr>
      <w:r w:rsidRPr="00F5075C">
        <w:rPr>
          <w:rStyle w:val="Strong"/>
          <w:rFonts w:asciiTheme="majorHAnsi" w:hAnsiTheme="majorHAnsi" w:cstheme="minorHAnsi"/>
          <w:b w:val="0"/>
          <w:bCs w:val="0"/>
          <w:sz w:val="20"/>
          <w:szCs w:val="20"/>
        </w:rPr>
        <w:t>Con respecto al</w:t>
      </w:r>
      <w:r w:rsidR="0032328A" w:rsidRPr="00F5075C">
        <w:rPr>
          <w:rStyle w:val="Strong"/>
          <w:rFonts w:asciiTheme="majorHAnsi" w:hAnsiTheme="majorHAnsi" w:cstheme="minorHAnsi"/>
          <w:b w:val="0"/>
          <w:bCs w:val="0"/>
          <w:sz w:val="20"/>
          <w:szCs w:val="20"/>
        </w:rPr>
        <w:t xml:space="preserve"> plazo de presentación, la Comisión observa que la sentencia definitiva</w:t>
      </w:r>
      <w:r w:rsidR="00ED1EAF" w:rsidRPr="00F5075C">
        <w:rPr>
          <w:rStyle w:val="Strong"/>
          <w:rFonts w:asciiTheme="majorHAnsi" w:hAnsiTheme="majorHAnsi" w:cstheme="minorHAnsi"/>
          <w:b w:val="0"/>
          <w:bCs w:val="0"/>
          <w:sz w:val="20"/>
          <w:szCs w:val="20"/>
        </w:rPr>
        <w:t xml:space="preserve"> de la Corte Suprema de Justicia</w:t>
      </w:r>
      <w:r w:rsidR="0032328A" w:rsidRPr="00F5075C">
        <w:rPr>
          <w:rStyle w:val="Strong"/>
          <w:rFonts w:asciiTheme="majorHAnsi" w:hAnsiTheme="majorHAnsi" w:cstheme="minorHAnsi"/>
          <w:b w:val="0"/>
          <w:bCs w:val="0"/>
          <w:sz w:val="20"/>
          <w:szCs w:val="20"/>
        </w:rPr>
        <w:t xml:space="preserve"> fue notificada el 8 de febrero de 2016</w:t>
      </w:r>
      <w:r w:rsidR="00B87305" w:rsidRPr="00F5075C">
        <w:rPr>
          <w:rStyle w:val="Strong"/>
          <w:rFonts w:asciiTheme="majorHAnsi" w:hAnsiTheme="majorHAnsi" w:cstheme="minorHAnsi"/>
          <w:b w:val="0"/>
          <w:bCs w:val="0"/>
          <w:sz w:val="20"/>
          <w:szCs w:val="20"/>
        </w:rPr>
        <w:t>,</w:t>
      </w:r>
      <w:r w:rsidR="0032328A" w:rsidRPr="00F5075C">
        <w:rPr>
          <w:rStyle w:val="Strong"/>
          <w:rFonts w:asciiTheme="majorHAnsi" w:hAnsiTheme="majorHAnsi" w:cstheme="minorHAnsi"/>
          <w:b w:val="0"/>
          <w:bCs w:val="0"/>
          <w:sz w:val="20"/>
          <w:szCs w:val="20"/>
        </w:rPr>
        <w:t xml:space="preserve"> y que la petición fue presentada el 8 de agosto de 2016, dentro del plazo de seis meses establecido en el artículo 46.1.b</w:t>
      </w:r>
      <w:r w:rsidR="007A41E3" w:rsidRPr="00F5075C">
        <w:rPr>
          <w:rStyle w:val="Strong"/>
          <w:rFonts w:asciiTheme="majorHAnsi" w:hAnsiTheme="majorHAnsi" w:cstheme="minorHAnsi"/>
          <w:b w:val="0"/>
          <w:bCs w:val="0"/>
          <w:sz w:val="20"/>
          <w:szCs w:val="20"/>
        </w:rPr>
        <w:t>)</w:t>
      </w:r>
      <w:r w:rsidR="0032328A" w:rsidRPr="00F5075C">
        <w:rPr>
          <w:rStyle w:val="Strong"/>
          <w:rFonts w:asciiTheme="majorHAnsi" w:hAnsiTheme="majorHAnsi" w:cstheme="minorHAnsi"/>
          <w:b w:val="0"/>
          <w:bCs w:val="0"/>
          <w:sz w:val="20"/>
          <w:szCs w:val="20"/>
        </w:rPr>
        <w:t xml:space="preserve"> de la Convención Americana</w:t>
      </w:r>
      <w:bookmarkStart w:id="2" w:name="_Hlk213612678"/>
      <w:r w:rsidR="00ED1EAF" w:rsidRPr="00F5075C">
        <w:rPr>
          <w:rStyle w:val="Strong"/>
          <w:rFonts w:asciiTheme="majorHAnsi" w:hAnsiTheme="majorHAnsi" w:cstheme="minorHAnsi"/>
          <w:b w:val="0"/>
          <w:bCs w:val="0"/>
          <w:sz w:val="20"/>
          <w:szCs w:val="20"/>
        </w:rPr>
        <w:t xml:space="preserve">. </w:t>
      </w:r>
      <w:r w:rsidR="0032328A" w:rsidRPr="00F5075C">
        <w:rPr>
          <w:rFonts w:asciiTheme="majorHAnsi" w:hAnsiTheme="majorHAnsi" w:cstheme="minorHAnsi"/>
          <w:sz w:val="20"/>
          <w:szCs w:val="20"/>
        </w:rPr>
        <w:t xml:space="preserve">En virtud de lo anterior, la Comisión concluye que la </w:t>
      </w:r>
      <w:r w:rsidR="0032328A" w:rsidRPr="00F5075C">
        <w:rPr>
          <w:rStyle w:val="Strong"/>
          <w:rFonts w:asciiTheme="majorHAnsi" w:hAnsiTheme="majorHAnsi" w:cstheme="minorHAnsi"/>
          <w:b w:val="0"/>
          <w:bCs w:val="0"/>
          <w:sz w:val="20"/>
          <w:szCs w:val="20"/>
        </w:rPr>
        <w:t xml:space="preserve">presente petición cumple con </w:t>
      </w:r>
      <w:r w:rsidR="006F4F96" w:rsidRPr="00F5075C">
        <w:rPr>
          <w:rStyle w:val="Strong"/>
          <w:rFonts w:asciiTheme="majorHAnsi" w:hAnsiTheme="majorHAnsi" w:cstheme="minorHAnsi"/>
          <w:b w:val="0"/>
          <w:bCs w:val="0"/>
          <w:sz w:val="20"/>
          <w:szCs w:val="20"/>
        </w:rPr>
        <w:t xml:space="preserve">el </w:t>
      </w:r>
      <w:r w:rsidR="007A2A67">
        <w:rPr>
          <w:rStyle w:val="Strong"/>
          <w:rFonts w:asciiTheme="majorHAnsi" w:hAnsiTheme="majorHAnsi" w:cstheme="minorHAnsi"/>
          <w:b w:val="0"/>
          <w:bCs w:val="0"/>
          <w:sz w:val="20"/>
          <w:szCs w:val="20"/>
        </w:rPr>
        <w:t xml:space="preserve">citado </w:t>
      </w:r>
      <w:r w:rsidR="00FD7130" w:rsidRPr="00F5075C">
        <w:rPr>
          <w:rStyle w:val="Strong"/>
          <w:rFonts w:asciiTheme="majorHAnsi" w:hAnsiTheme="majorHAnsi" w:cstheme="minorHAnsi"/>
          <w:b w:val="0"/>
          <w:bCs w:val="0"/>
          <w:sz w:val="20"/>
          <w:szCs w:val="20"/>
        </w:rPr>
        <w:t>requisito</w:t>
      </w:r>
      <w:r w:rsidR="006F4F96" w:rsidRPr="00F5075C">
        <w:rPr>
          <w:rStyle w:val="Strong"/>
          <w:rFonts w:asciiTheme="majorHAnsi" w:hAnsiTheme="majorHAnsi" w:cstheme="minorHAnsi"/>
          <w:b w:val="0"/>
          <w:bCs w:val="0"/>
          <w:sz w:val="20"/>
          <w:szCs w:val="20"/>
        </w:rPr>
        <w:t xml:space="preserve"> </w:t>
      </w:r>
      <w:r w:rsidR="007A2A67">
        <w:rPr>
          <w:rStyle w:val="Strong"/>
          <w:rFonts w:asciiTheme="majorHAnsi" w:hAnsiTheme="majorHAnsi" w:cstheme="minorHAnsi"/>
          <w:b w:val="0"/>
          <w:bCs w:val="0"/>
          <w:sz w:val="20"/>
          <w:szCs w:val="20"/>
        </w:rPr>
        <w:t>de admisibilidad.</w:t>
      </w:r>
      <w:r w:rsidR="006F4F96" w:rsidRPr="00F5075C">
        <w:rPr>
          <w:rStyle w:val="Strong"/>
          <w:rFonts w:asciiTheme="majorHAnsi" w:hAnsiTheme="majorHAnsi" w:cstheme="minorHAnsi"/>
          <w:b w:val="0"/>
          <w:bCs w:val="0"/>
          <w:sz w:val="20"/>
          <w:szCs w:val="20"/>
        </w:rPr>
        <w:t xml:space="preserve"> </w:t>
      </w:r>
      <w:bookmarkEnd w:id="2"/>
    </w:p>
    <w:p w14:paraId="673598AF" w14:textId="18BA1387" w:rsidR="003239B8" w:rsidRPr="00F5075C" w:rsidRDefault="003239B8" w:rsidP="00F5075C">
      <w:pPr>
        <w:pStyle w:val="NormalWeb"/>
        <w:spacing w:before="240" w:beforeAutospacing="0" w:after="240" w:afterAutospacing="0"/>
        <w:ind w:left="720"/>
        <w:jc w:val="both"/>
        <w:rPr>
          <w:rFonts w:asciiTheme="majorHAnsi" w:hAnsiTheme="majorHAnsi"/>
          <w:b/>
          <w:bCs/>
          <w:sz w:val="20"/>
          <w:szCs w:val="20"/>
          <w:lang w:val="es-ES"/>
        </w:rPr>
      </w:pPr>
      <w:r w:rsidRPr="00F5075C">
        <w:rPr>
          <w:rFonts w:asciiTheme="majorHAnsi" w:hAnsiTheme="majorHAnsi"/>
          <w:b/>
          <w:bCs/>
          <w:sz w:val="20"/>
          <w:szCs w:val="20"/>
          <w:lang w:val="es-ES"/>
        </w:rPr>
        <w:t>VII.</w:t>
      </w:r>
      <w:r w:rsidRPr="00F5075C">
        <w:rPr>
          <w:rFonts w:asciiTheme="majorHAnsi" w:hAnsiTheme="majorHAnsi"/>
          <w:b/>
          <w:bCs/>
          <w:sz w:val="20"/>
          <w:szCs w:val="20"/>
          <w:lang w:val="es-ES"/>
        </w:rPr>
        <w:tab/>
      </w:r>
      <w:r w:rsidR="004A6A54" w:rsidRPr="00F5075C">
        <w:rPr>
          <w:rFonts w:asciiTheme="majorHAnsi" w:hAnsiTheme="majorHAnsi"/>
          <w:b/>
          <w:bCs/>
          <w:sz w:val="20"/>
          <w:szCs w:val="20"/>
          <w:lang w:val="es-ES"/>
        </w:rPr>
        <w:t xml:space="preserve">ANÁLISIS DE </w:t>
      </w:r>
      <w:r w:rsidR="00C21FEF" w:rsidRPr="00F5075C">
        <w:rPr>
          <w:rFonts w:asciiTheme="majorHAnsi" w:hAnsiTheme="majorHAnsi"/>
          <w:b/>
          <w:bCs/>
          <w:sz w:val="20"/>
          <w:szCs w:val="20"/>
          <w:lang w:val="es-ES"/>
        </w:rPr>
        <w:t>CARACTERIZACIÓN DE LOS HECHOS ALEGADOS</w:t>
      </w:r>
    </w:p>
    <w:p w14:paraId="5BB27BCB" w14:textId="087C3134" w:rsidR="00487BB5" w:rsidRPr="00487BB5" w:rsidRDefault="00487BB5" w:rsidP="009C24FE">
      <w:pPr>
        <w:pStyle w:val="NormalWeb"/>
        <w:numPr>
          <w:ilvl w:val="0"/>
          <w:numId w:val="55"/>
        </w:numPr>
        <w:spacing w:before="240" w:beforeAutospacing="0" w:after="240" w:afterAutospacing="0"/>
        <w:ind w:left="0" w:firstLine="720"/>
        <w:jc w:val="both"/>
        <w:rPr>
          <w:rFonts w:asciiTheme="majorHAnsi" w:hAnsiTheme="majorHAnsi" w:cstheme="minorHAnsi"/>
          <w:sz w:val="20"/>
          <w:szCs w:val="20"/>
        </w:rPr>
      </w:pPr>
      <w:r w:rsidRPr="00487BB5">
        <w:rPr>
          <w:rFonts w:asciiTheme="majorHAnsi" w:hAnsiTheme="majorHAnsi"/>
          <w:sz w:val="20"/>
          <w:szCs w:val="20"/>
        </w:rPr>
        <w:t xml:space="preserve">Preliminarmente la Comisión toma nota de los planteamientos presentados por el Estado respecto a que la petición pretende improcedentemente que la Comisión actúe como una cuarta instancia. Al respecto, la Comisión recuerda que en el </w:t>
      </w:r>
      <w:r w:rsidRPr="00487BB5">
        <w:rPr>
          <w:rFonts w:asciiTheme="majorHAnsi" w:hAnsiTheme="majorHAnsi"/>
          <w:i/>
          <w:iCs/>
          <w:sz w:val="20"/>
          <w:szCs w:val="20"/>
        </w:rPr>
        <w:t>Caso Cabrera García y Montiel Flores Vs. México</w:t>
      </w:r>
      <w:r w:rsidRPr="00487BB5">
        <w:rPr>
          <w:rFonts w:asciiTheme="majorHAnsi" w:hAnsiTheme="majorHAnsi"/>
          <w:sz w:val="20"/>
          <w:szCs w:val="20"/>
        </w:rPr>
        <w:t xml:space="preserve">, la Corte Interamericana indicó lo siguiente sobre la posible procedencia de este argumento: </w:t>
      </w:r>
    </w:p>
    <w:p w14:paraId="34D32251" w14:textId="18268C22" w:rsidR="00487BB5" w:rsidRPr="00487BB5" w:rsidRDefault="007A2A67" w:rsidP="007A2A67">
      <w:pPr>
        <w:pStyle w:val="parrafos"/>
        <w:numPr>
          <w:ilvl w:val="0"/>
          <w:numId w:val="0"/>
        </w:numPr>
        <w:spacing w:before="240" w:after="240"/>
        <w:ind w:left="720" w:right="720"/>
        <w:rPr>
          <w:color w:val="auto"/>
          <w:sz w:val="18"/>
          <w:szCs w:val="18"/>
        </w:rPr>
      </w:pPr>
      <w:r>
        <w:rPr>
          <w:color w:val="auto"/>
          <w:sz w:val="18"/>
          <w:szCs w:val="18"/>
        </w:rPr>
        <w:t>[</w:t>
      </w:r>
      <w:r w:rsidR="00487BB5" w:rsidRPr="00F76F41">
        <w:rPr>
          <w:color w:val="auto"/>
          <w:sz w:val="18"/>
          <w:szCs w:val="18"/>
        </w:rPr>
        <w:t>…</w:t>
      </w:r>
      <w:r>
        <w:rPr>
          <w:color w:val="auto"/>
          <w:sz w:val="18"/>
          <w:szCs w:val="18"/>
        </w:rPr>
        <w:t>]</w:t>
      </w:r>
      <w:r w:rsidR="00487BB5" w:rsidRPr="00F76F41">
        <w:rPr>
          <w:color w:val="auto"/>
          <w:sz w:val="18"/>
          <w:szCs w:val="18"/>
        </w:rPr>
        <w:t xml:space="preserve"> sería necesario que el solicitante busque que la Corte revise el fallo de un tribunal interno, sin que, a la vez, se alegue que tal fallo incurrió en una violación de tratados internacionales respecto de los que tenga competencia el Tribunal. </w:t>
      </w:r>
      <w:r w:rsidR="00C56CE3">
        <w:rPr>
          <w:color w:val="auto"/>
          <w:sz w:val="18"/>
          <w:szCs w:val="18"/>
        </w:rPr>
        <w:t>[</w:t>
      </w:r>
      <w:r w:rsidR="00487BB5" w:rsidRPr="00F76F41">
        <w:rPr>
          <w:color w:val="auto"/>
          <w:sz w:val="18"/>
          <w:szCs w:val="18"/>
        </w:rPr>
        <w:t>…</w:t>
      </w:r>
      <w:r w:rsidR="00C56CE3">
        <w:rPr>
          <w:color w:val="auto"/>
          <w:sz w:val="18"/>
          <w:szCs w:val="18"/>
        </w:rPr>
        <w:t>]</w:t>
      </w:r>
      <w:r w:rsidR="00487BB5" w:rsidRPr="00F76F41">
        <w:rPr>
          <w:color w:val="auto"/>
          <w:sz w:val="18"/>
          <w:szCs w:val="18"/>
        </w:rPr>
        <w:t xml:space="preserve"> Por el contrario, sí compete a la Corte verificar si en los pasos efectivamente dados a nivel interno se violaron o no obligaciones internacionales del Estado derivadas de los instrumentos interamericanos que le otorgan competencia al Tribunal. Por ello, la jurisprudencia reiterada de la Corte señala que la determinación de si las actuaciones de órganos judiciales constituyen o no una violación de las obligaciones internacionales del Estado, puede conducir a que la Corte deba ocuparse de examinar los respectivos procesos internos para establecer su compatibilidad con la </w:t>
      </w:r>
      <w:r w:rsidR="00487BB5" w:rsidRPr="00F76F41">
        <w:rPr>
          <w:color w:val="auto"/>
          <w:sz w:val="18"/>
          <w:szCs w:val="18"/>
        </w:rPr>
        <w:lastRenderedPageBreak/>
        <w:t xml:space="preserve">Convención Americana. Ello sucede porque, si se reclama que un fallo ha sido incorrecto en virtud de la violación del debido proceso, la Corte no podrá referirse a esta solicitud en la forma de una excepción preliminar, ya que deberá considerar el fondo del asunto y determinar si este derecho convencional fue o no violado. </w:t>
      </w:r>
      <w:r>
        <w:rPr>
          <w:color w:val="auto"/>
          <w:sz w:val="18"/>
          <w:szCs w:val="18"/>
        </w:rPr>
        <w:t>[</w:t>
      </w:r>
      <w:r w:rsidR="00487BB5" w:rsidRPr="00F76F41">
        <w:rPr>
          <w:color w:val="auto"/>
          <w:sz w:val="18"/>
          <w:szCs w:val="18"/>
        </w:rPr>
        <w:t>…</w:t>
      </w:r>
      <w:r>
        <w:rPr>
          <w:color w:val="auto"/>
          <w:sz w:val="18"/>
          <w:szCs w:val="18"/>
        </w:rPr>
        <w:t>]</w:t>
      </w:r>
      <w:r w:rsidR="00487BB5" w:rsidRPr="00F76F41">
        <w:rPr>
          <w:color w:val="auto"/>
          <w:sz w:val="18"/>
          <w:szCs w:val="18"/>
        </w:rPr>
        <w:t xml:space="preserve"> Teniendo en cuenta lo anterior, la Corte observa que la excepción preliminar presentada por el Estado toma como punto de partida que no ha existido ninguna violación de derechos humanos en el presente caso, cuando es precisamente ello lo que se debatirá en el fondo del asunto. Al valorar el mérito de la petición la Corte determinará si los procedimientos internos, tal como alega el Estado, respondieron a la totalidad de los actos reclamados por la Comisión y los representantes ante este Tribunal y si en ese ejercicio se respetaron las obligaciones internacionales del Estado</w:t>
      </w:r>
      <w:r w:rsidR="00487BB5" w:rsidRPr="00F76F41">
        <w:rPr>
          <w:rStyle w:val="FootnoteReference"/>
          <w:color w:val="auto"/>
          <w:sz w:val="18"/>
          <w:szCs w:val="18"/>
        </w:rPr>
        <w:footnoteReference w:id="3"/>
      </w:r>
      <w:r w:rsidR="00487BB5" w:rsidRPr="00F76F41">
        <w:rPr>
          <w:color w:val="auto"/>
          <w:sz w:val="18"/>
          <w:szCs w:val="18"/>
        </w:rPr>
        <w:t>.</w:t>
      </w:r>
    </w:p>
    <w:p w14:paraId="202E1BBC" w14:textId="77777777" w:rsidR="009F502C" w:rsidRPr="009F502C" w:rsidRDefault="00A1569C" w:rsidP="009C24FE">
      <w:pPr>
        <w:pStyle w:val="NormalWeb"/>
        <w:numPr>
          <w:ilvl w:val="0"/>
          <w:numId w:val="55"/>
        </w:numPr>
        <w:spacing w:before="240" w:beforeAutospacing="0" w:after="240" w:afterAutospacing="0"/>
        <w:ind w:left="0" w:firstLine="720"/>
        <w:jc w:val="both"/>
        <w:rPr>
          <w:rFonts w:asciiTheme="majorHAnsi" w:hAnsiTheme="majorHAnsi" w:cstheme="minorHAnsi"/>
          <w:sz w:val="20"/>
          <w:szCs w:val="20"/>
        </w:rPr>
      </w:pPr>
      <w:r>
        <w:rPr>
          <w:rFonts w:asciiTheme="majorHAnsi" w:hAnsiTheme="majorHAnsi"/>
          <w:sz w:val="20"/>
          <w:szCs w:val="20"/>
        </w:rPr>
        <w:t xml:space="preserve">Ahora bien, </w:t>
      </w:r>
      <w:r>
        <w:rPr>
          <w:rFonts w:asciiTheme="majorHAnsi" w:hAnsiTheme="majorHAnsi"/>
          <w:sz w:val="20"/>
          <w:szCs w:val="20"/>
          <w:lang w:val="es-ES"/>
        </w:rPr>
        <w:t>l</w:t>
      </w:r>
      <w:r w:rsidR="00080C49" w:rsidRPr="00080C49">
        <w:rPr>
          <w:rFonts w:asciiTheme="majorHAnsi" w:hAnsiTheme="majorHAnsi"/>
          <w:sz w:val="20"/>
          <w:szCs w:val="20"/>
          <w:lang w:val="es-ES"/>
        </w:rPr>
        <w:t>a</w:t>
      </w:r>
      <w:r w:rsidR="009F502C" w:rsidRPr="009F502C">
        <w:rPr>
          <w:rFonts w:asciiTheme="majorHAnsi" w:hAnsiTheme="majorHAnsi"/>
          <w:sz w:val="20"/>
          <w:szCs w:val="20"/>
          <w:lang w:val="es-ES"/>
        </w:rPr>
        <w:t xml:space="preserve"> </w:t>
      </w:r>
      <w:r w:rsidR="009F502C" w:rsidRPr="0063708D">
        <w:rPr>
          <w:rFonts w:asciiTheme="majorHAnsi" w:hAnsiTheme="majorHAnsi"/>
          <w:sz w:val="20"/>
          <w:szCs w:val="20"/>
          <w:lang w:val="es-ES"/>
        </w:rPr>
        <w:t xml:space="preserve">Comisión recuerda que, conforme al artículo 47.b de la Convención Americana, en la etapa de admisibilidad debe efectuar una evaluación </w:t>
      </w:r>
      <w:r w:rsidR="009F502C" w:rsidRPr="00780E49">
        <w:rPr>
          <w:rFonts w:asciiTheme="majorHAnsi" w:hAnsiTheme="majorHAnsi"/>
          <w:i/>
          <w:iCs/>
          <w:sz w:val="20"/>
          <w:szCs w:val="20"/>
          <w:lang w:val="es-ES"/>
        </w:rPr>
        <w:t>prima facie</w:t>
      </w:r>
      <w:r w:rsidR="009F502C" w:rsidRPr="0063708D">
        <w:rPr>
          <w:rFonts w:asciiTheme="majorHAnsi" w:hAnsiTheme="majorHAnsi"/>
          <w:sz w:val="20"/>
          <w:szCs w:val="20"/>
          <w:lang w:val="es-ES"/>
        </w:rPr>
        <w:t xml:space="preserve"> para determinar si la petición expone hechos que podrían caracterizar violaciones de los derechos protegidos por dicho instrumento. Este análisis es de naturaleza sumaria y no implica prejuzgar sobre los méritos del asunto. </w:t>
      </w:r>
    </w:p>
    <w:p w14:paraId="47B15B5B" w14:textId="11C5189A" w:rsidR="009D344F" w:rsidRPr="00204791" w:rsidRDefault="009F502C" w:rsidP="00204791">
      <w:pPr>
        <w:pStyle w:val="NormalWeb"/>
        <w:numPr>
          <w:ilvl w:val="0"/>
          <w:numId w:val="55"/>
        </w:numPr>
        <w:spacing w:before="240" w:beforeAutospacing="0" w:after="240" w:afterAutospacing="0"/>
        <w:ind w:left="0" w:firstLine="720"/>
        <w:jc w:val="both"/>
        <w:rPr>
          <w:rFonts w:asciiTheme="majorHAnsi" w:hAnsiTheme="majorHAnsi"/>
          <w:sz w:val="20"/>
          <w:szCs w:val="20"/>
          <w:lang w:val="es-ES"/>
        </w:rPr>
      </w:pPr>
      <w:r>
        <w:rPr>
          <w:rFonts w:asciiTheme="majorHAnsi" w:hAnsiTheme="majorHAnsi"/>
          <w:sz w:val="20"/>
          <w:szCs w:val="20"/>
        </w:rPr>
        <w:t>En el presente caso la CIDH</w:t>
      </w:r>
      <w:r w:rsidR="00080C49" w:rsidRPr="00080C49">
        <w:rPr>
          <w:rFonts w:asciiTheme="majorHAnsi" w:hAnsiTheme="majorHAnsi"/>
          <w:sz w:val="20"/>
          <w:szCs w:val="20"/>
          <w:lang w:val="es-ES"/>
        </w:rPr>
        <w:t xml:space="preserve"> Comisión observa que la presente petición se refiere a la presunta detención ilegal y arbitraria del señor</w:t>
      </w:r>
      <w:r w:rsidR="0063708D">
        <w:rPr>
          <w:rFonts w:asciiTheme="majorHAnsi" w:hAnsiTheme="majorHAnsi"/>
          <w:sz w:val="20"/>
          <w:szCs w:val="20"/>
          <w:lang w:val="es-ES"/>
        </w:rPr>
        <w:t xml:space="preserve"> </w:t>
      </w:r>
      <w:r w:rsidR="00080C49" w:rsidRPr="0063708D">
        <w:rPr>
          <w:rFonts w:asciiTheme="majorHAnsi" w:hAnsiTheme="majorHAnsi"/>
          <w:sz w:val="20"/>
          <w:szCs w:val="20"/>
          <w:lang w:val="es-ES"/>
        </w:rPr>
        <w:t>Damián Delvalle Sanabria, así como a diversas irregularidades procesales que habrían afectado su derecho al debido proceso y a la defensa en el marco del proceso penal seguido en su contra.</w:t>
      </w:r>
      <w:r>
        <w:rPr>
          <w:rFonts w:asciiTheme="majorHAnsi" w:hAnsiTheme="majorHAnsi"/>
          <w:sz w:val="20"/>
          <w:szCs w:val="20"/>
          <w:lang w:val="es-ES"/>
        </w:rPr>
        <w:t xml:space="preserve"> </w:t>
      </w:r>
      <w:r w:rsidR="00204791">
        <w:rPr>
          <w:rFonts w:asciiTheme="majorHAnsi" w:hAnsiTheme="majorHAnsi"/>
          <w:sz w:val="20"/>
          <w:szCs w:val="20"/>
          <w:lang w:val="es-ES"/>
        </w:rPr>
        <w:t xml:space="preserve">En relación con el proceso penal, la CIDH toma nota de que los alegatos se enfocan específicamente </w:t>
      </w:r>
      <w:r w:rsidR="009D344F" w:rsidRPr="00204791">
        <w:rPr>
          <w:rFonts w:ascii="Cambria" w:hAnsi="Cambria"/>
          <w:sz w:val="20"/>
          <w:szCs w:val="20"/>
        </w:rPr>
        <w:t>sobre posibles afectaciones a garantías del debido proceso, tales como la falta de información oportuna y detallada sobre los cargos</w:t>
      </w:r>
      <w:r w:rsidR="00BA3931">
        <w:rPr>
          <w:rFonts w:ascii="Cambria" w:hAnsi="Cambria"/>
          <w:sz w:val="20"/>
          <w:szCs w:val="20"/>
        </w:rPr>
        <w:t>;</w:t>
      </w:r>
      <w:r w:rsidR="009D344F" w:rsidRPr="00204791">
        <w:rPr>
          <w:rFonts w:ascii="Cambria" w:hAnsi="Cambria"/>
          <w:sz w:val="20"/>
          <w:szCs w:val="20"/>
        </w:rPr>
        <w:t xml:space="preserve"> la utilización de pruebas obtenidas sin autorización judicial</w:t>
      </w:r>
      <w:r w:rsidR="00BA3931">
        <w:rPr>
          <w:rFonts w:ascii="Cambria" w:hAnsi="Cambria"/>
          <w:sz w:val="20"/>
          <w:szCs w:val="20"/>
        </w:rPr>
        <w:t>;</w:t>
      </w:r>
      <w:r w:rsidR="009D344F" w:rsidRPr="00204791">
        <w:rPr>
          <w:rFonts w:ascii="Cambria" w:hAnsi="Cambria"/>
          <w:sz w:val="20"/>
          <w:szCs w:val="20"/>
        </w:rPr>
        <w:t xml:space="preserve"> la incorporación de </w:t>
      </w:r>
      <w:r w:rsidR="00204791">
        <w:rPr>
          <w:rFonts w:ascii="Cambria" w:hAnsi="Cambria"/>
          <w:sz w:val="20"/>
          <w:szCs w:val="20"/>
        </w:rPr>
        <w:t>testigos</w:t>
      </w:r>
      <w:r w:rsidR="009D344F" w:rsidRPr="00204791">
        <w:rPr>
          <w:rFonts w:ascii="Cambria" w:hAnsi="Cambria"/>
          <w:sz w:val="20"/>
          <w:szCs w:val="20"/>
        </w:rPr>
        <w:t xml:space="preserve"> anónimos sin posibilidad de contradicción</w:t>
      </w:r>
      <w:r w:rsidR="00BA3931">
        <w:rPr>
          <w:rFonts w:ascii="Cambria" w:hAnsi="Cambria"/>
          <w:sz w:val="20"/>
          <w:szCs w:val="20"/>
        </w:rPr>
        <w:t>;</w:t>
      </w:r>
      <w:r w:rsidR="009D344F" w:rsidRPr="00204791">
        <w:rPr>
          <w:rFonts w:ascii="Cambria" w:hAnsi="Cambria"/>
          <w:sz w:val="20"/>
          <w:szCs w:val="20"/>
        </w:rPr>
        <w:t xml:space="preserve"> y la modificación del presupuesto fáctico sin comunicación previa a la defensa. De ser comprobados, estos aspectos podrían implicar violaciones en materia de </w:t>
      </w:r>
      <w:r w:rsidR="00204791">
        <w:rPr>
          <w:rFonts w:ascii="Cambria" w:hAnsi="Cambria"/>
          <w:sz w:val="20"/>
          <w:szCs w:val="20"/>
        </w:rPr>
        <w:t xml:space="preserve">derecho a la defensa y </w:t>
      </w:r>
      <w:r w:rsidR="009D344F" w:rsidRPr="00204791">
        <w:rPr>
          <w:rFonts w:ascii="Cambria" w:hAnsi="Cambria"/>
          <w:sz w:val="20"/>
          <w:szCs w:val="20"/>
        </w:rPr>
        <w:t>presunción de inocencia.</w:t>
      </w:r>
    </w:p>
    <w:p w14:paraId="322F9C1B" w14:textId="1BE8A93D" w:rsidR="008536A8" w:rsidRPr="008536A8" w:rsidRDefault="008536A8" w:rsidP="008536A8">
      <w:pPr>
        <w:pStyle w:val="NormalWeb"/>
        <w:numPr>
          <w:ilvl w:val="0"/>
          <w:numId w:val="55"/>
        </w:numPr>
        <w:spacing w:before="240" w:beforeAutospacing="0" w:after="240" w:afterAutospacing="0"/>
        <w:ind w:left="0" w:firstLine="720"/>
        <w:jc w:val="both"/>
        <w:rPr>
          <w:rFonts w:asciiTheme="majorHAnsi" w:hAnsiTheme="majorHAnsi" w:cstheme="minorHAnsi"/>
          <w:sz w:val="20"/>
          <w:szCs w:val="20"/>
        </w:rPr>
      </w:pPr>
      <w:r w:rsidRPr="00487BB5">
        <w:rPr>
          <w:rFonts w:asciiTheme="majorHAnsi" w:hAnsiTheme="majorHAnsi" w:cstheme="minorHAnsi"/>
          <w:sz w:val="20"/>
          <w:szCs w:val="20"/>
        </w:rPr>
        <w:t>En e</w:t>
      </w:r>
      <w:r w:rsidRPr="00487BB5">
        <w:rPr>
          <w:rFonts w:asciiTheme="majorHAnsi" w:hAnsiTheme="majorHAnsi"/>
          <w:sz w:val="20"/>
          <w:szCs w:val="20"/>
          <w:lang w:val="es-MX"/>
        </w:rPr>
        <w:t>se sentido, la convencionalidad de la totalidad de los procesos seguidos a nivel interno, en tanto actos estatales, puede ser analizada por los órganos del sistema interamericano, análisis que corresponde al fondo del asunto. Es así como la Corte ha sostenido que “</w:t>
      </w:r>
      <w:r w:rsidRPr="00D0118E">
        <w:rPr>
          <w:rFonts w:asciiTheme="majorHAnsi" w:hAnsiTheme="majorHAnsi"/>
          <w:i/>
          <w:iCs/>
          <w:sz w:val="20"/>
          <w:szCs w:val="20"/>
          <w:lang w:val="es-MX"/>
        </w:rPr>
        <w:t>la valoración sobre si el proceso y la sentencia contravinieron a las disposiciones de la Convención es una cuestión de fondo</w:t>
      </w:r>
      <w:r w:rsidRPr="00487BB5">
        <w:rPr>
          <w:rFonts w:asciiTheme="majorHAnsi" w:hAnsiTheme="majorHAnsi"/>
          <w:sz w:val="20"/>
          <w:szCs w:val="20"/>
          <w:lang w:val="es-MX"/>
        </w:rPr>
        <w:t>”</w:t>
      </w:r>
      <w:r w:rsidRPr="00487BB5">
        <w:rPr>
          <w:rStyle w:val="FootnoteReference"/>
          <w:rFonts w:asciiTheme="majorHAnsi" w:hAnsiTheme="majorHAnsi"/>
          <w:sz w:val="20"/>
          <w:szCs w:val="20"/>
          <w:lang w:val="es-MX"/>
        </w:rPr>
        <w:footnoteReference w:id="4"/>
      </w:r>
      <w:r w:rsidRPr="00487BB5">
        <w:rPr>
          <w:rFonts w:asciiTheme="majorHAnsi" w:hAnsiTheme="majorHAnsi"/>
          <w:sz w:val="20"/>
          <w:szCs w:val="20"/>
          <w:lang w:val="es-MX"/>
        </w:rPr>
        <w:t>. Por lo señalado, la CIDH encuentra que los alegatos del Estado resultan insuficientes para sustentar la inadmisibilidad de la petición.</w:t>
      </w:r>
    </w:p>
    <w:p w14:paraId="0ECD8A22" w14:textId="45DBABCE" w:rsidR="0063708D" w:rsidRPr="0063708D" w:rsidRDefault="009F502C" w:rsidP="009C24FE">
      <w:pPr>
        <w:pStyle w:val="NormalWeb"/>
        <w:numPr>
          <w:ilvl w:val="0"/>
          <w:numId w:val="55"/>
        </w:numPr>
        <w:spacing w:before="240" w:beforeAutospacing="0" w:after="240" w:afterAutospacing="0"/>
        <w:ind w:left="0" w:firstLine="720"/>
        <w:jc w:val="both"/>
        <w:rPr>
          <w:rFonts w:asciiTheme="majorHAnsi" w:hAnsiTheme="majorHAnsi" w:cstheme="minorHAnsi"/>
          <w:sz w:val="20"/>
          <w:szCs w:val="20"/>
        </w:rPr>
      </w:pPr>
      <w:r>
        <w:rPr>
          <w:rFonts w:asciiTheme="majorHAnsi" w:hAnsiTheme="majorHAnsi"/>
          <w:sz w:val="20"/>
          <w:szCs w:val="20"/>
          <w:lang w:val="es-ES"/>
        </w:rPr>
        <w:t xml:space="preserve">En vista de lo expuesto, </w:t>
      </w:r>
      <w:r w:rsidR="0063708D" w:rsidRPr="0063708D">
        <w:rPr>
          <w:rFonts w:asciiTheme="majorHAnsi" w:hAnsiTheme="majorHAnsi"/>
          <w:sz w:val="20"/>
          <w:szCs w:val="20"/>
          <w:lang w:val="es-ES"/>
        </w:rPr>
        <w:t xml:space="preserve">la Comisión considera que </w:t>
      </w:r>
      <w:r w:rsidR="00747CCB">
        <w:rPr>
          <w:rFonts w:asciiTheme="majorHAnsi" w:hAnsiTheme="majorHAnsi"/>
          <w:sz w:val="20"/>
          <w:szCs w:val="20"/>
          <w:lang w:val="es-ES"/>
        </w:rPr>
        <w:t>dichos alegatos podrían caracterizar una violación a</w:t>
      </w:r>
      <w:r w:rsidR="0063708D" w:rsidRPr="0063708D">
        <w:rPr>
          <w:rFonts w:asciiTheme="majorHAnsi" w:hAnsiTheme="majorHAnsi"/>
          <w:sz w:val="20"/>
          <w:szCs w:val="20"/>
          <w:lang w:val="es-ES"/>
        </w:rPr>
        <w:t xml:space="preserve"> los derechos consagrados en los artículos 7 (libertad personal), 8 (garantías judiciales) y 25 (protección judicial) de la Convención Americana sobre Derechos Humanos, en relación </w:t>
      </w:r>
      <w:r w:rsidR="00C601F6">
        <w:rPr>
          <w:rFonts w:asciiTheme="majorHAnsi" w:hAnsiTheme="majorHAnsi"/>
          <w:sz w:val="20"/>
          <w:szCs w:val="20"/>
          <w:lang w:val="es-ES"/>
        </w:rPr>
        <w:t>su</w:t>
      </w:r>
      <w:r w:rsidR="0063708D" w:rsidRPr="0063708D">
        <w:rPr>
          <w:rFonts w:asciiTheme="majorHAnsi" w:hAnsiTheme="majorHAnsi"/>
          <w:sz w:val="20"/>
          <w:szCs w:val="20"/>
          <w:lang w:val="es-ES"/>
        </w:rPr>
        <w:t xml:space="preserve"> artículo 1.1 </w:t>
      </w:r>
      <w:r w:rsidR="00C601F6">
        <w:rPr>
          <w:rFonts w:asciiTheme="majorHAnsi" w:hAnsiTheme="majorHAnsi"/>
          <w:sz w:val="20"/>
          <w:szCs w:val="20"/>
          <w:lang w:val="es-ES"/>
        </w:rPr>
        <w:t>en perjuicio de Damián Delvalle Sanabria</w:t>
      </w:r>
      <w:r w:rsidR="0063708D" w:rsidRPr="0063708D">
        <w:rPr>
          <w:rFonts w:asciiTheme="majorHAnsi" w:hAnsiTheme="majorHAnsi"/>
          <w:sz w:val="20"/>
          <w:szCs w:val="20"/>
          <w:lang w:val="es-ES"/>
        </w:rPr>
        <w:t>.</w:t>
      </w:r>
    </w:p>
    <w:p w14:paraId="445BF42E" w14:textId="477ED46A" w:rsidR="003239B8" w:rsidRPr="00BA60E5" w:rsidRDefault="003239B8" w:rsidP="009C24FE">
      <w:pPr>
        <w:pStyle w:val="ListParagraph"/>
        <w:spacing w:before="240" w:after="240"/>
        <w:ind w:left="0" w:firstLine="720"/>
        <w:jc w:val="both"/>
        <w:rPr>
          <w:rFonts w:asciiTheme="majorHAnsi" w:hAnsiTheme="majorHAnsi"/>
          <w:b/>
          <w:bCs/>
          <w:sz w:val="20"/>
          <w:szCs w:val="20"/>
          <w:lang w:val="es-ES"/>
        </w:rPr>
      </w:pPr>
      <w:r w:rsidRPr="00BA60E5">
        <w:rPr>
          <w:rFonts w:asciiTheme="majorHAnsi" w:hAnsiTheme="majorHAnsi"/>
          <w:b/>
          <w:bCs/>
          <w:sz w:val="20"/>
          <w:szCs w:val="20"/>
          <w:lang w:val="es-ES"/>
        </w:rPr>
        <w:t xml:space="preserve">VIII. </w:t>
      </w:r>
      <w:r w:rsidRPr="00BA60E5">
        <w:rPr>
          <w:rFonts w:asciiTheme="majorHAnsi" w:hAnsiTheme="majorHAnsi"/>
          <w:b/>
          <w:bCs/>
          <w:sz w:val="20"/>
          <w:szCs w:val="20"/>
          <w:lang w:val="es-ES"/>
        </w:rPr>
        <w:tab/>
        <w:t>DECISIÓN</w:t>
      </w:r>
    </w:p>
    <w:p w14:paraId="5DB78086" w14:textId="4D846ED1" w:rsidR="0063708D" w:rsidRPr="0063708D" w:rsidRDefault="0063708D" w:rsidP="009C24FE">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Style w:val="Strong"/>
          <w:rFonts w:asciiTheme="majorHAnsi" w:eastAsia="Times New Roman" w:hAnsiTheme="majorHAnsi"/>
          <w:b w:val="0"/>
          <w:bCs w:val="0"/>
          <w:sz w:val="20"/>
          <w:szCs w:val="20"/>
          <w:bdr w:val="none" w:sz="0" w:space="0" w:color="auto"/>
          <w:lang w:val="es-AR" w:eastAsia="es-MX"/>
        </w:rPr>
      </w:pPr>
      <w:r w:rsidRPr="0063708D">
        <w:rPr>
          <w:rStyle w:val="Strong"/>
          <w:rFonts w:asciiTheme="majorHAnsi" w:eastAsia="Times New Roman" w:hAnsiTheme="majorHAnsi"/>
          <w:b w:val="0"/>
          <w:bCs w:val="0"/>
          <w:sz w:val="20"/>
          <w:szCs w:val="20"/>
          <w:bdr w:val="none" w:sz="0" w:space="0" w:color="auto"/>
          <w:lang w:val="es-AR" w:eastAsia="es-MX"/>
        </w:rPr>
        <w:t>Declarar admisible la presente petición en relación con los artículos 7, 8</w:t>
      </w:r>
      <w:r w:rsidR="00242CBB">
        <w:rPr>
          <w:rStyle w:val="Strong"/>
          <w:rFonts w:asciiTheme="majorHAnsi" w:eastAsia="Times New Roman" w:hAnsiTheme="majorHAnsi"/>
          <w:b w:val="0"/>
          <w:bCs w:val="0"/>
          <w:sz w:val="20"/>
          <w:szCs w:val="20"/>
          <w:bdr w:val="none" w:sz="0" w:space="0" w:color="auto"/>
          <w:lang w:val="es-AR" w:eastAsia="es-MX"/>
        </w:rPr>
        <w:t>,</w:t>
      </w:r>
      <w:r w:rsidRPr="0063708D">
        <w:rPr>
          <w:rStyle w:val="Strong"/>
          <w:rFonts w:asciiTheme="majorHAnsi" w:eastAsia="Times New Roman" w:hAnsiTheme="majorHAnsi"/>
          <w:b w:val="0"/>
          <w:bCs w:val="0"/>
          <w:sz w:val="20"/>
          <w:szCs w:val="20"/>
          <w:bdr w:val="none" w:sz="0" w:space="0" w:color="auto"/>
          <w:lang w:val="es-AR" w:eastAsia="es-MX"/>
        </w:rPr>
        <w:t xml:space="preserve"> y 25 de la Convención Americana sobre Derechos Humanos, en conexión con </w:t>
      </w:r>
      <w:r w:rsidR="00CB443B">
        <w:rPr>
          <w:rStyle w:val="Strong"/>
          <w:rFonts w:asciiTheme="majorHAnsi" w:eastAsia="Times New Roman" w:hAnsiTheme="majorHAnsi"/>
          <w:b w:val="0"/>
          <w:bCs w:val="0"/>
          <w:sz w:val="20"/>
          <w:szCs w:val="20"/>
          <w:bdr w:val="none" w:sz="0" w:space="0" w:color="auto"/>
          <w:lang w:val="es-AR" w:eastAsia="es-MX"/>
        </w:rPr>
        <w:t>su</w:t>
      </w:r>
      <w:r w:rsidRPr="0063708D">
        <w:rPr>
          <w:rStyle w:val="Strong"/>
          <w:rFonts w:asciiTheme="majorHAnsi" w:eastAsia="Times New Roman" w:hAnsiTheme="majorHAnsi"/>
          <w:b w:val="0"/>
          <w:bCs w:val="0"/>
          <w:sz w:val="20"/>
          <w:szCs w:val="20"/>
          <w:bdr w:val="none" w:sz="0" w:space="0" w:color="auto"/>
          <w:lang w:val="es-AR" w:eastAsia="es-MX"/>
        </w:rPr>
        <w:t xml:space="preserve"> artículo 1.1</w:t>
      </w:r>
      <w:r w:rsidR="00CB443B">
        <w:rPr>
          <w:rStyle w:val="Strong"/>
          <w:rFonts w:asciiTheme="majorHAnsi" w:eastAsia="Times New Roman" w:hAnsiTheme="majorHAnsi"/>
          <w:b w:val="0"/>
          <w:bCs w:val="0"/>
          <w:sz w:val="20"/>
          <w:szCs w:val="20"/>
          <w:bdr w:val="none" w:sz="0" w:space="0" w:color="auto"/>
          <w:lang w:val="es-AR" w:eastAsia="es-MX"/>
        </w:rPr>
        <w:t>;</w:t>
      </w:r>
      <w:r w:rsidR="0073191A">
        <w:rPr>
          <w:rStyle w:val="Strong"/>
          <w:rFonts w:asciiTheme="majorHAnsi" w:eastAsia="Times New Roman" w:hAnsiTheme="majorHAnsi"/>
          <w:b w:val="0"/>
          <w:bCs w:val="0"/>
          <w:sz w:val="20"/>
          <w:szCs w:val="20"/>
          <w:bdr w:val="none" w:sz="0" w:space="0" w:color="auto"/>
          <w:lang w:val="es-AR" w:eastAsia="es-MX"/>
        </w:rPr>
        <w:t xml:space="preserve"> y</w:t>
      </w:r>
    </w:p>
    <w:p w14:paraId="02C904B2" w14:textId="410B518E" w:rsidR="009A56CE" w:rsidRDefault="0063708D" w:rsidP="00DB7A8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Style w:val="Strong"/>
          <w:rFonts w:asciiTheme="majorHAnsi" w:eastAsia="Times New Roman" w:hAnsiTheme="majorHAnsi"/>
          <w:b w:val="0"/>
          <w:bCs w:val="0"/>
          <w:sz w:val="20"/>
          <w:szCs w:val="20"/>
          <w:bdr w:val="none" w:sz="0" w:space="0" w:color="auto"/>
          <w:lang w:val="es-AR" w:eastAsia="es-MX"/>
        </w:rPr>
      </w:pPr>
      <w:r w:rsidRPr="0063708D">
        <w:rPr>
          <w:rStyle w:val="Strong"/>
          <w:rFonts w:asciiTheme="majorHAnsi" w:eastAsia="Times New Roman" w:hAnsiTheme="majorHAnsi"/>
          <w:b w:val="0"/>
          <w:bCs w:val="0"/>
          <w:sz w:val="20"/>
          <w:szCs w:val="20"/>
          <w:bdr w:val="none" w:sz="0" w:space="0" w:color="auto"/>
          <w:lang w:val="es-AR" w:eastAsia="es-MX"/>
        </w:rPr>
        <w:t>Notificar a las partes la presente decisión</w:t>
      </w:r>
      <w:r w:rsidR="00DB7A84">
        <w:rPr>
          <w:rStyle w:val="Strong"/>
          <w:rFonts w:asciiTheme="majorHAnsi" w:eastAsia="Times New Roman" w:hAnsiTheme="majorHAnsi"/>
          <w:b w:val="0"/>
          <w:bCs w:val="0"/>
          <w:sz w:val="20"/>
          <w:szCs w:val="20"/>
          <w:bdr w:val="none" w:sz="0" w:space="0" w:color="auto"/>
          <w:lang w:val="es-AR" w:eastAsia="es-MX"/>
        </w:rPr>
        <w:t>;</w:t>
      </w:r>
      <w:r w:rsidRPr="0063708D">
        <w:rPr>
          <w:rStyle w:val="Strong"/>
          <w:rFonts w:asciiTheme="majorHAnsi" w:eastAsia="Times New Roman" w:hAnsiTheme="majorHAnsi"/>
          <w:b w:val="0"/>
          <w:bCs w:val="0"/>
          <w:sz w:val="20"/>
          <w:szCs w:val="20"/>
          <w:bdr w:val="none" w:sz="0" w:space="0" w:color="auto"/>
          <w:lang w:val="es-AR" w:eastAsia="es-MX"/>
        </w:rPr>
        <w:t xml:space="preserve"> continuar con el análisis de fondo de la cuestión</w:t>
      </w:r>
      <w:r w:rsidR="00242CBB">
        <w:rPr>
          <w:rStyle w:val="Strong"/>
          <w:rFonts w:asciiTheme="majorHAnsi" w:eastAsia="Times New Roman" w:hAnsiTheme="majorHAnsi"/>
          <w:b w:val="0"/>
          <w:bCs w:val="0"/>
          <w:sz w:val="20"/>
          <w:szCs w:val="20"/>
          <w:bdr w:val="none" w:sz="0" w:space="0" w:color="auto"/>
          <w:lang w:val="es-AR" w:eastAsia="es-MX"/>
        </w:rPr>
        <w:t xml:space="preserve">; </w:t>
      </w:r>
      <w:r w:rsidR="00DB7A84">
        <w:rPr>
          <w:rStyle w:val="Strong"/>
          <w:rFonts w:asciiTheme="majorHAnsi" w:eastAsia="Times New Roman" w:hAnsiTheme="majorHAnsi"/>
          <w:b w:val="0"/>
          <w:bCs w:val="0"/>
          <w:sz w:val="20"/>
          <w:szCs w:val="20"/>
          <w:bdr w:val="none" w:sz="0" w:space="0" w:color="auto"/>
          <w:lang w:val="es-AR" w:eastAsia="es-MX"/>
        </w:rPr>
        <w:t>y</w:t>
      </w:r>
      <w:r w:rsidRPr="0063708D">
        <w:rPr>
          <w:rStyle w:val="Strong"/>
          <w:rFonts w:asciiTheme="majorHAnsi" w:eastAsia="Times New Roman" w:hAnsiTheme="majorHAnsi"/>
          <w:b w:val="0"/>
          <w:bCs w:val="0"/>
          <w:sz w:val="20"/>
          <w:szCs w:val="20"/>
          <w:bdr w:val="none" w:sz="0" w:space="0" w:color="auto"/>
          <w:lang w:val="es-AR" w:eastAsia="es-MX"/>
        </w:rPr>
        <w:t xml:space="preserve"> </w:t>
      </w:r>
      <w:r w:rsidRPr="00DB7A84">
        <w:rPr>
          <w:rStyle w:val="Strong"/>
          <w:rFonts w:asciiTheme="majorHAnsi" w:eastAsia="Times New Roman" w:hAnsiTheme="majorHAnsi"/>
          <w:b w:val="0"/>
          <w:bCs w:val="0"/>
          <w:sz w:val="20"/>
          <w:szCs w:val="20"/>
          <w:bdr w:val="none" w:sz="0" w:space="0" w:color="auto"/>
          <w:lang w:val="es-AR" w:eastAsia="es-MX"/>
        </w:rPr>
        <w:t>Publicar la presente decisión e incluirla en el Informe Anual de la Comisión Interamericana de Derechos Humanos a la Asamblea General de la Organización de los Estados Americanos.</w:t>
      </w:r>
    </w:p>
    <w:p w14:paraId="3ED63635" w14:textId="77777777" w:rsidR="0073191A" w:rsidRDefault="0073191A" w:rsidP="0073191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Style w:val="Strong"/>
          <w:rFonts w:asciiTheme="majorHAnsi" w:eastAsia="Times New Roman" w:hAnsiTheme="majorHAnsi"/>
          <w:b w:val="0"/>
          <w:bCs w:val="0"/>
          <w:sz w:val="20"/>
          <w:szCs w:val="20"/>
          <w:bdr w:val="none" w:sz="0" w:space="0" w:color="auto"/>
          <w:lang w:val="es-AR" w:eastAsia="es-MX"/>
        </w:rPr>
      </w:pPr>
    </w:p>
    <w:p w14:paraId="4FB73968" w14:textId="77777777" w:rsidR="0073191A" w:rsidRDefault="0073191A" w:rsidP="0073191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Style w:val="Strong"/>
          <w:rFonts w:asciiTheme="majorHAnsi" w:eastAsia="Times New Roman" w:hAnsiTheme="majorHAnsi"/>
          <w:b w:val="0"/>
          <w:bCs w:val="0"/>
          <w:sz w:val="20"/>
          <w:szCs w:val="20"/>
          <w:bdr w:val="none" w:sz="0" w:space="0" w:color="auto"/>
          <w:lang w:val="es-AR" w:eastAsia="es-MX"/>
        </w:rPr>
      </w:pPr>
    </w:p>
    <w:p w14:paraId="0E514B8B" w14:textId="77777777" w:rsidR="0073191A" w:rsidRDefault="0073191A" w:rsidP="0073191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Style w:val="Strong"/>
          <w:rFonts w:asciiTheme="majorHAnsi" w:eastAsia="Times New Roman" w:hAnsiTheme="majorHAnsi"/>
          <w:b w:val="0"/>
          <w:bCs w:val="0"/>
          <w:sz w:val="20"/>
          <w:szCs w:val="20"/>
          <w:bdr w:val="none" w:sz="0" w:space="0" w:color="auto"/>
          <w:lang w:val="es-AR" w:eastAsia="es-MX"/>
        </w:rPr>
      </w:pPr>
    </w:p>
    <w:p w14:paraId="27C54E52" w14:textId="2256A77B" w:rsidR="0073191A" w:rsidRPr="00E04508" w:rsidRDefault="00D42B5D" w:rsidP="00E0450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Comisión Interamericana de Derechos Huma</w:t>
      </w:r>
      <w:r w:rsidRPr="00466152">
        <w:rPr>
          <w:rStyle w:val="normaltextrun"/>
          <w:rFonts w:ascii="Cambria" w:hAnsi="Cambria" w:cs="Segoe UI"/>
          <w:sz w:val="20"/>
          <w:szCs w:val="20"/>
          <w:lang w:val="es-CL"/>
        </w:rPr>
        <w:t xml:space="preserve">nos a los </w:t>
      </w:r>
      <w:r w:rsidR="00AA71E5" w:rsidRPr="00466152">
        <w:rPr>
          <w:rStyle w:val="normaltextrun"/>
          <w:rFonts w:ascii="Cambria" w:hAnsi="Cambria" w:cs="Segoe UI"/>
          <w:sz w:val="20"/>
          <w:szCs w:val="20"/>
          <w:lang w:val="es-CL"/>
        </w:rPr>
        <w:t>14</w:t>
      </w:r>
      <w:r w:rsidRPr="00466152">
        <w:rPr>
          <w:rStyle w:val="normaltextrun"/>
          <w:rFonts w:ascii="Cambria" w:hAnsi="Cambria" w:cs="Segoe UI"/>
          <w:sz w:val="20"/>
          <w:szCs w:val="20"/>
          <w:lang w:val="es-CL"/>
        </w:rPr>
        <w:t xml:space="preserve"> días del mes de </w:t>
      </w:r>
      <w:r w:rsidR="00AA71E5" w:rsidRPr="00466152">
        <w:rPr>
          <w:rStyle w:val="normaltextrun"/>
          <w:rFonts w:ascii="Cambria" w:hAnsi="Cambria" w:cs="Segoe UI"/>
          <w:sz w:val="20"/>
          <w:szCs w:val="20"/>
          <w:lang w:val="es-CL"/>
        </w:rPr>
        <w:t>diciembre</w:t>
      </w:r>
      <w:r w:rsidRPr="00466152">
        <w:rPr>
          <w:rStyle w:val="normaltextrun"/>
          <w:rFonts w:ascii="Cambria" w:hAnsi="Cambria" w:cs="Segoe UI"/>
          <w:sz w:val="20"/>
          <w:szCs w:val="20"/>
          <w:lang w:val="es-CL"/>
        </w:rPr>
        <w:t xml:space="preserve"> de 20</w:t>
      </w:r>
      <w:r w:rsidR="00AA71E5" w:rsidRPr="00466152">
        <w:rPr>
          <w:rStyle w:val="normaltextrun"/>
          <w:rFonts w:ascii="Cambria" w:hAnsi="Cambria" w:cs="Segoe UI"/>
          <w:sz w:val="20"/>
          <w:szCs w:val="20"/>
          <w:lang w:val="es-CL"/>
        </w:rPr>
        <w:t>25</w:t>
      </w:r>
      <w:r w:rsidRPr="00466152">
        <w:rPr>
          <w:rStyle w:val="normaltextrun"/>
          <w:rFonts w:ascii="Cambria" w:hAnsi="Cambria" w:cs="Segoe UI"/>
          <w:sz w:val="20"/>
          <w:szCs w:val="20"/>
          <w:lang w:val="es-CL"/>
        </w:rPr>
        <w:t>.  (Firmado): José Luis Caballero Ochoa, Presidente; Andrea Pochak, Primera Vicepresidenta; Edgar Stuardo Ralón Orellana</w:t>
      </w:r>
      <w:r w:rsidR="00466152" w:rsidRPr="00466152">
        <w:rPr>
          <w:rStyle w:val="normaltextrun"/>
          <w:rFonts w:ascii="Cambria" w:hAnsi="Cambria" w:cs="Segoe UI"/>
          <w:sz w:val="20"/>
          <w:szCs w:val="20"/>
          <w:lang w:val="es-CL"/>
        </w:rPr>
        <w:t xml:space="preserve"> y</w:t>
      </w:r>
      <w:r w:rsidRPr="00466152">
        <w:rPr>
          <w:rStyle w:val="normaltextrun"/>
          <w:rFonts w:ascii="Cambria" w:hAnsi="Cambria" w:cs="Segoe UI"/>
          <w:sz w:val="20"/>
          <w:szCs w:val="20"/>
          <w:lang w:val="es-CL"/>
        </w:rPr>
        <w:t xml:space="preserve"> Carlos Bernal Pulido, </w:t>
      </w:r>
      <w:r w:rsidR="00E04508">
        <w:rPr>
          <w:rStyle w:val="normaltextrun"/>
          <w:rFonts w:ascii="Cambria" w:hAnsi="Cambria" w:cs="Segoe UI"/>
          <w:sz w:val="20"/>
          <w:szCs w:val="20"/>
          <w:lang w:val="es-CL"/>
        </w:rPr>
        <w:t>m</w:t>
      </w:r>
      <w:r w:rsidRPr="00466152">
        <w:rPr>
          <w:rStyle w:val="normaltextrun"/>
          <w:rFonts w:ascii="Cambria" w:hAnsi="Cambria" w:cs="Segoe UI"/>
          <w:sz w:val="20"/>
          <w:szCs w:val="20"/>
          <w:lang w:val="es-CL"/>
        </w:rPr>
        <w:t xml:space="preserve">iembros de la Comisión. </w:t>
      </w:r>
      <w:r w:rsidRPr="00466152">
        <w:rPr>
          <w:rStyle w:val="eop"/>
          <w:rFonts w:ascii="Cambria" w:hAnsi="Cambria" w:cs="Segoe UI"/>
          <w:sz w:val="20"/>
          <w:szCs w:val="20"/>
          <w:lang w:val="es-ES"/>
        </w:rPr>
        <w:t> </w:t>
      </w:r>
    </w:p>
    <w:sectPr w:rsidR="0073191A" w:rsidRPr="00E0450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D71B" w14:textId="77777777" w:rsidR="00F37266" w:rsidRDefault="00F37266">
      <w:r>
        <w:separator/>
      </w:r>
    </w:p>
  </w:endnote>
  <w:endnote w:type="continuationSeparator" w:id="0">
    <w:p w14:paraId="27510F35" w14:textId="77777777" w:rsidR="00F37266" w:rsidRDefault="00F37266">
      <w:r>
        <w:continuationSeparator/>
      </w:r>
    </w:p>
  </w:endnote>
  <w:endnote w:type="continuationNotice" w:id="1">
    <w:p w14:paraId="6B3F2104" w14:textId="77777777" w:rsidR="00F37266" w:rsidRDefault="00F37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7F7B" w14:textId="77777777" w:rsidR="00F37266" w:rsidRPr="000F35ED" w:rsidRDefault="00F37266">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9DB20B3" w14:textId="77777777" w:rsidR="00F37266" w:rsidRPr="000F35ED" w:rsidRDefault="00F37266" w:rsidP="000F35ED">
      <w:pPr>
        <w:rPr>
          <w:rFonts w:asciiTheme="majorHAnsi" w:hAnsiTheme="majorHAnsi"/>
          <w:sz w:val="16"/>
          <w:szCs w:val="16"/>
        </w:rPr>
      </w:pPr>
      <w:r w:rsidRPr="000F35ED">
        <w:rPr>
          <w:rFonts w:asciiTheme="majorHAnsi" w:hAnsiTheme="majorHAnsi"/>
          <w:sz w:val="16"/>
          <w:szCs w:val="16"/>
        </w:rPr>
        <w:separator/>
      </w:r>
    </w:p>
    <w:p w14:paraId="56823FE7" w14:textId="77777777" w:rsidR="00F37266" w:rsidRPr="000F35ED" w:rsidRDefault="00F37266"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EEF3E19" w14:textId="77777777" w:rsidR="00F37266" w:rsidRPr="000F35ED" w:rsidRDefault="00F37266"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415C28" w14:textId="3C30AB85" w:rsidR="002E04FC" w:rsidRPr="00306F33" w:rsidRDefault="002E04FC" w:rsidP="009C24FE">
      <w:pPr>
        <w:pStyle w:val="FootnoteText"/>
        <w:ind w:firstLine="720"/>
        <w:jc w:val="both"/>
        <w:rPr>
          <w:rFonts w:asciiTheme="majorHAnsi" w:hAnsiTheme="majorHAnsi"/>
          <w:sz w:val="16"/>
          <w:szCs w:val="16"/>
          <w:lang w:val="es-ES"/>
        </w:rPr>
      </w:pPr>
      <w:r w:rsidRPr="002E04FC">
        <w:rPr>
          <w:rStyle w:val="FootnoteReference"/>
          <w:rFonts w:asciiTheme="majorHAnsi" w:hAnsiTheme="majorHAnsi"/>
          <w:sz w:val="16"/>
          <w:szCs w:val="16"/>
        </w:rPr>
        <w:footnoteRef/>
      </w:r>
      <w:r w:rsidRPr="002E04FC">
        <w:rPr>
          <w:rFonts w:asciiTheme="majorHAnsi" w:hAnsiTheme="majorHAnsi"/>
          <w:sz w:val="16"/>
          <w:szCs w:val="16"/>
          <w:lang w:val="es-ES"/>
        </w:rPr>
        <w:t xml:space="preserve"> En adelante, “la Convención Americana” o “la Convención”.</w:t>
      </w:r>
    </w:p>
  </w:footnote>
  <w:footnote w:id="3">
    <w:p w14:paraId="5CB60A1F" w14:textId="45CB0600" w:rsidR="00487BB5" w:rsidRPr="00654B0A" w:rsidRDefault="00487BB5" w:rsidP="00C66EF3">
      <w:pPr>
        <w:pStyle w:val="FootnoteText"/>
        <w:ind w:firstLine="720"/>
        <w:jc w:val="both"/>
        <w:rPr>
          <w:rFonts w:ascii="Cambria" w:hAnsi="Cambria"/>
          <w:color w:val="000000" w:themeColor="text1"/>
          <w:sz w:val="16"/>
          <w:szCs w:val="16"/>
          <w:lang w:val="es-ES"/>
        </w:rPr>
      </w:pPr>
      <w:r w:rsidRPr="00654B0A">
        <w:rPr>
          <w:rStyle w:val="FootnoteReference"/>
          <w:rFonts w:ascii="Cambria" w:hAnsi="Cambria"/>
          <w:color w:val="000000" w:themeColor="text1"/>
          <w:sz w:val="16"/>
          <w:szCs w:val="16"/>
        </w:rPr>
        <w:footnoteRef/>
      </w:r>
      <w:r w:rsidRPr="00654B0A">
        <w:rPr>
          <w:rFonts w:ascii="Cambria" w:hAnsi="Cambria"/>
          <w:color w:val="000000" w:themeColor="text1"/>
          <w:sz w:val="16"/>
          <w:szCs w:val="16"/>
          <w:lang w:val="es-ES"/>
        </w:rPr>
        <w:t xml:space="preserve"> Corte IDH, </w:t>
      </w:r>
      <w:r w:rsidRPr="00654B0A">
        <w:rPr>
          <w:rFonts w:ascii="Cambria" w:hAnsi="Cambria"/>
          <w:i/>
          <w:iCs/>
          <w:color w:val="000000" w:themeColor="text1"/>
          <w:sz w:val="16"/>
          <w:szCs w:val="16"/>
          <w:lang w:val="es-ES"/>
        </w:rPr>
        <w:t>Caso Cabrera García y Montiel Flores Vs. México</w:t>
      </w:r>
      <w:r w:rsidRPr="00654B0A">
        <w:rPr>
          <w:rFonts w:ascii="Cambria" w:hAnsi="Cambria"/>
          <w:color w:val="000000" w:themeColor="text1"/>
          <w:sz w:val="16"/>
          <w:szCs w:val="16"/>
          <w:lang w:val="es-ES"/>
        </w:rPr>
        <w:t>, Excepción Preliminar, Fondo, Reparaciones y Costas, Sentencia de 26 de noviembre de 2010, Serie C No. 220</w:t>
      </w:r>
      <w:r w:rsidR="00691A3D">
        <w:rPr>
          <w:rFonts w:ascii="Cambria" w:hAnsi="Cambria"/>
          <w:color w:val="000000" w:themeColor="text1"/>
          <w:sz w:val="16"/>
          <w:szCs w:val="16"/>
          <w:lang w:val="es-ES"/>
        </w:rPr>
        <w:t>,</w:t>
      </w:r>
      <w:r w:rsidRPr="00654B0A">
        <w:rPr>
          <w:rFonts w:ascii="Cambria" w:hAnsi="Cambria"/>
          <w:color w:val="000000" w:themeColor="text1"/>
          <w:sz w:val="16"/>
          <w:szCs w:val="16"/>
          <w:lang w:val="es-ES"/>
        </w:rPr>
        <w:t xml:space="preserve"> párrs. 18-20.</w:t>
      </w:r>
    </w:p>
  </w:footnote>
  <w:footnote w:id="4">
    <w:p w14:paraId="633C05D4" w14:textId="77777777" w:rsidR="008536A8" w:rsidRPr="00072363" w:rsidRDefault="008536A8" w:rsidP="008536A8">
      <w:pPr>
        <w:pStyle w:val="FootnoteText"/>
        <w:ind w:firstLine="720"/>
        <w:jc w:val="both"/>
        <w:rPr>
          <w:rFonts w:ascii="Cambria" w:hAnsi="Cambria"/>
          <w:color w:val="000000" w:themeColor="text1"/>
          <w:lang w:val="es-ES_tradnl"/>
        </w:rPr>
      </w:pPr>
      <w:r w:rsidRPr="00654B0A">
        <w:rPr>
          <w:rStyle w:val="FootnoteReference"/>
          <w:rFonts w:ascii="Cambria" w:hAnsi="Cambria"/>
          <w:color w:val="000000" w:themeColor="text1"/>
          <w:sz w:val="16"/>
          <w:szCs w:val="16"/>
        </w:rPr>
        <w:footnoteRef/>
      </w:r>
      <w:r w:rsidRPr="00654B0A">
        <w:rPr>
          <w:rFonts w:ascii="Cambria" w:hAnsi="Cambria"/>
          <w:color w:val="000000" w:themeColor="text1"/>
          <w:sz w:val="16"/>
          <w:szCs w:val="16"/>
          <w:lang w:val="es-ES"/>
        </w:rPr>
        <w:t xml:space="preserve"> Corte IDH, </w:t>
      </w:r>
      <w:r w:rsidRPr="00654B0A">
        <w:rPr>
          <w:rFonts w:ascii="Cambria" w:hAnsi="Cambria"/>
          <w:i/>
          <w:iCs/>
          <w:color w:val="000000" w:themeColor="text1"/>
          <w:sz w:val="16"/>
          <w:szCs w:val="16"/>
          <w:lang w:val="es-ES"/>
        </w:rPr>
        <w:t>Caso Montesinos Mejía Vs. Ecuador</w:t>
      </w:r>
      <w:r w:rsidRPr="00654B0A">
        <w:rPr>
          <w:rFonts w:ascii="Cambria" w:hAnsi="Cambria"/>
          <w:color w:val="000000" w:themeColor="text1"/>
          <w:sz w:val="16"/>
          <w:szCs w:val="16"/>
          <w:lang w:val="es-ES"/>
        </w:rPr>
        <w:t>, Excepciones Preliminares, Fondo, Reparaciones y Costas, Sentencia de 27 de enero de 2020, Serie C No. 398, párr.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A6394E" w:rsidP="00A50FCF">
    <w:pPr>
      <w:pStyle w:val="Header"/>
      <w:tabs>
        <w:tab w:val="clear" w:pos="4320"/>
        <w:tab w:val="clear" w:pos="8640"/>
      </w:tabs>
      <w:jc w:val="center"/>
      <w:rPr>
        <w:sz w:val="22"/>
        <w:szCs w:val="22"/>
      </w:rPr>
    </w:pPr>
    <w:r>
      <w:rPr>
        <w:noProof/>
        <w:sz w:val="22"/>
        <w:szCs w:val="22"/>
        <w:bdr w:val="nil"/>
      </w:rPr>
      <w:pict w14:anchorId="5139F216">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6701D9D"/>
    <w:multiLevelType w:val="hybridMultilevel"/>
    <w:tmpl w:val="9F2CFDFC"/>
    <w:lvl w:ilvl="0" w:tplc="72827986">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D7D4B9D"/>
    <w:multiLevelType w:val="hybridMultilevel"/>
    <w:tmpl w:val="1EBECC12"/>
    <w:lvl w:ilvl="0" w:tplc="6F5C8EE6">
      <w:start w:val="1"/>
      <w:numFmt w:val="decimal"/>
      <w:pStyle w:val="parrafos"/>
      <w:lvlText w:val="%1."/>
      <w:lvlJc w:val="left"/>
      <w:pPr>
        <w:ind w:left="360" w:hanging="360"/>
      </w:pPr>
      <w:rPr>
        <w:rFonts w:ascii="Cambria" w:hAnsi="Cambria" w:hint="default"/>
        <w:b w:val="0"/>
        <w:i w:val="0"/>
        <w:iCs w:val="0"/>
        <w:color w:val="000000" w:themeColor="text1"/>
        <w:sz w:val="20"/>
        <w:szCs w:val="20"/>
        <w:lang w:val="es-ES_tradn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6544925"/>
    <w:multiLevelType w:val="hybridMultilevel"/>
    <w:tmpl w:val="F7700BD8"/>
    <w:lvl w:ilvl="0" w:tplc="0D90BF6A">
      <w:start w:val="1"/>
      <w:numFmt w:val="decimal"/>
      <w:lvlText w:val="%1."/>
      <w:lvlJc w:val="left"/>
      <w:pPr>
        <w:ind w:left="1440" w:hanging="360"/>
      </w:pPr>
      <w:rPr>
        <w:rFonts w:hint="default"/>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4"/>
  </w:num>
  <w:num w:numId="2" w16cid:durableId="2119787510">
    <w:abstractNumId w:val="5"/>
  </w:num>
  <w:num w:numId="3" w16cid:durableId="1836843260">
    <w:abstractNumId w:val="51"/>
  </w:num>
  <w:num w:numId="4" w16cid:durableId="2018339747">
    <w:abstractNumId w:val="20"/>
  </w:num>
  <w:num w:numId="5" w16cid:durableId="368341374">
    <w:abstractNumId w:val="44"/>
  </w:num>
  <w:num w:numId="6" w16cid:durableId="1074009954">
    <w:abstractNumId w:val="25"/>
  </w:num>
  <w:num w:numId="7" w16cid:durableId="1545016965">
    <w:abstractNumId w:val="6"/>
  </w:num>
  <w:num w:numId="8" w16cid:durableId="1165165820">
    <w:abstractNumId w:val="16"/>
  </w:num>
  <w:num w:numId="9" w16cid:durableId="751703382">
    <w:abstractNumId w:val="39"/>
  </w:num>
  <w:num w:numId="10" w16cid:durableId="1010065578">
    <w:abstractNumId w:val="0"/>
  </w:num>
  <w:num w:numId="11" w16cid:durableId="599265313">
    <w:abstractNumId w:val="34"/>
  </w:num>
  <w:num w:numId="12" w16cid:durableId="1094203649">
    <w:abstractNumId w:val="35"/>
  </w:num>
  <w:num w:numId="13" w16cid:durableId="393090155">
    <w:abstractNumId w:val="40"/>
  </w:num>
  <w:num w:numId="14" w16cid:durableId="1198931784">
    <w:abstractNumId w:val="1"/>
  </w:num>
  <w:num w:numId="15" w16cid:durableId="2056192837">
    <w:abstractNumId w:val="3"/>
  </w:num>
  <w:num w:numId="16" w16cid:durableId="1680153077">
    <w:abstractNumId w:val="7"/>
  </w:num>
  <w:num w:numId="17" w16cid:durableId="1790273299">
    <w:abstractNumId w:val="8"/>
  </w:num>
  <w:num w:numId="18" w16cid:durableId="2128112662">
    <w:abstractNumId w:val="9"/>
  </w:num>
  <w:num w:numId="19" w16cid:durableId="7217114">
    <w:abstractNumId w:val="10"/>
  </w:num>
  <w:num w:numId="20" w16cid:durableId="1858302314">
    <w:abstractNumId w:val="11"/>
  </w:num>
  <w:num w:numId="21" w16cid:durableId="1702172520">
    <w:abstractNumId w:val="12"/>
  </w:num>
  <w:num w:numId="22" w16cid:durableId="1700861223">
    <w:abstractNumId w:val="13"/>
  </w:num>
  <w:num w:numId="23" w16cid:durableId="1025131478">
    <w:abstractNumId w:val="14"/>
  </w:num>
  <w:num w:numId="24" w16cid:durableId="477890311">
    <w:abstractNumId w:val="15"/>
  </w:num>
  <w:num w:numId="25" w16cid:durableId="1967855925">
    <w:abstractNumId w:val="17"/>
  </w:num>
  <w:num w:numId="26" w16cid:durableId="998537020">
    <w:abstractNumId w:val="18"/>
  </w:num>
  <w:num w:numId="27" w16cid:durableId="642350406">
    <w:abstractNumId w:val="21"/>
  </w:num>
  <w:num w:numId="28" w16cid:durableId="1616718871">
    <w:abstractNumId w:val="22"/>
  </w:num>
  <w:num w:numId="29" w16cid:durableId="1530486082">
    <w:abstractNumId w:val="23"/>
  </w:num>
  <w:num w:numId="30" w16cid:durableId="802582976">
    <w:abstractNumId w:val="24"/>
  </w:num>
  <w:num w:numId="31" w16cid:durableId="287396833">
    <w:abstractNumId w:val="26"/>
  </w:num>
  <w:num w:numId="32" w16cid:durableId="535119711">
    <w:abstractNumId w:val="27"/>
  </w:num>
  <w:num w:numId="33" w16cid:durableId="2078547275">
    <w:abstractNumId w:val="28"/>
  </w:num>
  <w:num w:numId="34" w16cid:durableId="1703632659">
    <w:abstractNumId w:val="29"/>
  </w:num>
  <w:num w:numId="35" w16cid:durableId="1264075887">
    <w:abstractNumId w:val="30"/>
  </w:num>
  <w:num w:numId="36" w16cid:durableId="1752315512">
    <w:abstractNumId w:val="31"/>
  </w:num>
  <w:num w:numId="37" w16cid:durableId="1536426887">
    <w:abstractNumId w:val="32"/>
  </w:num>
  <w:num w:numId="38" w16cid:durableId="949702590">
    <w:abstractNumId w:val="33"/>
  </w:num>
  <w:num w:numId="39" w16cid:durableId="115605940">
    <w:abstractNumId w:val="36"/>
  </w:num>
  <w:num w:numId="40" w16cid:durableId="2008750670">
    <w:abstractNumId w:val="37"/>
  </w:num>
  <w:num w:numId="41" w16cid:durableId="579801488">
    <w:abstractNumId w:val="43"/>
  </w:num>
  <w:num w:numId="42" w16cid:durableId="910309630">
    <w:abstractNumId w:val="45"/>
  </w:num>
  <w:num w:numId="43" w16cid:durableId="221603102">
    <w:abstractNumId w:val="46"/>
  </w:num>
  <w:num w:numId="44" w16cid:durableId="779104680">
    <w:abstractNumId w:val="48"/>
  </w:num>
  <w:num w:numId="45" w16cid:durableId="1713115894">
    <w:abstractNumId w:val="50"/>
  </w:num>
  <w:num w:numId="46" w16cid:durableId="1387951419">
    <w:abstractNumId w:val="52"/>
  </w:num>
  <w:num w:numId="47" w16cid:durableId="648510715">
    <w:abstractNumId w:val="53"/>
  </w:num>
  <w:num w:numId="48" w16cid:durableId="1806315575">
    <w:abstractNumId w:val="54"/>
  </w:num>
  <w:num w:numId="49" w16cid:durableId="1682586011">
    <w:abstractNumId w:val="55"/>
  </w:num>
  <w:num w:numId="50" w16cid:durableId="2025083079">
    <w:abstractNumId w:val="56"/>
  </w:num>
  <w:num w:numId="51" w16cid:durableId="530342504">
    <w:abstractNumId w:val="19"/>
  </w:num>
  <w:num w:numId="52" w16cid:durableId="955454438">
    <w:abstractNumId w:val="38"/>
  </w:num>
  <w:num w:numId="53" w16cid:durableId="586957926">
    <w:abstractNumId w:val="47"/>
  </w:num>
  <w:num w:numId="54" w16cid:durableId="1498381482">
    <w:abstractNumId w:val="41"/>
  </w:num>
  <w:num w:numId="55" w16cid:durableId="1155956720">
    <w:abstractNumId w:val="49"/>
  </w:num>
  <w:num w:numId="56" w16cid:durableId="309213400">
    <w:abstractNumId w:val="2"/>
  </w:num>
  <w:num w:numId="57" w16cid:durableId="80762434">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4A6B"/>
    <w:rsid w:val="0001788C"/>
    <w:rsid w:val="000203DF"/>
    <w:rsid w:val="00030E80"/>
    <w:rsid w:val="000337EF"/>
    <w:rsid w:val="00040C3A"/>
    <w:rsid w:val="000419AD"/>
    <w:rsid w:val="00042D6E"/>
    <w:rsid w:val="000433C9"/>
    <w:rsid w:val="00047EE4"/>
    <w:rsid w:val="00071174"/>
    <w:rsid w:val="000716C5"/>
    <w:rsid w:val="00075E23"/>
    <w:rsid w:val="00076879"/>
    <w:rsid w:val="00080C49"/>
    <w:rsid w:val="0009344A"/>
    <w:rsid w:val="000A1699"/>
    <w:rsid w:val="000A392E"/>
    <w:rsid w:val="000A575F"/>
    <w:rsid w:val="000B24EA"/>
    <w:rsid w:val="000C2879"/>
    <w:rsid w:val="000D05CB"/>
    <w:rsid w:val="000D10DB"/>
    <w:rsid w:val="000E5EB5"/>
    <w:rsid w:val="000F0168"/>
    <w:rsid w:val="000F35ED"/>
    <w:rsid w:val="001004FE"/>
    <w:rsid w:val="00107131"/>
    <w:rsid w:val="0010736F"/>
    <w:rsid w:val="00111123"/>
    <w:rsid w:val="00113F73"/>
    <w:rsid w:val="00121CC2"/>
    <w:rsid w:val="00127141"/>
    <w:rsid w:val="00127DEA"/>
    <w:rsid w:val="00131425"/>
    <w:rsid w:val="00133EE5"/>
    <w:rsid w:val="0013647F"/>
    <w:rsid w:val="00142005"/>
    <w:rsid w:val="00145226"/>
    <w:rsid w:val="001604DE"/>
    <w:rsid w:val="00167A34"/>
    <w:rsid w:val="00170C40"/>
    <w:rsid w:val="00175178"/>
    <w:rsid w:val="001A1EDE"/>
    <w:rsid w:val="001A520D"/>
    <w:rsid w:val="001A7870"/>
    <w:rsid w:val="001B3A00"/>
    <w:rsid w:val="001B4699"/>
    <w:rsid w:val="001B478B"/>
    <w:rsid w:val="001C1B41"/>
    <w:rsid w:val="001D320B"/>
    <w:rsid w:val="001D65EF"/>
    <w:rsid w:val="001D7F96"/>
    <w:rsid w:val="001E49E7"/>
    <w:rsid w:val="001E7514"/>
    <w:rsid w:val="001F7201"/>
    <w:rsid w:val="00204791"/>
    <w:rsid w:val="00223A29"/>
    <w:rsid w:val="002250A3"/>
    <w:rsid w:val="00235217"/>
    <w:rsid w:val="002360EC"/>
    <w:rsid w:val="00242CBB"/>
    <w:rsid w:val="00246D1F"/>
    <w:rsid w:val="00247403"/>
    <w:rsid w:val="00247542"/>
    <w:rsid w:val="002515EB"/>
    <w:rsid w:val="00266B61"/>
    <w:rsid w:val="0026712A"/>
    <w:rsid w:val="002704DB"/>
    <w:rsid w:val="002750AE"/>
    <w:rsid w:val="002871F0"/>
    <w:rsid w:val="00295E62"/>
    <w:rsid w:val="00297773"/>
    <w:rsid w:val="002A0AAE"/>
    <w:rsid w:val="002A2FD5"/>
    <w:rsid w:val="002A5820"/>
    <w:rsid w:val="002D2B26"/>
    <w:rsid w:val="002D7EA2"/>
    <w:rsid w:val="002E04FC"/>
    <w:rsid w:val="002E187C"/>
    <w:rsid w:val="002E662C"/>
    <w:rsid w:val="00300A62"/>
    <w:rsid w:val="00302733"/>
    <w:rsid w:val="00305835"/>
    <w:rsid w:val="00306F33"/>
    <w:rsid w:val="00314078"/>
    <w:rsid w:val="0031535D"/>
    <w:rsid w:val="00316863"/>
    <w:rsid w:val="0032328A"/>
    <w:rsid w:val="003239B8"/>
    <w:rsid w:val="0033043C"/>
    <w:rsid w:val="0033169F"/>
    <w:rsid w:val="00344977"/>
    <w:rsid w:val="00346C95"/>
    <w:rsid w:val="00354EA7"/>
    <w:rsid w:val="00356185"/>
    <w:rsid w:val="00357448"/>
    <w:rsid w:val="00360380"/>
    <w:rsid w:val="00367564"/>
    <w:rsid w:val="00370DE2"/>
    <w:rsid w:val="0037519E"/>
    <w:rsid w:val="00386CF0"/>
    <w:rsid w:val="00394073"/>
    <w:rsid w:val="003B70FB"/>
    <w:rsid w:val="003C1613"/>
    <w:rsid w:val="003C676B"/>
    <w:rsid w:val="003D3566"/>
    <w:rsid w:val="003D3BC2"/>
    <w:rsid w:val="003D62FB"/>
    <w:rsid w:val="003E6A10"/>
    <w:rsid w:val="003E6CA1"/>
    <w:rsid w:val="003F5154"/>
    <w:rsid w:val="00405F9C"/>
    <w:rsid w:val="004065A8"/>
    <w:rsid w:val="004141B3"/>
    <w:rsid w:val="00414FF4"/>
    <w:rsid w:val="004165C2"/>
    <w:rsid w:val="004241A0"/>
    <w:rsid w:val="00431D2B"/>
    <w:rsid w:val="00433EAD"/>
    <w:rsid w:val="00441ECB"/>
    <w:rsid w:val="00445193"/>
    <w:rsid w:val="004567BE"/>
    <w:rsid w:val="00460350"/>
    <w:rsid w:val="00462C1B"/>
    <w:rsid w:val="00465C78"/>
    <w:rsid w:val="00466152"/>
    <w:rsid w:val="00467B7E"/>
    <w:rsid w:val="00473BB4"/>
    <w:rsid w:val="00477592"/>
    <w:rsid w:val="00486F1C"/>
    <w:rsid w:val="00487BB5"/>
    <w:rsid w:val="0049419D"/>
    <w:rsid w:val="00496682"/>
    <w:rsid w:val="004A057B"/>
    <w:rsid w:val="004A0975"/>
    <w:rsid w:val="004A6A54"/>
    <w:rsid w:val="004B3934"/>
    <w:rsid w:val="004B421C"/>
    <w:rsid w:val="004C20D2"/>
    <w:rsid w:val="004C2312"/>
    <w:rsid w:val="004C4B62"/>
    <w:rsid w:val="004C54C9"/>
    <w:rsid w:val="004D4ABA"/>
    <w:rsid w:val="004D6025"/>
    <w:rsid w:val="004E1DDA"/>
    <w:rsid w:val="004E2649"/>
    <w:rsid w:val="004F1E75"/>
    <w:rsid w:val="004F626F"/>
    <w:rsid w:val="00501399"/>
    <w:rsid w:val="005047ED"/>
    <w:rsid w:val="0050633D"/>
    <w:rsid w:val="00507BC4"/>
    <w:rsid w:val="005128E4"/>
    <w:rsid w:val="005133DB"/>
    <w:rsid w:val="00514504"/>
    <w:rsid w:val="00521E1F"/>
    <w:rsid w:val="00525560"/>
    <w:rsid w:val="00544C49"/>
    <w:rsid w:val="005516A1"/>
    <w:rsid w:val="005559EF"/>
    <w:rsid w:val="00563557"/>
    <w:rsid w:val="0057402A"/>
    <w:rsid w:val="005771D0"/>
    <w:rsid w:val="00581F03"/>
    <w:rsid w:val="0059191A"/>
    <w:rsid w:val="005921FF"/>
    <w:rsid w:val="005A24ED"/>
    <w:rsid w:val="005A6D0E"/>
    <w:rsid w:val="005B52B0"/>
    <w:rsid w:val="005B6806"/>
    <w:rsid w:val="005C4225"/>
    <w:rsid w:val="005F0DAD"/>
    <w:rsid w:val="005F0F33"/>
    <w:rsid w:val="005F49F2"/>
    <w:rsid w:val="00600DEB"/>
    <w:rsid w:val="006070D5"/>
    <w:rsid w:val="00627C9F"/>
    <w:rsid w:val="006311E9"/>
    <w:rsid w:val="00632354"/>
    <w:rsid w:val="00635421"/>
    <w:rsid w:val="0063708D"/>
    <w:rsid w:val="00642810"/>
    <w:rsid w:val="00652333"/>
    <w:rsid w:val="00654B0A"/>
    <w:rsid w:val="006620A9"/>
    <w:rsid w:val="0068009E"/>
    <w:rsid w:val="00682417"/>
    <w:rsid w:val="00684CAC"/>
    <w:rsid w:val="006856CF"/>
    <w:rsid w:val="00691A3D"/>
    <w:rsid w:val="00692219"/>
    <w:rsid w:val="006A17D2"/>
    <w:rsid w:val="006A73E6"/>
    <w:rsid w:val="006B200B"/>
    <w:rsid w:val="006B2D5C"/>
    <w:rsid w:val="006C09A4"/>
    <w:rsid w:val="006C0ECF"/>
    <w:rsid w:val="006C4EB1"/>
    <w:rsid w:val="006E0166"/>
    <w:rsid w:val="006E1327"/>
    <w:rsid w:val="006E2FFB"/>
    <w:rsid w:val="006E7B34"/>
    <w:rsid w:val="006F4F96"/>
    <w:rsid w:val="007018C0"/>
    <w:rsid w:val="0070697F"/>
    <w:rsid w:val="007103C4"/>
    <w:rsid w:val="00721142"/>
    <w:rsid w:val="0072199C"/>
    <w:rsid w:val="00722C9F"/>
    <w:rsid w:val="007253B8"/>
    <w:rsid w:val="0073191A"/>
    <w:rsid w:val="0073741F"/>
    <w:rsid w:val="00747CCB"/>
    <w:rsid w:val="00761B1F"/>
    <w:rsid w:val="0076643F"/>
    <w:rsid w:val="007751A7"/>
    <w:rsid w:val="00777F63"/>
    <w:rsid w:val="00780E49"/>
    <w:rsid w:val="00793CB5"/>
    <w:rsid w:val="007A0D92"/>
    <w:rsid w:val="007A2A67"/>
    <w:rsid w:val="007A41E3"/>
    <w:rsid w:val="007A5817"/>
    <w:rsid w:val="007B05C4"/>
    <w:rsid w:val="007B60E9"/>
    <w:rsid w:val="007B6CC3"/>
    <w:rsid w:val="007B76D3"/>
    <w:rsid w:val="007C3334"/>
    <w:rsid w:val="007D2B98"/>
    <w:rsid w:val="007D51B5"/>
    <w:rsid w:val="007E21BC"/>
    <w:rsid w:val="007E7C82"/>
    <w:rsid w:val="007F2AA1"/>
    <w:rsid w:val="007F588D"/>
    <w:rsid w:val="00803F1C"/>
    <w:rsid w:val="0080600E"/>
    <w:rsid w:val="00814688"/>
    <w:rsid w:val="00817612"/>
    <w:rsid w:val="008338A4"/>
    <w:rsid w:val="00834D49"/>
    <w:rsid w:val="00837C45"/>
    <w:rsid w:val="00844730"/>
    <w:rsid w:val="008457C2"/>
    <w:rsid w:val="008536A8"/>
    <w:rsid w:val="0085724A"/>
    <w:rsid w:val="00857A82"/>
    <w:rsid w:val="008623E7"/>
    <w:rsid w:val="00873836"/>
    <w:rsid w:val="00873E93"/>
    <w:rsid w:val="00885737"/>
    <w:rsid w:val="00890650"/>
    <w:rsid w:val="008939E1"/>
    <w:rsid w:val="00893C28"/>
    <w:rsid w:val="008944DC"/>
    <w:rsid w:val="00895ECD"/>
    <w:rsid w:val="00897E12"/>
    <w:rsid w:val="008A7E0F"/>
    <w:rsid w:val="008B12F5"/>
    <w:rsid w:val="008B7DC0"/>
    <w:rsid w:val="008C37B9"/>
    <w:rsid w:val="008C5E2D"/>
    <w:rsid w:val="008D768D"/>
    <w:rsid w:val="008E3759"/>
    <w:rsid w:val="008E3BFE"/>
    <w:rsid w:val="008E40AA"/>
    <w:rsid w:val="008F1912"/>
    <w:rsid w:val="00900FAD"/>
    <w:rsid w:val="0090146C"/>
    <w:rsid w:val="0090270B"/>
    <w:rsid w:val="009041DC"/>
    <w:rsid w:val="00917B5A"/>
    <w:rsid w:val="00920A58"/>
    <w:rsid w:val="00920A8C"/>
    <w:rsid w:val="00934A2C"/>
    <w:rsid w:val="0095509B"/>
    <w:rsid w:val="00957911"/>
    <w:rsid w:val="009643E8"/>
    <w:rsid w:val="0096706E"/>
    <w:rsid w:val="00974491"/>
    <w:rsid w:val="00975C4E"/>
    <w:rsid w:val="00976074"/>
    <w:rsid w:val="00981FBA"/>
    <w:rsid w:val="00984EC3"/>
    <w:rsid w:val="00997BC5"/>
    <w:rsid w:val="009A4F41"/>
    <w:rsid w:val="009A56CE"/>
    <w:rsid w:val="009A6BB5"/>
    <w:rsid w:val="009B381B"/>
    <w:rsid w:val="009B4E9E"/>
    <w:rsid w:val="009C05E1"/>
    <w:rsid w:val="009C24FE"/>
    <w:rsid w:val="009C33DE"/>
    <w:rsid w:val="009D1753"/>
    <w:rsid w:val="009D344F"/>
    <w:rsid w:val="009D7265"/>
    <w:rsid w:val="009D7611"/>
    <w:rsid w:val="009E0B61"/>
    <w:rsid w:val="009E53DE"/>
    <w:rsid w:val="009E7348"/>
    <w:rsid w:val="009F502C"/>
    <w:rsid w:val="00A11212"/>
    <w:rsid w:val="00A11E44"/>
    <w:rsid w:val="00A15562"/>
    <w:rsid w:val="00A1569C"/>
    <w:rsid w:val="00A25D10"/>
    <w:rsid w:val="00A2694F"/>
    <w:rsid w:val="00A30100"/>
    <w:rsid w:val="00A328B3"/>
    <w:rsid w:val="00A50FCF"/>
    <w:rsid w:val="00A528D1"/>
    <w:rsid w:val="00A53BE3"/>
    <w:rsid w:val="00A610CD"/>
    <w:rsid w:val="00A6394E"/>
    <w:rsid w:val="00A758AA"/>
    <w:rsid w:val="00A76789"/>
    <w:rsid w:val="00A774A3"/>
    <w:rsid w:val="00A97357"/>
    <w:rsid w:val="00AA09A2"/>
    <w:rsid w:val="00AA71E5"/>
    <w:rsid w:val="00AA7996"/>
    <w:rsid w:val="00AC19CB"/>
    <w:rsid w:val="00AE5488"/>
    <w:rsid w:val="00AE6F91"/>
    <w:rsid w:val="00AF417D"/>
    <w:rsid w:val="00AF5571"/>
    <w:rsid w:val="00AF681E"/>
    <w:rsid w:val="00B04818"/>
    <w:rsid w:val="00B07341"/>
    <w:rsid w:val="00B13031"/>
    <w:rsid w:val="00B30539"/>
    <w:rsid w:val="00B3126B"/>
    <w:rsid w:val="00B314DB"/>
    <w:rsid w:val="00B361F2"/>
    <w:rsid w:val="00B3718B"/>
    <w:rsid w:val="00B3745F"/>
    <w:rsid w:val="00B4632A"/>
    <w:rsid w:val="00B46B22"/>
    <w:rsid w:val="00B47BC9"/>
    <w:rsid w:val="00B530F1"/>
    <w:rsid w:val="00B65908"/>
    <w:rsid w:val="00B66C66"/>
    <w:rsid w:val="00B76BE8"/>
    <w:rsid w:val="00B77C4B"/>
    <w:rsid w:val="00B83675"/>
    <w:rsid w:val="00B8550F"/>
    <w:rsid w:val="00B87305"/>
    <w:rsid w:val="00B93D7F"/>
    <w:rsid w:val="00B9477B"/>
    <w:rsid w:val="00BA276C"/>
    <w:rsid w:val="00BA3931"/>
    <w:rsid w:val="00BA60E5"/>
    <w:rsid w:val="00BB019D"/>
    <w:rsid w:val="00BB306F"/>
    <w:rsid w:val="00BB42E2"/>
    <w:rsid w:val="00BD0FF5"/>
    <w:rsid w:val="00BD4B89"/>
    <w:rsid w:val="00BD5922"/>
    <w:rsid w:val="00BD7973"/>
    <w:rsid w:val="00BF02CB"/>
    <w:rsid w:val="00BF5542"/>
    <w:rsid w:val="00BF61FE"/>
    <w:rsid w:val="00BF6FD8"/>
    <w:rsid w:val="00C03680"/>
    <w:rsid w:val="00C054DF"/>
    <w:rsid w:val="00C13055"/>
    <w:rsid w:val="00C1669F"/>
    <w:rsid w:val="00C21762"/>
    <w:rsid w:val="00C21FEF"/>
    <w:rsid w:val="00C23BA4"/>
    <w:rsid w:val="00C24543"/>
    <w:rsid w:val="00C256A2"/>
    <w:rsid w:val="00C25ADB"/>
    <w:rsid w:val="00C404BB"/>
    <w:rsid w:val="00C51515"/>
    <w:rsid w:val="00C5660B"/>
    <w:rsid w:val="00C56CE3"/>
    <w:rsid w:val="00C601F6"/>
    <w:rsid w:val="00C66B72"/>
    <w:rsid w:val="00C66EF3"/>
    <w:rsid w:val="00C82DB0"/>
    <w:rsid w:val="00C8446B"/>
    <w:rsid w:val="00C8639B"/>
    <w:rsid w:val="00C87AC4"/>
    <w:rsid w:val="00C9567A"/>
    <w:rsid w:val="00CA0D20"/>
    <w:rsid w:val="00CA61C3"/>
    <w:rsid w:val="00CB212D"/>
    <w:rsid w:val="00CB2660"/>
    <w:rsid w:val="00CB443B"/>
    <w:rsid w:val="00CC5CB8"/>
    <w:rsid w:val="00CC5E90"/>
    <w:rsid w:val="00CD046C"/>
    <w:rsid w:val="00CD6325"/>
    <w:rsid w:val="00CD7C0F"/>
    <w:rsid w:val="00CE076C"/>
    <w:rsid w:val="00CE5199"/>
    <w:rsid w:val="00CE5C85"/>
    <w:rsid w:val="00CE66D5"/>
    <w:rsid w:val="00CF49FF"/>
    <w:rsid w:val="00CF637A"/>
    <w:rsid w:val="00D0118E"/>
    <w:rsid w:val="00D01E13"/>
    <w:rsid w:val="00D059DE"/>
    <w:rsid w:val="00D05ABD"/>
    <w:rsid w:val="00D13FCE"/>
    <w:rsid w:val="00D23381"/>
    <w:rsid w:val="00D24CD6"/>
    <w:rsid w:val="00D306D1"/>
    <w:rsid w:val="00D30800"/>
    <w:rsid w:val="00D32AD6"/>
    <w:rsid w:val="00D34786"/>
    <w:rsid w:val="00D37BFC"/>
    <w:rsid w:val="00D42B5D"/>
    <w:rsid w:val="00D43AA2"/>
    <w:rsid w:val="00D47A8E"/>
    <w:rsid w:val="00D52D14"/>
    <w:rsid w:val="00D56AB1"/>
    <w:rsid w:val="00D70941"/>
    <w:rsid w:val="00D712D3"/>
    <w:rsid w:val="00D71422"/>
    <w:rsid w:val="00D72DC6"/>
    <w:rsid w:val="00D7558D"/>
    <w:rsid w:val="00D75982"/>
    <w:rsid w:val="00D81D92"/>
    <w:rsid w:val="00D876F9"/>
    <w:rsid w:val="00DA03C3"/>
    <w:rsid w:val="00DA7B5F"/>
    <w:rsid w:val="00DB432A"/>
    <w:rsid w:val="00DB49F4"/>
    <w:rsid w:val="00DB7A84"/>
    <w:rsid w:val="00DC11E7"/>
    <w:rsid w:val="00DC24E3"/>
    <w:rsid w:val="00DC39BD"/>
    <w:rsid w:val="00DC7023"/>
    <w:rsid w:val="00DC769A"/>
    <w:rsid w:val="00DD2BE9"/>
    <w:rsid w:val="00DD310E"/>
    <w:rsid w:val="00DD3428"/>
    <w:rsid w:val="00DD3D86"/>
    <w:rsid w:val="00DD4AD2"/>
    <w:rsid w:val="00DE2862"/>
    <w:rsid w:val="00DF1EC4"/>
    <w:rsid w:val="00E0340B"/>
    <w:rsid w:val="00E04508"/>
    <w:rsid w:val="00E04A90"/>
    <w:rsid w:val="00E0551F"/>
    <w:rsid w:val="00E219C7"/>
    <w:rsid w:val="00E33F0D"/>
    <w:rsid w:val="00E4118C"/>
    <w:rsid w:val="00E43157"/>
    <w:rsid w:val="00E44E2D"/>
    <w:rsid w:val="00E461CE"/>
    <w:rsid w:val="00E5453F"/>
    <w:rsid w:val="00E573E4"/>
    <w:rsid w:val="00E64C3D"/>
    <w:rsid w:val="00E720CA"/>
    <w:rsid w:val="00E73F2D"/>
    <w:rsid w:val="00E84EB5"/>
    <w:rsid w:val="00E8542E"/>
    <w:rsid w:val="00E85662"/>
    <w:rsid w:val="00E8789F"/>
    <w:rsid w:val="00E97B71"/>
    <w:rsid w:val="00EA1D93"/>
    <w:rsid w:val="00EA1DFE"/>
    <w:rsid w:val="00EA2722"/>
    <w:rsid w:val="00EA32A8"/>
    <w:rsid w:val="00EA3D34"/>
    <w:rsid w:val="00EB0DB7"/>
    <w:rsid w:val="00EB454D"/>
    <w:rsid w:val="00EC5587"/>
    <w:rsid w:val="00EC5FAE"/>
    <w:rsid w:val="00ED1EAF"/>
    <w:rsid w:val="00ED549D"/>
    <w:rsid w:val="00ED5E10"/>
    <w:rsid w:val="00ED76BE"/>
    <w:rsid w:val="00EE00E9"/>
    <w:rsid w:val="00EE0F42"/>
    <w:rsid w:val="00EF1AAA"/>
    <w:rsid w:val="00EF619B"/>
    <w:rsid w:val="00F00B55"/>
    <w:rsid w:val="00F02AD1"/>
    <w:rsid w:val="00F253CC"/>
    <w:rsid w:val="00F34654"/>
    <w:rsid w:val="00F37106"/>
    <w:rsid w:val="00F37266"/>
    <w:rsid w:val="00F44E25"/>
    <w:rsid w:val="00F5075C"/>
    <w:rsid w:val="00F519CF"/>
    <w:rsid w:val="00F52035"/>
    <w:rsid w:val="00F54F74"/>
    <w:rsid w:val="00F56BA5"/>
    <w:rsid w:val="00F56ECB"/>
    <w:rsid w:val="00F60E22"/>
    <w:rsid w:val="00F7019E"/>
    <w:rsid w:val="00F77C45"/>
    <w:rsid w:val="00F81395"/>
    <w:rsid w:val="00F81BB8"/>
    <w:rsid w:val="00F84E3B"/>
    <w:rsid w:val="00F8730C"/>
    <w:rsid w:val="00F90C64"/>
    <w:rsid w:val="00F917D1"/>
    <w:rsid w:val="00F9653B"/>
    <w:rsid w:val="00FA5FB8"/>
    <w:rsid w:val="00FB62CF"/>
    <w:rsid w:val="00FC5C32"/>
    <w:rsid w:val="00FD3C3B"/>
    <w:rsid w:val="00FD7130"/>
    <w:rsid w:val="00FE07DD"/>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FootnotesrefssChar1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styleId="NormalWeb">
    <w:name w:val="Normal (Web)"/>
    <w:basedOn w:val="Normal"/>
    <w:uiPriority w:val="99"/>
    <w:unhideWhenUsed/>
    <w:rsid w:val="00581F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AR" w:eastAsia="es-MX"/>
    </w:rPr>
  </w:style>
  <w:style w:type="character" w:styleId="Strong">
    <w:name w:val="Strong"/>
    <w:basedOn w:val="DefaultParagraphFont"/>
    <w:uiPriority w:val="22"/>
    <w:qFormat/>
    <w:rsid w:val="00581F03"/>
    <w:rPr>
      <w:b/>
      <w:bC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487BB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rafos">
    <w:name w:val="parrafos"/>
    <w:basedOn w:val="Normal"/>
    <w:link w:val="parrafosChar"/>
    <w:qFormat/>
    <w:rsid w:val="00487BB5"/>
    <w:pPr>
      <w:numPr>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487BB5"/>
    <w:rPr>
      <w:rFonts w:asciiTheme="majorHAnsi" w:hAnsiTheme="majorHAnsi"/>
      <w:color w:val="000000" w:themeColor="text1"/>
      <w:lang w:val="es-VE" w:eastAsia="en-US"/>
    </w:rPr>
  </w:style>
  <w:style w:type="paragraph" w:customStyle="1" w:styleId="paragraph">
    <w:name w:val="paragraph"/>
    <w:basedOn w:val="Normal"/>
    <w:rsid w:val="00D42B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42B5D"/>
  </w:style>
  <w:style w:type="character" w:customStyle="1" w:styleId="eop">
    <w:name w:val="eop"/>
    <w:basedOn w:val="DefaultParagraphFont"/>
    <w:rsid w:val="00D4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458">
      <w:bodyDiv w:val="1"/>
      <w:marLeft w:val="0"/>
      <w:marRight w:val="0"/>
      <w:marTop w:val="0"/>
      <w:marBottom w:val="0"/>
      <w:divBdr>
        <w:top w:val="none" w:sz="0" w:space="0" w:color="auto"/>
        <w:left w:val="none" w:sz="0" w:space="0" w:color="auto"/>
        <w:bottom w:val="none" w:sz="0" w:space="0" w:color="auto"/>
        <w:right w:val="none" w:sz="0" w:space="0" w:color="auto"/>
      </w:divBdr>
    </w:div>
    <w:div w:id="516428469">
      <w:bodyDiv w:val="1"/>
      <w:marLeft w:val="0"/>
      <w:marRight w:val="0"/>
      <w:marTop w:val="0"/>
      <w:marBottom w:val="0"/>
      <w:divBdr>
        <w:top w:val="none" w:sz="0" w:space="0" w:color="auto"/>
        <w:left w:val="none" w:sz="0" w:space="0" w:color="auto"/>
        <w:bottom w:val="none" w:sz="0" w:space="0" w:color="auto"/>
        <w:right w:val="none" w:sz="0" w:space="0" w:color="auto"/>
      </w:divBdr>
    </w:div>
    <w:div w:id="537671195">
      <w:bodyDiv w:val="1"/>
      <w:marLeft w:val="0"/>
      <w:marRight w:val="0"/>
      <w:marTop w:val="0"/>
      <w:marBottom w:val="0"/>
      <w:divBdr>
        <w:top w:val="none" w:sz="0" w:space="0" w:color="auto"/>
        <w:left w:val="none" w:sz="0" w:space="0" w:color="auto"/>
        <w:bottom w:val="none" w:sz="0" w:space="0" w:color="auto"/>
        <w:right w:val="none" w:sz="0" w:space="0" w:color="auto"/>
      </w:divBdr>
    </w:div>
    <w:div w:id="747117148">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689601837">
      <w:bodyDiv w:val="1"/>
      <w:marLeft w:val="0"/>
      <w:marRight w:val="0"/>
      <w:marTop w:val="0"/>
      <w:marBottom w:val="0"/>
      <w:divBdr>
        <w:top w:val="none" w:sz="0" w:space="0" w:color="auto"/>
        <w:left w:val="none" w:sz="0" w:space="0" w:color="auto"/>
        <w:bottom w:val="none" w:sz="0" w:space="0" w:color="auto"/>
        <w:right w:val="none" w:sz="0" w:space="0" w:color="auto"/>
      </w:divBdr>
    </w:div>
    <w:div w:id="169360413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7814433">
      <w:bodyDiv w:val="1"/>
      <w:marLeft w:val="0"/>
      <w:marRight w:val="0"/>
      <w:marTop w:val="0"/>
      <w:marBottom w:val="0"/>
      <w:divBdr>
        <w:top w:val="none" w:sz="0" w:space="0" w:color="auto"/>
        <w:left w:val="none" w:sz="0" w:space="0" w:color="auto"/>
        <w:bottom w:val="none" w:sz="0" w:space="0" w:color="auto"/>
        <w:right w:val="none" w:sz="0" w:space="0" w:color="auto"/>
      </w:divBdr>
    </w:div>
    <w:div w:id="1867449641">
      <w:bodyDiv w:val="1"/>
      <w:marLeft w:val="0"/>
      <w:marRight w:val="0"/>
      <w:marTop w:val="0"/>
      <w:marBottom w:val="0"/>
      <w:divBdr>
        <w:top w:val="none" w:sz="0" w:space="0" w:color="auto"/>
        <w:left w:val="none" w:sz="0" w:space="0" w:color="auto"/>
        <w:bottom w:val="none" w:sz="0" w:space="0" w:color="auto"/>
        <w:right w:val="none" w:sz="0" w:space="0" w:color="auto"/>
      </w:divBdr>
    </w:div>
    <w:div w:id="1903518433">
      <w:bodyDiv w:val="1"/>
      <w:marLeft w:val="0"/>
      <w:marRight w:val="0"/>
      <w:marTop w:val="0"/>
      <w:marBottom w:val="0"/>
      <w:divBdr>
        <w:top w:val="none" w:sz="0" w:space="0" w:color="auto"/>
        <w:left w:val="none" w:sz="0" w:space="0" w:color="auto"/>
        <w:bottom w:val="none" w:sz="0" w:space="0" w:color="auto"/>
        <w:right w:val="none" w:sz="0" w:space="0" w:color="auto"/>
      </w:divBdr>
    </w:div>
    <w:div w:id="1926114457">
      <w:bodyDiv w:val="1"/>
      <w:marLeft w:val="0"/>
      <w:marRight w:val="0"/>
      <w:marTop w:val="0"/>
      <w:marBottom w:val="0"/>
      <w:divBdr>
        <w:top w:val="none" w:sz="0" w:space="0" w:color="auto"/>
        <w:left w:val="none" w:sz="0" w:space="0" w:color="auto"/>
        <w:bottom w:val="none" w:sz="0" w:space="0" w:color="auto"/>
        <w:right w:val="none" w:sz="0" w:space="0" w:color="auto"/>
      </w:divBdr>
      <w:divsChild>
        <w:div w:id="135202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52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42D6E"/>
    <w:rsid w:val="000E6874"/>
    <w:rsid w:val="00127DEA"/>
    <w:rsid w:val="001D320B"/>
    <w:rsid w:val="00200821"/>
    <w:rsid w:val="0025245B"/>
    <w:rsid w:val="002A3923"/>
    <w:rsid w:val="002E15C9"/>
    <w:rsid w:val="00370DE2"/>
    <w:rsid w:val="00394049"/>
    <w:rsid w:val="003B0C71"/>
    <w:rsid w:val="00454739"/>
    <w:rsid w:val="004744EA"/>
    <w:rsid w:val="004B5BBB"/>
    <w:rsid w:val="004F2DF8"/>
    <w:rsid w:val="00517E2A"/>
    <w:rsid w:val="006143FF"/>
    <w:rsid w:val="006947FE"/>
    <w:rsid w:val="006D3128"/>
    <w:rsid w:val="006F24A1"/>
    <w:rsid w:val="007138ED"/>
    <w:rsid w:val="008548AD"/>
    <w:rsid w:val="00875B8A"/>
    <w:rsid w:val="008953BC"/>
    <w:rsid w:val="008A23F0"/>
    <w:rsid w:val="008D7B0C"/>
    <w:rsid w:val="008E40AA"/>
    <w:rsid w:val="0095509B"/>
    <w:rsid w:val="009A261B"/>
    <w:rsid w:val="009C3D1B"/>
    <w:rsid w:val="00A73A10"/>
    <w:rsid w:val="00A774A3"/>
    <w:rsid w:val="00AA2E17"/>
    <w:rsid w:val="00AC15A4"/>
    <w:rsid w:val="00AF286A"/>
    <w:rsid w:val="00B0336C"/>
    <w:rsid w:val="00B77C4B"/>
    <w:rsid w:val="00CD6325"/>
    <w:rsid w:val="00CF106A"/>
    <w:rsid w:val="00D241E9"/>
    <w:rsid w:val="00D7750D"/>
    <w:rsid w:val="00DA262B"/>
    <w:rsid w:val="00DC4263"/>
    <w:rsid w:val="00DD310E"/>
    <w:rsid w:val="00E1276E"/>
    <w:rsid w:val="00E958C9"/>
    <w:rsid w:val="00F00D2F"/>
    <w:rsid w:val="00F128DF"/>
    <w:rsid w:val="00F54F74"/>
    <w:rsid w:val="00F60AA8"/>
    <w:rsid w:val="00FE54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E4D19F1D-E103-47B5-B983-D5F47FDFD85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0138DB3C-E1C0-40DF-AA1A-D3F90CB0A8D8}">
  <ds:schemaRefs>
    <ds:schemaRef ds:uri="http://schemas.microsoft.com/sharepoint/v3/contenttype/forms"/>
  </ds:schemaRefs>
</ds:datastoreItem>
</file>

<file path=customXml/itemProps4.xml><?xml version="1.0" encoding="utf-8"?>
<ds:datastoreItem xmlns:ds="http://schemas.openxmlformats.org/officeDocument/2006/customXml" ds:itemID="{0770D093-60AB-4B81-82C6-ED35A0B09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12837</Characters>
  <Application>Microsoft Office Word</Application>
  <DocSecurity>0</DocSecurity>
  <Lines>106</Lines>
  <Paragraphs>30</Paragraphs>
  <ScaleCrop>false</ScaleCrop>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2026-01-29T14:12:00Z</dcterms:created>
  <dcterms:modified xsi:type="dcterms:W3CDTF">2026-01-29T14:12:00Z</dcterms:modified>
</cp:coreProperties>
</file>