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CA729" w14:textId="77777777" w:rsidR="00040C3A" w:rsidRPr="00A10EEE" w:rsidRDefault="00D306D1" w:rsidP="00D81C50">
      <w:pPr>
        <w:jc w:val="both"/>
        <w:rPr>
          <w:rFonts w:asciiTheme="majorHAnsi" w:hAnsiTheme="majorHAnsi" w:cs="Univers"/>
          <w:b/>
          <w:bCs/>
          <w:sz w:val="20"/>
          <w:szCs w:val="20"/>
        </w:rPr>
      </w:pPr>
      <w:r w:rsidRPr="00A10EEE">
        <w:rPr>
          <w:rFonts w:asciiTheme="majorHAnsi" w:hAnsiTheme="majorHAnsi"/>
          <w:noProof/>
          <w:sz w:val="20"/>
          <w:szCs w:val="20"/>
          <w:lang w:val="en-US" w:eastAsia="en-US"/>
        </w:rPr>
        <mc:AlternateContent>
          <mc:Choice Requires="wps">
            <w:drawing>
              <wp:anchor distT="0" distB="0" distL="114300" distR="114300" simplePos="0" relativeHeight="251661311" behindDoc="0" locked="0" layoutInCell="1" allowOverlap="1" wp14:anchorId="313A2ECF" wp14:editId="20229C02">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F3E9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A10EEE">
        <w:rPr>
          <w:rFonts w:asciiTheme="majorHAnsi" w:hAnsiTheme="majorHAnsi"/>
          <w:noProof/>
          <w:sz w:val="20"/>
          <w:szCs w:val="20"/>
          <w:lang w:val="en-US" w:eastAsia="en-US"/>
        </w:rPr>
        <mc:AlternateContent>
          <mc:Choice Requires="wps">
            <w:drawing>
              <wp:anchor distT="0" distB="0" distL="114300" distR="114300" simplePos="0" relativeHeight="251673600" behindDoc="0" locked="0" layoutInCell="1" allowOverlap="1" wp14:anchorId="6AC7C646" wp14:editId="0D0E6B8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9987CF" w14:textId="77777777" w:rsidR="00C6400A" w:rsidRDefault="00C6400A" w:rsidP="00AE5488">
                            <w:r>
                              <w:rPr>
                                <w:noProof/>
                                <w:lang w:val="en-US" w:eastAsia="en-US"/>
                              </w:rPr>
                              <w:drawing>
                                <wp:inline distT="0" distB="0" distL="0" distR="0" wp14:anchorId="48DA90DB" wp14:editId="03F4063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C7C646"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D9987CF" w14:textId="77777777" w:rsidR="00C6400A" w:rsidRDefault="00C6400A" w:rsidP="00AE5488">
                      <w:r>
                        <w:rPr>
                          <w:noProof/>
                          <w:lang w:val="en-US" w:eastAsia="en-US"/>
                        </w:rPr>
                        <w:drawing>
                          <wp:inline distT="0" distB="0" distL="0" distR="0" wp14:anchorId="48DA90DB" wp14:editId="03F4063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3265DC76" w14:textId="77777777" w:rsidR="00040C3A" w:rsidRPr="00A10EEE" w:rsidRDefault="00040C3A" w:rsidP="00D81C50">
      <w:pPr>
        <w:tabs>
          <w:tab w:val="center" w:pos="5400"/>
        </w:tabs>
        <w:suppressAutoHyphens/>
        <w:jc w:val="both"/>
        <w:rPr>
          <w:rFonts w:asciiTheme="majorHAnsi" w:hAnsiTheme="majorHAnsi"/>
          <w:sz w:val="20"/>
          <w:szCs w:val="20"/>
          <w:lang w:val="es-ES"/>
        </w:rPr>
      </w:pPr>
    </w:p>
    <w:p w14:paraId="08C76B6B" w14:textId="77777777" w:rsidR="00040C3A" w:rsidRPr="00A10EEE" w:rsidRDefault="00040C3A" w:rsidP="00D81C50">
      <w:pPr>
        <w:tabs>
          <w:tab w:val="center" w:pos="5400"/>
        </w:tabs>
        <w:suppressAutoHyphens/>
        <w:jc w:val="both"/>
        <w:rPr>
          <w:rFonts w:asciiTheme="majorHAnsi" w:hAnsiTheme="majorHAnsi"/>
          <w:sz w:val="20"/>
          <w:szCs w:val="20"/>
          <w:lang w:val="es-ES"/>
        </w:rPr>
      </w:pPr>
    </w:p>
    <w:p w14:paraId="6570A576" w14:textId="77777777" w:rsidR="005128E4" w:rsidRPr="00A10EEE" w:rsidRDefault="005128E4" w:rsidP="00D81C50">
      <w:pPr>
        <w:tabs>
          <w:tab w:val="center" w:pos="5400"/>
        </w:tabs>
        <w:suppressAutoHyphens/>
        <w:rPr>
          <w:rFonts w:asciiTheme="majorHAnsi" w:hAnsiTheme="majorHAnsi"/>
          <w:sz w:val="20"/>
          <w:szCs w:val="20"/>
        </w:rPr>
      </w:pPr>
    </w:p>
    <w:p w14:paraId="2D88858C" w14:textId="77777777" w:rsidR="005128E4" w:rsidRPr="00A10EEE" w:rsidRDefault="005128E4" w:rsidP="00D81C50">
      <w:pPr>
        <w:tabs>
          <w:tab w:val="center" w:pos="5400"/>
        </w:tabs>
        <w:suppressAutoHyphens/>
        <w:rPr>
          <w:rFonts w:asciiTheme="majorHAnsi" w:hAnsiTheme="majorHAnsi"/>
          <w:sz w:val="20"/>
          <w:szCs w:val="20"/>
        </w:rPr>
      </w:pPr>
    </w:p>
    <w:p w14:paraId="697811FD" w14:textId="77777777" w:rsidR="005128E4" w:rsidRPr="00A10EEE" w:rsidRDefault="005128E4" w:rsidP="00D81C50">
      <w:pPr>
        <w:tabs>
          <w:tab w:val="center" w:pos="5400"/>
        </w:tabs>
        <w:suppressAutoHyphens/>
        <w:rPr>
          <w:rFonts w:asciiTheme="majorHAnsi" w:hAnsiTheme="majorHAnsi"/>
          <w:sz w:val="20"/>
          <w:szCs w:val="20"/>
        </w:rPr>
      </w:pPr>
    </w:p>
    <w:p w14:paraId="3E5717B6" w14:textId="77777777" w:rsidR="00040C3A" w:rsidRPr="00A10EEE" w:rsidRDefault="00040C3A" w:rsidP="00D81C50">
      <w:pPr>
        <w:tabs>
          <w:tab w:val="center" w:pos="5400"/>
        </w:tabs>
        <w:suppressAutoHyphens/>
        <w:jc w:val="center"/>
        <w:rPr>
          <w:rFonts w:asciiTheme="majorHAnsi" w:hAnsiTheme="majorHAnsi"/>
          <w:sz w:val="20"/>
          <w:szCs w:val="20"/>
        </w:rPr>
      </w:pPr>
    </w:p>
    <w:p w14:paraId="2E35842C" w14:textId="77777777" w:rsidR="00040C3A" w:rsidRPr="00A10EEE" w:rsidRDefault="00040C3A" w:rsidP="00D81C50">
      <w:pPr>
        <w:tabs>
          <w:tab w:val="center" w:pos="5400"/>
        </w:tabs>
        <w:suppressAutoHyphens/>
        <w:jc w:val="center"/>
        <w:rPr>
          <w:rFonts w:asciiTheme="majorHAnsi" w:hAnsiTheme="majorHAnsi"/>
          <w:sz w:val="20"/>
          <w:szCs w:val="20"/>
        </w:rPr>
      </w:pPr>
    </w:p>
    <w:p w14:paraId="561C6AC5" w14:textId="77777777" w:rsidR="005B52B0" w:rsidRPr="00A10EEE" w:rsidRDefault="005B52B0" w:rsidP="00D81C50">
      <w:pPr>
        <w:tabs>
          <w:tab w:val="center" w:pos="5400"/>
        </w:tabs>
        <w:suppressAutoHyphens/>
        <w:jc w:val="center"/>
        <w:rPr>
          <w:rFonts w:asciiTheme="majorHAnsi" w:hAnsiTheme="majorHAnsi"/>
          <w:sz w:val="20"/>
          <w:szCs w:val="20"/>
        </w:rPr>
      </w:pPr>
    </w:p>
    <w:p w14:paraId="1B38D8CB" w14:textId="77777777" w:rsidR="005B52B0" w:rsidRPr="00A10EEE" w:rsidRDefault="005B52B0" w:rsidP="00D81C50">
      <w:pPr>
        <w:tabs>
          <w:tab w:val="center" w:pos="5400"/>
        </w:tabs>
        <w:suppressAutoHyphens/>
        <w:jc w:val="center"/>
        <w:rPr>
          <w:rFonts w:asciiTheme="majorHAnsi" w:hAnsiTheme="majorHAnsi"/>
          <w:sz w:val="20"/>
          <w:szCs w:val="20"/>
        </w:rPr>
      </w:pPr>
    </w:p>
    <w:p w14:paraId="6EE19353" w14:textId="77777777" w:rsidR="005B52B0" w:rsidRPr="00A10EEE" w:rsidRDefault="005B52B0" w:rsidP="00D81C50">
      <w:pPr>
        <w:tabs>
          <w:tab w:val="center" w:pos="5400"/>
        </w:tabs>
        <w:suppressAutoHyphens/>
        <w:jc w:val="center"/>
        <w:rPr>
          <w:rFonts w:asciiTheme="majorHAnsi" w:hAnsiTheme="majorHAnsi"/>
          <w:sz w:val="20"/>
          <w:szCs w:val="20"/>
        </w:rPr>
      </w:pPr>
    </w:p>
    <w:p w14:paraId="5EDDBE1A" w14:textId="77777777" w:rsidR="00040C3A" w:rsidRPr="00A10EEE" w:rsidRDefault="00040C3A" w:rsidP="00D81C50">
      <w:pPr>
        <w:tabs>
          <w:tab w:val="center" w:pos="5400"/>
        </w:tabs>
        <w:suppressAutoHyphens/>
        <w:jc w:val="center"/>
        <w:rPr>
          <w:rFonts w:asciiTheme="majorHAnsi" w:hAnsiTheme="majorHAnsi"/>
          <w:sz w:val="20"/>
          <w:szCs w:val="20"/>
        </w:rPr>
      </w:pPr>
    </w:p>
    <w:p w14:paraId="7BD2DB76" w14:textId="77777777" w:rsidR="00040C3A" w:rsidRPr="00A10EEE" w:rsidRDefault="00040C3A" w:rsidP="00D81C50">
      <w:pPr>
        <w:tabs>
          <w:tab w:val="center" w:pos="5400"/>
        </w:tabs>
        <w:suppressAutoHyphens/>
        <w:jc w:val="center"/>
        <w:rPr>
          <w:rFonts w:asciiTheme="majorHAnsi" w:hAnsiTheme="majorHAnsi"/>
          <w:sz w:val="20"/>
          <w:szCs w:val="20"/>
        </w:rPr>
      </w:pPr>
    </w:p>
    <w:p w14:paraId="633A2CE9" w14:textId="77777777" w:rsidR="00040C3A" w:rsidRPr="00A10EEE" w:rsidRDefault="003D3BC2" w:rsidP="00D81C50">
      <w:pPr>
        <w:tabs>
          <w:tab w:val="center" w:pos="5400"/>
        </w:tabs>
        <w:suppressAutoHyphens/>
        <w:jc w:val="center"/>
        <w:rPr>
          <w:rFonts w:asciiTheme="majorHAnsi" w:hAnsiTheme="majorHAnsi"/>
          <w:sz w:val="20"/>
          <w:szCs w:val="20"/>
        </w:rPr>
      </w:pPr>
      <w:r w:rsidRPr="00A10EEE">
        <w:rPr>
          <w:rFonts w:asciiTheme="majorHAnsi" w:hAnsiTheme="majorHAnsi"/>
          <w:noProof/>
          <w:sz w:val="20"/>
          <w:szCs w:val="20"/>
          <w:lang w:val="en-US" w:eastAsia="en-US"/>
        </w:rPr>
        <mc:AlternateContent>
          <mc:Choice Requires="wps">
            <w:drawing>
              <wp:anchor distT="0" distB="0" distL="114300" distR="114300" simplePos="0" relativeHeight="251669504" behindDoc="0" locked="0" layoutInCell="1" allowOverlap="1" wp14:anchorId="7D4117CD" wp14:editId="453AFEE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A9A134" w14:textId="77777777" w:rsidR="00C6400A" w:rsidRPr="00EE5C0E" w:rsidRDefault="00C6400A" w:rsidP="00997BC5">
                            <w:pPr>
                              <w:spacing w:line="276" w:lineRule="auto"/>
                              <w:rPr>
                                <w:rFonts w:asciiTheme="majorHAnsi" w:hAnsiTheme="majorHAnsi" w:cs="Arial"/>
                                <w:b/>
                                <w:bCs/>
                                <w:color w:val="0D0D0D" w:themeColor="text1" w:themeTint="F2"/>
                                <w:sz w:val="36"/>
                                <w:szCs w:val="22"/>
                                <w:lang w:val="es-US"/>
                              </w:rPr>
                            </w:pPr>
                            <w:r w:rsidRPr="00EE5C0E">
                              <w:rPr>
                                <w:rFonts w:asciiTheme="majorHAnsi" w:hAnsiTheme="majorHAnsi" w:cs="Arial"/>
                                <w:b/>
                                <w:bCs/>
                                <w:color w:val="0D0D0D" w:themeColor="text1" w:themeTint="F2"/>
                                <w:sz w:val="36"/>
                                <w:szCs w:val="22"/>
                                <w:lang w:val="es-US"/>
                              </w:rPr>
                              <w:t xml:space="preserve">INFORME </w:t>
                            </w:r>
                            <w:r w:rsidRPr="00EE5C0E">
                              <w:rPr>
                                <w:rFonts w:asciiTheme="majorHAnsi" w:hAnsiTheme="majorHAnsi" w:cs="Arial"/>
                                <w:b/>
                                <w:bCs/>
                                <w:color w:val="0D0D0D" w:themeColor="text1" w:themeTint="F2"/>
                                <w:sz w:val="36"/>
                                <w:szCs w:val="40"/>
                                <w:lang w:val="es-US"/>
                              </w:rPr>
                              <w:t>No.</w:t>
                            </w:r>
                            <w:r w:rsidRPr="00EE5C0E">
                              <w:rPr>
                                <w:rFonts w:asciiTheme="majorHAnsi" w:hAnsiTheme="majorHAnsi" w:cs="Arial"/>
                                <w:b/>
                                <w:bCs/>
                                <w:color w:val="0D0D0D" w:themeColor="text1" w:themeTint="F2"/>
                                <w:sz w:val="36"/>
                                <w:szCs w:val="22"/>
                                <w:lang w:val="es-US"/>
                              </w:rPr>
                              <w:t xml:space="preserve"> </w:t>
                            </w:r>
                            <w:r>
                              <w:rPr>
                                <w:rFonts w:asciiTheme="majorHAnsi" w:hAnsiTheme="majorHAnsi" w:cs="Arial"/>
                                <w:b/>
                                <w:bCs/>
                                <w:color w:val="0D0D0D" w:themeColor="text1" w:themeTint="F2"/>
                                <w:sz w:val="36"/>
                                <w:szCs w:val="22"/>
                                <w:lang w:val="es-US"/>
                              </w:rPr>
                              <w:t>192</w:t>
                            </w:r>
                            <w:r w:rsidRPr="00EE5C0E">
                              <w:rPr>
                                <w:rFonts w:asciiTheme="majorHAnsi" w:hAnsiTheme="majorHAnsi" w:cs="Arial"/>
                                <w:b/>
                                <w:bCs/>
                                <w:color w:val="0D0D0D" w:themeColor="text1" w:themeTint="F2"/>
                                <w:sz w:val="36"/>
                                <w:szCs w:val="22"/>
                                <w:lang w:val="es-US"/>
                              </w:rPr>
                              <w:t>/</w:t>
                            </w:r>
                            <w:r>
                              <w:rPr>
                                <w:rFonts w:asciiTheme="majorHAnsi" w:hAnsiTheme="majorHAnsi" w:cs="Arial"/>
                                <w:b/>
                                <w:bCs/>
                                <w:color w:val="0D0D0D" w:themeColor="text1" w:themeTint="F2"/>
                                <w:sz w:val="36"/>
                                <w:szCs w:val="22"/>
                                <w:lang w:val="es-US"/>
                              </w:rPr>
                              <w:t>20</w:t>
                            </w:r>
                          </w:p>
                          <w:p w14:paraId="269A0E2D" w14:textId="77777777" w:rsidR="00C6400A" w:rsidRPr="00EE5C0E" w:rsidRDefault="00C6400A" w:rsidP="00997BC5">
                            <w:pPr>
                              <w:spacing w:line="276" w:lineRule="auto"/>
                              <w:rPr>
                                <w:rFonts w:asciiTheme="majorHAnsi" w:hAnsiTheme="majorHAnsi" w:cs="Arial"/>
                                <w:b/>
                                <w:color w:val="0D0D0D" w:themeColor="text1" w:themeTint="F2"/>
                                <w:sz w:val="36"/>
                                <w:szCs w:val="22"/>
                                <w:lang w:val="es-US"/>
                              </w:rPr>
                            </w:pPr>
                            <w:r w:rsidRPr="00EE5C0E">
                              <w:rPr>
                                <w:rFonts w:asciiTheme="majorHAnsi" w:hAnsiTheme="majorHAnsi" w:cs="Arial"/>
                                <w:b/>
                                <w:color w:val="0D0D0D" w:themeColor="text1" w:themeTint="F2"/>
                                <w:sz w:val="36"/>
                                <w:szCs w:val="22"/>
                                <w:lang w:val="es-US"/>
                              </w:rPr>
                              <w:t>CASO 12.592</w:t>
                            </w:r>
                          </w:p>
                          <w:p w14:paraId="7F1E965B" w14:textId="77777777" w:rsidR="00C6400A" w:rsidRPr="00647FCE" w:rsidRDefault="00C6400A" w:rsidP="000158FD">
                            <w:pPr>
                              <w:spacing w:line="276" w:lineRule="auto"/>
                              <w:rPr>
                                <w:rFonts w:asciiTheme="majorHAnsi" w:hAnsiTheme="majorHAnsi" w:cs="Arial"/>
                                <w:szCs w:val="22"/>
                              </w:rPr>
                            </w:pPr>
                            <w:r w:rsidRPr="00435F4F">
                              <w:rPr>
                                <w:rFonts w:asciiTheme="majorHAnsi" w:hAnsiTheme="majorHAnsi" w:cs="Arial"/>
                                <w:szCs w:val="22"/>
                              </w:rPr>
                              <w:t>INFORME DE FONDO</w:t>
                            </w:r>
                            <w:r w:rsidRPr="00647FCE">
                              <w:rPr>
                                <w:rFonts w:asciiTheme="majorHAnsi" w:hAnsiTheme="majorHAnsi" w:cs="Arial"/>
                                <w:szCs w:val="22"/>
                              </w:rPr>
                              <w:t xml:space="preserve"> </w:t>
                            </w:r>
                          </w:p>
                          <w:p w14:paraId="537B223C" w14:textId="77777777" w:rsidR="00C6400A" w:rsidRPr="0010736F" w:rsidRDefault="00C6400A" w:rsidP="00997BC5">
                            <w:pPr>
                              <w:spacing w:line="276" w:lineRule="auto"/>
                              <w:rPr>
                                <w:rFonts w:asciiTheme="majorHAnsi" w:hAnsiTheme="majorHAnsi" w:cs="Arial"/>
                                <w:color w:val="0D0D0D" w:themeColor="text1" w:themeTint="F2"/>
                                <w:szCs w:val="22"/>
                              </w:rPr>
                            </w:pPr>
                            <w:bookmarkStart w:id="0" w:name="_ftnref1"/>
                          </w:p>
                          <w:p w14:paraId="35DD3755" w14:textId="77777777" w:rsidR="00C6400A" w:rsidRPr="0010736F" w:rsidRDefault="00C6400A"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Elías Gattass Sahih</w:t>
                            </w:r>
                          </w:p>
                          <w:bookmarkEnd w:id="0"/>
                          <w:p w14:paraId="02A08210" w14:textId="77777777" w:rsidR="00C6400A" w:rsidRPr="0010736F" w:rsidRDefault="00C6400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rPr>
                              <w:t>ECUADOR</w:t>
                            </w:r>
                          </w:p>
                          <w:p w14:paraId="62AA4C8B" w14:textId="77777777" w:rsidR="00C6400A" w:rsidRPr="00AE5488" w:rsidRDefault="00C6400A" w:rsidP="007A5817">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117CD"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20A9A134" w14:textId="77777777" w:rsidR="00C6400A" w:rsidRPr="00EE5C0E" w:rsidRDefault="00C6400A" w:rsidP="00997BC5">
                      <w:pPr>
                        <w:spacing w:line="276" w:lineRule="auto"/>
                        <w:rPr>
                          <w:rFonts w:asciiTheme="majorHAnsi" w:hAnsiTheme="majorHAnsi" w:cs="Arial"/>
                          <w:b/>
                          <w:bCs/>
                          <w:color w:val="0D0D0D" w:themeColor="text1" w:themeTint="F2"/>
                          <w:sz w:val="36"/>
                          <w:szCs w:val="22"/>
                          <w:lang w:val="es-US"/>
                        </w:rPr>
                      </w:pPr>
                      <w:r w:rsidRPr="00EE5C0E">
                        <w:rPr>
                          <w:rFonts w:asciiTheme="majorHAnsi" w:hAnsiTheme="majorHAnsi" w:cs="Arial"/>
                          <w:b/>
                          <w:bCs/>
                          <w:color w:val="0D0D0D" w:themeColor="text1" w:themeTint="F2"/>
                          <w:sz w:val="36"/>
                          <w:szCs w:val="22"/>
                          <w:lang w:val="es-US"/>
                        </w:rPr>
                        <w:t xml:space="preserve">INFORME </w:t>
                      </w:r>
                      <w:r w:rsidRPr="00EE5C0E">
                        <w:rPr>
                          <w:rFonts w:asciiTheme="majorHAnsi" w:hAnsiTheme="majorHAnsi" w:cs="Arial"/>
                          <w:b/>
                          <w:bCs/>
                          <w:color w:val="0D0D0D" w:themeColor="text1" w:themeTint="F2"/>
                          <w:sz w:val="36"/>
                          <w:szCs w:val="40"/>
                          <w:lang w:val="es-US"/>
                        </w:rPr>
                        <w:t>No.</w:t>
                      </w:r>
                      <w:r w:rsidRPr="00EE5C0E">
                        <w:rPr>
                          <w:rFonts w:asciiTheme="majorHAnsi" w:hAnsiTheme="majorHAnsi" w:cs="Arial"/>
                          <w:b/>
                          <w:bCs/>
                          <w:color w:val="0D0D0D" w:themeColor="text1" w:themeTint="F2"/>
                          <w:sz w:val="36"/>
                          <w:szCs w:val="22"/>
                          <w:lang w:val="es-US"/>
                        </w:rPr>
                        <w:t xml:space="preserve"> </w:t>
                      </w:r>
                      <w:r>
                        <w:rPr>
                          <w:rFonts w:asciiTheme="majorHAnsi" w:hAnsiTheme="majorHAnsi" w:cs="Arial"/>
                          <w:b/>
                          <w:bCs/>
                          <w:color w:val="0D0D0D" w:themeColor="text1" w:themeTint="F2"/>
                          <w:sz w:val="36"/>
                          <w:szCs w:val="22"/>
                          <w:lang w:val="es-US"/>
                        </w:rPr>
                        <w:t>192</w:t>
                      </w:r>
                      <w:r w:rsidRPr="00EE5C0E">
                        <w:rPr>
                          <w:rFonts w:asciiTheme="majorHAnsi" w:hAnsiTheme="majorHAnsi" w:cs="Arial"/>
                          <w:b/>
                          <w:bCs/>
                          <w:color w:val="0D0D0D" w:themeColor="text1" w:themeTint="F2"/>
                          <w:sz w:val="36"/>
                          <w:szCs w:val="22"/>
                          <w:lang w:val="es-US"/>
                        </w:rPr>
                        <w:t>/</w:t>
                      </w:r>
                      <w:r>
                        <w:rPr>
                          <w:rFonts w:asciiTheme="majorHAnsi" w:hAnsiTheme="majorHAnsi" w:cs="Arial"/>
                          <w:b/>
                          <w:bCs/>
                          <w:color w:val="0D0D0D" w:themeColor="text1" w:themeTint="F2"/>
                          <w:sz w:val="36"/>
                          <w:szCs w:val="22"/>
                          <w:lang w:val="es-US"/>
                        </w:rPr>
                        <w:t>20</w:t>
                      </w:r>
                    </w:p>
                    <w:p w14:paraId="269A0E2D" w14:textId="77777777" w:rsidR="00C6400A" w:rsidRPr="00EE5C0E" w:rsidRDefault="00C6400A" w:rsidP="00997BC5">
                      <w:pPr>
                        <w:spacing w:line="276" w:lineRule="auto"/>
                        <w:rPr>
                          <w:rFonts w:asciiTheme="majorHAnsi" w:hAnsiTheme="majorHAnsi" w:cs="Arial"/>
                          <w:b/>
                          <w:color w:val="0D0D0D" w:themeColor="text1" w:themeTint="F2"/>
                          <w:sz w:val="36"/>
                          <w:szCs w:val="22"/>
                          <w:lang w:val="es-US"/>
                        </w:rPr>
                      </w:pPr>
                      <w:r w:rsidRPr="00EE5C0E">
                        <w:rPr>
                          <w:rFonts w:asciiTheme="majorHAnsi" w:hAnsiTheme="majorHAnsi" w:cs="Arial"/>
                          <w:b/>
                          <w:color w:val="0D0D0D" w:themeColor="text1" w:themeTint="F2"/>
                          <w:sz w:val="36"/>
                          <w:szCs w:val="22"/>
                          <w:lang w:val="es-US"/>
                        </w:rPr>
                        <w:t>CASO 12.592</w:t>
                      </w:r>
                    </w:p>
                    <w:p w14:paraId="7F1E965B" w14:textId="77777777" w:rsidR="00C6400A" w:rsidRPr="00647FCE" w:rsidRDefault="00C6400A" w:rsidP="000158FD">
                      <w:pPr>
                        <w:spacing w:line="276" w:lineRule="auto"/>
                        <w:rPr>
                          <w:rFonts w:asciiTheme="majorHAnsi" w:hAnsiTheme="majorHAnsi" w:cs="Arial"/>
                          <w:szCs w:val="22"/>
                        </w:rPr>
                      </w:pPr>
                      <w:r w:rsidRPr="00435F4F">
                        <w:rPr>
                          <w:rFonts w:asciiTheme="majorHAnsi" w:hAnsiTheme="majorHAnsi" w:cs="Arial"/>
                          <w:szCs w:val="22"/>
                        </w:rPr>
                        <w:t>INFORME DE FONDO</w:t>
                      </w:r>
                      <w:r w:rsidRPr="00647FCE">
                        <w:rPr>
                          <w:rFonts w:asciiTheme="majorHAnsi" w:hAnsiTheme="majorHAnsi" w:cs="Arial"/>
                          <w:szCs w:val="22"/>
                        </w:rPr>
                        <w:t xml:space="preserve"> </w:t>
                      </w:r>
                    </w:p>
                    <w:p w14:paraId="537B223C" w14:textId="77777777" w:rsidR="00C6400A" w:rsidRPr="0010736F" w:rsidRDefault="00C6400A" w:rsidP="00997BC5">
                      <w:pPr>
                        <w:spacing w:line="276" w:lineRule="auto"/>
                        <w:rPr>
                          <w:rFonts w:asciiTheme="majorHAnsi" w:hAnsiTheme="majorHAnsi" w:cs="Arial"/>
                          <w:color w:val="0D0D0D" w:themeColor="text1" w:themeTint="F2"/>
                          <w:szCs w:val="22"/>
                        </w:rPr>
                      </w:pPr>
                      <w:bookmarkStart w:id="1" w:name="_ftnref1"/>
                    </w:p>
                    <w:p w14:paraId="35DD3755" w14:textId="77777777" w:rsidR="00C6400A" w:rsidRPr="0010736F" w:rsidRDefault="00C6400A"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Elías Gattass Sahih</w:t>
                      </w:r>
                    </w:p>
                    <w:bookmarkEnd w:id="1"/>
                    <w:p w14:paraId="02A08210" w14:textId="77777777" w:rsidR="00C6400A" w:rsidRPr="0010736F" w:rsidRDefault="00C6400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rPr>
                        <w:t>ECUADOR</w:t>
                      </w:r>
                    </w:p>
                    <w:p w14:paraId="62AA4C8B" w14:textId="77777777" w:rsidR="00C6400A" w:rsidRPr="00AE5488" w:rsidRDefault="00C6400A" w:rsidP="007A5817">
                      <w:pPr>
                        <w:rPr>
                          <w:color w:val="0D0D0D" w:themeColor="text1" w:themeTint="F2"/>
                        </w:rPr>
                      </w:pPr>
                    </w:p>
                  </w:txbxContent>
                </v:textbox>
              </v:shape>
            </w:pict>
          </mc:Fallback>
        </mc:AlternateContent>
      </w:r>
      <w:r w:rsidR="004E2649" w:rsidRPr="00A10EEE">
        <w:rPr>
          <w:rFonts w:asciiTheme="majorHAnsi" w:hAnsiTheme="majorHAnsi"/>
          <w:noProof/>
          <w:sz w:val="20"/>
          <w:szCs w:val="20"/>
          <w:lang w:val="en-US" w:eastAsia="en-US"/>
        </w:rPr>
        <mc:AlternateContent>
          <mc:Choice Requires="wps">
            <w:drawing>
              <wp:anchor distT="0" distB="0" distL="114300" distR="114300" simplePos="0" relativeHeight="251671552" behindDoc="0" locked="0" layoutInCell="1" allowOverlap="1" wp14:anchorId="0352697F" wp14:editId="0BA5E4BD">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8270D1" w14:textId="77777777" w:rsidR="00C6400A" w:rsidRPr="004E2649" w:rsidRDefault="006E59D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OEA/Ser.L/V/II.176</w:t>
                            </w:r>
                          </w:p>
                          <w:p w14:paraId="4D2EF218" w14:textId="77777777" w:rsidR="00C6400A" w:rsidRPr="004E2649" w:rsidRDefault="00C6400A"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205</w:t>
                            </w:r>
                          </w:p>
                          <w:p w14:paraId="1D0A5957" w14:textId="77777777" w:rsidR="00C6400A" w:rsidRPr="007C756A" w:rsidRDefault="00C6400A"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14 de julio de 2020</w:t>
                            </w:r>
                          </w:p>
                          <w:p w14:paraId="3112112F" w14:textId="77777777" w:rsidR="00C6400A" w:rsidRPr="007C756A" w:rsidRDefault="00C6400A"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2697F"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5E8270D1" w14:textId="77777777" w:rsidR="00C6400A" w:rsidRPr="004E2649" w:rsidRDefault="006E59D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OEA/Ser.L/V/II.176</w:t>
                      </w:r>
                    </w:p>
                    <w:p w14:paraId="4D2EF218" w14:textId="77777777" w:rsidR="00C6400A" w:rsidRPr="004E2649" w:rsidRDefault="00C6400A"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205</w:t>
                      </w:r>
                    </w:p>
                    <w:p w14:paraId="1D0A5957" w14:textId="77777777" w:rsidR="00C6400A" w:rsidRPr="007C756A" w:rsidRDefault="00C6400A"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14 de julio de 2020</w:t>
                      </w:r>
                    </w:p>
                    <w:p w14:paraId="3112112F" w14:textId="77777777" w:rsidR="00C6400A" w:rsidRPr="007C756A" w:rsidRDefault="00C6400A"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v:textbox>
              </v:shape>
            </w:pict>
          </mc:Fallback>
        </mc:AlternateContent>
      </w:r>
    </w:p>
    <w:p w14:paraId="49D9C7FA" w14:textId="77777777" w:rsidR="00040C3A" w:rsidRPr="00A10EEE" w:rsidRDefault="00040C3A" w:rsidP="00D81C50">
      <w:pPr>
        <w:tabs>
          <w:tab w:val="center" w:pos="5400"/>
        </w:tabs>
        <w:suppressAutoHyphens/>
        <w:jc w:val="center"/>
        <w:rPr>
          <w:rFonts w:asciiTheme="majorHAnsi" w:hAnsiTheme="majorHAnsi"/>
          <w:sz w:val="20"/>
          <w:szCs w:val="20"/>
        </w:rPr>
      </w:pPr>
    </w:p>
    <w:p w14:paraId="42D999C9" w14:textId="77777777" w:rsidR="00040C3A" w:rsidRPr="00A10EEE" w:rsidRDefault="00040C3A" w:rsidP="00D81C50">
      <w:pPr>
        <w:tabs>
          <w:tab w:val="center" w:pos="5400"/>
        </w:tabs>
        <w:suppressAutoHyphens/>
        <w:jc w:val="center"/>
        <w:rPr>
          <w:rFonts w:asciiTheme="majorHAnsi" w:hAnsiTheme="majorHAnsi"/>
          <w:sz w:val="20"/>
          <w:szCs w:val="20"/>
        </w:rPr>
      </w:pPr>
    </w:p>
    <w:p w14:paraId="30ED974D" w14:textId="77777777" w:rsidR="00040C3A" w:rsidRPr="00A10EEE" w:rsidRDefault="00040C3A" w:rsidP="00D81C50">
      <w:pPr>
        <w:tabs>
          <w:tab w:val="center" w:pos="5400"/>
        </w:tabs>
        <w:suppressAutoHyphens/>
        <w:jc w:val="center"/>
        <w:rPr>
          <w:rFonts w:asciiTheme="majorHAnsi" w:hAnsiTheme="majorHAnsi" w:cs="Arial"/>
          <w:sz w:val="20"/>
          <w:szCs w:val="20"/>
        </w:rPr>
      </w:pPr>
    </w:p>
    <w:p w14:paraId="25D2324D" w14:textId="77777777" w:rsidR="00040C3A" w:rsidRPr="00A10EEE" w:rsidRDefault="00040C3A" w:rsidP="00D81C50">
      <w:pPr>
        <w:tabs>
          <w:tab w:val="center" w:pos="5400"/>
        </w:tabs>
        <w:suppressAutoHyphens/>
        <w:jc w:val="center"/>
        <w:rPr>
          <w:rFonts w:asciiTheme="majorHAnsi" w:hAnsiTheme="majorHAnsi"/>
          <w:sz w:val="20"/>
          <w:szCs w:val="20"/>
        </w:rPr>
      </w:pPr>
    </w:p>
    <w:p w14:paraId="0BE078D6" w14:textId="77777777" w:rsidR="00040C3A" w:rsidRPr="00A10EEE" w:rsidRDefault="00040C3A" w:rsidP="00D81C50">
      <w:pPr>
        <w:tabs>
          <w:tab w:val="center" w:pos="5400"/>
        </w:tabs>
        <w:suppressAutoHyphens/>
        <w:jc w:val="center"/>
        <w:rPr>
          <w:rFonts w:asciiTheme="majorHAnsi" w:hAnsiTheme="majorHAnsi"/>
          <w:sz w:val="20"/>
          <w:szCs w:val="20"/>
        </w:rPr>
      </w:pPr>
    </w:p>
    <w:p w14:paraId="3D885A72" w14:textId="77777777" w:rsidR="00040C3A" w:rsidRPr="00A10EEE" w:rsidRDefault="00040C3A" w:rsidP="00D81C50">
      <w:pPr>
        <w:tabs>
          <w:tab w:val="center" w:pos="5400"/>
        </w:tabs>
        <w:suppressAutoHyphens/>
        <w:jc w:val="center"/>
        <w:rPr>
          <w:rFonts w:asciiTheme="majorHAnsi" w:hAnsiTheme="majorHAnsi"/>
          <w:sz w:val="20"/>
          <w:szCs w:val="20"/>
        </w:rPr>
      </w:pPr>
    </w:p>
    <w:p w14:paraId="3302A3CD" w14:textId="77777777" w:rsidR="00040C3A" w:rsidRPr="00A10EEE" w:rsidRDefault="00040C3A" w:rsidP="00D81C50">
      <w:pPr>
        <w:tabs>
          <w:tab w:val="center" w:pos="5400"/>
        </w:tabs>
        <w:suppressAutoHyphens/>
        <w:jc w:val="center"/>
        <w:rPr>
          <w:rFonts w:asciiTheme="majorHAnsi" w:hAnsiTheme="majorHAnsi"/>
          <w:sz w:val="20"/>
          <w:szCs w:val="20"/>
        </w:rPr>
      </w:pPr>
    </w:p>
    <w:p w14:paraId="0752C7E4" w14:textId="77777777" w:rsidR="005128E4" w:rsidRPr="00A10EEE" w:rsidRDefault="005128E4" w:rsidP="00D81C50">
      <w:pPr>
        <w:tabs>
          <w:tab w:val="center" w:pos="5400"/>
        </w:tabs>
        <w:suppressAutoHyphens/>
        <w:jc w:val="center"/>
        <w:rPr>
          <w:rFonts w:asciiTheme="majorHAnsi" w:hAnsiTheme="majorHAnsi"/>
          <w:sz w:val="20"/>
          <w:szCs w:val="20"/>
        </w:rPr>
      </w:pPr>
    </w:p>
    <w:p w14:paraId="0DCB3632" w14:textId="77777777" w:rsidR="00040C3A" w:rsidRPr="00A10EEE" w:rsidRDefault="00040C3A" w:rsidP="00D81C50">
      <w:pPr>
        <w:tabs>
          <w:tab w:val="center" w:pos="5400"/>
        </w:tabs>
        <w:suppressAutoHyphens/>
        <w:jc w:val="center"/>
        <w:rPr>
          <w:rFonts w:asciiTheme="majorHAnsi" w:hAnsiTheme="majorHAnsi"/>
          <w:sz w:val="20"/>
          <w:szCs w:val="20"/>
        </w:rPr>
      </w:pPr>
    </w:p>
    <w:p w14:paraId="47EAD0C3" w14:textId="77777777" w:rsidR="005128E4" w:rsidRPr="00A10EEE" w:rsidRDefault="005128E4" w:rsidP="00D81C50">
      <w:pPr>
        <w:tabs>
          <w:tab w:val="center" w:pos="5400"/>
        </w:tabs>
        <w:suppressAutoHyphens/>
        <w:jc w:val="center"/>
        <w:rPr>
          <w:rFonts w:asciiTheme="majorHAnsi" w:hAnsiTheme="majorHAnsi"/>
          <w:sz w:val="20"/>
          <w:szCs w:val="20"/>
        </w:rPr>
      </w:pPr>
    </w:p>
    <w:p w14:paraId="1657B650" w14:textId="77777777" w:rsidR="005128E4" w:rsidRPr="00A10EEE" w:rsidRDefault="005128E4" w:rsidP="00D81C50">
      <w:pPr>
        <w:tabs>
          <w:tab w:val="center" w:pos="5400"/>
        </w:tabs>
        <w:suppressAutoHyphens/>
        <w:jc w:val="center"/>
        <w:rPr>
          <w:rFonts w:asciiTheme="majorHAnsi" w:hAnsiTheme="majorHAnsi"/>
          <w:sz w:val="20"/>
          <w:szCs w:val="20"/>
        </w:rPr>
      </w:pPr>
    </w:p>
    <w:p w14:paraId="3DF9DD00" w14:textId="77777777" w:rsidR="005128E4" w:rsidRPr="00A10EEE" w:rsidRDefault="005128E4" w:rsidP="00D81C50">
      <w:pPr>
        <w:tabs>
          <w:tab w:val="center" w:pos="5400"/>
        </w:tabs>
        <w:suppressAutoHyphens/>
        <w:jc w:val="center"/>
        <w:rPr>
          <w:rFonts w:asciiTheme="majorHAnsi" w:hAnsiTheme="majorHAnsi"/>
          <w:sz w:val="20"/>
          <w:szCs w:val="20"/>
        </w:rPr>
      </w:pPr>
    </w:p>
    <w:p w14:paraId="35A01CD9" w14:textId="77777777" w:rsidR="00040C3A" w:rsidRPr="00A10EEE" w:rsidRDefault="00040C3A" w:rsidP="00D81C50">
      <w:pPr>
        <w:tabs>
          <w:tab w:val="center" w:pos="5400"/>
        </w:tabs>
        <w:suppressAutoHyphens/>
        <w:jc w:val="center"/>
        <w:rPr>
          <w:rFonts w:asciiTheme="majorHAnsi" w:hAnsiTheme="majorHAnsi"/>
          <w:sz w:val="20"/>
          <w:szCs w:val="20"/>
        </w:rPr>
      </w:pPr>
    </w:p>
    <w:p w14:paraId="5A7F6E1F" w14:textId="77777777" w:rsidR="00040C3A" w:rsidRPr="00A10EEE" w:rsidRDefault="00040C3A" w:rsidP="00D81C50">
      <w:pPr>
        <w:tabs>
          <w:tab w:val="center" w:pos="5400"/>
        </w:tabs>
        <w:suppressAutoHyphens/>
        <w:jc w:val="center"/>
        <w:rPr>
          <w:rFonts w:asciiTheme="majorHAnsi" w:hAnsiTheme="majorHAnsi"/>
          <w:sz w:val="20"/>
          <w:szCs w:val="20"/>
        </w:rPr>
      </w:pPr>
    </w:p>
    <w:p w14:paraId="65B08B6D" w14:textId="77777777" w:rsidR="00A50FCF" w:rsidRPr="00A10EEE" w:rsidRDefault="00A50FCF" w:rsidP="00D81C50">
      <w:pPr>
        <w:tabs>
          <w:tab w:val="center" w:pos="5400"/>
        </w:tabs>
        <w:suppressAutoHyphens/>
        <w:jc w:val="center"/>
        <w:rPr>
          <w:rFonts w:asciiTheme="majorHAnsi" w:hAnsiTheme="majorHAnsi"/>
          <w:sz w:val="20"/>
          <w:szCs w:val="20"/>
        </w:rPr>
      </w:pPr>
    </w:p>
    <w:p w14:paraId="40E1D194" w14:textId="77777777" w:rsidR="00A50FCF" w:rsidRPr="00A10EEE" w:rsidRDefault="00A50FCF" w:rsidP="00D81C50">
      <w:pPr>
        <w:tabs>
          <w:tab w:val="center" w:pos="5400"/>
        </w:tabs>
        <w:suppressAutoHyphens/>
        <w:jc w:val="center"/>
        <w:rPr>
          <w:rFonts w:asciiTheme="majorHAnsi" w:hAnsiTheme="majorHAnsi"/>
          <w:sz w:val="20"/>
          <w:szCs w:val="20"/>
        </w:rPr>
      </w:pPr>
    </w:p>
    <w:p w14:paraId="3231F3B5" w14:textId="77777777" w:rsidR="00A50FCF" w:rsidRPr="00A10EEE" w:rsidRDefault="00A50FCF" w:rsidP="00D81C50">
      <w:pPr>
        <w:tabs>
          <w:tab w:val="center" w:pos="5400"/>
        </w:tabs>
        <w:suppressAutoHyphens/>
        <w:jc w:val="center"/>
        <w:rPr>
          <w:rFonts w:asciiTheme="majorHAnsi" w:hAnsiTheme="majorHAnsi"/>
          <w:sz w:val="20"/>
          <w:szCs w:val="20"/>
        </w:rPr>
      </w:pPr>
    </w:p>
    <w:p w14:paraId="415F3188" w14:textId="77777777" w:rsidR="00A50FCF" w:rsidRPr="00A10EEE" w:rsidRDefault="00A50FCF" w:rsidP="00D81C50">
      <w:pPr>
        <w:tabs>
          <w:tab w:val="center" w:pos="5400"/>
        </w:tabs>
        <w:suppressAutoHyphens/>
        <w:jc w:val="center"/>
        <w:rPr>
          <w:rFonts w:asciiTheme="majorHAnsi" w:hAnsiTheme="majorHAnsi"/>
          <w:sz w:val="20"/>
          <w:szCs w:val="20"/>
        </w:rPr>
      </w:pPr>
    </w:p>
    <w:p w14:paraId="7BFC12E2" w14:textId="77777777" w:rsidR="00A50FCF" w:rsidRPr="00A10EEE" w:rsidRDefault="00A50FCF" w:rsidP="00D81C50">
      <w:pPr>
        <w:tabs>
          <w:tab w:val="center" w:pos="5400"/>
        </w:tabs>
        <w:suppressAutoHyphens/>
        <w:jc w:val="center"/>
        <w:rPr>
          <w:rFonts w:asciiTheme="majorHAnsi" w:hAnsiTheme="majorHAnsi"/>
          <w:sz w:val="20"/>
          <w:szCs w:val="20"/>
        </w:rPr>
      </w:pPr>
    </w:p>
    <w:p w14:paraId="106D5833" w14:textId="77777777" w:rsidR="00A50FCF" w:rsidRPr="00A10EEE" w:rsidRDefault="00A50FCF" w:rsidP="00D81C50">
      <w:pPr>
        <w:tabs>
          <w:tab w:val="center" w:pos="5400"/>
        </w:tabs>
        <w:suppressAutoHyphens/>
        <w:jc w:val="center"/>
        <w:rPr>
          <w:rFonts w:asciiTheme="majorHAnsi" w:hAnsiTheme="majorHAnsi"/>
          <w:sz w:val="20"/>
          <w:szCs w:val="20"/>
        </w:rPr>
      </w:pPr>
    </w:p>
    <w:p w14:paraId="4DDD45D0" w14:textId="77777777" w:rsidR="00A50FCF" w:rsidRPr="00A10EEE" w:rsidRDefault="00A50FCF" w:rsidP="00D81C50">
      <w:pPr>
        <w:tabs>
          <w:tab w:val="center" w:pos="5400"/>
        </w:tabs>
        <w:suppressAutoHyphens/>
        <w:jc w:val="center"/>
        <w:rPr>
          <w:rFonts w:asciiTheme="majorHAnsi" w:hAnsiTheme="majorHAnsi"/>
          <w:sz w:val="20"/>
          <w:szCs w:val="20"/>
        </w:rPr>
      </w:pPr>
    </w:p>
    <w:p w14:paraId="3CCC19A0" w14:textId="77777777" w:rsidR="00A50FCF" w:rsidRPr="00A10EEE" w:rsidRDefault="00A50FCF" w:rsidP="00D81C50">
      <w:pPr>
        <w:tabs>
          <w:tab w:val="center" w:pos="5400"/>
        </w:tabs>
        <w:suppressAutoHyphens/>
        <w:jc w:val="center"/>
        <w:rPr>
          <w:rFonts w:asciiTheme="majorHAnsi" w:hAnsiTheme="majorHAnsi"/>
          <w:sz w:val="20"/>
          <w:szCs w:val="20"/>
        </w:rPr>
      </w:pPr>
    </w:p>
    <w:p w14:paraId="7CFFD987" w14:textId="77777777" w:rsidR="00A50FCF" w:rsidRPr="00A10EEE" w:rsidRDefault="00A50FCF" w:rsidP="00D81C50">
      <w:pPr>
        <w:tabs>
          <w:tab w:val="center" w:pos="5400"/>
        </w:tabs>
        <w:suppressAutoHyphens/>
        <w:jc w:val="center"/>
        <w:rPr>
          <w:rFonts w:asciiTheme="majorHAnsi" w:hAnsiTheme="majorHAnsi"/>
          <w:sz w:val="20"/>
          <w:szCs w:val="20"/>
        </w:rPr>
      </w:pPr>
    </w:p>
    <w:p w14:paraId="7E48F80A" w14:textId="77777777" w:rsidR="00A50FCF" w:rsidRPr="00A10EEE" w:rsidRDefault="00A50FCF" w:rsidP="00D81C50">
      <w:pPr>
        <w:tabs>
          <w:tab w:val="center" w:pos="5400"/>
        </w:tabs>
        <w:suppressAutoHyphens/>
        <w:jc w:val="center"/>
        <w:rPr>
          <w:rFonts w:asciiTheme="majorHAnsi" w:hAnsiTheme="majorHAnsi"/>
          <w:sz w:val="20"/>
          <w:szCs w:val="20"/>
        </w:rPr>
      </w:pPr>
    </w:p>
    <w:p w14:paraId="50609C55" w14:textId="77777777" w:rsidR="00A50FCF" w:rsidRPr="00A10EEE" w:rsidRDefault="00A50FCF" w:rsidP="00D81C50">
      <w:pPr>
        <w:tabs>
          <w:tab w:val="center" w:pos="5400"/>
        </w:tabs>
        <w:suppressAutoHyphens/>
        <w:jc w:val="center"/>
        <w:rPr>
          <w:rFonts w:asciiTheme="majorHAnsi" w:hAnsiTheme="majorHAnsi"/>
          <w:sz w:val="20"/>
          <w:szCs w:val="20"/>
        </w:rPr>
      </w:pPr>
    </w:p>
    <w:p w14:paraId="255A36BB" w14:textId="77777777" w:rsidR="00A50FCF" w:rsidRPr="00A10EEE" w:rsidRDefault="00A50FCF" w:rsidP="00D81C50">
      <w:pPr>
        <w:tabs>
          <w:tab w:val="center" w:pos="5400"/>
        </w:tabs>
        <w:suppressAutoHyphens/>
        <w:jc w:val="center"/>
        <w:rPr>
          <w:rFonts w:asciiTheme="majorHAnsi" w:hAnsiTheme="majorHAnsi"/>
          <w:sz w:val="20"/>
          <w:szCs w:val="20"/>
        </w:rPr>
      </w:pPr>
    </w:p>
    <w:p w14:paraId="10F27336" w14:textId="77777777" w:rsidR="00A50FCF" w:rsidRPr="00A10EEE" w:rsidRDefault="00A50FCF" w:rsidP="00D81C50">
      <w:pPr>
        <w:tabs>
          <w:tab w:val="center" w:pos="5400"/>
        </w:tabs>
        <w:suppressAutoHyphens/>
        <w:jc w:val="center"/>
        <w:rPr>
          <w:rFonts w:asciiTheme="majorHAnsi" w:hAnsiTheme="majorHAnsi"/>
          <w:sz w:val="20"/>
          <w:szCs w:val="20"/>
        </w:rPr>
      </w:pPr>
    </w:p>
    <w:p w14:paraId="403A98D6" w14:textId="77777777" w:rsidR="00A50FCF" w:rsidRPr="00A10EEE" w:rsidRDefault="00A50FCF" w:rsidP="00D81C50">
      <w:pPr>
        <w:tabs>
          <w:tab w:val="center" w:pos="5400"/>
        </w:tabs>
        <w:suppressAutoHyphens/>
        <w:jc w:val="center"/>
        <w:rPr>
          <w:rFonts w:asciiTheme="majorHAnsi" w:hAnsiTheme="majorHAnsi"/>
          <w:sz w:val="20"/>
          <w:szCs w:val="20"/>
        </w:rPr>
      </w:pPr>
    </w:p>
    <w:p w14:paraId="230628C1" w14:textId="77777777" w:rsidR="00A50FCF" w:rsidRPr="00A10EEE" w:rsidRDefault="0090270B" w:rsidP="00D81C50">
      <w:pPr>
        <w:tabs>
          <w:tab w:val="center" w:pos="5400"/>
        </w:tabs>
        <w:suppressAutoHyphens/>
        <w:jc w:val="center"/>
        <w:rPr>
          <w:rFonts w:asciiTheme="majorHAnsi" w:hAnsiTheme="majorHAnsi"/>
          <w:sz w:val="20"/>
          <w:szCs w:val="20"/>
        </w:rPr>
      </w:pPr>
      <w:r w:rsidRPr="00A10EEE">
        <w:rPr>
          <w:rFonts w:asciiTheme="majorHAnsi" w:hAnsiTheme="majorHAnsi"/>
          <w:noProof/>
          <w:sz w:val="20"/>
          <w:szCs w:val="20"/>
          <w:lang w:val="en-US" w:eastAsia="en-US"/>
        </w:rPr>
        <mc:AlternateContent>
          <mc:Choice Requires="wps">
            <w:drawing>
              <wp:anchor distT="0" distB="0" distL="114300" distR="114300" simplePos="0" relativeHeight="251670528" behindDoc="0" locked="0" layoutInCell="1" allowOverlap="1" wp14:anchorId="7644D198" wp14:editId="4929A820">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BC49AC" w14:textId="77777777" w:rsidR="00C6400A" w:rsidRDefault="00C6400A" w:rsidP="000A6FD6">
                            <w:pPr>
                              <w:tabs>
                                <w:tab w:val="center" w:pos="5400"/>
                              </w:tabs>
                              <w:suppressAutoHyphens/>
                              <w:spacing w:before="60"/>
                              <w:jc w:val="both"/>
                              <w:rPr>
                                <w:rFonts w:asciiTheme="majorHAnsi" w:hAnsiTheme="majorHAnsi" w:cs="Univers"/>
                                <w:color w:val="0D0D0D" w:themeColor="text1" w:themeTint="F2"/>
                                <w:sz w:val="18"/>
                                <w:szCs w:val="20"/>
                              </w:rPr>
                            </w:pPr>
                            <w:r>
                              <w:rPr>
                                <w:rFonts w:asciiTheme="majorHAnsi" w:hAnsiTheme="majorHAnsi"/>
                                <w:color w:val="0D0D0D" w:themeColor="text1" w:themeTint="F2"/>
                                <w:sz w:val="18"/>
                                <w:szCs w:val="20"/>
                                <w:lang w:val="es-ES"/>
                              </w:rPr>
                              <w:t>Aprobado</w:t>
                            </w:r>
                            <w:r w:rsidR="006E59D1">
                              <w:rPr>
                                <w:rFonts w:asciiTheme="majorHAnsi" w:hAnsiTheme="majorHAnsi"/>
                                <w:color w:val="0D0D0D" w:themeColor="text1" w:themeTint="F2"/>
                                <w:sz w:val="18"/>
                                <w:szCs w:val="20"/>
                                <w:lang w:val="es-ES"/>
                              </w:rPr>
                              <w:t xml:space="preserve"> por la Comisión en su S</w:t>
                            </w:r>
                            <w:r w:rsidRPr="00890650">
                              <w:rPr>
                                <w:rFonts w:asciiTheme="majorHAnsi" w:hAnsiTheme="majorHAnsi"/>
                                <w:color w:val="0D0D0D" w:themeColor="text1" w:themeTint="F2"/>
                                <w:sz w:val="18"/>
                                <w:szCs w:val="20"/>
                                <w:lang w:val="es-ES"/>
                              </w:rPr>
                              <w:t>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Pr>
                                <w:rFonts w:asciiTheme="majorHAnsi" w:hAnsiTheme="majorHAnsi"/>
                                <w:color w:val="0D0D0D" w:themeColor="text1" w:themeTint="F2"/>
                                <w:sz w:val="18"/>
                                <w:szCs w:val="20"/>
                                <w:lang w:val="es-ES"/>
                              </w:rPr>
                              <w:t xml:space="preserve">2180 </w:t>
                            </w:r>
                            <w:r w:rsidRPr="00890650">
                              <w:rPr>
                                <w:rFonts w:asciiTheme="majorHAnsi" w:hAnsiTheme="majorHAnsi"/>
                                <w:color w:val="0D0D0D" w:themeColor="text1" w:themeTint="F2"/>
                                <w:sz w:val="18"/>
                                <w:szCs w:val="20"/>
                                <w:lang w:val="es-ES"/>
                              </w:rPr>
                              <w:t>c</w:t>
                            </w:r>
                            <w:r>
                              <w:rPr>
                                <w:rFonts w:asciiTheme="majorHAnsi" w:hAnsiTheme="majorHAnsi"/>
                                <w:color w:val="0D0D0D" w:themeColor="text1" w:themeTint="F2"/>
                                <w:sz w:val="18"/>
                                <w:szCs w:val="20"/>
                                <w:lang w:val="es-ES"/>
                              </w:rPr>
                              <w:t>elebrada el 14 de julio</w:t>
                            </w:r>
                            <w:r w:rsidRPr="00890650">
                              <w:rPr>
                                <w:rFonts w:asciiTheme="majorHAnsi" w:hAnsiTheme="majorHAnsi"/>
                                <w:color w:val="0D0D0D" w:themeColor="text1" w:themeTint="F2"/>
                                <w:sz w:val="18"/>
                                <w:szCs w:val="20"/>
                                <w:lang w:val="es-ES"/>
                              </w:rPr>
                              <w:t xml:space="preserve"> de 20</w:t>
                            </w:r>
                            <w:r>
                              <w:rPr>
                                <w:rFonts w:asciiTheme="majorHAnsi" w:hAnsiTheme="majorHAnsi"/>
                                <w:color w:val="0D0D0D" w:themeColor="text1" w:themeTint="F2"/>
                                <w:sz w:val="18"/>
                                <w:szCs w:val="20"/>
                                <w:lang w:val="es-ES"/>
                              </w:rPr>
                              <w:t>20</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176</w:t>
                            </w:r>
                            <w:r w:rsidR="006E59D1">
                              <w:rPr>
                                <w:rFonts w:asciiTheme="majorHAnsi" w:hAnsiTheme="majorHAnsi" w:cs="Univers"/>
                                <w:color w:val="0D0D0D" w:themeColor="text1" w:themeTint="F2"/>
                                <w:sz w:val="18"/>
                                <w:szCs w:val="20"/>
                              </w:rPr>
                              <w:t xml:space="preserve"> Período de S</w:t>
                            </w:r>
                            <w:r w:rsidRPr="00890650">
                              <w:rPr>
                                <w:rFonts w:asciiTheme="majorHAnsi" w:hAnsiTheme="majorHAnsi" w:cs="Univers"/>
                                <w:color w:val="0D0D0D" w:themeColor="text1" w:themeTint="F2"/>
                                <w:sz w:val="18"/>
                                <w:szCs w:val="20"/>
                              </w:rPr>
                              <w:t>esiones</w:t>
                            </w:r>
                          </w:p>
                          <w:p w14:paraId="25633B94" w14:textId="77777777" w:rsidR="00C6400A" w:rsidRDefault="00C6400A" w:rsidP="0059191A">
                            <w:pPr>
                              <w:tabs>
                                <w:tab w:val="center" w:pos="5400"/>
                              </w:tabs>
                              <w:suppressAutoHyphens/>
                              <w:spacing w:before="60"/>
                              <w:rPr>
                                <w:rFonts w:asciiTheme="majorHAnsi" w:hAnsiTheme="majorHAnsi" w:cs="Univers"/>
                                <w:color w:val="0D0D0D" w:themeColor="text1" w:themeTint="F2"/>
                                <w:sz w:val="18"/>
                                <w:szCs w:val="20"/>
                              </w:rPr>
                            </w:pPr>
                          </w:p>
                          <w:p w14:paraId="6AF16C69" w14:textId="77777777" w:rsidR="00C6400A" w:rsidRPr="00027A6B" w:rsidRDefault="00C6400A" w:rsidP="0059191A">
                            <w:pPr>
                              <w:tabs>
                                <w:tab w:val="center" w:pos="5400"/>
                              </w:tabs>
                              <w:suppressAutoHyphens/>
                              <w:spacing w:before="60"/>
                              <w:rPr>
                                <w:rFonts w:asciiTheme="majorHAnsi" w:hAnsiTheme="majorHAnsi" w:cs="Univers"/>
                                <w:color w:val="0D0D0D" w:themeColor="text1" w:themeTint="F2"/>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4D198"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FBC49AC" w14:textId="77777777" w:rsidR="00C6400A" w:rsidRDefault="00C6400A" w:rsidP="000A6FD6">
                      <w:pPr>
                        <w:tabs>
                          <w:tab w:val="center" w:pos="5400"/>
                        </w:tabs>
                        <w:suppressAutoHyphens/>
                        <w:spacing w:before="60"/>
                        <w:jc w:val="both"/>
                        <w:rPr>
                          <w:rFonts w:asciiTheme="majorHAnsi" w:hAnsiTheme="majorHAnsi" w:cs="Univers"/>
                          <w:color w:val="0D0D0D" w:themeColor="text1" w:themeTint="F2"/>
                          <w:sz w:val="18"/>
                          <w:szCs w:val="20"/>
                        </w:rPr>
                      </w:pPr>
                      <w:r>
                        <w:rPr>
                          <w:rFonts w:asciiTheme="majorHAnsi" w:hAnsiTheme="majorHAnsi"/>
                          <w:color w:val="0D0D0D" w:themeColor="text1" w:themeTint="F2"/>
                          <w:sz w:val="18"/>
                          <w:szCs w:val="20"/>
                          <w:lang w:val="es-ES"/>
                        </w:rPr>
                        <w:t>Aprobado</w:t>
                      </w:r>
                      <w:r w:rsidR="006E59D1">
                        <w:rPr>
                          <w:rFonts w:asciiTheme="majorHAnsi" w:hAnsiTheme="majorHAnsi"/>
                          <w:color w:val="0D0D0D" w:themeColor="text1" w:themeTint="F2"/>
                          <w:sz w:val="18"/>
                          <w:szCs w:val="20"/>
                          <w:lang w:val="es-ES"/>
                        </w:rPr>
                        <w:t xml:space="preserve"> por la Comisión en su S</w:t>
                      </w:r>
                      <w:r w:rsidRPr="00890650">
                        <w:rPr>
                          <w:rFonts w:asciiTheme="majorHAnsi" w:hAnsiTheme="majorHAnsi"/>
                          <w:color w:val="0D0D0D" w:themeColor="text1" w:themeTint="F2"/>
                          <w:sz w:val="18"/>
                          <w:szCs w:val="20"/>
                          <w:lang w:val="es-ES"/>
                        </w:rPr>
                        <w:t>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Pr>
                          <w:rFonts w:asciiTheme="majorHAnsi" w:hAnsiTheme="majorHAnsi"/>
                          <w:color w:val="0D0D0D" w:themeColor="text1" w:themeTint="F2"/>
                          <w:sz w:val="18"/>
                          <w:szCs w:val="20"/>
                          <w:lang w:val="es-ES"/>
                        </w:rPr>
                        <w:t xml:space="preserve">2180 </w:t>
                      </w:r>
                      <w:r w:rsidRPr="00890650">
                        <w:rPr>
                          <w:rFonts w:asciiTheme="majorHAnsi" w:hAnsiTheme="majorHAnsi"/>
                          <w:color w:val="0D0D0D" w:themeColor="text1" w:themeTint="F2"/>
                          <w:sz w:val="18"/>
                          <w:szCs w:val="20"/>
                          <w:lang w:val="es-ES"/>
                        </w:rPr>
                        <w:t>c</w:t>
                      </w:r>
                      <w:r>
                        <w:rPr>
                          <w:rFonts w:asciiTheme="majorHAnsi" w:hAnsiTheme="majorHAnsi"/>
                          <w:color w:val="0D0D0D" w:themeColor="text1" w:themeTint="F2"/>
                          <w:sz w:val="18"/>
                          <w:szCs w:val="20"/>
                          <w:lang w:val="es-ES"/>
                        </w:rPr>
                        <w:t>elebrada el 14 de julio</w:t>
                      </w:r>
                      <w:r w:rsidRPr="00890650">
                        <w:rPr>
                          <w:rFonts w:asciiTheme="majorHAnsi" w:hAnsiTheme="majorHAnsi"/>
                          <w:color w:val="0D0D0D" w:themeColor="text1" w:themeTint="F2"/>
                          <w:sz w:val="18"/>
                          <w:szCs w:val="20"/>
                          <w:lang w:val="es-ES"/>
                        </w:rPr>
                        <w:t xml:space="preserve"> de 20</w:t>
                      </w:r>
                      <w:r>
                        <w:rPr>
                          <w:rFonts w:asciiTheme="majorHAnsi" w:hAnsiTheme="majorHAnsi"/>
                          <w:color w:val="0D0D0D" w:themeColor="text1" w:themeTint="F2"/>
                          <w:sz w:val="18"/>
                          <w:szCs w:val="20"/>
                          <w:lang w:val="es-ES"/>
                        </w:rPr>
                        <w:t>20</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176</w:t>
                      </w:r>
                      <w:r w:rsidR="006E59D1">
                        <w:rPr>
                          <w:rFonts w:asciiTheme="majorHAnsi" w:hAnsiTheme="majorHAnsi" w:cs="Univers"/>
                          <w:color w:val="0D0D0D" w:themeColor="text1" w:themeTint="F2"/>
                          <w:sz w:val="18"/>
                          <w:szCs w:val="20"/>
                        </w:rPr>
                        <w:t xml:space="preserve"> Período de S</w:t>
                      </w:r>
                      <w:r w:rsidRPr="00890650">
                        <w:rPr>
                          <w:rFonts w:asciiTheme="majorHAnsi" w:hAnsiTheme="majorHAnsi" w:cs="Univers"/>
                          <w:color w:val="0D0D0D" w:themeColor="text1" w:themeTint="F2"/>
                          <w:sz w:val="18"/>
                          <w:szCs w:val="20"/>
                        </w:rPr>
                        <w:t>esiones</w:t>
                      </w:r>
                    </w:p>
                    <w:p w14:paraId="25633B94" w14:textId="77777777" w:rsidR="00C6400A" w:rsidRDefault="00C6400A" w:rsidP="0059191A">
                      <w:pPr>
                        <w:tabs>
                          <w:tab w:val="center" w:pos="5400"/>
                        </w:tabs>
                        <w:suppressAutoHyphens/>
                        <w:spacing w:before="60"/>
                        <w:rPr>
                          <w:rFonts w:asciiTheme="majorHAnsi" w:hAnsiTheme="majorHAnsi" w:cs="Univers"/>
                          <w:color w:val="0D0D0D" w:themeColor="text1" w:themeTint="F2"/>
                          <w:sz w:val="18"/>
                          <w:szCs w:val="20"/>
                        </w:rPr>
                      </w:pPr>
                    </w:p>
                    <w:p w14:paraId="6AF16C69" w14:textId="77777777" w:rsidR="00C6400A" w:rsidRPr="00027A6B" w:rsidRDefault="00C6400A" w:rsidP="0059191A">
                      <w:pPr>
                        <w:tabs>
                          <w:tab w:val="center" w:pos="5400"/>
                        </w:tabs>
                        <w:suppressAutoHyphens/>
                        <w:spacing w:before="60"/>
                        <w:rPr>
                          <w:rFonts w:asciiTheme="majorHAnsi" w:hAnsiTheme="majorHAnsi" w:cs="Univers"/>
                          <w:color w:val="0D0D0D" w:themeColor="text1" w:themeTint="F2"/>
                          <w:sz w:val="18"/>
                          <w:szCs w:val="20"/>
                        </w:rPr>
                      </w:pPr>
                    </w:p>
                  </w:txbxContent>
                </v:textbox>
              </v:shape>
            </w:pict>
          </mc:Fallback>
        </mc:AlternateContent>
      </w:r>
    </w:p>
    <w:p w14:paraId="3E5633E1" w14:textId="77777777" w:rsidR="00A50FCF" w:rsidRPr="00A10EEE" w:rsidRDefault="00A50FCF" w:rsidP="00D81C50">
      <w:pPr>
        <w:tabs>
          <w:tab w:val="center" w:pos="5400"/>
        </w:tabs>
        <w:suppressAutoHyphens/>
        <w:jc w:val="center"/>
        <w:rPr>
          <w:rFonts w:asciiTheme="majorHAnsi" w:hAnsiTheme="majorHAnsi"/>
          <w:sz w:val="20"/>
          <w:szCs w:val="20"/>
        </w:rPr>
      </w:pPr>
    </w:p>
    <w:p w14:paraId="0C110852" w14:textId="77777777" w:rsidR="00A50FCF" w:rsidRPr="00A10EEE" w:rsidRDefault="00A50FCF" w:rsidP="00D81C50">
      <w:pPr>
        <w:tabs>
          <w:tab w:val="center" w:pos="5400"/>
        </w:tabs>
        <w:suppressAutoHyphens/>
        <w:jc w:val="center"/>
        <w:rPr>
          <w:rFonts w:asciiTheme="majorHAnsi" w:hAnsiTheme="majorHAnsi"/>
          <w:sz w:val="20"/>
          <w:szCs w:val="20"/>
        </w:rPr>
      </w:pPr>
    </w:p>
    <w:p w14:paraId="0478F381" w14:textId="77777777" w:rsidR="00A50FCF" w:rsidRPr="00A10EEE" w:rsidRDefault="00A50FCF" w:rsidP="00D81C50">
      <w:pPr>
        <w:tabs>
          <w:tab w:val="center" w:pos="5400"/>
        </w:tabs>
        <w:suppressAutoHyphens/>
        <w:jc w:val="center"/>
        <w:rPr>
          <w:rFonts w:asciiTheme="majorHAnsi" w:hAnsiTheme="majorHAnsi"/>
          <w:sz w:val="20"/>
          <w:szCs w:val="20"/>
        </w:rPr>
      </w:pPr>
    </w:p>
    <w:p w14:paraId="2F225ACE" w14:textId="77777777" w:rsidR="00A50FCF" w:rsidRPr="00A10EEE" w:rsidRDefault="00A50FCF" w:rsidP="00D81C50">
      <w:pPr>
        <w:tabs>
          <w:tab w:val="center" w:pos="5400"/>
        </w:tabs>
        <w:suppressAutoHyphens/>
        <w:jc w:val="center"/>
        <w:rPr>
          <w:rFonts w:asciiTheme="majorHAnsi" w:hAnsiTheme="majorHAnsi"/>
          <w:sz w:val="20"/>
          <w:szCs w:val="20"/>
        </w:rPr>
      </w:pPr>
    </w:p>
    <w:p w14:paraId="54025A7D" w14:textId="77777777" w:rsidR="00A50FCF" w:rsidRPr="00A10EEE" w:rsidRDefault="0090270B" w:rsidP="00D81C50">
      <w:pPr>
        <w:tabs>
          <w:tab w:val="center" w:pos="5400"/>
        </w:tabs>
        <w:suppressAutoHyphens/>
        <w:jc w:val="center"/>
        <w:rPr>
          <w:rFonts w:asciiTheme="majorHAnsi" w:hAnsiTheme="majorHAnsi"/>
          <w:sz w:val="20"/>
          <w:szCs w:val="20"/>
        </w:rPr>
      </w:pPr>
      <w:r w:rsidRPr="00A10EEE">
        <w:rPr>
          <w:rFonts w:asciiTheme="majorHAnsi" w:hAnsiTheme="majorHAnsi"/>
          <w:noProof/>
          <w:sz w:val="20"/>
          <w:szCs w:val="20"/>
          <w:lang w:val="en-US" w:eastAsia="en-US"/>
        </w:rPr>
        <mc:AlternateContent>
          <mc:Choice Requires="wps">
            <w:drawing>
              <wp:anchor distT="0" distB="0" distL="114300" distR="114300" simplePos="0" relativeHeight="251678720" behindDoc="0" locked="0" layoutInCell="1" allowOverlap="1" wp14:anchorId="5E239E2D" wp14:editId="17781A4A">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37DA99" w14:textId="77777777" w:rsidR="006E59D1" w:rsidRDefault="00C6400A" w:rsidP="00113F73">
                            <w:pPr>
                              <w:spacing w:line="276" w:lineRule="auto"/>
                              <w:rPr>
                                <w:rFonts w:asciiTheme="majorHAnsi" w:hAnsiTheme="majorHAnsi"/>
                                <w:color w:val="595959" w:themeColor="text1" w:themeTint="A6"/>
                                <w:sz w:val="18"/>
                                <w:szCs w:val="18"/>
                              </w:rPr>
                            </w:pPr>
                            <w:r w:rsidRPr="0022273F">
                              <w:rPr>
                                <w:rFonts w:asciiTheme="majorHAnsi" w:hAnsiTheme="majorHAnsi"/>
                                <w:b/>
                                <w:color w:val="595959" w:themeColor="text1" w:themeTint="A6"/>
                                <w:sz w:val="18"/>
                                <w:szCs w:val="18"/>
                                <w:lang w:val="pt-BR"/>
                              </w:rPr>
                              <w:t>Citar como:</w:t>
                            </w:r>
                            <w:r w:rsidRPr="0022273F">
                              <w:rPr>
                                <w:rFonts w:asciiTheme="majorHAnsi" w:hAnsiTheme="majorHAnsi"/>
                                <w:color w:val="595959" w:themeColor="text1" w:themeTint="A6"/>
                                <w:sz w:val="18"/>
                                <w:szCs w:val="18"/>
                                <w:lang w:val="pt-BR"/>
                              </w:rPr>
                              <w:t xml:space="preserve"> CIDH. Informe No. </w:t>
                            </w:r>
                            <w:r>
                              <w:rPr>
                                <w:rFonts w:asciiTheme="majorHAnsi" w:hAnsiTheme="majorHAnsi"/>
                                <w:color w:val="595959" w:themeColor="text1" w:themeTint="A6"/>
                                <w:sz w:val="18"/>
                                <w:szCs w:val="18"/>
                                <w:lang w:val="pt-BR"/>
                              </w:rPr>
                              <w:t>192</w:t>
                            </w:r>
                            <w:r w:rsidRPr="00E72A61">
                              <w:rPr>
                                <w:rFonts w:asciiTheme="majorHAnsi" w:hAnsiTheme="majorHAnsi"/>
                                <w:color w:val="595959" w:themeColor="text1" w:themeTint="A6"/>
                                <w:sz w:val="18"/>
                                <w:szCs w:val="18"/>
                                <w:lang w:val="pt-BR"/>
                              </w:rPr>
                              <w:t>/</w:t>
                            </w:r>
                            <w:r>
                              <w:rPr>
                                <w:rFonts w:asciiTheme="majorHAnsi" w:hAnsiTheme="majorHAnsi"/>
                                <w:color w:val="595959" w:themeColor="text1" w:themeTint="A6"/>
                                <w:sz w:val="18"/>
                                <w:szCs w:val="18"/>
                                <w:lang w:val="pt-BR"/>
                              </w:rPr>
                              <w:t>20</w:t>
                            </w:r>
                            <w:r w:rsidRPr="00E72A61">
                              <w:rPr>
                                <w:rFonts w:asciiTheme="majorHAnsi" w:hAnsiTheme="majorHAnsi"/>
                                <w:color w:val="595959" w:themeColor="text1" w:themeTint="A6"/>
                                <w:sz w:val="18"/>
                                <w:szCs w:val="18"/>
                                <w:lang w:val="pt-BR"/>
                              </w:rPr>
                              <w:t>.</w:t>
                            </w:r>
                            <w:r w:rsidRPr="0022273F">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rPr>
                              <w:t xml:space="preserve">Caso 12.592. </w:t>
                            </w:r>
                            <w:r w:rsidR="006E59D1">
                              <w:rPr>
                                <w:rFonts w:asciiTheme="majorHAnsi" w:hAnsiTheme="majorHAnsi"/>
                                <w:color w:val="595959" w:themeColor="text1" w:themeTint="A6"/>
                                <w:sz w:val="18"/>
                                <w:szCs w:val="18"/>
                              </w:rPr>
                              <w:t xml:space="preserve">Fondo. Elias Gattass Sahih, </w:t>
                            </w:r>
                            <w:r w:rsidRPr="00E72A61">
                              <w:rPr>
                                <w:rFonts w:asciiTheme="majorHAnsi" w:hAnsiTheme="majorHAnsi"/>
                                <w:color w:val="595959" w:themeColor="text1" w:themeTint="A6"/>
                                <w:sz w:val="18"/>
                                <w:szCs w:val="18"/>
                              </w:rPr>
                              <w:t>Ecuador.</w:t>
                            </w:r>
                            <w:r w:rsidRPr="00890650">
                              <w:rPr>
                                <w:rFonts w:asciiTheme="majorHAnsi" w:hAnsiTheme="majorHAnsi"/>
                                <w:color w:val="595959" w:themeColor="text1" w:themeTint="A6"/>
                                <w:sz w:val="18"/>
                                <w:szCs w:val="18"/>
                              </w:rPr>
                              <w:t xml:space="preserve"> </w:t>
                            </w:r>
                          </w:p>
                          <w:p w14:paraId="56C9C8CB" w14:textId="77777777" w:rsidR="00C6400A" w:rsidRPr="007C756A" w:rsidRDefault="00C6400A" w:rsidP="00113F73">
                            <w:pPr>
                              <w:spacing w:line="276" w:lineRule="auto"/>
                              <w:rPr>
                                <w:rFonts w:asciiTheme="majorHAnsi" w:hAnsiTheme="majorHAnsi"/>
                                <w:color w:val="595959" w:themeColor="text1" w:themeTint="A6"/>
                                <w:sz w:val="18"/>
                                <w:szCs w:val="18"/>
                                <w:lang w:val="es-US"/>
                              </w:rPr>
                            </w:pPr>
                            <w:r>
                              <w:rPr>
                                <w:rFonts w:asciiTheme="majorHAnsi" w:hAnsiTheme="majorHAnsi"/>
                                <w:color w:val="595959" w:themeColor="text1" w:themeTint="A6"/>
                                <w:sz w:val="18"/>
                                <w:szCs w:val="18"/>
                              </w:rPr>
                              <w:t xml:space="preserve">14 de julio de 2020.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39E2D"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137DA99" w14:textId="77777777" w:rsidR="006E59D1" w:rsidRDefault="00C6400A" w:rsidP="00113F73">
                      <w:pPr>
                        <w:spacing w:line="276" w:lineRule="auto"/>
                        <w:rPr>
                          <w:rFonts w:asciiTheme="majorHAnsi" w:hAnsiTheme="majorHAnsi"/>
                          <w:color w:val="595959" w:themeColor="text1" w:themeTint="A6"/>
                          <w:sz w:val="18"/>
                          <w:szCs w:val="18"/>
                        </w:rPr>
                      </w:pPr>
                      <w:r w:rsidRPr="0022273F">
                        <w:rPr>
                          <w:rFonts w:asciiTheme="majorHAnsi" w:hAnsiTheme="majorHAnsi"/>
                          <w:b/>
                          <w:color w:val="595959" w:themeColor="text1" w:themeTint="A6"/>
                          <w:sz w:val="18"/>
                          <w:szCs w:val="18"/>
                          <w:lang w:val="pt-BR"/>
                        </w:rPr>
                        <w:t>Citar como:</w:t>
                      </w:r>
                      <w:r w:rsidRPr="0022273F">
                        <w:rPr>
                          <w:rFonts w:asciiTheme="majorHAnsi" w:hAnsiTheme="majorHAnsi"/>
                          <w:color w:val="595959" w:themeColor="text1" w:themeTint="A6"/>
                          <w:sz w:val="18"/>
                          <w:szCs w:val="18"/>
                          <w:lang w:val="pt-BR"/>
                        </w:rPr>
                        <w:t xml:space="preserve"> CIDH. Informe No. </w:t>
                      </w:r>
                      <w:r>
                        <w:rPr>
                          <w:rFonts w:asciiTheme="majorHAnsi" w:hAnsiTheme="majorHAnsi"/>
                          <w:color w:val="595959" w:themeColor="text1" w:themeTint="A6"/>
                          <w:sz w:val="18"/>
                          <w:szCs w:val="18"/>
                          <w:lang w:val="pt-BR"/>
                        </w:rPr>
                        <w:t>192</w:t>
                      </w:r>
                      <w:r w:rsidRPr="00E72A61">
                        <w:rPr>
                          <w:rFonts w:asciiTheme="majorHAnsi" w:hAnsiTheme="majorHAnsi"/>
                          <w:color w:val="595959" w:themeColor="text1" w:themeTint="A6"/>
                          <w:sz w:val="18"/>
                          <w:szCs w:val="18"/>
                          <w:lang w:val="pt-BR"/>
                        </w:rPr>
                        <w:t>/</w:t>
                      </w:r>
                      <w:r>
                        <w:rPr>
                          <w:rFonts w:asciiTheme="majorHAnsi" w:hAnsiTheme="majorHAnsi"/>
                          <w:color w:val="595959" w:themeColor="text1" w:themeTint="A6"/>
                          <w:sz w:val="18"/>
                          <w:szCs w:val="18"/>
                          <w:lang w:val="pt-BR"/>
                        </w:rPr>
                        <w:t>20</w:t>
                      </w:r>
                      <w:r w:rsidRPr="00E72A61">
                        <w:rPr>
                          <w:rFonts w:asciiTheme="majorHAnsi" w:hAnsiTheme="majorHAnsi"/>
                          <w:color w:val="595959" w:themeColor="text1" w:themeTint="A6"/>
                          <w:sz w:val="18"/>
                          <w:szCs w:val="18"/>
                          <w:lang w:val="pt-BR"/>
                        </w:rPr>
                        <w:t>.</w:t>
                      </w:r>
                      <w:r w:rsidRPr="0022273F">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rPr>
                        <w:t xml:space="preserve">Caso 12.592. </w:t>
                      </w:r>
                      <w:r w:rsidR="006E59D1">
                        <w:rPr>
                          <w:rFonts w:asciiTheme="majorHAnsi" w:hAnsiTheme="majorHAnsi"/>
                          <w:color w:val="595959" w:themeColor="text1" w:themeTint="A6"/>
                          <w:sz w:val="18"/>
                          <w:szCs w:val="18"/>
                        </w:rPr>
                        <w:t xml:space="preserve">Fondo. Elias Gattass Sahih, </w:t>
                      </w:r>
                      <w:r w:rsidRPr="00E72A61">
                        <w:rPr>
                          <w:rFonts w:asciiTheme="majorHAnsi" w:hAnsiTheme="majorHAnsi"/>
                          <w:color w:val="595959" w:themeColor="text1" w:themeTint="A6"/>
                          <w:sz w:val="18"/>
                          <w:szCs w:val="18"/>
                        </w:rPr>
                        <w:t>Ecuador.</w:t>
                      </w:r>
                      <w:r w:rsidRPr="00890650">
                        <w:rPr>
                          <w:rFonts w:asciiTheme="majorHAnsi" w:hAnsiTheme="majorHAnsi"/>
                          <w:color w:val="595959" w:themeColor="text1" w:themeTint="A6"/>
                          <w:sz w:val="18"/>
                          <w:szCs w:val="18"/>
                        </w:rPr>
                        <w:t xml:space="preserve"> </w:t>
                      </w:r>
                    </w:p>
                    <w:p w14:paraId="56C9C8CB" w14:textId="77777777" w:rsidR="00C6400A" w:rsidRPr="007C756A" w:rsidRDefault="00C6400A" w:rsidP="00113F73">
                      <w:pPr>
                        <w:spacing w:line="276" w:lineRule="auto"/>
                        <w:rPr>
                          <w:rFonts w:asciiTheme="majorHAnsi" w:hAnsiTheme="majorHAnsi"/>
                          <w:color w:val="595959" w:themeColor="text1" w:themeTint="A6"/>
                          <w:sz w:val="18"/>
                          <w:szCs w:val="18"/>
                          <w:lang w:val="es-US"/>
                        </w:rPr>
                      </w:pPr>
                      <w:r>
                        <w:rPr>
                          <w:rFonts w:asciiTheme="majorHAnsi" w:hAnsiTheme="majorHAnsi"/>
                          <w:color w:val="595959" w:themeColor="text1" w:themeTint="A6"/>
                          <w:sz w:val="18"/>
                          <w:szCs w:val="18"/>
                        </w:rPr>
                        <w:t xml:space="preserve">14 de julio de 2020. </w:t>
                      </w:r>
                    </w:p>
                  </w:txbxContent>
                </v:textbox>
              </v:shape>
            </w:pict>
          </mc:Fallback>
        </mc:AlternateContent>
      </w:r>
    </w:p>
    <w:p w14:paraId="79565C73" w14:textId="77777777" w:rsidR="00A50FCF" w:rsidRPr="00A10EEE" w:rsidRDefault="00A50FCF" w:rsidP="00D81C50">
      <w:pPr>
        <w:tabs>
          <w:tab w:val="center" w:pos="5400"/>
        </w:tabs>
        <w:suppressAutoHyphens/>
        <w:jc w:val="center"/>
        <w:rPr>
          <w:rFonts w:asciiTheme="majorHAnsi" w:hAnsiTheme="majorHAnsi"/>
          <w:sz w:val="20"/>
          <w:szCs w:val="20"/>
        </w:rPr>
      </w:pPr>
    </w:p>
    <w:p w14:paraId="0125AF54" w14:textId="77777777" w:rsidR="0090270B" w:rsidRPr="00A10EEE" w:rsidRDefault="00D306D1" w:rsidP="00D81C50">
      <w:pPr>
        <w:tabs>
          <w:tab w:val="center" w:pos="5400"/>
        </w:tabs>
        <w:suppressAutoHyphens/>
        <w:jc w:val="center"/>
        <w:rPr>
          <w:rFonts w:asciiTheme="majorHAnsi" w:hAnsiTheme="majorHAnsi"/>
          <w:b/>
          <w:sz w:val="20"/>
          <w:szCs w:val="20"/>
        </w:rPr>
      </w:pPr>
      <w:r w:rsidRPr="00A10EEE">
        <w:rPr>
          <w:rFonts w:asciiTheme="majorHAnsi" w:hAnsiTheme="majorHAnsi"/>
          <w:noProof/>
          <w:sz w:val="20"/>
          <w:szCs w:val="20"/>
          <w:lang w:val="en-US" w:eastAsia="en-US"/>
        </w:rPr>
        <mc:AlternateContent>
          <mc:Choice Requires="wps">
            <w:drawing>
              <wp:anchor distT="0" distB="0" distL="114300" distR="114300" simplePos="0" relativeHeight="251680768" behindDoc="0" locked="0" layoutInCell="1" allowOverlap="1" wp14:anchorId="7595389C" wp14:editId="78A9AD8F">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9FB718" w14:textId="77777777" w:rsidR="00C6400A" w:rsidRPr="00D72DC6" w:rsidRDefault="00C6400A" w:rsidP="00F02AD1">
                            <w:pPr>
                              <w:rPr>
                                <w:color w:val="FFFFFF" w:themeColor="background1"/>
                                <w14:textFill>
                                  <w14:noFill/>
                                </w14:textFill>
                              </w:rPr>
                            </w:pPr>
                            <w:r>
                              <w:rPr>
                                <w:noProof/>
                                <w:color w:val="FFFFFF" w:themeColor="background1"/>
                                <w:lang w:val="en-US" w:eastAsia="en-US"/>
                              </w:rPr>
                              <w:drawing>
                                <wp:inline distT="0" distB="0" distL="0" distR="0" wp14:anchorId="439E371B" wp14:editId="27B4CE38">
                                  <wp:extent cx="1658203" cy="4265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1725" cy="42743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5389C"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3A9FB718" w14:textId="77777777" w:rsidR="00C6400A" w:rsidRPr="00D72DC6" w:rsidRDefault="00C6400A" w:rsidP="00F02AD1">
                      <w:pPr>
                        <w:rPr>
                          <w:color w:val="FFFFFF" w:themeColor="background1"/>
                          <w14:textFill>
                            <w14:noFill/>
                          </w14:textFill>
                        </w:rPr>
                      </w:pPr>
                      <w:r>
                        <w:rPr>
                          <w:noProof/>
                          <w:color w:val="FFFFFF" w:themeColor="background1"/>
                          <w:lang w:val="en-US" w:eastAsia="en-US"/>
                        </w:rPr>
                        <w:drawing>
                          <wp:inline distT="0" distB="0" distL="0" distR="0" wp14:anchorId="439E371B" wp14:editId="27B4CE38">
                            <wp:extent cx="1658203" cy="4265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1725" cy="427433"/>
                                    </a:xfrm>
                                    <a:prstGeom prst="rect">
                                      <a:avLst/>
                                    </a:prstGeom>
                                  </pic:spPr>
                                </pic:pic>
                              </a:graphicData>
                            </a:graphic>
                          </wp:inline>
                        </w:drawing>
                      </w:r>
                    </w:p>
                  </w:txbxContent>
                </v:textbox>
              </v:shape>
            </w:pict>
          </mc:Fallback>
        </mc:AlternateContent>
      </w:r>
      <w:r w:rsidRPr="00A10EEE">
        <w:rPr>
          <w:rFonts w:asciiTheme="majorHAnsi" w:hAnsiTheme="majorHAnsi"/>
          <w:noProof/>
          <w:sz w:val="20"/>
          <w:szCs w:val="20"/>
          <w:lang w:val="en-US" w:eastAsia="en-US"/>
        </w:rPr>
        <mc:AlternateContent>
          <mc:Choice Requires="wps">
            <w:drawing>
              <wp:anchor distT="0" distB="0" distL="114300" distR="114300" simplePos="0" relativeHeight="251682816" behindDoc="0" locked="0" layoutInCell="1" allowOverlap="1" wp14:anchorId="20742E94" wp14:editId="242B9F5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66AEA9" w14:textId="77777777" w:rsidR="00C6400A" w:rsidRPr="004B7EB6" w:rsidRDefault="00C6400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42E94"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5C66AEA9" w14:textId="77777777" w:rsidR="00C6400A" w:rsidRPr="004B7EB6" w:rsidRDefault="00C6400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DC3CD42" w14:textId="77777777" w:rsidR="0070697F" w:rsidRPr="00A10EEE" w:rsidRDefault="0070697F" w:rsidP="00D81C50">
      <w:pPr>
        <w:tabs>
          <w:tab w:val="center" w:pos="5400"/>
        </w:tabs>
        <w:suppressAutoHyphens/>
        <w:rPr>
          <w:rFonts w:asciiTheme="majorHAnsi" w:hAnsiTheme="majorHAnsi"/>
          <w:b/>
          <w:sz w:val="20"/>
          <w:szCs w:val="20"/>
        </w:rPr>
        <w:sectPr w:rsidR="0070697F" w:rsidRPr="00A10EEE"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7BA6291A" w14:textId="77777777" w:rsidR="00722C9F" w:rsidRPr="00A10EEE" w:rsidRDefault="00722C9F" w:rsidP="00D81C50">
      <w:pPr>
        <w:tabs>
          <w:tab w:val="center" w:pos="5400"/>
        </w:tabs>
        <w:suppressAutoHyphens/>
        <w:spacing w:line="276" w:lineRule="auto"/>
        <w:rPr>
          <w:rFonts w:asciiTheme="majorHAnsi" w:hAnsiTheme="majorHAnsi"/>
          <w:color w:val="000000" w:themeColor="text1"/>
          <w:sz w:val="20"/>
          <w:szCs w:val="20"/>
        </w:rPr>
      </w:pPr>
    </w:p>
    <w:p w14:paraId="3083C4C4" w14:textId="77777777" w:rsidR="00722C9F" w:rsidRPr="00A10EEE" w:rsidRDefault="00722C9F" w:rsidP="00D81C50">
      <w:pPr>
        <w:tabs>
          <w:tab w:val="center" w:pos="5400"/>
        </w:tabs>
        <w:suppressAutoHyphens/>
        <w:spacing w:line="276" w:lineRule="auto"/>
        <w:jc w:val="center"/>
        <w:rPr>
          <w:rFonts w:asciiTheme="majorHAnsi" w:hAnsiTheme="majorHAnsi"/>
          <w:b/>
          <w:color w:val="000000" w:themeColor="text1"/>
          <w:sz w:val="20"/>
          <w:szCs w:val="20"/>
        </w:rPr>
      </w:pPr>
      <w:r w:rsidRPr="00A10EEE">
        <w:rPr>
          <w:rFonts w:asciiTheme="majorHAnsi" w:hAnsiTheme="majorHAnsi"/>
          <w:b/>
          <w:color w:val="000000" w:themeColor="text1"/>
          <w:sz w:val="20"/>
          <w:szCs w:val="20"/>
        </w:rPr>
        <w:t>ÍNDICE</w:t>
      </w:r>
    </w:p>
    <w:p w14:paraId="4A206E3E" w14:textId="77777777" w:rsidR="003C582B" w:rsidRPr="00A10EEE" w:rsidRDefault="003C582B" w:rsidP="00D81C50">
      <w:pPr>
        <w:tabs>
          <w:tab w:val="center" w:pos="5400"/>
        </w:tabs>
        <w:suppressAutoHyphens/>
        <w:spacing w:line="276" w:lineRule="auto"/>
        <w:jc w:val="center"/>
        <w:rPr>
          <w:rFonts w:asciiTheme="majorHAnsi" w:hAnsiTheme="majorHAnsi"/>
          <w:b/>
          <w:color w:val="000000" w:themeColor="text1"/>
          <w:sz w:val="20"/>
          <w:szCs w:val="20"/>
        </w:rPr>
      </w:pPr>
    </w:p>
    <w:sdt>
      <w:sdtPr>
        <w:rPr>
          <w:rFonts w:ascii="Times New Roman" w:eastAsia="Arial Unicode MS" w:hAnsi="Times New Roman" w:cs="Times New Roman"/>
          <w:b w:val="0"/>
          <w:color w:val="auto"/>
          <w:sz w:val="24"/>
          <w:szCs w:val="24"/>
          <w:lang w:val="es-ES"/>
        </w:rPr>
        <w:id w:val="-1422102643"/>
        <w:docPartObj>
          <w:docPartGallery w:val="Table of Contents"/>
          <w:docPartUnique/>
        </w:docPartObj>
      </w:sdtPr>
      <w:sdtEndPr>
        <w:rPr>
          <w:rFonts w:ascii="Cambria" w:hAnsi="Cambria"/>
          <w:noProof/>
          <w:sz w:val="20"/>
          <w:szCs w:val="20"/>
          <w:lang w:val="es-ES_tradnl"/>
        </w:rPr>
      </w:sdtEndPr>
      <w:sdtContent>
        <w:p w14:paraId="59320E99" w14:textId="77777777" w:rsidR="003C582B" w:rsidRPr="00A10EEE" w:rsidRDefault="003C582B" w:rsidP="00B8126D">
          <w:pPr>
            <w:pStyle w:val="TOCHeading"/>
          </w:pPr>
        </w:p>
        <w:p w14:paraId="7066E7C2" w14:textId="754AF334" w:rsidR="00D248DD" w:rsidRDefault="003C582B">
          <w:pPr>
            <w:pStyle w:val="TOC1"/>
            <w:rPr>
              <w:rFonts w:asciiTheme="minorHAnsi" w:eastAsiaTheme="minorEastAsia" w:hAnsiTheme="minorHAnsi" w:cstheme="minorBidi"/>
              <w:b w:val="0"/>
              <w:sz w:val="24"/>
              <w:szCs w:val="24"/>
              <w:lang w:val="es-CO"/>
            </w:rPr>
          </w:pPr>
          <w:r w:rsidRPr="00A10EEE">
            <w:rPr>
              <w:color w:val="000000" w:themeColor="text1"/>
            </w:rPr>
            <w:fldChar w:fldCharType="begin"/>
          </w:r>
          <w:r w:rsidR="00443A4E" w:rsidRPr="00A10EEE">
            <w:rPr>
              <w:color w:val="000000" w:themeColor="text1"/>
            </w:rPr>
            <w:instrText>TOC</w:instrText>
          </w:r>
          <w:r w:rsidRPr="00A10EEE">
            <w:rPr>
              <w:color w:val="000000" w:themeColor="text1"/>
            </w:rPr>
            <w:instrText xml:space="preserve"> \o "1-3" \h \z \u</w:instrText>
          </w:r>
          <w:r w:rsidRPr="00A10EEE">
            <w:rPr>
              <w:color w:val="000000" w:themeColor="text1"/>
            </w:rPr>
            <w:fldChar w:fldCharType="separate"/>
          </w:r>
          <w:hyperlink w:anchor="_Toc39489205" w:history="1">
            <w:r w:rsidR="00D248DD" w:rsidRPr="00A91CB6">
              <w:rPr>
                <w:rStyle w:val="Hyperlink"/>
              </w:rPr>
              <w:t>I.</w:t>
            </w:r>
            <w:r w:rsidR="00D248DD">
              <w:rPr>
                <w:rFonts w:asciiTheme="minorHAnsi" w:eastAsiaTheme="minorEastAsia" w:hAnsiTheme="minorHAnsi" w:cstheme="minorBidi"/>
                <w:b w:val="0"/>
                <w:sz w:val="24"/>
                <w:szCs w:val="24"/>
                <w:lang w:val="es-CO"/>
              </w:rPr>
              <w:tab/>
            </w:r>
            <w:r w:rsidR="00D248DD" w:rsidRPr="00A91CB6">
              <w:rPr>
                <w:rStyle w:val="Hyperlink"/>
              </w:rPr>
              <w:t>INTRODUCCIÓN</w:t>
            </w:r>
            <w:r w:rsidR="00D248DD">
              <w:rPr>
                <w:webHidden/>
              </w:rPr>
              <w:tab/>
            </w:r>
            <w:r w:rsidR="00D248DD">
              <w:rPr>
                <w:webHidden/>
              </w:rPr>
              <w:fldChar w:fldCharType="begin"/>
            </w:r>
            <w:r w:rsidR="00D248DD">
              <w:rPr>
                <w:webHidden/>
              </w:rPr>
              <w:instrText xml:space="preserve"> PAGEREF _Toc39489205 \h </w:instrText>
            </w:r>
            <w:r w:rsidR="00D248DD">
              <w:rPr>
                <w:webHidden/>
              </w:rPr>
            </w:r>
            <w:r w:rsidR="00D248DD">
              <w:rPr>
                <w:webHidden/>
              </w:rPr>
              <w:fldChar w:fldCharType="separate"/>
            </w:r>
            <w:r w:rsidR="00C76F21">
              <w:rPr>
                <w:webHidden/>
              </w:rPr>
              <w:t>2</w:t>
            </w:r>
            <w:r w:rsidR="00D248DD">
              <w:rPr>
                <w:webHidden/>
              </w:rPr>
              <w:fldChar w:fldCharType="end"/>
            </w:r>
          </w:hyperlink>
        </w:p>
        <w:p w14:paraId="36D5F80F" w14:textId="7E81DB6C" w:rsidR="00D248DD" w:rsidRDefault="00C76F21">
          <w:pPr>
            <w:pStyle w:val="TOC1"/>
            <w:rPr>
              <w:rFonts w:asciiTheme="minorHAnsi" w:eastAsiaTheme="minorEastAsia" w:hAnsiTheme="minorHAnsi" w:cstheme="minorBidi"/>
              <w:b w:val="0"/>
              <w:sz w:val="24"/>
              <w:szCs w:val="24"/>
              <w:lang w:val="es-CO"/>
            </w:rPr>
          </w:pPr>
          <w:hyperlink w:anchor="_Toc39489206" w:history="1">
            <w:r w:rsidR="00D248DD" w:rsidRPr="00A91CB6">
              <w:rPr>
                <w:rStyle w:val="Hyperlink"/>
              </w:rPr>
              <w:t>II.</w:t>
            </w:r>
            <w:r w:rsidR="00D248DD">
              <w:rPr>
                <w:rFonts w:asciiTheme="minorHAnsi" w:eastAsiaTheme="minorEastAsia" w:hAnsiTheme="minorHAnsi" w:cstheme="minorBidi"/>
                <w:b w:val="0"/>
                <w:sz w:val="24"/>
                <w:szCs w:val="24"/>
                <w:lang w:val="es-CO"/>
              </w:rPr>
              <w:tab/>
            </w:r>
            <w:r w:rsidR="00D248DD" w:rsidRPr="00A91CB6">
              <w:rPr>
                <w:rStyle w:val="Hyperlink"/>
              </w:rPr>
              <w:t>ALEGATOS DE LAS PARTES</w:t>
            </w:r>
            <w:r w:rsidR="00D248DD">
              <w:rPr>
                <w:webHidden/>
              </w:rPr>
              <w:tab/>
            </w:r>
            <w:r w:rsidR="00D248DD">
              <w:rPr>
                <w:webHidden/>
              </w:rPr>
              <w:fldChar w:fldCharType="begin"/>
            </w:r>
            <w:r w:rsidR="00D248DD">
              <w:rPr>
                <w:webHidden/>
              </w:rPr>
              <w:instrText xml:space="preserve"> PAGEREF _Toc39489206 \h </w:instrText>
            </w:r>
            <w:r w:rsidR="00D248DD">
              <w:rPr>
                <w:webHidden/>
              </w:rPr>
            </w:r>
            <w:r w:rsidR="00D248DD">
              <w:rPr>
                <w:webHidden/>
              </w:rPr>
              <w:fldChar w:fldCharType="separate"/>
            </w:r>
            <w:r>
              <w:rPr>
                <w:webHidden/>
              </w:rPr>
              <w:t>2</w:t>
            </w:r>
            <w:r w:rsidR="00D248DD">
              <w:rPr>
                <w:webHidden/>
              </w:rPr>
              <w:fldChar w:fldCharType="end"/>
            </w:r>
          </w:hyperlink>
        </w:p>
        <w:p w14:paraId="499A3795" w14:textId="5F72B629" w:rsidR="00D248DD" w:rsidRDefault="00C76F21">
          <w:pPr>
            <w:pStyle w:val="TOC2"/>
            <w:rPr>
              <w:rFonts w:asciiTheme="minorHAnsi" w:eastAsiaTheme="minorEastAsia" w:hAnsiTheme="minorHAnsi" w:cstheme="minorBidi"/>
              <w:sz w:val="24"/>
              <w:szCs w:val="24"/>
              <w:lang w:val="es-CO"/>
            </w:rPr>
          </w:pPr>
          <w:hyperlink w:anchor="_Toc39489207" w:history="1">
            <w:r w:rsidR="00D248DD" w:rsidRPr="00A91CB6">
              <w:rPr>
                <w:rStyle w:val="Hyperlink"/>
              </w:rPr>
              <w:t>A.</w:t>
            </w:r>
            <w:r w:rsidR="00D248DD">
              <w:rPr>
                <w:rFonts w:asciiTheme="minorHAnsi" w:eastAsiaTheme="minorEastAsia" w:hAnsiTheme="minorHAnsi" w:cstheme="minorBidi"/>
                <w:sz w:val="24"/>
                <w:szCs w:val="24"/>
                <w:lang w:val="es-CO"/>
              </w:rPr>
              <w:tab/>
            </w:r>
            <w:r w:rsidR="00D248DD" w:rsidRPr="00A91CB6">
              <w:rPr>
                <w:rStyle w:val="Hyperlink"/>
              </w:rPr>
              <w:t>Parte peticionaria</w:t>
            </w:r>
            <w:r w:rsidR="00D248DD">
              <w:rPr>
                <w:webHidden/>
              </w:rPr>
              <w:tab/>
            </w:r>
            <w:r w:rsidR="00D248DD">
              <w:rPr>
                <w:webHidden/>
              </w:rPr>
              <w:fldChar w:fldCharType="begin"/>
            </w:r>
            <w:r w:rsidR="00D248DD">
              <w:rPr>
                <w:webHidden/>
              </w:rPr>
              <w:instrText xml:space="preserve"> PAGEREF _Toc39489207 \h </w:instrText>
            </w:r>
            <w:r w:rsidR="00D248DD">
              <w:rPr>
                <w:webHidden/>
              </w:rPr>
            </w:r>
            <w:r w:rsidR="00D248DD">
              <w:rPr>
                <w:webHidden/>
              </w:rPr>
              <w:fldChar w:fldCharType="separate"/>
            </w:r>
            <w:r>
              <w:rPr>
                <w:webHidden/>
              </w:rPr>
              <w:t>2</w:t>
            </w:r>
            <w:r w:rsidR="00D248DD">
              <w:rPr>
                <w:webHidden/>
              </w:rPr>
              <w:fldChar w:fldCharType="end"/>
            </w:r>
          </w:hyperlink>
        </w:p>
        <w:p w14:paraId="3C532AB1" w14:textId="2F713B9D" w:rsidR="00D248DD" w:rsidRDefault="00C76F21">
          <w:pPr>
            <w:pStyle w:val="TOC2"/>
            <w:rPr>
              <w:rFonts w:asciiTheme="minorHAnsi" w:eastAsiaTheme="minorEastAsia" w:hAnsiTheme="minorHAnsi" w:cstheme="minorBidi"/>
              <w:sz w:val="24"/>
              <w:szCs w:val="24"/>
              <w:lang w:val="es-CO"/>
            </w:rPr>
          </w:pPr>
          <w:hyperlink w:anchor="_Toc39489208" w:history="1">
            <w:r w:rsidR="00D248DD" w:rsidRPr="00A91CB6">
              <w:rPr>
                <w:rStyle w:val="Hyperlink"/>
              </w:rPr>
              <w:t>B.</w:t>
            </w:r>
            <w:r w:rsidR="00D248DD">
              <w:rPr>
                <w:rFonts w:asciiTheme="minorHAnsi" w:eastAsiaTheme="minorEastAsia" w:hAnsiTheme="minorHAnsi" w:cstheme="minorBidi"/>
                <w:sz w:val="24"/>
                <w:szCs w:val="24"/>
                <w:lang w:val="es-CO"/>
              </w:rPr>
              <w:tab/>
            </w:r>
            <w:r w:rsidR="00D248DD" w:rsidRPr="00A91CB6">
              <w:rPr>
                <w:rStyle w:val="Hyperlink"/>
              </w:rPr>
              <w:t>Estado</w:t>
            </w:r>
            <w:r w:rsidR="00D248DD">
              <w:rPr>
                <w:webHidden/>
              </w:rPr>
              <w:tab/>
            </w:r>
            <w:r w:rsidR="00D248DD">
              <w:rPr>
                <w:webHidden/>
              </w:rPr>
              <w:fldChar w:fldCharType="begin"/>
            </w:r>
            <w:r w:rsidR="00D248DD">
              <w:rPr>
                <w:webHidden/>
              </w:rPr>
              <w:instrText xml:space="preserve"> PAGEREF _Toc39489208 \h </w:instrText>
            </w:r>
            <w:r w:rsidR="00D248DD">
              <w:rPr>
                <w:webHidden/>
              </w:rPr>
            </w:r>
            <w:r w:rsidR="00D248DD">
              <w:rPr>
                <w:webHidden/>
              </w:rPr>
              <w:fldChar w:fldCharType="separate"/>
            </w:r>
            <w:r>
              <w:rPr>
                <w:webHidden/>
              </w:rPr>
              <w:t>4</w:t>
            </w:r>
            <w:r w:rsidR="00D248DD">
              <w:rPr>
                <w:webHidden/>
              </w:rPr>
              <w:fldChar w:fldCharType="end"/>
            </w:r>
          </w:hyperlink>
        </w:p>
        <w:p w14:paraId="5D99A0CA" w14:textId="3B7A71C8" w:rsidR="00D248DD" w:rsidRDefault="00C76F21">
          <w:pPr>
            <w:pStyle w:val="TOC1"/>
            <w:rPr>
              <w:rFonts w:asciiTheme="minorHAnsi" w:eastAsiaTheme="minorEastAsia" w:hAnsiTheme="minorHAnsi" w:cstheme="minorBidi"/>
              <w:b w:val="0"/>
              <w:sz w:val="24"/>
              <w:szCs w:val="24"/>
              <w:lang w:val="es-CO"/>
            </w:rPr>
          </w:pPr>
          <w:hyperlink w:anchor="_Toc39489209" w:history="1">
            <w:r w:rsidR="00D248DD" w:rsidRPr="00A91CB6">
              <w:rPr>
                <w:rStyle w:val="Hyperlink"/>
              </w:rPr>
              <w:t>III.</w:t>
            </w:r>
            <w:r w:rsidR="00D248DD">
              <w:rPr>
                <w:rFonts w:asciiTheme="minorHAnsi" w:eastAsiaTheme="minorEastAsia" w:hAnsiTheme="minorHAnsi" w:cstheme="minorBidi"/>
                <w:b w:val="0"/>
                <w:sz w:val="24"/>
                <w:szCs w:val="24"/>
                <w:lang w:val="es-CO"/>
              </w:rPr>
              <w:tab/>
            </w:r>
            <w:r w:rsidR="00D248DD" w:rsidRPr="00A91CB6">
              <w:rPr>
                <w:rStyle w:val="Hyperlink"/>
              </w:rPr>
              <w:t>DETERMINACIONES DE HECHO</w:t>
            </w:r>
            <w:r w:rsidR="00D248DD">
              <w:rPr>
                <w:webHidden/>
              </w:rPr>
              <w:tab/>
            </w:r>
            <w:r w:rsidR="00D248DD">
              <w:rPr>
                <w:webHidden/>
              </w:rPr>
              <w:fldChar w:fldCharType="begin"/>
            </w:r>
            <w:r w:rsidR="00D248DD">
              <w:rPr>
                <w:webHidden/>
              </w:rPr>
              <w:instrText xml:space="preserve"> PAGEREF _Toc39489209 \h </w:instrText>
            </w:r>
            <w:r w:rsidR="00D248DD">
              <w:rPr>
                <w:webHidden/>
              </w:rPr>
            </w:r>
            <w:r w:rsidR="00D248DD">
              <w:rPr>
                <w:webHidden/>
              </w:rPr>
              <w:fldChar w:fldCharType="separate"/>
            </w:r>
            <w:r>
              <w:rPr>
                <w:webHidden/>
              </w:rPr>
              <w:t>5</w:t>
            </w:r>
            <w:r w:rsidR="00D248DD">
              <w:rPr>
                <w:webHidden/>
              </w:rPr>
              <w:fldChar w:fldCharType="end"/>
            </w:r>
          </w:hyperlink>
        </w:p>
        <w:p w14:paraId="69BA5313" w14:textId="3936A1AB" w:rsidR="00D248DD" w:rsidRDefault="00C76F21">
          <w:pPr>
            <w:pStyle w:val="TOC1"/>
            <w:rPr>
              <w:rFonts w:asciiTheme="minorHAnsi" w:eastAsiaTheme="minorEastAsia" w:hAnsiTheme="minorHAnsi" w:cstheme="minorBidi"/>
              <w:b w:val="0"/>
              <w:sz w:val="24"/>
              <w:szCs w:val="24"/>
              <w:lang w:val="es-CO"/>
            </w:rPr>
          </w:pPr>
          <w:hyperlink w:anchor="_Toc39489210" w:history="1">
            <w:r w:rsidR="00D248DD" w:rsidRPr="00A91CB6">
              <w:rPr>
                <w:rStyle w:val="Hyperlink"/>
              </w:rPr>
              <w:t>IV.</w:t>
            </w:r>
            <w:r w:rsidR="00D248DD">
              <w:rPr>
                <w:rFonts w:asciiTheme="minorHAnsi" w:eastAsiaTheme="minorEastAsia" w:hAnsiTheme="minorHAnsi" w:cstheme="minorBidi"/>
                <w:b w:val="0"/>
                <w:sz w:val="24"/>
                <w:szCs w:val="24"/>
                <w:lang w:val="es-CO"/>
              </w:rPr>
              <w:tab/>
            </w:r>
            <w:r w:rsidR="00D248DD" w:rsidRPr="00A91CB6">
              <w:rPr>
                <w:rStyle w:val="Hyperlink"/>
              </w:rPr>
              <w:t>ESCRITOS DE AMICUS CURIAE</w:t>
            </w:r>
            <w:r w:rsidR="00D248DD">
              <w:rPr>
                <w:webHidden/>
              </w:rPr>
              <w:tab/>
            </w:r>
            <w:r w:rsidR="00D248DD">
              <w:rPr>
                <w:webHidden/>
              </w:rPr>
              <w:fldChar w:fldCharType="begin"/>
            </w:r>
            <w:r w:rsidR="00D248DD">
              <w:rPr>
                <w:webHidden/>
              </w:rPr>
              <w:instrText xml:space="preserve"> PAGEREF _Toc39489210 \h </w:instrText>
            </w:r>
            <w:r w:rsidR="00D248DD">
              <w:rPr>
                <w:webHidden/>
              </w:rPr>
            </w:r>
            <w:r w:rsidR="00D248DD">
              <w:rPr>
                <w:webHidden/>
              </w:rPr>
              <w:fldChar w:fldCharType="separate"/>
            </w:r>
            <w:r>
              <w:rPr>
                <w:webHidden/>
              </w:rPr>
              <w:t>9</w:t>
            </w:r>
            <w:r w:rsidR="00D248DD">
              <w:rPr>
                <w:webHidden/>
              </w:rPr>
              <w:fldChar w:fldCharType="end"/>
            </w:r>
          </w:hyperlink>
        </w:p>
        <w:p w14:paraId="2C11FD1C" w14:textId="0B9B874C" w:rsidR="00D248DD" w:rsidRDefault="00C76F21">
          <w:pPr>
            <w:pStyle w:val="TOC2"/>
            <w:rPr>
              <w:rFonts w:asciiTheme="minorHAnsi" w:eastAsiaTheme="minorEastAsia" w:hAnsiTheme="minorHAnsi" w:cstheme="minorBidi"/>
              <w:sz w:val="24"/>
              <w:szCs w:val="24"/>
              <w:lang w:val="es-CO"/>
            </w:rPr>
          </w:pPr>
          <w:hyperlink w:anchor="_Toc39489211" w:history="1">
            <w:r w:rsidR="00D248DD" w:rsidRPr="00A91CB6">
              <w:rPr>
                <w:rStyle w:val="Hyperlink"/>
                <w:lang w:val="pt-BR"/>
              </w:rPr>
              <w:t>A.</w:t>
            </w:r>
            <w:r w:rsidR="00D248DD">
              <w:rPr>
                <w:rFonts w:asciiTheme="minorHAnsi" w:eastAsiaTheme="minorEastAsia" w:hAnsiTheme="minorHAnsi" w:cstheme="minorBidi"/>
                <w:sz w:val="24"/>
                <w:szCs w:val="24"/>
                <w:lang w:val="es-CO"/>
              </w:rPr>
              <w:tab/>
            </w:r>
            <w:r w:rsidR="00D248DD" w:rsidRPr="00A91CB6">
              <w:rPr>
                <w:rStyle w:val="Hyperlink"/>
                <w:i/>
                <w:lang w:val="pt-BR"/>
              </w:rPr>
              <w:t>Amicus curiae</w:t>
            </w:r>
            <w:r w:rsidR="00D248DD" w:rsidRPr="00A91CB6">
              <w:rPr>
                <w:rStyle w:val="Hyperlink"/>
                <w:lang w:val="pt-BR"/>
              </w:rPr>
              <w:t xml:space="preserve"> de Leila Carvajal Erker</w:t>
            </w:r>
            <w:r w:rsidR="00D248DD">
              <w:rPr>
                <w:webHidden/>
              </w:rPr>
              <w:tab/>
            </w:r>
            <w:r w:rsidR="00D248DD">
              <w:rPr>
                <w:webHidden/>
              </w:rPr>
              <w:fldChar w:fldCharType="begin"/>
            </w:r>
            <w:r w:rsidR="00D248DD">
              <w:rPr>
                <w:webHidden/>
              </w:rPr>
              <w:instrText xml:space="preserve"> PAGEREF _Toc39489211 \h </w:instrText>
            </w:r>
            <w:r w:rsidR="00D248DD">
              <w:rPr>
                <w:webHidden/>
              </w:rPr>
            </w:r>
            <w:r w:rsidR="00D248DD">
              <w:rPr>
                <w:webHidden/>
              </w:rPr>
              <w:fldChar w:fldCharType="separate"/>
            </w:r>
            <w:r>
              <w:rPr>
                <w:webHidden/>
              </w:rPr>
              <w:t>9</w:t>
            </w:r>
            <w:r w:rsidR="00D248DD">
              <w:rPr>
                <w:webHidden/>
              </w:rPr>
              <w:fldChar w:fldCharType="end"/>
            </w:r>
          </w:hyperlink>
        </w:p>
        <w:p w14:paraId="4927E2A7" w14:textId="2DD7851E" w:rsidR="00D248DD" w:rsidRDefault="00C76F21">
          <w:pPr>
            <w:pStyle w:val="TOC2"/>
            <w:rPr>
              <w:rFonts w:asciiTheme="minorHAnsi" w:eastAsiaTheme="minorEastAsia" w:hAnsiTheme="minorHAnsi" w:cstheme="minorBidi"/>
              <w:sz w:val="24"/>
              <w:szCs w:val="24"/>
              <w:lang w:val="es-CO"/>
            </w:rPr>
          </w:pPr>
          <w:hyperlink w:anchor="_Toc39489212" w:history="1">
            <w:r w:rsidR="00D248DD" w:rsidRPr="00A91CB6">
              <w:rPr>
                <w:rStyle w:val="Hyperlink"/>
              </w:rPr>
              <w:t>B.</w:t>
            </w:r>
            <w:r w:rsidR="00D248DD">
              <w:rPr>
                <w:rFonts w:asciiTheme="minorHAnsi" w:eastAsiaTheme="minorEastAsia" w:hAnsiTheme="minorHAnsi" w:cstheme="minorBidi"/>
                <w:sz w:val="24"/>
                <w:szCs w:val="24"/>
                <w:lang w:val="es-CO"/>
              </w:rPr>
              <w:tab/>
            </w:r>
            <w:r w:rsidR="00D248DD" w:rsidRPr="00A91CB6">
              <w:rPr>
                <w:rStyle w:val="Hyperlink"/>
                <w:i/>
              </w:rPr>
              <w:t>Amicus curiae</w:t>
            </w:r>
            <w:r w:rsidR="00D248DD" w:rsidRPr="00A91CB6">
              <w:rPr>
                <w:rStyle w:val="Hyperlink"/>
              </w:rPr>
              <w:t xml:space="preserve"> de la Clínica Jurídica de la Universidad San Francisco de Quito</w:t>
            </w:r>
            <w:r w:rsidR="00D248DD">
              <w:rPr>
                <w:webHidden/>
              </w:rPr>
              <w:tab/>
            </w:r>
            <w:r w:rsidR="00D248DD">
              <w:rPr>
                <w:webHidden/>
              </w:rPr>
              <w:fldChar w:fldCharType="begin"/>
            </w:r>
            <w:r w:rsidR="00D248DD">
              <w:rPr>
                <w:webHidden/>
              </w:rPr>
              <w:instrText xml:space="preserve"> PAGEREF _Toc39489212 \h </w:instrText>
            </w:r>
            <w:r w:rsidR="00D248DD">
              <w:rPr>
                <w:webHidden/>
              </w:rPr>
            </w:r>
            <w:r w:rsidR="00D248DD">
              <w:rPr>
                <w:webHidden/>
              </w:rPr>
              <w:fldChar w:fldCharType="separate"/>
            </w:r>
            <w:r>
              <w:rPr>
                <w:webHidden/>
              </w:rPr>
              <w:t>10</w:t>
            </w:r>
            <w:r w:rsidR="00D248DD">
              <w:rPr>
                <w:webHidden/>
              </w:rPr>
              <w:fldChar w:fldCharType="end"/>
            </w:r>
          </w:hyperlink>
        </w:p>
        <w:p w14:paraId="1A2F0573" w14:textId="551A80F1" w:rsidR="00D248DD" w:rsidRDefault="00C76F21">
          <w:pPr>
            <w:pStyle w:val="TOC1"/>
            <w:rPr>
              <w:rFonts w:asciiTheme="minorHAnsi" w:eastAsiaTheme="minorEastAsia" w:hAnsiTheme="minorHAnsi" w:cstheme="minorBidi"/>
              <w:b w:val="0"/>
              <w:sz w:val="24"/>
              <w:szCs w:val="24"/>
              <w:lang w:val="es-CO"/>
            </w:rPr>
          </w:pPr>
          <w:hyperlink w:anchor="_Toc39489213" w:history="1">
            <w:r w:rsidR="00D248DD" w:rsidRPr="00A91CB6">
              <w:rPr>
                <w:rStyle w:val="Hyperlink"/>
              </w:rPr>
              <w:t>V.</w:t>
            </w:r>
            <w:r w:rsidR="00D248DD">
              <w:rPr>
                <w:rFonts w:asciiTheme="minorHAnsi" w:eastAsiaTheme="minorEastAsia" w:hAnsiTheme="minorHAnsi" w:cstheme="minorBidi"/>
                <w:b w:val="0"/>
                <w:sz w:val="24"/>
                <w:szCs w:val="24"/>
                <w:lang w:val="es-CO"/>
              </w:rPr>
              <w:tab/>
            </w:r>
            <w:r w:rsidR="00D248DD" w:rsidRPr="00A91CB6">
              <w:rPr>
                <w:rStyle w:val="Hyperlink"/>
              </w:rPr>
              <w:t>ANÁLISIS DE DERECHO</w:t>
            </w:r>
            <w:r w:rsidR="00D248DD">
              <w:rPr>
                <w:webHidden/>
              </w:rPr>
              <w:tab/>
            </w:r>
            <w:r w:rsidR="00D248DD">
              <w:rPr>
                <w:webHidden/>
              </w:rPr>
              <w:fldChar w:fldCharType="begin"/>
            </w:r>
            <w:r w:rsidR="00D248DD">
              <w:rPr>
                <w:webHidden/>
              </w:rPr>
              <w:instrText xml:space="preserve"> PAGEREF _Toc39489213 \h </w:instrText>
            </w:r>
            <w:r w:rsidR="00D248DD">
              <w:rPr>
                <w:webHidden/>
              </w:rPr>
            </w:r>
            <w:r w:rsidR="00D248DD">
              <w:rPr>
                <w:webHidden/>
              </w:rPr>
              <w:fldChar w:fldCharType="separate"/>
            </w:r>
            <w:r>
              <w:rPr>
                <w:webHidden/>
              </w:rPr>
              <w:t>10</w:t>
            </w:r>
            <w:r w:rsidR="00D248DD">
              <w:rPr>
                <w:webHidden/>
              </w:rPr>
              <w:fldChar w:fldCharType="end"/>
            </w:r>
          </w:hyperlink>
        </w:p>
        <w:p w14:paraId="18F0CC05" w14:textId="23E67D1B" w:rsidR="00D248DD" w:rsidRDefault="00C76F21">
          <w:pPr>
            <w:pStyle w:val="TOC2"/>
            <w:rPr>
              <w:rFonts w:asciiTheme="minorHAnsi" w:eastAsiaTheme="minorEastAsia" w:hAnsiTheme="minorHAnsi" w:cstheme="minorBidi"/>
              <w:sz w:val="24"/>
              <w:szCs w:val="24"/>
              <w:lang w:val="es-CO"/>
            </w:rPr>
          </w:pPr>
          <w:hyperlink w:anchor="_Toc39489214" w:history="1">
            <w:r w:rsidR="00D248DD" w:rsidRPr="00A91CB6">
              <w:rPr>
                <w:rStyle w:val="Hyperlink"/>
                <w:lang w:val="es-CO"/>
              </w:rPr>
              <w:t>A.</w:t>
            </w:r>
            <w:r w:rsidR="00D248DD">
              <w:rPr>
                <w:rFonts w:asciiTheme="minorHAnsi" w:eastAsiaTheme="minorEastAsia" w:hAnsiTheme="minorHAnsi" w:cstheme="minorBidi"/>
                <w:sz w:val="24"/>
                <w:szCs w:val="24"/>
                <w:lang w:val="es-CO"/>
              </w:rPr>
              <w:tab/>
            </w:r>
            <w:r w:rsidR="00D248DD" w:rsidRPr="00A91CB6">
              <w:rPr>
                <w:rStyle w:val="Hyperlink"/>
              </w:rPr>
              <w:t>Cuestión previa</w:t>
            </w:r>
            <w:r w:rsidR="00D248DD">
              <w:rPr>
                <w:webHidden/>
              </w:rPr>
              <w:tab/>
            </w:r>
            <w:r w:rsidR="00D248DD">
              <w:rPr>
                <w:webHidden/>
              </w:rPr>
              <w:fldChar w:fldCharType="begin"/>
            </w:r>
            <w:r w:rsidR="00D248DD">
              <w:rPr>
                <w:webHidden/>
              </w:rPr>
              <w:instrText xml:space="preserve"> PAGEREF _Toc39489214 \h </w:instrText>
            </w:r>
            <w:r w:rsidR="00D248DD">
              <w:rPr>
                <w:webHidden/>
              </w:rPr>
            </w:r>
            <w:r w:rsidR="00D248DD">
              <w:rPr>
                <w:webHidden/>
              </w:rPr>
              <w:fldChar w:fldCharType="separate"/>
            </w:r>
            <w:r>
              <w:rPr>
                <w:webHidden/>
              </w:rPr>
              <w:t>10</w:t>
            </w:r>
            <w:r w:rsidR="00D248DD">
              <w:rPr>
                <w:webHidden/>
              </w:rPr>
              <w:fldChar w:fldCharType="end"/>
            </w:r>
          </w:hyperlink>
        </w:p>
        <w:p w14:paraId="68CF9AFB" w14:textId="0A6942F4" w:rsidR="00D248DD" w:rsidRPr="00D248DD" w:rsidRDefault="00C76F21">
          <w:pPr>
            <w:pStyle w:val="TOC2"/>
            <w:rPr>
              <w:rFonts w:eastAsiaTheme="minorEastAsia" w:cstheme="minorBidi"/>
              <w:lang w:val="es-CO"/>
            </w:rPr>
          </w:pPr>
          <w:hyperlink w:anchor="_Toc39489215" w:history="1">
            <w:r w:rsidR="00D248DD" w:rsidRPr="00D248DD">
              <w:rPr>
                <w:rStyle w:val="Hyperlink"/>
              </w:rPr>
              <w:t>B.</w:t>
            </w:r>
            <w:r w:rsidR="00D248DD" w:rsidRPr="00D248DD">
              <w:rPr>
                <w:rFonts w:eastAsiaTheme="minorEastAsia" w:cstheme="minorBidi"/>
                <w:lang w:val="es-CO"/>
              </w:rPr>
              <w:tab/>
            </w:r>
            <w:r w:rsidR="00D248DD" w:rsidRPr="00D248DD">
              <w:rPr>
                <w:rStyle w:val="Hyperlink"/>
              </w:rPr>
              <w:t>Derechos a las garantías judiciales, y la protección judicial (artículos 8 y 25</w:t>
            </w:r>
            <w:r w:rsidR="00D248DD" w:rsidRPr="00D248DD">
              <w:rPr>
                <w:rStyle w:val="Hyperlink"/>
                <w:vertAlign w:val="superscript"/>
              </w:rPr>
              <w:t xml:space="preserve"> </w:t>
            </w:r>
            <w:r w:rsidR="00D248DD" w:rsidRPr="00D248DD">
              <w:rPr>
                <w:rStyle w:val="Hyperlink"/>
              </w:rPr>
              <w:t>de la Convención) y derecho de circulación y residencia (artículos 22  de la Convención)  en el marco del proceso administrativo de revocación de visa y la acción penal de deportación, en relación con los artículos 1.1 y 2 de la Convención Americana.</w:t>
            </w:r>
            <w:r w:rsidR="00D248DD" w:rsidRPr="00D248DD">
              <w:rPr>
                <w:webHidden/>
              </w:rPr>
              <w:tab/>
            </w:r>
            <w:r w:rsidR="00D248DD" w:rsidRPr="00D248DD">
              <w:rPr>
                <w:webHidden/>
              </w:rPr>
              <w:fldChar w:fldCharType="begin"/>
            </w:r>
            <w:r w:rsidR="00D248DD" w:rsidRPr="00D248DD">
              <w:rPr>
                <w:webHidden/>
              </w:rPr>
              <w:instrText xml:space="preserve"> PAGEREF _Toc39489215 \h </w:instrText>
            </w:r>
            <w:r w:rsidR="00D248DD" w:rsidRPr="00D248DD">
              <w:rPr>
                <w:webHidden/>
              </w:rPr>
            </w:r>
            <w:r w:rsidR="00D248DD" w:rsidRPr="00D248DD">
              <w:rPr>
                <w:webHidden/>
              </w:rPr>
              <w:fldChar w:fldCharType="separate"/>
            </w:r>
            <w:r>
              <w:rPr>
                <w:webHidden/>
              </w:rPr>
              <w:t>11</w:t>
            </w:r>
            <w:r w:rsidR="00D248DD" w:rsidRPr="00D248DD">
              <w:rPr>
                <w:webHidden/>
              </w:rPr>
              <w:fldChar w:fldCharType="end"/>
            </w:r>
          </w:hyperlink>
        </w:p>
        <w:p w14:paraId="7F796DBD" w14:textId="6C459861" w:rsidR="00D248DD" w:rsidRPr="00D248DD" w:rsidRDefault="00C76F21">
          <w:pPr>
            <w:pStyle w:val="TOC3"/>
            <w:tabs>
              <w:tab w:val="left" w:pos="960"/>
              <w:tab w:val="right" w:leader="dot" w:pos="9350"/>
            </w:tabs>
            <w:rPr>
              <w:rFonts w:asciiTheme="majorHAnsi" w:eastAsiaTheme="minorEastAsia" w:hAnsiTheme="majorHAnsi" w:cstheme="minorBidi"/>
              <w:noProof/>
              <w:sz w:val="20"/>
              <w:szCs w:val="20"/>
              <w:lang w:val="es-CO"/>
            </w:rPr>
          </w:pPr>
          <w:hyperlink w:anchor="_Toc39489216" w:history="1">
            <w:r w:rsidR="00D248DD" w:rsidRPr="00D248DD">
              <w:rPr>
                <w:rStyle w:val="Hyperlink"/>
                <w:rFonts w:asciiTheme="majorHAnsi" w:hAnsiTheme="majorHAnsi"/>
                <w:noProof/>
                <w:sz w:val="20"/>
                <w:szCs w:val="20"/>
                <w:lang w:val="es-US"/>
              </w:rPr>
              <w:t>1.</w:t>
            </w:r>
            <w:r w:rsidR="00D248DD" w:rsidRPr="00D248DD">
              <w:rPr>
                <w:rFonts w:asciiTheme="majorHAnsi" w:eastAsiaTheme="minorEastAsia" w:hAnsiTheme="majorHAnsi" w:cstheme="minorBidi"/>
                <w:noProof/>
                <w:sz w:val="20"/>
                <w:szCs w:val="20"/>
                <w:lang w:val="es-CO"/>
              </w:rPr>
              <w:tab/>
            </w:r>
            <w:r w:rsidR="00D248DD" w:rsidRPr="00D248DD">
              <w:rPr>
                <w:rStyle w:val="Hyperlink"/>
                <w:rFonts w:asciiTheme="majorHAnsi" w:hAnsiTheme="majorHAnsi"/>
                <w:noProof/>
                <w:sz w:val="20"/>
                <w:szCs w:val="20"/>
                <w:lang w:val="es-US"/>
              </w:rPr>
              <w:t>Consideraciones generales</w:t>
            </w:r>
            <w:r w:rsidR="00D248DD" w:rsidRPr="00D248DD">
              <w:rPr>
                <w:rFonts w:asciiTheme="majorHAnsi" w:hAnsiTheme="majorHAnsi"/>
                <w:noProof/>
                <w:webHidden/>
                <w:sz w:val="20"/>
                <w:szCs w:val="20"/>
              </w:rPr>
              <w:tab/>
            </w:r>
            <w:r w:rsidR="00D248DD" w:rsidRPr="00D248DD">
              <w:rPr>
                <w:rFonts w:asciiTheme="majorHAnsi" w:hAnsiTheme="majorHAnsi"/>
                <w:noProof/>
                <w:webHidden/>
                <w:sz w:val="20"/>
                <w:szCs w:val="20"/>
              </w:rPr>
              <w:fldChar w:fldCharType="begin"/>
            </w:r>
            <w:r w:rsidR="00D248DD" w:rsidRPr="00D248DD">
              <w:rPr>
                <w:rFonts w:asciiTheme="majorHAnsi" w:hAnsiTheme="majorHAnsi"/>
                <w:noProof/>
                <w:webHidden/>
                <w:sz w:val="20"/>
                <w:szCs w:val="20"/>
              </w:rPr>
              <w:instrText xml:space="preserve"> PAGEREF _Toc39489216 \h </w:instrText>
            </w:r>
            <w:r w:rsidR="00D248DD" w:rsidRPr="00D248DD">
              <w:rPr>
                <w:rFonts w:asciiTheme="majorHAnsi" w:hAnsiTheme="majorHAnsi"/>
                <w:noProof/>
                <w:webHidden/>
                <w:sz w:val="20"/>
                <w:szCs w:val="20"/>
              </w:rPr>
            </w:r>
            <w:r w:rsidR="00D248DD" w:rsidRPr="00D248DD">
              <w:rPr>
                <w:rFonts w:asciiTheme="majorHAnsi" w:hAnsiTheme="majorHAnsi"/>
                <w:noProof/>
                <w:webHidden/>
                <w:sz w:val="20"/>
                <w:szCs w:val="20"/>
              </w:rPr>
              <w:fldChar w:fldCharType="separate"/>
            </w:r>
            <w:r>
              <w:rPr>
                <w:rFonts w:asciiTheme="majorHAnsi" w:hAnsiTheme="majorHAnsi"/>
                <w:noProof/>
                <w:webHidden/>
                <w:sz w:val="20"/>
                <w:szCs w:val="20"/>
              </w:rPr>
              <w:t>11</w:t>
            </w:r>
            <w:r w:rsidR="00D248DD" w:rsidRPr="00D248DD">
              <w:rPr>
                <w:rFonts w:asciiTheme="majorHAnsi" w:hAnsiTheme="majorHAnsi"/>
                <w:noProof/>
                <w:webHidden/>
                <w:sz w:val="20"/>
                <w:szCs w:val="20"/>
              </w:rPr>
              <w:fldChar w:fldCharType="end"/>
            </w:r>
          </w:hyperlink>
        </w:p>
        <w:p w14:paraId="7073F4B4" w14:textId="53659659" w:rsidR="00D248DD" w:rsidRPr="00D248DD" w:rsidRDefault="00C76F21">
          <w:pPr>
            <w:pStyle w:val="TOC3"/>
            <w:tabs>
              <w:tab w:val="left" w:pos="960"/>
              <w:tab w:val="right" w:leader="dot" w:pos="9350"/>
            </w:tabs>
            <w:rPr>
              <w:rFonts w:asciiTheme="majorHAnsi" w:eastAsiaTheme="minorEastAsia" w:hAnsiTheme="majorHAnsi" w:cstheme="minorBidi"/>
              <w:noProof/>
              <w:sz w:val="20"/>
              <w:szCs w:val="20"/>
              <w:lang w:val="es-CO"/>
            </w:rPr>
          </w:pPr>
          <w:hyperlink w:anchor="_Toc39489217" w:history="1">
            <w:r w:rsidR="00D248DD" w:rsidRPr="00D248DD">
              <w:rPr>
                <w:rStyle w:val="Hyperlink"/>
                <w:rFonts w:asciiTheme="majorHAnsi" w:hAnsiTheme="majorHAnsi"/>
                <w:noProof/>
                <w:sz w:val="20"/>
                <w:szCs w:val="20"/>
              </w:rPr>
              <w:t>2.</w:t>
            </w:r>
            <w:r w:rsidR="00D248DD" w:rsidRPr="00D248DD">
              <w:rPr>
                <w:rFonts w:asciiTheme="majorHAnsi" w:eastAsiaTheme="minorEastAsia" w:hAnsiTheme="majorHAnsi" w:cstheme="minorBidi"/>
                <w:noProof/>
                <w:sz w:val="20"/>
                <w:szCs w:val="20"/>
                <w:lang w:val="es-CO"/>
              </w:rPr>
              <w:tab/>
            </w:r>
            <w:r w:rsidR="00D248DD" w:rsidRPr="00D248DD">
              <w:rPr>
                <w:rStyle w:val="Hyperlink"/>
                <w:rFonts w:asciiTheme="majorHAnsi" w:hAnsiTheme="majorHAnsi"/>
                <w:noProof/>
                <w:sz w:val="20"/>
                <w:szCs w:val="20"/>
              </w:rPr>
              <w:t>Análisis del caso concreto</w:t>
            </w:r>
            <w:r w:rsidR="00D248DD" w:rsidRPr="00D248DD">
              <w:rPr>
                <w:rFonts w:asciiTheme="majorHAnsi" w:hAnsiTheme="majorHAnsi"/>
                <w:noProof/>
                <w:webHidden/>
                <w:sz w:val="20"/>
                <w:szCs w:val="20"/>
              </w:rPr>
              <w:tab/>
            </w:r>
            <w:r w:rsidR="00D248DD" w:rsidRPr="00D248DD">
              <w:rPr>
                <w:rFonts w:asciiTheme="majorHAnsi" w:hAnsiTheme="majorHAnsi"/>
                <w:noProof/>
                <w:webHidden/>
                <w:sz w:val="20"/>
                <w:szCs w:val="20"/>
              </w:rPr>
              <w:fldChar w:fldCharType="begin"/>
            </w:r>
            <w:r w:rsidR="00D248DD" w:rsidRPr="00D248DD">
              <w:rPr>
                <w:rFonts w:asciiTheme="majorHAnsi" w:hAnsiTheme="majorHAnsi"/>
                <w:noProof/>
                <w:webHidden/>
                <w:sz w:val="20"/>
                <w:szCs w:val="20"/>
              </w:rPr>
              <w:instrText xml:space="preserve"> PAGEREF _Toc39489217 \h </w:instrText>
            </w:r>
            <w:r w:rsidR="00D248DD" w:rsidRPr="00D248DD">
              <w:rPr>
                <w:rFonts w:asciiTheme="majorHAnsi" w:hAnsiTheme="majorHAnsi"/>
                <w:noProof/>
                <w:webHidden/>
                <w:sz w:val="20"/>
                <w:szCs w:val="20"/>
              </w:rPr>
            </w:r>
            <w:r w:rsidR="00D248DD" w:rsidRPr="00D248DD">
              <w:rPr>
                <w:rFonts w:asciiTheme="majorHAnsi" w:hAnsiTheme="majorHAnsi"/>
                <w:noProof/>
                <w:webHidden/>
                <w:sz w:val="20"/>
                <w:szCs w:val="20"/>
              </w:rPr>
              <w:fldChar w:fldCharType="separate"/>
            </w:r>
            <w:r>
              <w:rPr>
                <w:rFonts w:asciiTheme="majorHAnsi" w:hAnsiTheme="majorHAnsi"/>
                <w:noProof/>
                <w:webHidden/>
                <w:sz w:val="20"/>
                <w:szCs w:val="20"/>
              </w:rPr>
              <w:t>15</w:t>
            </w:r>
            <w:r w:rsidR="00D248DD" w:rsidRPr="00D248DD">
              <w:rPr>
                <w:rFonts w:asciiTheme="majorHAnsi" w:hAnsiTheme="majorHAnsi"/>
                <w:noProof/>
                <w:webHidden/>
                <w:sz w:val="20"/>
                <w:szCs w:val="20"/>
              </w:rPr>
              <w:fldChar w:fldCharType="end"/>
            </w:r>
          </w:hyperlink>
        </w:p>
        <w:p w14:paraId="2B7F7FC6" w14:textId="3F22D286" w:rsidR="00D248DD" w:rsidRPr="00D248DD" w:rsidRDefault="00C76F21">
          <w:pPr>
            <w:pStyle w:val="TOC2"/>
            <w:rPr>
              <w:rFonts w:eastAsiaTheme="minorEastAsia" w:cstheme="minorBidi"/>
              <w:lang w:val="es-CO"/>
            </w:rPr>
          </w:pPr>
          <w:hyperlink w:anchor="_Toc39489218" w:history="1">
            <w:r w:rsidR="00D248DD" w:rsidRPr="00D248DD">
              <w:rPr>
                <w:rStyle w:val="Hyperlink"/>
              </w:rPr>
              <w:t>C.</w:t>
            </w:r>
            <w:r w:rsidR="00D248DD" w:rsidRPr="00D248DD">
              <w:rPr>
                <w:rFonts w:eastAsiaTheme="minorEastAsia" w:cstheme="minorBidi"/>
                <w:lang w:val="es-CO"/>
              </w:rPr>
              <w:tab/>
            </w:r>
            <w:r w:rsidR="00D248DD" w:rsidRPr="00D248DD">
              <w:rPr>
                <w:rStyle w:val="Hyperlink"/>
              </w:rPr>
              <w:t>Derecho a la libertad personal y garantías procesales como la notificación consular (artículos 7 y 8 de la Convención) en el marco de los procesos administrativos de revocación de visas y la acción penal de deportación.</w:t>
            </w:r>
            <w:r w:rsidR="00D248DD" w:rsidRPr="00D248DD">
              <w:rPr>
                <w:webHidden/>
              </w:rPr>
              <w:tab/>
            </w:r>
            <w:r w:rsidR="00D248DD" w:rsidRPr="00D248DD">
              <w:rPr>
                <w:webHidden/>
              </w:rPr>
              <w:fldChar w:fldCharType="begin"/>
            </w:r>
            <w:r w:rsidR="00D248DD" w:rsidRPr="00D248DD">
              <w:rPr>
                <w:webHidden/>
              </w:rPr>
              <w:instrText xml:space="preserve"> PAGEREF _Toc39489218 \h </w:instrText>
            </w:r>
            <w:r w:rsidR="00D248DD" w:rsidRPr="00D248DD">
              <w:rPr>
                <w:webHidden/>
              </w:rPr>
            </w:r>
            <w:r w:rsidR="00D248DD" w:rsidRPr="00D248DD">
              <w:rPr>
                <w:webHidden/>
              </w:rPr>
              <w:fldChar w:fldCharType="separate"/>
            </w:r>
            <w:r>
              <w:rPr>
                <w:webHidden/>
              </w:rPr>
              <w:t>17</w:t>
            </w:r>
            <w:r w:rsidR="00D248DD" w:rsidRPr="00D248DD">
              <w:rPr>
                <w:webHidden/>
              </w:rPr>
              <w:fldChar w:fldCharType="end"/>
            </w:r>
          </w:hyperlink>
        </w:p>
        <w:p w14:paraId="55559570" w14:textId="4BEC3918" w:rsidR="00D248DD" w:rsidRPr="00D248DD" w:rsidRDefault="00C76F21">
          <w:pPr>
            <w:pStyle w:val="TOC3"/>
            <w:tabs>
              <w:tab w:val="left" w:pos="960"/>
              <w:tab w:val="right" w:leader="dot" w:pos="9350"/>
            </w:tabs>
            <w:rPr>
              <w:rFonts w:asciiTheme="majorHAnsi" w:eastAsiaTheme="minorEastAsia" w:hAnsiTheme="majorHAnsi" w:cstheme="minorBidi"/>
              <w:noProof/>
              <w:sz w:val="20"/>
              <w:szCs w:val="20"/>
              <w:lang w:val="es-CO"/>
            </w:rPr>
          </w:pPr>
          <w:hyperlink w:anchor="_Toc39489219" w:history="1">
            <w:r w:rsidR="00D248DD" w:rsidRPr="00D248DD">
              <w:rPr>
                <w:rStyle w:val="Hyperlink"/>
                <w:rFonts w:asciiTheme="majorHAnsi" w:hAnsiTheme="majorHAnsi"/>
                <w:noProof/>
                <w:sz w:val="20"/>
                <w:szCs w:val="20"/>
                <w:lang w:val="es-US"/>
              </w:rPr>
              <w:t>1.</w:t>
            </w:r>
            <w:r w:rsidR="00D248DD" w:rsidRPr="00D248DD">
              <w:rPr>
                <w:rFonts w:asciiTheme="majorHAnsi" w:eastAsiaTheme="minorEastAsia" w:hAnsiTheme="majorHAnsi" w:cstheme="minorBidi"/>
                <w:noProof/>
                <w:sz w:val="20"/>
                <w:szCs w:val="20"/>
                <w:lang w:val="es-CO"/>
              </w:rPr>
              <w:tab/>
            </w:r>
            <w:r w:rsidR="00D248DD" w:rsidRPr="00D248DD">
              <w:rPr>
                <w:rStyle w:val="Hyperlink"/>
                <w:rFonts w:asciiTheme="majorHAnsi" w:hAnsiTheme="majorHAnsi"/>
                <w:noProof/>
                <w:sz w:val="20"/>
                <w:szCs w:val="20"/>
                <w:lang w:val="es-US"/>
              </w:rPr>
              <w:t>Consideraciones generales sobre libertad personal en procesos contra migrantes (artículo 7 de la Convención Americana) y asistencia consular (artículo 8 de la Convención).</w:t>
            </w:r>
            <w:r w:rsidR="00D248DD" w:rsidRPr="00D248DD">
              <w:rPr>
                <w:rFonts w:asciiTheme="majorHAnsi" w:hAnsiTheme="majorHAnsi"/>
                <w:noProof/>
                <w:webHidden/>
                <w:sz w:val="20"/>
                <w:szCs w:val="20"/>
              </w:rPr>
              <w:tab/>
            </w:r>
            <w:r w:rsidR="00D248DD" w:rsidRPr="00D248DD">
              <w:rPr>
                <w:rFonts w:asciiTheme="majorHAnsi" w:hAnsiTheme="majorHAnsi"/>
                <w:noProof/>
                <w:webHidden/>
                <w:sz w:val="20"/>
                <w:szCs w:val="20"/>
              </w:rPr>
              <w:fldChar w:fldCharType="begin"/>
            </w:r>
            <w:r w:rsidR="00D248DD" w:rsidRPr="00D248DD">
              <w:rPr>
                <w:rFonts w:asciiTheme="majorHAnsi" w:hAnsiTheme="majorHAnsi"/>
                <w:noProof/>
                <w:webHidden/>
                <w:sz w:val="20"/>
                <w:szCs w:val="20"/>
              </w:rPr>
              <w:instrText xml:space="preserve"> PAGEREF _Toc39489219 \h </w:instrText>
            </w:r>
            <w:r w:rsidR="00D248DD" w:rsidRPr="00D248DD">
              <w:rPr>
                <w:rFonts w:asciiTheme="majorHAnsi" w:hAnsiTheme="majorHAnsi"/>
                <w:noProof/>
                <w:webHidden/>
                <w:sz w:val="20"/>
                <w:szCs w:val="20"/>
              </w:rPr>
            </w:r>
            <w:r w:rsidR="00D248DD" w:rsidRPr="00D248DD">
              <w:rPr>
                <w:rFonts w:asciiTheme="majorHAnsi" w:hAnsiTheme="majorHAnsi"/>
                <w:noProof/>
                <w:webHidden/>
                <w:sz w:val="20"/>
                <w:szCs w:val="20"/>
              </w:rPr>
              <w:fldChar w:fldCharType="separate"/>
            </w:r>
            <w:r>
              <w:rPr>
                <w:rFonts w:asciiTheme="majorHAnsi" w:hAnsiTheme="majorHAnsi"/>
                <w:noProof/>
                <w:webHidden/>
                <w:sz w:val="20"/>
                <w:szCs w:val="20"/>
              </w:rPr>
              <w:t>17</w:t>
            </w:r>
            <w:r w:rsidR="00D248DD" w:rsidRPr="00D248DD">
              <w:rPr>
                <w:rFonts w:asciiTheme="majorHAnsi" w:hAnsiTheme="majorHAnsi"/>
                <w:noProof/>
                <w:webHidden/>
                <w:sz w:val="20"/>
                <w:szCs w:val="20"/>
              </w:rPr>
              <w:fldChar w:fldCharType="end"/>
            </w:r>
          </w:hyperlink>
        </w:p>
        <w:p w14:paraId="4F52C09B" w14:textId="6D640A4A" w:rsidR="00D248DD" w:rsidRPr="00D248DD" w:rsidRDefault="00C76F21">
          <w:pPr>
            <w:pStyle w:val="TOC3"/>
            <w:tabs>
              <w:tab w:val="left" w:pos="960"/>
              <w:tab w:val="right" w:leader="dot" w:pos="9350"/>
            </w:tabs>
            <w:rPr>
              <w:rFonts w:asciiTheme="majorHAnsi" w:eastAsiaTheme="minorEastAsia" w:hAnsiTheme="majorHAnsi" w:cstheme="minorBidi"/>
              <w:noProof/>
              <w:sz w:val="20"/>
              <w:szCs w:val="20"/>
              <w:lang w:val="es-CO"/>
            </w:rPr>
          </w:pPr>
          <w:hyperlink w:anchor="_Toc39489220" w:history="1">
            <w:r w:rsidR="00D248DD" w:rsidRPr="00D248DD">
              <w:rPr>
                <w:rStyle w:val="Hyperlink"/>
                <w:rFonts w:asciiTheme="majorHAnsi" w:hAnsiTheme="majorHAnsi"/>
                <w:noProof/>
                <w:sz w:val="20"/>
                <w:szCs w:val="20"/>
                <w:lang w:val="es-US"/>
              </w:rPr>
              <w:t>2.</w:t>
            </w:r>
            <w:r w:rsidR="00D248DD" w:rsidRPr="00D248DD">
              <w:rPr>
                <w:rFonts w:asciiTheme="majorHAnsi" w:eastAsiaTheme="minorEastAsia" w:hAnsiTheme="majorHAnsi" w:cstheme="minorBidi"/>
                <w:noProof/>
                <w:sz w:val="20"/>
                <w:szCs w:val="20"/>
                <w:lang w:val="es-CO"/>
              </w:rPr>
              <w:tab/>
            </w:r>
            <w:r w:rsidR="00D248DD" w:rsidRPr="00D248DD">
              <w:rPr>
                <w:rStyle w:val="Hyperlink"/>
                <w:rFonts w:asciiTheme="majorHAnsi" w:hAnsiTheme="majorHAnsi"/>
                <w:noProof/>
                <w:sz w:val="20"/>
                <w:szCs w:val="20"/>
                <w:lang w:val="es-US"/>
              </w:rPr>
              <w:t>Análisis de la detención en el caso concreto</w:t>
            </w:r>
            <w:r w:rsidR="00D248DD" w:rsidRPr="00D248DD">
              <w:rPr>
                <w:rFonts w:asciiTheme="majorHAnsi" w:hAnsiTheme="majorHAnsi"/>
                <w:noProof/>
                <w:webHidden/>
                <w:sz w:val="20"/>
                <w:szCs w:val="20"/>
              </w:rPr>
              <w:tab/>
            </w:r>
            <w:r w:rsidR="00D248DD" w:rsidRPr="00D248DD">
              <w:rPr>
                <w:rFonts w:asciiTheme="majorHAnsi" w:hAnsiTheme="majorHAnsi"/>
                <w:noProof/>
                <w:webHidden/>
                <w:sz w:val="20"/>
                <w:szCs w:val="20"/>
              </w:rPr>
              <w:fldChar w:fldCharType="begin"/>
            </w:r>
            <w:r w:rsidR="00D248DD" w:rsidRPr="00D248DD">
              <w:rPr>
                <w:rFonts w:asciiTheme="majorHAnsi" w:hAnsiTheme="majorHAnsi"/>
                <w:noProof/>
                <w:webHidden/>
                <w:sz w:val="20"/>
                <w:szCs w:val="20"/>
              </w:rPr>
              <w:instrText xml:space="preserve"> PAGEREF _Toc39489220 \h </w:instrText>
            </w:r>
            <w:r w:rsidR="00D248DD" w:rsidRPr="00D248DD">
              <w:rPr>
                <w:rFonts w:asciiTheme="majorHAnsi" w:hAnsiTheme="majorHAnsi"/>
                <w:noProof/>
                <w:webHidden/>
                <w:sz w:val="20"/>
                <w:szCs w:val="20"/>
              </w:rPr>
            </w:r>
            <w:r w:rsidR="00D248DD" w:rsidRPr="00D248DD">
              <w:rPr>
                <w:rFonts w:asciiTheme="majorHAnsi" w:hAnsiTheme="majorHAnsi"/>
                <w:noProof/>
                <w:webHidden/>
                <w:sz w:val="20"/>
                <w:szCs w:val="20"/>
              </w:rPr>
              <w:fldChar w:fldCharType="separate"/>
            </w:r>
            <w:r>
              <w:rPr>
                <w:rFonts w:asciiTheme="majorHAnsi" w:hAnsiTheme="majorHAnsi"/>
                <w:noProof/>
                <w:webHidden/>
                <w:sz w:val="20"/>
                <w:szCs w:val="20"/>
              </w:rPr>
              <w:t>19</w:t>
            </w:r>
            <w:r w:rsidR="00D248DD" w:rsidRPr="00D248DD">
              <w:rPr>
                <w:rFonts w:asciiTheme="majorHAnsi" w:hAnsiTheme="majorHAnsi"/>
                <w:noProof/>
                <w:webHidden/>
                <w:sz w:val="20"/>
                <w:szCs w:val="20"/>
              </w:rPr>
              <w:fldChar w:fldCharType="end"/>
            </w:r>
          </w:hyperlink>
        </w:p>
        <w:p w14:paraId="34B3C8C2" w14:textId="362C0C29" w:rsidR="00D248DD" w:rsidRPr="00D248DD" w:rsidRDefault="00C76F21">
          <w:pPr>
            <w:pStyle w:val="TOC1"/>
            <w:rPr>
              <w:rFonts w:eastAsiaTheme="minorEastAsia" w:cstheme="minorBidi"/>
              <w:b w:val="0"/>
              <w:lang w:val="es-CO"/>
            </w:rPr>
          </w:pPr>
          <w:hyperlink w:anchor="_Toc39489221" w:history="1">
            <w:r w:rsidR="00D248DD" w:rsidRPr="00D248DD">
              <w:rPr>
                <w:rStyle w:val="Hyperlink"/>
              </w:rPr>
              <w:t>VI.</w:t>
            </w:r>
            <w:r w:rsidR="00D248DD" w:rsidRPr="00D248DD">
              <w:rPr>
                <w:rFonts w:eastAsiaTheme="minorEastAsia" w:cstheme="minorBidi"/>
                <w:b w:val="0"/>
                <w:lang w:val="es-CO"/>
              </w:rPr>
              <w:tab/>
            </w:r>
            <w:r w:rsidR="00D248DD" w:rsidRPr="00D248DD">
              <w:rPr>
                <w:rStyle w:val="Hyperlink"/>
              </w:rPr>
              <w:t>CONCLUSIONES Y RECOMENDACIONES</w:t>
            </w:r>
            <w:r w:rsidR="00D248DD" w:rsidRPr="00D248DD">
              <w:rPr>
                <w:webHidden/>
              </w:rPr>
              <w:tab/>
            </w:r>
            <w:r w:rsidR="00D248DD" w:rsidRPr="00D248DD">
              <w:rPr>
                <w:webHidden/>
              </w:rPr>
              <w:fldChar w:fldCharType="begin"/>
            </w:r>
            <w:r w:rsidR="00D248DD" w:rsidRPr="00D248DD">
              <w:rPr>
                <w:webHidden/>
              </w:rPr>
              <w:instrText xml:space="preserve"> PAGEREF _Toc39489221 \h </w:instrText>
            </w:r>
            <w:r w:rsidR="00D248DD" w:rsidRPr="00D248DD">
              <w:rPr>
                <w:webHidden/>
              </w:rPr>
            </w:r>
            <w:r w:rsidR="00D248DD" w:rsidRPr="00D248DD">
              <w:rPr>
                <w:webHidden/>
              </w:rPr>
              <w:fldChar w:fldCharType="separate"/>
            </w:r>
            <w:r>
              <w:rPr>
                <w:webHidden/>
              </w:rPr>
              <w:t>19</w:t>
            </w:r>
            <w:r w:rsidR="00D248DD" w:rsidRPr="00D248DD">
              <w:rPr>
                <w:webHidden/>
              </w:rPr>
              <w:fldChar w:fldCharType="end"/>
            </w:r>
          </w:hyperlink>
        </w:p>
        <w:p w14:paraId="70299B22" w14:textId="77777777" w:rsidR="003C582B" w:rsidRPr="00A10EEE" w:rsidRDefault="003C582B" w:rsidP="00D81C50">
          <w:pPr>
            <w:spacing w:line="276" w:lineRule="auto"/>
            <w:jc w:val="both"/>
            <w:rPr>
              <w:rFonts w:ascii="Cambria" w:hAnsi="Cambria"/>
              <w:sz w:val="20"/>
              <w:szCs w:val="20"/>
            </w:rPr>
          </w:pPr>
          <w:r w:rsidRPr="00A10EEE">
            <w:rPr>
              <w:rFonts w:asciiTheme="majorHAnsi" w:hAnsiTheme="majorHAnsi"/>
              <w:bCs/>
              <w:noProof/>
              <w:color w:val="000000" w:themeColor="text1"/>
              <w:sz w:val="20"/>
              <w:szCs w:val="20"/>
            </w:rPr>
            <w:fldChar w:fldCharType="end"/>
          </w:r>
        </w:p>
      </w:sdtContent>
    </w:sdt>
    <w:p w14:paraId="07314D55" w14:textId="77777777" w:rsidR="003C582B" w:rsidRPr="00A10EEE" w:rsidRDefault="003C582B" w:rsidP="00D81C50">
      <w:pPr>
        <w:tabs>
          <w:tab w:val="center" w:pos="5400"/>
        </w:tabs>
        <w:suppressAutoHyphens/>
        <w:spacing w:line="276" w:lineRule="auto"/>
        <w:jc w:val="both"/>
        <w:rPr>
          <w:rFonts w:ascii="Cambria" w:hAnsi="Cambria"/>
          <w:sz w:val="20"/>
          <w:szCs w:val="20"/>
        </w:rPr>
      </w:pPr>
    </w:p>
    <w:p w14:paraId="0970719A" w14:textId="77777777" w:rsidR="008D768D" w:rsidRPr="00A10EEE" w:rsidRDefault="008D768D" w:rsidP="00D81C50">
      <w:pPr>
        <w:tabs>
          <w:tab w:val="center" w:pos="5400"/>
        </w:tabs>
        <w:suppressAutoHyphens/>
        <w:spacing w:line="276" w:lineRule="auto"/>
        <w:rPr>
          <w:rFonts w:asciiTheme="majorHAnsi" w:hAnsiTheme="majorHAnsi"/>
          <w:sz w:val="20"/>
          <w:szCs w:val="20"/>
        </w:rPr>
      </w:pPr>
    </w:p>
    <w:p w14:paraId="39C2CB81" w14:textId="77777777" w:rsidR="00E909AA" w:rsidRPr="00A10EEE" w:rsidRDefault="00E909AA" w:rsidP="00D81C50">
      <w:pPr>
        <w:suppressAutoHyphens/>
        <w:rPr>
          <w:rFonts w:asciiTheme="majorHAnsi" w:hAnsiTheme="majorHAnsi"/>
          <w:b/>
          <w:sz w:val="20"/>
          <w:szCs w:val="20"/>
        </w:rPr>
      </w:pPr>
    </w:p>
    <w:p w14:paraId="0105F44D" w14:textId="77777777" w:rsidR="00E909AA" w:rsidRPr="00A10EEE" w:rsidRDefault="006125C3" w:rsidP="00D81C50">
      <w:pPr>
        <w:tabs>
          <w:tab w:val="left" w:pos="720"/>
          <w:tab w:val="left" w:pos="1440"/>
          <w:tab w:val="right" w:leader="dot" w:pos="9350"/>
        </w:tabs>
        <w:spacing w:after="100"/>
        <w:ind w:left="720" w:hanging="720"/>
        <w:rPr>
          <w:rFonts w:asciiTheme="majorHAnsi" w:eastAsia="Times New Roman" w:hAnsiTheme="majorHAnsi"/>
          <w:b/>
          <w:noProof/>
          <w:sz w:val="20"/>
          <w:szCs w:val="20"/>
          <w:lang w:val="es-ES"/>
        </w:rPr>
      </w:pPr>
      <w:r w:rsidRPr="00A10EEE">
        <w:rPr>
          <w:rFonts w:asciiTheme="majorHAnsi" w:hAnsiTheme="majorHAnsi"/>
          <w:b/>
          <w:sz w:val="20"/>
          <w:szCs w:val="20"/>
        </w:rPr>
        <w:fldChar w:fldCharType="begin"/>
      </w:r>
      <w:r w:rsidRPr="00A10EEE">
        <w:rPr>
          <w:rFonts w:asciiTheme="majorHAnsi" w:hAnsiTheme="majorHAnsi"/>
          <w:b/>
          <w:sz w:val="20"/>
          <w:szCs w:val="20"/>
        </w:rPr>
        <w:instrText xml:space="preserve"> </w:instrText>
      </w:r>
      <w:r w:rsidR="00443A4E" w:rsidRPr="00A10EEE">
        <w:rPr>
          <w:rFonts w:asciiTheme="majorHAnsi" w:hAnsiTheme="majorHAnsi"/>
          <w:b/>
          <w:sz w:val="20"/>
          <w:szCs w:val="20"/>
        </w:rPr>
        <w:instrText>TOC</w:instrText>
      </w:r>
      <w:r w:rsidRPr="00A10EEE">
        <w:rPr>
          <w:rFonts w:asciiTheme="majorHAnsi" w:hAnsiTheme="majorHAnsi"/>
          <w:b/>
          <w:sz w:val="20"/>
          <w:szCs w:val="20"/>
        </w:rPr>
        <w:instrText xml:space="preserve"> \o "1-7" \h \z \u </w:instrText>
      </w:r>
      <w:r w:rsidRPr="00A10EEE">
        <w:rPr>
          <w:rFonts w:asciiTheme="majorHAnsi" w:hAnsiTheme="majorHAnsi"/>
          <w:b/>
          <w:sz w:val="20"/>
          <w:szCs w:val="20"/>
        </w:rPr>
        <w:fldChar w:fldCharType="separate"/>
      </w:r>
    </w:p>
    <w:p w14:paraId="5C79D8AE" w14:textId="77777777" w:rsidR="006125C3" w:rsidRPr="00A10EEE" w:rsidRDefault="006125C3" w:rsidP="00D81C50">
      <w:pPr>
        <w:tabs>
          <w:tab w:val="left" w:pos="720"/>
          <w:tab w:val="left" w:pos="1440"/>
          <w:tab w:val="right" w:leader="dot" w:pos="9350"/>
        </w:tabs>
        <w:spacing w:after="100"/>
        <w:ind w:left="720" w:hanging="720"/>
        <w:rPr>
          <w:rFonts w:asciiTheme="majorHAnsi" w:eastAsia="Times New Roman" w:hAnsiTheme="majorHAnsi"/>
          <w:b/>
          <w:noProof/>
          <w:sz w:val="20"/>
          <w:szCs w:val="20"/>
          <w:lang w:val="es-ES"/>
        </w:rPr>
      </w:pPr>
    </w:p>
    <w:p w14:paraId="497A7995" w14:textId="77777777" w:rsidR="008D768D" w:rsidRPr="00A10EEE" w:rsidRDefault="006125C3" w:rsidP="00D81C50">
      <w:pPr>
        <w:tabs>
          <w:tab w:val="center" w:pos="5400"/>
        </w:tabs>
        <w:suppressAutoHyphens/>
        <w:spacing w:line="276" w:lineRule="auto"/>
        <w:rPr>
          <w:rFonts w:asciiTheme="majorHAnsi" w:hAnsiTheme="majorHAnsi"/>
          <w:sz w:val="20"/>
          <w:szCs w:val="20"/>
        </w:rPr>
      </w:pPr>
      <w:r w:rsidRPr="00A10EEE">
        <w:rPr>
          <w:rFonts w:asciiTheme="majorHAnsi" w:hAnsiTheme="majorHAnsi"/>
          <w:b/>
          <w:sz w:val="20"/>
          <w:szCs w:val="20"/>
        </w:rPr>
        <w:fldChar w:fldCharType="end"/>
      </w:r>
    </w:p>
    <w:p w14:paraId="7A971D6C" w14:textId="77777777" w:rsidR="00722C9F" w:rsidRPr="00A10EEE" w:rsidRDefault="00722C9F" w:rsidP="00D81C50">
      <w:pPr>
        <w:rPr>
          <w:rFonts w:asciiTheme="majorHAnsi" w:hAnsiTheme="majorHAnsi" w:cs="Calibri"/>
          <w:sz w:val="20"/>
          <w:szCs w:val="20"/>
          <w:lang w:val="es-ES"/>
        </w:rPr>
      </w:pPr>
      <w:r w:rsidRPr="00A10EEE">
        <w:rPr>
          <w:rFonts w:asciiTheme="majorHAnsi" w:hAnsiTheme="majorHAnsi" w:cs="Calibri"/>
          <w:sz w:val="20"/>
          <w:szCs w:val="20"/>
          <w:lang w:val="es-ES"/>
        </w:rPr>
        <w:br w:type="page"/>
      </w:r>
    </w:p>
    <w:p w14:paraId="12509F57" w14:textId="77777777" w:rsidR="00D12193" w:rsidRPr="00A10EEE" w:rsidRDefault="00A03A30" w:rsidP="00B8126D">
      <w:pPr>
        <w:pStyle w:val="Heading1"/>
      </w:pPr>
      <w:bookmarkStart w:id="2" w:name="_Toc39489205"/>
      <w:r w:rsidRPr="00A10EEE">
        <w:lastRenderedPageBreak/>
        <w:t>INTRODUCCIÓN</w:t>
      </w:r>
      <w:bookmarkEnd w:id="2"/>
    </w:p>
    <w:p w14:paraId="39FD7DAF" w14:textId="77777777" w:rsidR="005C4CA5" w:rsidRPr="00A10EEE" w:rsidRDefault="005C4CA5" w:rsidP="00D81C50">
      <w:pPr>
        <w:tabs>
          <w:tab w:val="left" w:pos="360"/>
        </w:tabs>
        <w:suppressAutoHyphens/>
        <w:rPr>
          <w:rFonts w:asciiTheme="majorHAnsi" w:hAnsiTheme="majorHAnsi"/>
          <w:b/>
          <w:sz w:val="20"/>
          <w:szCs w:val="20"/>
        </w:rPr>
      </w:pPr>
    </w:p>
    <w:p w14:paraId="4CCB7B70" w14:textId="77777777" w:rsidR="00166A27" w:rsidRPr="00A10EEE" w:rsidRDefault="005C4CA5" w:rsidP="00D81C50">
      <w:pPr>
        <w:pStyle w:val="parrafos"/>
        <w:ind w:left="0" w:firstLine="0"/>
      </w:pPr>
      <w:r w:rsidRPr="00A10EEE">
        <w:t xml:space="preserve">El </w:t>
      </w:r>
      <w:r w:rsidR="00E81005" w:rsidRPr="00A10EEE">
        <w:t>26</w:t>
      </w:r>
      <w:r w:rsidRPr="00A10EEE">
        <w:t xml:space="preserve"> de </w:t>
      </w:r>
      <w:r w:rsidR="00E81005" w:rsidRPr="00A10EEE">
        <w:t>diciembre</w:t>
      </w:r>
      <w:r w:rsidRPr="00A10EEE">
        <w:t xml:space="preserve"> de </w:t>
      </w:r>
      <w:r w:rsidR="00E81005" w:rsidRPr="00A10EEE">
        <w:t>2002</w:t>
      </w:r>
      <w:r w:rsidR="00F551E4" w:rsidRPr="00A10EEE">
        <w:t xml:space="preserve"> </w:t>
      </w:r>
      <w:r w:rsidRPr="00A10EEE">
        <w:t xml:space="preserve">la Comisión Interamericana de Derechos Humanos (en adelante “la Comisión Interamericana”, “la Comisión” o “la CIDH”) recibió una petición presentada por </w:t>
      </w:r>
      <w:r w:rsidR="00A50833" w:rsidRPr="00A10EEE">
        <w:t xml:space="preserve">los abogados Xavier A. Flores Aguirre, Francisco Toral Zeballos, Osvaldo Zavala-Giler y Francisco Marchán Cordovez </w:t>
      </w:r>
      <w:r w:rsidRPr="00A10EEE">
        <w:t>(en adelante “la parte peticionaria”)</w:t>
      </w:r>
      <w:r w:rsidRPr="00A10EEE">
        <w:rPr>
          <w:vertAlign w:val="superscript"/>
        </w:rPr>
        <w:t xml:space="preserve"> </w:t>
      </w:r>
      <w:r w:rsidRPr="00A10EEE">
        <w:t xml:space="preserve">en la cual se alega la responsabilidad internacional de </w:t>
      </w:r>
      <w:r w:rsidR="00A50833" w:rsidRPr="00A10EEE">
        <w:t>la República del Ecuador</w:t>
      </w:r>
      <w:r w:rsidRPr="00A10EEE">
        <w:t xml:space="preserve"> (en adelante “el Estado</w:t>
      </w:r>
      <w:r w:rsidR="001D54FC" w:rsidRPr="00A10EEE">
        <w:t xml:space="preserve"> de Ecuador</w:t>
      </w:r>
      <w:r w:rsidRPr="00A10EEE">
        <w:t>”, “el Estado” o “</w:t>
      </w:r>
      <w:r w:rsidR="001D54FC" w:rsidRPr="00A10EEE">
        <w:t>Ecuador</w:t>
      </w:r>
      <w:r w:rsidRPr="00A10EEE">
        <w:t xml:space="preserve">”) en perjuicio de </w:t>
      </w:r>
      <w:r w:rsidR="001D54FC" w:rsidRPr="00A10EEE">
        <w:t>Elías Gattass Sahih</w:t>
      </w:r>
      <w:r w:rsidR="0032742E" w:rsidRPr="00A10EEE">
        <w:t xml:space="preserve"> </w:t>
      </w:r>
      <w:r w:rsidR="00D41F9A" w:rsidRPr="00A10EEE">
        <w:t xml:space="preserve">por </w:t>
      </w:r>
      <w:r w:rsidR="0032742E" w:rsidRPr="00A10EEE">
        <w:t xml:space="preserve">la alegada </w:t>
      </w:r>
      <w:r w:rsidR="00813005" w:rsidRPr="00A10EEE">
        <w:t>vulneración de sus</w:t>
      </w:r>
      <w:r w:rsidR="008E2E59" w:rsidRPr="00A10EEE">
        <w:t xml:space="preserve"> derechos </w:t>
      </w:r>
      <w:r w:rsidR="001D54FC" w:rsidRPr="00A10EEE">
        <w:t>a las g</w:t>
      </w:r>
      <w:r w:rsidR="00B24CDA" w:rsidRPr="00A10EEE">
        <w:t>a</w:t>
      </w:r>
      <w:r w:rsidR="001D54FC" w:rsidRPr="00A10EEE">
        <w:t xml:space="preserve">rantías judiciales del debido proceso en el trámite administrativo de revocatoria de visa de inmigrante, </w:t>
      </w:r>
      <w:r w:rsidR="004F3F25" w:rsidRPr="00A10EEE">
        <w:t xml:space="preserve">a la </w:t>
      </w:r>
      <w:r w:rsidR="001D54FC" w:rsidRPr="00A10EEE">
        <w:t xml:space="preserve">libertad personal, </w:t>
      </w:r>
      <w:r w:rsidR="004F3F25" w:rsidRPr="00A10EEE">
        <w:t>a la libertad de circulación y residencia y a contar con recursos judiciales efectivos</w:t>
      </w:r>
      <w:r w:rsidR="00991866" w:rsidRPr="00A10EEE">
        <w:t xml:space="preserve">. </w:t>
      </w:r>
      <w:r w:rsidR="00EB632B" w:rsidRPr="00A10EEE">
        <w:t xml:space="preserve">En escrito </w:t>
      </w:r>
      <w:r w:rsidR="00B82CBB" w:rsidRPr="00A10EEE">
        <w:t xml:space="preserve">recibido el 12 de julio de 2007, Elías Gattass Sahih también facultó a la abogada Andrea Bohórquez para representarlo ante la CIDH. </w:t>
      </w:r>
    </w:p>
    <w:p w14:paraId="354B61DD" w14:textId="77777777" w:rsidR="00166A27" w:rsidRPr="00A10EEE" w:rsidRDefault="00166A27" w:rsidP="00D81C50">
      <w:pPr>
        <w:pStyle w:val="parrafos"/>
        <w:numPr>
          <w:ilvl w:val="0"/>
          <w:numId w:val="0"/>
        </w:numPr>
      </w:pPr>
    </w:p>
    <w:p w14:paraId="27F61D86" w14:textId="77777777" w:rsidR="00865597" w:rsidRPr="00A10EEE" w:rsidRDefault="00865597" w:rsidP="00D81C50">
      <w:pPr>
        <w:pStyle w:val="parrafos"/>
        <w:ind w:left="0" w:firstLine="0"/>
      </w:pPr>
      <w:r w:rsidRPr="00A10EEE">
        <w:t xml:space="preserve">La Comisión aprobó el informe de admisibilidad No. </w:t>
      </w:r>
      <w:r w:rsidR="002301FC" w:rsidRPr="00A10EEE">
        <w:t>09</w:t>
      </w:r>
      <w:r w:rsidRPr="00A10EEE">
        <w:t>/</w:t>
      </w:r>
      <w:r w:rsidR="002301FC" w:rsidRPr="00A10EEE">
        <w:t>05</w:t>
      </w:r>
      <w:r w:rsidRPr="00A10EEE">
        <w:t xml:space="preserve"> el </w:t>
      </w:r>
      <w:r w:rsidR="008C51CC" w:rsidRPr="00A10EEE">
        <w:t>23</w:t>
      </w:r>
      <w:r w:rsidRPr="00A10EEE">
        <w:t xml:space="preserve"> de </w:t>
      </w:r>
      <w:r w:rsidR="008C51CC" w:rsidRPr="00A10EEE">
        <w:t>febrero</w:t>
      </w:r>
      <w:r w:rsidRPr="00A10EEE">
        <w:t xml:space="preserve"> de </w:t>
      </w:r>
      <w:r w:rsidR="008C51CC" w:rsidRPr="00A10EEE">
        <w:t>2005</w:t>
      </w:r>
      <w:r w:rsidRPr="00A10EEE">
        <w:rPr>
          <w:rStyle w:val="FootnoteReference"/>
        </w:rPr>
        <w:footnoteReference w:id="2"/>
      </w:r>
      <w:r w:rsidR="00BE1304" w:rsidRPr="00A10EEE">
        <w:t>, el cual</w:t>
      </w:r>
      <w:r w:rsidR="008C7015" w:rsidRPr="00A10EEE">
        <w:t xml:space="preserve"> </w:t>
      </w:r>
      <w:r w:rsidRPr="00A10EEE">
        <w:t xml:space="preserve">la Comisión notificó las partes y se puso a </w:t>
      </w:r>
      <w:r w:rsidR="007802C6" w:rsidRPr="00A10EEE">
        <w:t xml:space="preserve">su </w:t>
      </w:r>
      <w:r w:rsidRPr="00A10EEE">
        <w:t>disposición a fin de llegar a una solución amistosa</w:t>
      </w:r>
      <w:r w:rsidR="00A66E7F" w:rsidRPr="00A10EEE">
        <w:t>, sin que se dieran las condiciones para iniciar dicho procedimiento</w:t>
      </w:r>
      <w:r w:rsidRPr="00A10EEE">
        <w:t xml:space="preserve">. Las </w:t>
      </w:r>
      <w:r w:rsidRPr="00A10EEE">
        <w:rPr>
          <w:lang w:val="es-ES_tradnl"/>
        </w:rPr>
        <w:t xml:space="preserve">partes </w:t>
      </w:r>
      <w:r w:rsidRPr="00A10EEE">
        <w:t>contaron</w:t>
      </w:r>
      <w:r w:rsidRPr="00A10EEE">
        <w:rPr>
          <w:lang w:val="es-ES_tradnl"/>
        </w:rPr>
        <w:t xml:space="preserve"> con los plazos reglamentarios para presentar sus observaciones adicionales sobre el fondo. Toda la información recibida fue debidamente trasladada entre las partes.</w:t>
      </w:r>
      <w:r w:rsidRPr="00A10EEE">
        <w:rPr>
          <w:rFonts w:eastAsia="Times New Roman"/>
          <w:lang w:val="es-ES" w:eastAsia="es-ES"/>
        </w:rPr>
        <w:t xml:space="preserve"> </w:t>
      </w:r>
    </w:p>
    <w:p w14:paraId="27D76709" w14:textId="77777777" w:rsidR="00057D2A" w:rsidRPr="00A10EEE" w:rsidRDefault="00057D2A" w:rsidP="00D81C50">
      <w:pPr>
        <w:ind w:left="720"/>
        <w:rPr>
          <w:rFonts w:asciiTheme="majorHAnsi" w:hAnsiTheme="majorHAnsi"/>
          <w:sz w:val="20"/>
          <w:szCs w:val="20"/>
        </w:rPr>
      </w:pPr>
    </w:p>
    <w:p w14:paraId="0D989771" w14:textId="77777777" w:rsidR="00D12193" w:rsidRPr="00A10EEE" w:rsidRDefault="00D12193" w:rsidP="00B8126D">
      <w:pPr>
        <w:pStyle w:val="Heading1"/>
      </w:pPr>
      <w:bookmarkStart w:id="3" w:name="_Toc39489206"/>
      <w:r w:rsidRPr="00A10EEE">
        <w:t>ALEGATOS DE LAS PARTES</w:t>
      </w:r>
      <w:bookmarkEnd w:id="3"/>
    </w:p>
    <w:p w14:paraId="31F6955B" w14:textId="77777777" w:rsidR="00D83D73" w:rsidRPr="00A10EEE" w:rsidRDefault="00D83D73" w:rsidP="00D81C50">
      <w:pPr>
        <w:rPr>
          <w:rFonts w:asciiTheme="majorHAnsi" w:hAnsiTheme="majorHAnsi"/>
          <w:sz w:val="20"/>
          <w:szCs w:val="20"/>
        </w:rPr>
      </w:pPr>
    </w:p>
    <w:p w14:paraId="5BCC8C96" w14:textId="77777777" w:rsidR="00D12193" w:rsidRPr="00A10EEE" w:rsidRDefault="0022273F" w:rsidP="00D81C50">
      <w:pPr>
        <w:pStyle w:val="Heading2"/>
      </w:pPr>
      <w:bookmarkStart w:id="4" w:name="_Toc39489207"/>
      <w:r w:rsidRPr="00A10EEE">
        <w:t>Parte peticionaria</w:t>
      </w:r>
      <w:bookmarkEnd w:id="4"/>
      <w:r w:rsidRPr="00A10EEE">
        <w:t xml:space="preserve"> </w:t>
      </w:r>
    </w:p>
    <w:p w14:paraId="513A501A" w14:textId="77777777" w:rsidR="00361415" w:rsidRPr="00A10EEE" w:rsidRDefault="007F6D92" w:rsidP="00D81C50">
      <w:pPr>
        <w:tabs>
          <w:tab w:val="left" w:pos="1094"/>
        </w:tabs>
        <w:suppressAutoHyphens/>
        <w:rPr>
          <w:rFonts w:asciiTheme="majorHAnsi" w:hAnsiTheme="majorHAnsi"/>
          <w:sz w:val="20"/>
          <w:szCs w:val="20"/>
        </w:rPr>
      </w:pPr>
      <w:r w:rsidRPr="00A10EEE">
        <w:rPr>
          <w:rFonts w:asciiTheme="majorHAnsi" w:hAnsiTheme="majorHAnsi"/>
          <w:sz w:val="20"/>
          <w:szCs w:val="20"/>
        </w:rPr>
        <w:tab/>
      </w:r>
    </w:p>
    <w:p w14:paraId="451FC7B7" w14:textId="77777777" w:rsidR="00B66455" w:rsidRPr="00A10EEE" w:rsidRDefault="0011287A" w:rsidP="00D81C50">
      <w:pPr>
        <w:numPr>
          <w:ilvl w:val="0"/>
          <w:numId w:val="55"/>
        </w:numPr>
        <w:tabs>
          <w:tab w:val="left" w:pos="360"/>
        </w:tabs>
        <w:ind w:left="0" w:firstLine="0"/>
        <w:jc w:val="both"/>
        <w:rPr>
          <w:rFonts w:asciiTheme="majorHAnsi" w:hAnsiTheme="majorHAnsi"/>
          <w:color w:val="000000" w:themeColor="text1"/>
          <w:sz w:val="20"/>
          <w:szCs w:val="20"/>
          <w:lang w:val="es-VE"/>
        </w:rPr>
      </w:pPr>
      <w:r w:rsidRPr="00A10EEE">
        <w:rPr>
          <w:rFonts w:asciiTheme="majorHAnsi" w:hAnsiTheme="majorHAnsi"/>
          <w:color w:val="000000" w:themeColor="text1"/>
          <w:sz w:val="20"/>
          <w:szCs w:val="20"/>
          <w:lang w:val="es-VE"/>
        </w:rPr>
        <w:t xml:space="preserve">La parte peticionaria manifiesta que </w:t>
      </w:r>
      <w:r w:rsidR="00526D4B" w:rsidRPr="00A10EEE">
        <w:rPr>
          <w:rFonts w:asciiTheme="majorHAnsi" w:hAnsiTheme="majorHAnsi"/>
          <w:color w:val="000000" w:themeColor="text1"/>
          <w:sz w:val="20"/>
          <w:szCs w:val="20"/>
          <w:lang w:val="es-VE"/>
        </w:rPr>
        <w:t xml:space="preserve">el ciudadano libanés Elías Gattas Sahih llegó en 1985 a Ecuador, fecha desde la que ha ejercido como ingeniero en actividades comerciales. Indica que el 3 de abril de </w:t>
      </w:r>
      <w:r w:rsidR="001F615D" w:rsidRPr="00A10EEE">
        <w:rPr>
          <w:rFonts w:asciiTheme="majorHAnsi" w:hAnsiTheme="majorHAnsi"/>
          <w:color w:val="000000" w:themeColor="text1"/>
          <w:sz w:val="20"/>
          <w:szCs w:val="20"/>
          <w:lang w:val="es-VE"/>
        </w:rPr>
        <w:t>1998, contrajo matrimonio con Leila Carvajal Erker, ciudadana ecuatoriana, con quien tuvo una hija</w:t>
      </w:r>
      <w:r w:rsidR="00534CF6" w:rsidRPr="00A10EEE">
        <w:rPr>
          <w:rFonts w:asciiTheme="majorHAnsi" w:hAnsiTheme="majorHAnsi"/>
          <w:color w:val="000000" w:themeColor="text1"/>
          <w:sz w:val="20"/>
          <w:szCs w:val="20"/>
          <w:lang w:val="es-VE"/>
        </w:rPr>
        <w:t xml:space="preserve">; y que </w:t>
      </w:r>
      <w:r w:rsidR="00B9167E" w:rsidRPr="00A10EEE">
        <w:rPr>
          <w:rFonts w:asciiTheme="majorHAnsi" w:hAnsiTheme="majorHAnsi"/>
          <w:color w:val="000000" w:themeColor="text1"/>
          <w:sz w:val="20"/>
          <w:szCs w:val="20"/>
          <w:lang w:val="es-VE"/>
        </w:rPr>
        <w:t xml:space="preserve">el 24 de octubre de 2001, la Dirección General de Extranjería le otorgó </w:t>
      </w:r>
      <w:r w:rsidR="00534CF6" w:rsidRPr="00A10EEE">
        <w:rPr>
          <w:rFonts w:asciiTheme="majorHAnsi" w:hAnsiTheme="majorHAnsi"/>
          <w:color w:val="000000" w:themeColor="text1"/>
          <w:sz w:val="20"/>
          <w:szCs w:val="20"/>
          <w:lang w:val="es-VE"/>
        </w:rPr>
        <w:t xml:space="preserve">la visa de inmigrante VI. </w:t>
      </w:r>
    </w:p>
    <w:p w14:paraId="6F3DA240" w14:textId="77777777" w:rsidR="00B66455" w:rsidRPr="00A10EEE" w:rsidRDefault="00B66455" w:rsidP="00D81C50">
      <w:pPr>
        <w:tabs>
          <w:tab w:val="left" w:pos="360"/>
        </w:tabs>
        <w:jc w:val="both"/>
        <w:rPr>
          <w:rFonts w:asciiTheme="majorHAnsi" w:hAnsiTheme="majorHAnsi"/>
          <w:color w:val="000000" w:themeColor="text1"/>
          <w:sz w:val="20"/>
          <w:szCs w:val="20"/>
          <w:lang w:val="es-VE"/>
        </w:rPr>
      </w:pPr>
    </w:p>
    <w:p w14:paraId="2A866B3C" w14:textId="77777777" w:rsidR="006F7B53" w:rsidRPr="00A10EEE" w:rsidRDefault="0040775D" w:rsidP="00D81C50">
      <w:pPr>
        <w:numPr>
          <w:ilvl w:val="0"/>
          <w:numId w:val="55"/>
        </w:numPr>
        <w:tabs>
          <w:tab w:val="left" w:pos="360"/>
        </w:tabs>
        <w:ind w:left="0" w:firstLine="0"/>
        <w:jc w:val="both"/>
        <w:rPr>
          <w:rFonts w:asciiTheme="majorHAnsi" w:hAnsiTheme="majorHAnsi"/>
          <w:color w:val="000000" w:themeColor="text1"/>
          <w:sz w:val="20"/>
          <w:szCs w:val="20"/>
          <w:lang w:val="es-VE"/>
        </w:rPr>
      </w:pPr>
      <w:r w:rsidRPr="00A10EEE">
        <w:rPr>
          <w:rFonts w:asciiTheme="majorHAnsi" w:hAnsiTheme="majorHAnsi"/>
          <w:color w:val="000000" w:themeColor="text1"/>
          <w:sz w:val="20"/>
          <w:szCs w:val="20"/>
          <w:lang w:val="es-VE"/>
        </w:rPr>
        <w:t xml:space="preserve">Relata que tiempo después, Leila Carvajal Erker solicitó a la Dirección General de Extranjería la revocatoria de la visa de Sahih </w:t>
      </w:r>
      <w:r w:rsidR="00555BA2" w:rsidRPr="00A10EEE">
        <w:rPr>
          <w:rFonts w:asciiTheme="majorHAnsi" w:hAnsiTheme="majorHAnsi"/>
          <w:color w:val="000000" w:themeColor="text1"/>
          <w:sz w:val="20"/>
          <w:szCs w:val="20"/>
          <w:lang w:val="es-VE"/>
        </w:rPr>
        <w:t xml:space="preserve">y, en efecto, el 22 de noviembre de 2001, el Consejo Consultivo de Política Migratoria revocó su visa. Señala que </w:t>
      </w:r>
      <w:r w:rsidR="00A87427" w:rsidRPr="00A10EEE">
        <w:rPr>
          <w:rFonts w:asciiTheme="majorHAnsi" w:hAnsiTheme="majorHAnsi"/>
          <w:color w:val="000000" w:themeColor="text1"/>
          <w:sz w:val="20"/>
          <w:szCs w:val="20"/>
          <w:lang w:val="es-VE"/>
        </w:rPr>
        <w:t xml:space="preserve">el 28 de noviembre de 2001 el </w:t>
      </w:r>
      <w:r w:rsidR="00555BA2" w:rsidRPr="00A10EEE">
        <w:rPr>
          <w:rFonts w:asciiTheme="majorHAnsi" w:hAnsiTheme="majorHAnsi"/>
          <w:color w:val="000000" w:themeColor="text1"/>
          <w:sz w:val="20"/>
          <w:szCs w:val="20"/>
          <w:lang w:val="es-VE"/>
        </w:rPr>
        <w:t xml:space="preserve">Director General de </w:t>
      </w:r>
      <w:r w:rsidR="00F634E4" w:rsidRPr="00A10EEE">
        <w:rPr>
          <w:rFonts w:asciiTheme="majorHAnsi" w:hAnsiTheme="majorHAnsi"/>
          <w:color w:val="000000" w:themeColor="text1"/>
          <w:sz w:val="20"/>
          <w:szCs w:val="20"/>
          <w:lang w:val="es-VE"/>
        </w:rPr>
        <w:t xml:space="preserve">Extranjería comunicó la decisión del Consejo Consultivo al Intendente General de la Policía del Guayas para que se hiciera efectiva la decisión, </w:t>
      </w:r>
      <w:r w:rsidR="001870AC" w:rsidRPr="00A10EEE">
        <w:rPr>
          <w:rFonts w:asciiTheme="majorHAnsi" w:hAnsiTheme="majorHAnsi"/>
          <w:color w:val="000000" w:themeColor="text1"/>
          <w:sz w:val="20"/>
          <w:szCs w:val="20"/>
          <w:lang w:val="es-VE"/>
        </w:rPr>
        <w:t xml:space="preserve">y el 5 de diciembre de 2001 </w:t>
      </w:r>
      <w:r w:rsidR="005C38B0" w:rsidRPr="00A10EEE">
        <w:rPr>
          <w:rFonts w:asciiTheme="majorHAnsi" w:hAnsiTheme="majorHAnsi"/>
          <w:color w:val="000000" w:themeColor="text1"/>
          <w:sz w:val="20"/>
          <w:szCs w:val="20"/>
          <w:lang w:val="es-VE"/>
        </w:rPr>
        <w:t xml:space="preserve">Sahih </w:t>
      </w:r>
      <w:r w:rsidR="001870AC" w:rsidRPr="00A10EEE">
        <w:rPr>
          <w:rFonts w:asciiTheme="majorHAnsi" w:hAnsiTheme="majorHAnsi"/>
          <w:color w:val="000000" w:themeColor="text1"/>
          <w:sz w:val="20"/>
          <w:szCs w:val="20"/>
          <w:lang w:val="es-VE"/>
        </w:rPr>
        <w:t xml:space="preserve">fue detenido </w:t>
      </w:r>
      <w:r w:rsidR="005C38B0" w:rsidRPr="00A10EEE">
        <w:rPr>
          <w:rFonts w:asciiTheme="majorHAnsi" w:hAnsiTheme="majorHAnsi"/>
          <w:color w:val="000000" w:themeColor="text1"/>
          <w:sz w:val="20"/>
          <w:szCs w:val="20"/>
          <w:lang w:val="es-VE"/>
        </w:rPr>
        <w:t>por agentes de la Policía</w:t>
      </w:r>
      <w:r w:rsidR="001870AC" w:rsidRPr="00A10EEE">
        <w:rPr>
          <w:rFonts w:asciiTheme="majorHAnsi" w:hAnsiTheme="majorHAnsi"/>
          <w:color w:val="000000" w:themeColor="text1"/>
          <w:sz w:val="20"/>
          <w:szCs w:val="20"/>
          <w:lang w:val="es-VE"/>
        </w:rPr>
        <w:t>. Agrega que</w:t>
      </w:r>
      <w:r w:rsidR="00102B6A" w:rsidRPr="00A10EEE">
        <w:rPr>
          <w:rFonts w:asciiTheme="majorHAnsi" w:hAnsiTheme="majorHAnsi"/>
          <w:color w:val="000000" w:themeColor="text1"/>
          <w:sz w:val="20"/>
          <w:szCs w:val="20"/>
          <w:lang w:val="es-VE"/>
        </w:rPr>
        <w:t xml:space="preserve"> el 6 de diciembre de 2001, el Intendente General de Policía del Guayas dictó acción de deportación y fijó fecha </w:t>
      </w:r>
      <w:r w:rsidR="005C38B0" w:rsidRPr="00A10EEE">
        <w:rPr>
          <w:rFonts w:asciiTheme="majorHAnsi" w:hAnsiTheme="majorHAnsi"/>
          <w:color w:val="000000" w:themeColor="text1"/>
          <w:sz w:val="20"/>
          <w:szCs w:val="20"/>
          <w:lang w:val="es-VE"/>
        </w:rPr>
        <w:t>de</w:t>
      </w:r>
      <w:r w:rsidR="00102B6A" w:rsidRPr="00A10EEE">
        <w:rPr>
          <w:rFonts w:asciiTheme="majorHAnsi" w:hAnsiTheme="majorHAnsi"/>
          <w:color w:val="000000" w:themeColor="text1"/>
          <w:sz w:val="20"/>
          <w:szCs w:val="20"/>
          <w:lang w:val="es-VE"/>
        </w:rPr>
        <w:t xml:space="preserve"> la audiencia oral para el día siguiente</w:t>
      </w:r>
      <w:r w:rsidR="00685C9A" w:rsidRPr="00A10EEE">
        <w:rPr>
          <w:rFonts w:asciiTheme="majorHAnsi" w:hAnsiTheme="majorHAnsi"/>
          <w:color w:val="000000" w:themeColor="text1"/>
          <w:sz w:val="20"/>
          <w:szCs w:val="20"/>
          <w:lang w:val="es-VE"/>
        </w:rPr>
        <w:t>, la cual fue convocada</w:t>
      </w:r>
      <w:r w:rsidR="003E6D12" w:rsidRPr="00A10EEE">
        <w:rPr>
          <w:rFonts w:asciiTheme="majorHAnsi" w:hAnsiTheme="majorHAnsi"/>
          <w:color w:val="000000" w:themeColor="text1"/>
          <w:sz w:val="20"/>
          <w:szCs w:val="20"/>
          <w:lang w:val="es-VE"/>
        </w:rPr>
        <w:t xml:space="preserve"> para el 10 de diciembre de 2001</w:t>
      </w:r>
      <w:r w:rsidR="00685C9A" w:rsidRPr="00A10EEE">
        <w:rPr>
          <w:rFonts w:asciiTheme="majorHAnsi" w:hAnsiTheme="majorHAnsi"/>
          <w:color w:val="000000" w:themeColor="text1"/>
          <w:sz w:val="20"/>
          <w:szCs w:val="20"/>
          <w:lang w:val="es-VE"/>
        </w:rPr>
        <w:t xml:space="preserve">. Señala que </w:t>
      </w:r>
      <w:r w:rsidR="0013759A" w:rsidRPr="00A10EEE">
        <w:rPr>
          <w:rFonts w:asciiTheme="majorHAnsi" w:hAnsiTheme="majorHAnsi"/>
          <w:color w:val="000000" w:themeColor="text1"/>
          <w:sz w:val="20"/>
          <w:szCs w:val="20"/>
          <w:lang w:val="es-VE"/>
        </w:rPr>
        <w:t xml:space="preserve">el señor Sahih </w:t>
      </w:r>
      <w:r w:rsidR="00685C9A" w:rsidRPr="00A10EEE">
        <w:rPr>
          <w:rFonts w:asciiTheme="majorHAnsi" w:hAnsiTheme="majorHAnsi"/>
          <w:color w:val="000000" w:themeColor="text1"/>
          <w:sz w:val="20"/>
          <w:szCs w:val="20"/>
          <w:lang w:val="es-VE"/>
        </w:rPr>
        <w:t xml:space="preserve">presentó un amparo constitucional </w:t>
      </w:r>
      <w:r w:rsidR="003D1575" w:rsidRPr="00A10EEE">
        <w:rPr>
          <w:rFonts w:asciiTheme="majorHAnsi" w:hAnsiTheme="majorHAnsi"/>
          <w:color w:val="000000" w:themeColor="text1"/>
          <w:sz w:val="20"/>
          <w:szCs w:val="20"/>
          <w:lang w:val="es-VE"/>
        </w:rPr>
        <w:t>y</w:t>
      </w:r>
      <w:r w:rsidR="00685C9A" w:rsidRPr="00A10EEE">
        <w:rPr>
          <w:rFonts w:asciiTheme="majorHAnsi" w:hAnsiTheme="majorHAnsi"/>
          <w:color w:val="000000" w:themeColor="text1"/>
          <w:sz w:val="20"/>
          <w:szCs w:val="20"/>
          <w:lang w:val="es-VE"/>
        </w:rPr>
        <w:t xml:space="preserve"> </w:t>
      </w:r>
      <w:r w:rsidR="003D1575" w:rsidRPr="00A10EEE">
        <w:rPr>
          <w:rFonts w:asciiTheme="majorHAnsi" w:hAnsiTheme="majorHAnsi"/>
          <w:color w:val="000000" w:themeColor="text1"/>
          <w:sz w:val="20"/>
          <w:szCs w:val="20"/>
          <w:lang w:val="es-VE"/>
        </w:rPr>
        <w:t>el 9 de diciembre de 2001</w:t>
      </w:r>
      <w:r w:rsidR="00BE1304" w:rsidRPr="00A10EEE">
        <w:rPr>
          <w:rFonts w:asciiTheme="majorHAnsi" w:hAnsiTheme="majorHAnsi"/>
          <w:color w:val="000000" w:themeColor="text1"/>
          <w:sz w:val="20"/>
          <w:szCs w:val="20"/>
          <w:lang w:val="es-VE"/>
        </w:rPr>
        <w:t xml:space="preserve"> la autoridad judicial, </w:t>
      </w:r>
      <w:r w:rsidR="009D0CF0" w:rsidRPr="00A10EEE">
        <w:rPr>
          <w:rFonts w:asciiTheme="majorHAnsi" w:hAnsiTheme="majorHAnsi"/>
          <w:color w:val="000000" w:themeColor="text1"/>
          <w:sz w:val="20"/>
          <w:szCs w:val="20"/>
          <w:lang w:val="es-VE"/>
        </w:rPr>
        <w:t>inmediatamente después de avocar conocimi</w:t>
      </w:r>
      <w:r w:rsidR="00DA7E89" w:rsidRPr="00A10EEE">
        <w:rPr>
          <w:rFonts w:asciiTheme="majorHAnsi" w:hAnsiTheme="majorHAnsi"/>
          <w:color w:val="000000" w:themeColor="text1"/>
          <w:sz w:val="20"/>
          <w:szCs w:val="20"/>
          <w:lang w:val="es-VE"/>
        </w:rPr>
        <w:t>e</w:t>
      </w:r>
      <w:r w:rsidR="009D0CF0" w:rsidRPr="00A10EEE">
        <w:rPr>
          <w:rFonts w:asciiTheme="majorHAnsi" w:hAnsiTheme="majorHAnsi"/>
          <w:color w:val="000000" w:themeColor="text1"/>
          <w:sz w:val="20"/>
          <w:szCs w:val="20"/>
          <w:lang w:val="es-VE"/>
        </w:rPr>
        <w:t>nto,</w:t>
      </w:r>
      <w:r w:rsidR="003D1575" w:rsidRPr="00A10EEE">
        <w:rPr>
          <w:rFonts w:asciiTheme="majorHAnsi" w:hAnsiTheme="majorHAnsi"/>
          <w:color w:val="000000" w:themeColor="text1"/>
          <w:sz w:val="20"/>
          <w:szCs w:val="20"/>
          <w:lang w:val="es-VE"/>
        </w:rPr>
        <w:t xml:space="preserve"> ordenó la suspensión provisional del acto administrativo </w:t>
      </w:r>
      <w:r w:rsidR="009D0CF0" w:rsidRPr="00A10EEE">
        <w:rPr>
          <w:rFonts w:asciiTheme="majorHAnsi" w:hAnsiTheme="majorHAnsi"/>
          <w:color w:val="000000" w:themeColor="text1"/>
          <w:sz w:val="20"/>
          <w:szCs w:val="20"/>
          <w:lang w:val="es-VE"/>
        </w:rPr>
        <w:t>que solicitaba hacer efectiva la dcisión del Consejo Consultivo que había revocado la visa. E</w:t>
      </w:r>
      <w:r w:rsidR="003E6D12" w:rsidRPr="00A10EEE">
        <w:rPr>
          <w:rFonts w:asciiTheme="majorHAnsi" w:hAnsiTheme="majorHAnsi"/>
          <w:color w:val="000000" w:themeColor="text1"/>
          <w:sz w:val="20"/>
          <w:szCs w:val="20"/>
          <w:lang w:val="es-VE"/>
        </w:rPr>
        <w:t>n cumplimi</w:t>
      </w:r>
      <w:r w:rsidR="00B66455" w:rsidRPr="00A10EEE">
        <w:rPr>
          <w:rFonts w:asciiTheme="majorHAnsi" w:hAnsiTheme="majorHAnsi"/>
          <w:color w:val="000000" w:themeColor="text1"/>
          <w:sz w:val="20"/>
          <w:szCs w:val="20"/>
          <w:lang w:val="es-VE"/>
        </w:rPr>
        <w:t xml:space="preserve">ento de la orden emitida </w:t>
      </w:r>
      <w:r w:rsidR="009D0CF0" w:rsidRPr="00A10EEE">
        <w:rPr>
          <w:rFonts w:asciiTheme="majorHAnsi" w:hAnsiTheme="majorHAnsi"/>
          <w:color w:val="000000" w:themeColor="text1"/>
          <w:sz w:val="20"/>
          <w:szCs w:val="20"/>
          <w:lang w:val="es-VE"/>
        </w:rPr>
        <w:t xml:space="preserve">por el Juez de amparo también se </w:t>
      </w:r>
      <w:r w:rsidR="00B66455" w:rsidRPr="00A10EEE">
        <w:rPr>
          <w:rFonts w:asciiTheme="majorHAnsi" w:hAnsiTheme="majorHAnsi"/>
          <w:color w:val="000000" w:themeColor="text1"/>
          <w:sz w:val="20"/>
          <w:szCs w:val="20"/>
          <w:lang w:val="es-VE"/>
        </w:rPr>
        <w:t xml:space="preserve">ordenó la libertad inmediata del señor Sahih. </w:t>
      </w:r>
      <w:r w:rsidR="004262DD" w:rsidRPr="00A10EEE">
        <w:rPr>
          <w:rFonts w:asciiTheme="majorHAnsi" w:hAnsiTheme="majorHAnsi"/>
          <w:color w:val="000000" w:themeColor="text1"/>
          <w:sz w:val="20"/>
          <w:szCs w:val="20"/>
          <w:lang w:val="es-VE"/>
        </w:rPr>
        <w:t xml:space="preserve"> </w:t>
      </w:r>
    </w:p>
    <w:p w14:paraId="01CCAB8D" w14:textId="77777777" w:rsidR="006F7B53" w:rsidRPr="00A10EEE" w:rsidRDefault="006F7B53" w:rsidP="00D81C50">
      <w:pPr>
        <w:tabs>
          <w:tab w:val="left" w:pos="360"/>
        </w:tabs>
        <w:jc w:val="both"/>
        <w:rPr>
          <w:rFonts w:asciiTheme="majorHAnsi" w:hAnsiTheme="majorHAnsi"/>
          <w:color w:val="000000" w:themeColor="text1"/>
          <w:sz w:val="20"/>
          <w:szCs w:val="20"/>
          <w:lang w:val="es-VE"/>
        </w:rPr>
      </w:pPr>
    </w:p>
    <w:p w14:paraId="23DDF007" w14:textId="77777777" w:rsidR="00B66455" w:rsidRPr="00A10EEE" w:rsidRDefault="00C71089" w:rsidP="00D81C50">
      <w:pPr>
        <w:numPr>
          <w:ilvl w:val="0"/>
          <w:numId w:val="55"/>
        </w:numPr>
        <w:tabs>
          <w:tab w:val="left" w:pos="360"/>
        </w:tabs>
        <w:ind w:left="0" w:firstLine="0"/>
        <w:jc w:val="both"/>
        <w:rPr>
          <w:rFonts w:asciiTheme="majorHAnsi" w:hAnsiTheme="majorHAnsi"/>
          <w:color w:val="000000" w:themeColor="text1"/>
          <w:sz w:val="20"/>
          <w:szCs w:val="20"/>
          <w:lang w:val="es-VE"/>
        </w:rPr>
      </w:pPr>
      <w:r w:rsidRPr="00A10EEE">
        <w:rPr>
          <w:rFonts w:asciiTheme="majorHAnsi" w:hAnsiTheme="majorHAnsi"/>
          <w:color w:val="000000" w:themeColor="text1"/>
          <w:sz w:val="20"/>
          <w:szCs w:val="20"/>
          <w:lang w:val="es-VE"/>
        </w:rPr>
        <w:t>S</w:t>
      </w:r>
      <w:r w:rsidR="00B66455" w:rsidRPr="00A10EEE">
        <w:rPr>
          <w:rFonts w:asciiTheme="majorHAnsi" w:hAnsiTheme="majorHAnsi"/>
          <w:color w:val="000000" w:themeColor="text1"/>
          <w:sz w:val="20"/>
          <w:szCs w:val="20"/>
          <w:lang w:val="es-VE"/>
        </w:rPr>
        <w:t xml:space="preserve">eñala que el </w:t>
      </w:r>
      <w:r w:rsidR="001A1C4F" w:rsidRPr="00A10EEE">
        <w:rPr>
          <w:rFonts w:asciiTheme="majorHAnsi" w:hAnsiTheme="majorHAnsi"/>
          <w:color w:val="000000" w:themeColor="text1"/>
          <w:sz w:val="20"/>
          <w:szCs w:val="20"/>
          <w:lang w:val="es-VE"/>
        </w:rPr>
        <w:t>22 de enero de 2002, el Juez Vigésimo de lo Penal de Guayas declaró sin lugar la acción de amparo constitucional presentada por Elías Gattass Sahih</w:t>
      </w:r>
      <w:r w:rsidR="00B05C67" w:rsidRPr="00A10EEE">
        <w:rPr>
          <w:rFonts w:asciiTheme="majorHAnsi" w:hAnsiTheme="majorHAnsi"/>
          <w:color w:val="000000" w:themeColor="text1"/>
          <w:sz w:val="20"/>
          <w:szCs w:val="20"/>
          <w:lang w:val="es-VE"/>
        </w:rPr>
        <w:t xml:space="preserve"> y el 7 de junio del mismo año, </w:t>
      </w:r>
      <w:r w:rsidR="009149C0" w:rsidRPr="00A10EEE">
        <w:rPr>
          <w:rFonts w:asciiTheme="majorHAnsi" w:hAnsiTheme="majorHAnsi"/>
          <w:color w:val="000000" w:themeColor="text1"/>
          <w:sz w:val="20"/>
          <w:szCs w:val="20"/>
          <w:lang w:val="es-VE"/>
        </w:rPr>
        <w:t>la Sala Tercera d</w:t>
      </w:r>
      <w:r w:rsidR="00B05C67" w:rsidRPr="00A10EEE">
        <w:rPr>
          <w:rFonts w:asciiTheme="majorHAnsi" w:hAnsiTheme="majorHAnsi"/>
          <w:color w:val="000000" w:themeColor="text1"/>
          <w:sz w:val="20"/>
          <w:szCs w:val="20"/>
          <w:lang w:val="es-VE"/>
        </w:rPr>
        <w:t xml:space="preserve">el </w:t>
      </w:r>
      <w:r w:rsidR="00BE1304" w:rsidRPr="00A10EEE">
        <w:rPr>
          <w:rFonts w:asciiTheme="majorHAnsi" w:hAnsiTheme="majorHAnsi"/>
          <w:color w:val="000000" w:themeColor="text1"/>
          <w:sz w:val="20"/>
          <w:szCs w:val="20"/>
          <w:lang w:val="es-VE"/>
        </w:rPr>
        <w:t xml:space="preserve">Tribunal Constitucional </w:t>
      </w:r>
      <w:r w:rsidR="009149C0" w:rsidRPr="00A10EEE">
        <w:rPr>
          <w:rFonts w:asciiTheme="majorHAnsi" w:hAnsiTheme="majorHAnsi"/>
          <w:color w:val="000000" w:themeColor="text1"/>
          <w:sz w:val="20"/>
          <w:szCs w:val="20"/>
          <w:lang w:val="es-VE"/>
        </w:rPr>
        <w:t xml:space="preserve">confirmó integralmente el fallo del Juzgado. </w:t>
      </w:r>
      <w:r w:rsidR="006F7B53" w:rsidRPr="00A10EEE">
        <w:rPr>
          <w:rFonts w:asciiTheme="majorHAnsi" w:hAnsiTheme="majorHAnsi"/>
          <w:color w:val="000000" w:themeColor="text1"/>
          <w:sz w:val="20"/>
          <w:szCs w:val="20"/>
          <w:lang w:val="es-VE"/>
        </w:rPr>
        <w:t>Indica que los jueces consideraron que la decisión</w:t>
      </w:r>
      <w:r w:rsidR="004453E3" w:rsidRPr="00A10EEE">
        <w:rPr>
          <w:rFonts w:asciiTheme="majorHAnsi" w:hAnsiTheme="majorHAnsi"/>
          <w:color w:val="000000" w:themeColor="text1"/>
          <w:sz w:val="20"/>
          <w:szCs w:val="20"/>
          <w:lang w:val="es-VE"/>
        </w:rPr>
        <w:t xml:space="preserve"> </w:t>
      </w:r>
      <w:r w:rsidR="006F7B53" w:rsidRPr="00A10EEE">
        <w:rPr>
          <w:rFonts w:asciiTheme="majorHAnsi" w:hAnsiTheme="majorHAnsi"/>
          <w:color w:val="000000" w:themeColor="text1"/>
          <w:sz w:val="20"/>
          <w:szCs w:val="20"/>
          <w:lang w:val="es-VE"/>
        </w:rPr>
        <w:t xml:space="preserve">estaba ajustada a la Ley que permitía al Consejo Consultivo de Política Criminal adoptar una decisión soberana y autónoma, y que el espacio para ejercer el derecho a la defensa del señor Sahih era la acción penal de deportación ante el Intendente General de Policía, y no el trámite administrativo ante el Consejo Consultivo, por ello no se le había violado derecho alguno. </w:t>
      </w:r>
    </w:p>
    <w:p w14:paraId="144E120B" w14:textId="77777777" w:rsidR="00B66455" w:rsidRPr="00A10EEE" w:rsidRDefault="00B66455" w:rsidP="00D81C50">
      <w:pPr>
        <w:tabs>
          <w:tab w:val="left" w:pos="360"/>
        </w:tabs>
        <w:jc w:val="both"/>
        <w:rPr>
          <w:rFonts w:asciiTheme="majorHAnsi" w:hAnsiTheme="majorHAnsi"/>
          <w:color w:val="000000" w:themeColor="text1"/>
          <w:sz w:val="20"/>
          <w:szCs w:val="20"/>
          <w:lang w:val="es-US"/>
        </w:rPr>
      </w:pPr>
    </w:p>
    <w:p w14:paraId="1216DDC8" w14:textId="77777777" w:rsidR="001A63F5" w:rsidRPr="00A10EEE" w:rsidRDefault="00B66455" w:rsidP="00D81C50">
      <w:pPr>
        <w:numPr>
          <w:ilvl w:val="0"/>
          <w:numId w:val="55"/>
        </w:numPr>
        <w:tabs>
          <w:tab w:val="left" w:pos="360"/>
        </w:tabs>
        <w:ind w:left="0" w:firstLine="0"/>
        <w:jc w:val="both"/>
        <w:rPr>
          <w:rFonts w:asciiTheme="majorHAnsi" w:hAnsiTheme="majorHAnsi"/>
          <w:color w:val="000000" w:themeColor="text1"/>
          <w:sz w:val="20"/>
          <w:szCs w:val="20"/>
          <w:lang w:val="es-VE"/>
        </w:rPr>
      </w:pPr>
      <w:r w:rsidRPr="00A10EEE">
        <w:rPr>
          <w:rFonts w:asciiTheme="majorHAnsi" w:hAnsiTheme="majorHAnsi"/>
          <w:color w:val="000000" w:themeColor="text1"/>
          <w:sz w:val="20"/>
          <w:szCs w:val="20"/>
          <w:lang w:val="es-VE"/>
        </w:rPr>
        <w:t xml:space="preserve"> </w:t>
      </w:r>
      <w:r w:rsidR="008B2CA3" w:rsidRPr="00A10EEE">
        <w:rPr>
          <w:rFonts w:asciiTheme="majorHAnsi" w:hAnsiTheme="majorHAnsi"/>
          <w:color w:val="000000" w:themeColor="text1"/>
          <w:sz w:val="20"/>
          <w:szCs w:val="20"/>
          <w:lang w:val="es-VE"/>
        </w:rPr>
        <w:t>La parte peticionaria considera que en virtud de los anteriores hechos, se desconoció el artículo 8</w:t>
      </w:r>
      <w:r w:rsidR="006610CA" w:rsidRPr="00A10EEE">
        <w:rPr>
          <w:rFonts w:asciiTheme="majorHAnsi" w:hAnsiTheme="majorHAnsi"/>
          <w:color w:val="000000" w:themeColor="text1"/>
          <w:sz w:val="20"/>
          <w:szCs w:val="20"/>
          <w:lang w:val="es-VE"/>
        </w:rPr>
        <w:t>.1</w:t>
      </w:r>
      <w:r w:rsidR="008B2CA3" w:rsidRPr="00A10EEE">
        <w:rPr>
          <w:rFonts w:asciiTheme="majorHAnsi" w:hAnsiTheme="majorHAnsi"/>
          <w:color w:val="000000" w:themeColor="text1"/>
          <w:sz w:val="20"/>
          <w:szCs w:val="20"/>
          <w:lang w:val="es-VE"/>
        </w:rPr>
        <w:t xml:space="preserve"> de la Convención Americana porque el señor </w:t>
      </w:r>
      <w:r w:rsidR="00202948" w:rsidRPr="00A10EEE">
        <w:rPr>
          <w:rFonts w:asciiTheme="majorHAnsi" w:hAnsiTheme="majorHAnsi"/>
          <w:color w:val="000000" w:themeColor="text1"/>
          <w:sz w:val="20"/>
          <w:szCs w:val="20"/>
          <w:lang w:val="es-VE"/>
        </w:rPr>
        <w:t xml:space="preserve">Elías Gattass Sahih </w:t>
      </w:r>
      <w:r w:rsidR="002A290C" w:rsidRPr="00A10EEE">
        <w:rPr>
          <w:rFonts w:asciiTheme="majorHAnsi" w:hAnsiTheme="majorHAnsi"/>
          <w:color w:val="000000" w:themeColor="text1"/>
          <w:sz w:val="20"/>
          <w:szCs w:val="20"/>
          <w:lang w:val="es-VE"/>
        </w:rPr>
        <w:t>no pudo ejercer su derecho</w:t>
      </w:r>
      <w:r w:rsidR="002B68F7" w:rsidRPr="00A10EEE">
        <w:rPr>
          <w:rFonts w:asciiTheme="majorHAnsi" w:hAnsiTheme="majorHAnsi"/>
          <w:color w:val="000000" w:themeColor="text1"/>
          <w:sz w:val="20"/>
          <w:szCs w:val="20"/>
          <w:lang w:val="es-VE"/>
        </w:rPr>
        <w:t xml:space="preserve"> a ser oído en el trámite admin</w:t>
      </w:r>
      <w:r w:rsidR="002A290C" w:rsidRPr="00A10EEE">
        <w:rPr>
          <w:rFonts w:asciiTheme="majorHAnsi" w:hAnsiTheme="majorHAnsi"/>
          <w:color w:val="000000" w:themeColor="text1"/>
          <w:sz w:val="20"/>
          <w:szCs w:val="20"/>
          <w:lang w:val="es-VE"/>
        </w:rPr>
        <w:t>i</w:t>
      </w:r>
      <w:r w:rsidR="002B68F7" w:rsidRPr="00A10EEE">
        <w:rPr>
          <w:rFonts w:asciiTheme="majorHAnsi" w:hAnsiTheme="majorHAnsi"/>
          <w:color w:val="000000" w:themeColor="text1"/>
          <w:sz w:val="20"/>
          <w:szCs w:val="20"/>
          <w:lang w:val="es-VE"/>
        </w:rPr>
        <w:t>s</w:t>
      </w:r>
      <w:r w:rsidR="002A290C" w:rsidRPr="00A10EEE">
        <w:rPr>
          <w:rFonts w:asciiTheme="majorHAnsi" w:hAnsiTheme="majorHAnsi"/>
          <w:color w:val="000000" w:themeColor="text1"/>
          <w:sz w:val="20"/>
          <w:szCs w:val="20"/>
          <w:lang w:val="es-VE"/>
        </w:rPr>
        <w:t>trativo que culminó con la revocatoria de su visa</w:t>
      </w:r>
      <w:r w:rsidR="00103C41" w:rsidRPr="00A10EEE">
        <w:rPr>
          <w:rFonts w:asciiTheme="majorHAnsi" w:hAnsiTheme="majorHAnsi"/>
          <w:color w:val="000000" w:themeColor="text1"/>
          <w:sz w:val="20"/>
          <w:szCs w:val="20"/>
          <w:lang w:val="es-VE"/>
        </w:rPr>
        <w:t>, y sólo tuvo noticia de la decisión al momento de su detención por agentes de policía</w:t>
      </w:r>
      <w:r w:rsidR="002A290C" w:rsidRPr="00A10EEE">
        <w:rPr>
          <w:rFonts w:asciiTheme="majorHAnsi" w:hAnsiTheme="majorHAnsi"/>
          <w:color w:val="000000" w:themeColor="text1"/>
          <w:sz w:val="20"/>
          <w:szCs w:val="20"/>
          <w:lang w:val="es-VE"/>
        </w:rPr>
        <w:t>.</w:t>
      </w:r>
      <w:r w:rsidR="00103C41" w:rsidRPr="00A10EEE">
        <w:rPr>
          <w:rFonts w:asciiTheme="majorHAnsi" w:hAnsiTheme="majorHAnsi"/>
          <w:color w:val="000000" w:themeColor="text1"/>
          <w:sz w:val="20"/>
          <w:szCs w:val="20"/>
          <w:lang w:val="es-VE"/>
        </w:rPr>
        <w:t xml:space="preserve"> Señala que </w:t>
      </w:r>
      <w:r w:rsidR="00B570E5" w:rsidRPr="00A10EEE">
        <w:rPr>
          <w:rFonts w:asciiTheme="majorHAnsi" w:hAnsiTheme="majorHAnsi"/>
          <w:color w:val="000000" w:themeColor="text1"/>
          <w:sz w:val="20"/>
          <w:szCs w:val="20"/>
          <w:lang w:val="es-VE"/>
        </w:rPr>
        <w:t xml:space="preserve">si bien </w:t>
      </w:r>
      <w:r w:rsidR="00900928" w:rsidRPr="00A10EEE">
        <w:rPr>
          <w:rFonts w:asciiTheme="majorHAnsi" w:hAnsiTheme="majorHAnsi"/>
          <w:color w:val="000000" w:themeColor="text1"/>
          <w:sz w:val="20"/>
          <w:szCs w:val="20"/>
          <w:lang w:val="es-VE"/>
        </w:rPr>
        <w:t xml:space="preserve">la audiencia oral de juzgamiento en </w:t>
      </w:r>
      <w:r w:rsidR="00022D67" w:rsidRPr="00A10EEE">
        <w:rPr>
          <w:rFonts w:asciiTheme="majorHAnsi" w:hAnsiTheme="majorHAnsi"/>
          <w:color w:val="000000" w:themeColor="text1"/>
          <w:sz w:val="20"/>
          <w:szCs w:val="20"/>
          <w:lang w:val="es-VE"/>
        </w:rPr>
        <w:t>la acción</w:t>
      </w:r>
      <w:r w:rsidR="00900928" w:rsidRPr="00A10EEE">
        <w:rPr>
          <w:rFonts w:asciiTheme="majorHAnsi" w:hAnsiTheme="majorHAnsi"/>
          <w:color w:val="000000" w:themeColor="text1"/>
          <w:sz w:val="20"/>
          <w:szCs w:val="20"/>
          <w:lang w:val="es-VE"/>
        </w:rPr>
        <w:t xml:space="preserve"> de deportación </w:t>
      </w:r>
      <w:r w:rsidR="00B570E5" w:rsidRPr="00A10EEE">
        <w:rPr>
          <w:rFonts w:asciiTheme="majorHAnsi" w:hAnsiTheme="majorHAnsi"/>
          <w:color w:val="000000" w:themeColor="text1"/>
          <w:sz w:val="20"/>
          <w:szCs w:val="20"/>
          <w:lang w:val="es-VE"/>
        </w:rPr>
        <w:t xml:space="preserve">tiene una etapa para </w:t>
      </w:r>
      <w:r w:rsidR="00900928" w:rsidRPr="00A10EEE">
        <w:rPr>
          <w:rFonts w:asciiTheme="majorHAnsi" w:hAnsiTheme="majorHAnsi"/>
          <w:color w:val="000000" w:themeColor="text1"/>
          <w:sz w:val="20"/>
          <w:szCs w:val="20"/>
          <w:lang w:val="es-VE"/>
        </w:rPr>
        <w:t>hacer u</w:t>
      </w:r>
      <w:r w:rsidR="00CE35F8" w:rsidRPr="00A10EEE">
        <w:rPr>
          <w:rFonts w:asciiTheme="majorHAnsi" w:hAnsiTheme="majorHAnsi"/>
          <w:color w:val="000000" w:themeColor="text1"/>
          <w:sz w:val="20"/>
          <w:szCs w:val="20"/>
          <w:lang w:val="es-VE"/>
        </w:rPr>
        <w:t>so de su derecho a la defensa, apo</w:t>
      </w:r>
      <w:r w:rsidR="00900928" w:rsidRPr="00A10EEE">
        <w:rPr>
          <w:rFonts w:asciiTheme="majorHAnsi" w:hAnsiTheme="majorHAnsi"/>
          <w:color w:val="000000" w:themeColor="text1"/>
          <w:sz w:val="20"/>
          <w:szCs w:val="20"/>
          <w:lang w:val="es-VE"/>
        </w:rPr>
        <w:t xml:space="preserve">rtar pruebas, hacer observaciones; </w:t>
      </w:r>
      <w:r w:rsidR="000B113B" w:rsidRPr="00A10EEE">
        <w:rPr>
          <w:rFonts w:asciiTheme="majorHAnsi" w:hAnsiTheme="majorHAnsi"/>
          <w:color w:val="000000" w:themeColor="text1"/>
          <w:sz w:val="20"/>
          <w:szCs w:val="20"/>
          <w:lang w:val="es-VE"/>
        </w:rPr>
        <w:t xml:space="preserve">sin embargo, </w:t>
      </w:r>
      <w:r w:rsidR="000B113B" w:rsidRPr="00A10EEE">
        <w:rPr>
          <w:rFonts w:asciiTheme="majorHAnsi" w:hAnsiTheme="majorHAnsi"/>
          <w:color w:val="000000" w:themeColor="text1"/>
          <w:sz w:val="20"/>
          <w:szCs w:val="20"/>
          <w:lang w:val="es-VE"/>
        </w:rPr>
        <w:lastRenderedPageBreak/>
        <w:t>la parte peticionaria considera que en esa etapa procesal no corresponde la revisión de la decisión del Consejo Consultivo de Política Migratoria que revocó</w:t>
      </w:r>
      <w:r w:rsidR="00627AAC" w:rsidRPr="00A10EEE">
        <w:rPr>
          <w:rFonts w:asciiTheme="majorHAnsi" w:hAnsiTheme="majorHAnsi"/>
          <w:color w:val="000000" w:themeColor="text1"/>
          <w:sz w:val="20"/>
          <w:szCs w:val="20"/>
          <w:lang w:val="es-VE"/>
        </w:rPr>
        <w:t xml:space="preserve"> su visa</w:t>
      </w:r>
      <w:r w:rsidR="00E966D8" w:rsidRPr="00A10EEE">
        <w:rPr>
          <w:rFonts w:asciiTheme="majorHAnsi" w:hAnsiTheme="majorHAnsi"/>
          <w:color w:val="000000" w:themeColor="text1"/>
          <w:sz w:val="20"/>
          <w:szCs w:val="20"/>
          <w:lang w:val="es-VE"/>
        </w:rPr>
        <w:t xml:space="preserve">. </w:t>
      </w:r>
      <w:r w:rsidR="004453E3" w:rsidRPr="00A10EEE">
        <w:rPr>
          <w:rFonts w:asciiTheme="majorHAnsi" w:hAnsiTheme="majorHAnsi"/>
          <w:color w:val="000000" w:themeColor="text1"/>
          <w:sz w:val="20"/>
          <w:szCs w:val="20"/>
          <w:lang w:val="es-VE"/>
        </w:rPr>
        <w:t xml:space="preserve">Igualmente, señala que para la </w:t>
      </w:r>
      <w:r w:rsidR="00302262" w:rsidRPr="00A10EEE">
        <w:rPr>
          <w:rFonts w:asciiTheme="majorHAnsi" w:hAnsiTheme="majorHAnsi"/>
          <w:color w:val="000000" w:themeColor="text1"/>
          <w:sz w:val="20"/>
          <w:szCs w:val="20"/>
          <w:lang w:val="es-VE"/>
        </w:rPr>
        <w:t>época de los hechos,</w:t>
      </w:r>
      <w:r w:rsidR="004453E3" w:rsidRPr="00A10EEE">
        <w:rPr>
          <w:rFonts w:asciiTheme="majorHAnsi" w:hAnsiTheme="majorHAnsi"/>
          <w:color w:val="000000" w:themeColor="text1"/>
          <w:sz w:val="20"/>
          <w:szCs w:val="20"/>
          <w:lang w:val="es-VE"/>
        </w:rPr>
        <w:t xml:space="preserve"> de conformidad con el artículo 30 de la Ley de Migración, el fallo del Intendente General de Policía que dispusiera la orden de deportación no era susceptible de recurso administrativo o judicial, y aunque en 2005 dicho artículo fue modificado</w:t>
      </w:r>
      <w:r w:rsidR="00B7243B" w:rsidRPr="00A10EEE">
        <w:rPr>
          <w:rFonts w:asciiTheme="majorHAnsi" w:hAnsiTheme="majorHAnsi"/>
          <w:color w:val="000000" w:themeColor="text1"/>
          <w:sz w:val="20"/>
          <w:szCs w:val="20"/>
          <w:lang w:val="es-VE"/>
        </w:rPr>
        <w:t>, el</w:t>
      </w:r>
      <w:r w:rsidR="004453E3" w:rsidRPr="00A10EEE">
        <w:rPr>
          <w:rFonts w:asciiTheme="majorHAnsi" w:hAnsiTheme="majorHAnsi"/>
          <w:color w:val="000000" w:themeColor="text1"/>
          <w:sz w:val="20"/>
          <w:szCs w:val="20"/>
          <w:lang w:val="es-VE"/>
        </w:rPr>
        <w:t xml:space="preserve"> señor Sahih no contó con </w:t>
      </w:r>
      <w:r w:rsidR="00B7243B" w:rsidRPr="00A10EEE">
        <w:rPr>
          <w:rFonts w:asciiTheme="majorHAnsi" w:hAnsiTheme="majorHAnsi"/>
          <w:color w:val="000000" w:themeColor="text1"/>
          <w:sz w:val="20"/>
          <w:szCs w:val="20"/>
          <w:lang w:val="es-VE"/>
        </w:rPr>
        <w:t xml:space="preserve">dicho </w:t>
      </w:r>
      <w:r w:rsidR="004453E3" w:rsidRPr="00A10EEE">
        <w:rPr>
          <w:rFonts w:asciiTheme="majorHAnsi" w:hAnsiTheme="majorHAnsi"/>
          <w:color w:val="000000" w:themeColor="text1"/>
          <w:sz w:val="20"/>
          <w:szCs w:val="20"/>
          <w:lang w:val="es-VE"/>
        </w:rPr>
        <w:t>recurso</w:t>
      </w:r>
      <w:r w:rsidR="00B7243B" w:rsidRPr="00A10EEE">
        <w:rPr>
          <w:rFonts w:asciiTheme="majorHAnsi" w:hAnsiTheme="majorHAnsi"/>
          <w:color w:val="000000" w:themeColor="text1"/>
          <w:sz w:val="20"/>
          <w:szCs w:val="20"/>
          <w:lang w:val="es-VE"/>
        </w:rPr>
        <w:t xml:space="preserve">. </w:t>
      </w:r>
      <w:r w:rsidR="00E966D8" w:rsidRPr="00A10EEE">
        <w:rPr>
          <w:rFonts w:asciiTheme="majorHAnsi" w:hAnsiTheme="majorHAnsi"/>
          <w:color w:val="000000" w:themeColor="text1"/>
          <w:sz w:val="20"/>
          <w:szCs w:val="20"/>
          <w:lang w:val="es-VE"/>
        </w:rPr>
        <w:t xml:space="preserve">Señala que existe una deficiencia de orden legislativo </w:t>
      </w:r>
      <w:r w:rsidR="008B275E" w:rsidRPr="00A10EEE">
        <w:rPr>
          <w:rFonts w:asciiTheme="majorHAnsi" w:hAnsiTheme="majorHAnsi"/>
          <w:color w:val="000000" w:themeColor="text1"/>
          <w:sz w:val="20"/>
          <w:szCs w:val="20"/>
          <w:lang w:val="es-VE"/>
        </w:rPr>
        <w:t>porque las</w:t>
      </w:r>
      <w:r w:rsidR="00E966D8" w:rsidRPr="00A10EEE">
        <w:rPr>
          <w:rFonts w:asciiTheme="majorHAnsi" w:hAnsiTheme="majorHAnsi"/>
          <w:color w:val="000000" w:themeColor="text1"/>
          <w:sz w:val="20"/>
          <w:szCs w:val="20"/>
          <w:lang w:val="es-VE"/>
        </w:rPr>
        <w:t xml:space="preserve"> leyes migratorias</w:t>
      </w:r>
      <w:r w:rsidR="008B275E" w:rsidRPr="00A10EEE">
        <w:rPr>
          <w:rFonts w:asciiTheme="majorHAnsi" w:hAnsiTheme="majorHAnsi"/>
          <w:color w:val="000000" w:themeColor="text1"/>
          <w:sz w:val="20"/>
          <w:szCs w:val="20"/>
          <w:lang w:val="es-VE"/>
        </w:rPr>
        <w:t xml:space="preserve"> no otorgan </w:t>
      </w:r>
      <w:r w:rsidR="003B487D" w:rsidRPr="00A10EEE">
        <w:rPr>
          <w:rFonts w:asciiTheme="majorHAnsi" w:hAnsiTheme="majorHAnsi"/>
          <w:color w:val="000000" w:themeColor="text1"/>
          <w:sz w:val="20"/>
          <w:szCs w:val="20"/>
          <w:lang w:val="es-VE"/>
        </w:rPr>
        <w:t>las garantías mínimas del artículo 8 de la Convención</w:t>
      </w:r>
      <w:r w:rsidR="008B275E" w:rsidRPr="00A10EEE">
        <w:rPr>
          <w:rFonts w:asciiTheme="majorHAnsi" w:hAnsiTheme="majorHAnsi"/>
          <w:color w:val="000000" w:themeColor="text1"/>
          <w:sz w:val="20"/>
          <w:szCs w:val="20"/>
          <w:lang w:val="es-VE"/>
        </w:rPr>
        <w:t xml:space="preserve"> en el trámite administrativo de revocatoria de visa</w:t>
      </w:r>
      <w:r w:rsidR="00627AAC" w:rsidRPr="00A10EEE">
        <w:rPr>
          <w:rFonts w:asciiTheme="majorHAnsi" w:hAnsiTheme="majorHAnsi"/>
          <w:color w:val="000000" w:themeColor="text1"/>
          <w:sz w:val="20"/>
          <w:szCs w:val="20"/>
          <w:lang w:val="es-VE"/>
        </w:rPr>
        <w:t>.</w:t>
      </w:r>
      <w:r w:rsidR="003B487D" w:rsidRPr="00A10EEE">
        <w:rPr>
          <w:rFonts w:asciiTheme="majorHAnsi" w:hAnsiTheme="majorHAnsi"/>
          <w:color w:val="000000" w:themeColor="text1"/>
          <w:sz w:val="20"/>
          <w:szCs w:val="20"/>
          <w:lang w:val="es-VE"/>
        </w:rPr>
        <w:t xml:space="preserve"> </w:t>
      </w:r>
      <w:r w:rsidR="00B7243B" w:rsidRPr="00A10EEE">
        <w:rPr>
          <w:rFonts w:asciiTheme="majorHAnsi" w:hAnsiTheme="majorHAnsi"/>
          <w:color w:val="000000" w:themeColor="text1"/>
          <w:sz w:val="20"/>
          <w:szCs w:val="20"/>
          <w:lang w:val="es-VE"/>
        </w:rPr>
        <w:t>D</w:t>
      </w:r>
      <w:r w:rsidR="00F72110" w:rsidRPr="00A10EEE">
        <w:rPr>
          <w:rFonts w:asciiTheme="majorHAnsi" w:hAnsiTheme="majorHAnsi"/>
          <w:color w:val="000000" w:themeColor="text1"/>
          <w:sz w:val="20"/>
          <w:szCs w:val="20"/>
          <w:lang w:val="es-VE"/>
        </w:rPr>
        <w:t>estaca que de conformidad con el artículo 30 de la Ley de Migración, el fallo del Intendente General de Policía que dispusiera la orden de deportación no era susceptible de recurso administrativo o judicial, y aunque en 2005 dicho artículo fue modificado disponiendo que la orden de deportación sería suceptible de ser impuganda, en el caso del señor Sahih, aquel no contó con recurso contra la decisión administrativa que revocó su visa pues la decisión de 2001 no era impugnable.</w:t>
      </w:r>
    </w:p>
    <w:p w14:paraId="1246F476" w14:textId="77777777" w:rsidR="001A63F5" w:rsidRPr="00A10EEE" w:rsidRDefault="001A63F5" w:rsidP="00D81C50">
      <w:pPr>
        <w:tabs>
          <w:tab w:val="left" w:pos="360"/>
        </w:tabs>
        <w:jc w:val="both"/>
        <w:rPr>
          <w:rFonts w:asciiTheme="majorHAnsi" w:hAnsiTheme="majorHAnsi"/>
          <w:color w:val="000000" w:themeColor="text1"/>
          <w:sz w:val="20"/>
          <w:szCs w:val="20"/>
          <w:lang w:val="es-VE"/>
        </w:rPr>
      </w:pPr>
    </w:p>
    <w:p w14:paraId="471D0C30" w14:textId="77777777" w:rsidR="001A63F5" w:rsidRPr="00A10EEE" w:rsidRDefault="006610CA" w:rsidP="00D81C50">
      <w:pPr>
        <w:numPr>
          <w:ilvl w:val="0"/>
          <w:numId w:val="55"/>
        </w:numPr>
        <w:tabs>
          <w:tab w:val="left" w:pos="360"/>
        </w:tabs>
        <w:ind w:left="0" w:firstLine="0"/>
        <w:jc w:val="both"/>
        <w:rPr>
          <w:rFonts w:asciiTheme="majorHAnsi" w:hAnsiTheme="majorHAnsi"/>
          <w:color w:val="000000" w:themeColor="text1"/>
          <w:sz w:val="20"/>
          <w:szCs w:val="20"/>
          <w:lang w:val="es-VE"/>
        </w:rPr>
      </w:pPr>
      <w:r w:rsidRPr="00A10EEE">
        <w:rPr>
          <w:rFonts w:asciiTheme="majorHAnsi" w:hAnsiTheme="majorHAnsi"/>
          <w:color w:val="000000" w:themeColor="text1"/>
          <w:sz w:val="20"/>
          <w:szCs w:val="20"/>
          <w:lang w:val="es-VE"/>
        </w:rPr>
        <w:t xml:space="preserve">Considera también que </w:t>
      </w:r>
      <w:r w:rsidR="004364F6" w:rsidRPr="00A10EEE">
        <w:rPr>
          <w:rFonts w:asciiTheme="majorHAnsi" w:hAnsiTheme="majorHAnsi"/>
          <w:color w:val="000000" w:themeColor="text1"/>
          <w:sz w:val="20"/>
          <w:szCs w:val="20"/>
          <w:lang w:val="es-VE"/>
        </w:rPr>
        <w:t>se desconoció el artículo 8</w:t>
      </w:r>
      <w:r w:rsidR="001C34F5" w:rsidRPr="00A10EEE">
        <w:rPr>
          <w:rFonts w:asciiTheme="majorHAnsi" w:hAnsiTheme="majorHAnsi"/>
          <w:color w:val="000000" w:themeColor="text1"/>
          <w:sz w:val="20"/>
          <w:szCs w:val="20"/>
          <w:lang w:val="es-VE"/>
        </w:rPr>
        <w:t xml:space="preserve"> de la Convención Americana</w:t>
      </w:r>
      <w:r w:rsidR="004364F6" w:rsidRPr="00A10EEE">
        <w:rPr>
          <w:rFonts w:asciiTheme="majorHAnsi" w:hAnsiTheme="majorHAnsi"/>
          <w:color w:val="000000" w:themeColor="text1"/>
          <w:sz w:val="20"/>
          <w:szCs w:val="20"/>
          <w:lang w:val="es-VE"/>
        </w:rPr>
        <w:t xml:space="preserve">, </w:t>
      </w:r>
      <w:r w:rsidRPr="00A10EEE">
        <w:rPr>
          <w:rFonts w:asciiTheme="majorHAnsi" w:hAnsiTheme="majorHAnsi"/>
          <w:color w:val="000000" w:themeColor="text1"/>
          <w:sz w:val="20"/>
          <w:szCs w:val="20"/>
          <w:lang w:val="es-VE"/>
        </w:rPr>
        <w:t xml:space="preserve">en el sentido de lo dispuesto por el artículo </w:t>
      </w:r>
      <w:r w:rsidR="00494806" w:rsidRPr="00A10EEE">
        <w:rPr>
          <w:rFonts w:asciiTheme="majorHAnsi" w:hAnsiTheme="majorHAnsi"/>
          <w:color w:val="000000" w:themeColor="text1"/>
          <w:sz w:val="20"/>
          <w:szCs w:val="20"/>
          <w:lang w:val="es-VE"/>
        </w:rPr>
        <w:t>36 de la Convenció</w:t>
      </w:r>
      <w:r w:rsidR="004364F6" w:rsidRPr="00A10EEE">
        <w:rPr>
          <w:rFonts w:asciiTheme="majorHAnsi" w:hAnsiTheme="majorHAnsi"/>
          <w:color w:val="000000" w:themeColor="text1"/>
          <w:sz w:val="20"/>
          <w:szCs w:val="20"/>
          <w:lang w:val="es-VE"/>
        </w:rPr>
        <w:t>n de Viena y</w:t>
      </w:r>
      <w:r w:rsidR="00494806" w:rsidRPr="00A10EEE">
        <w:rPr>
          <w:rFonts w:asciiTheme="majorHAnsi" w:hAnsiTheme="majorHAnsi"/>
          <w:color w:val="000000" w:themeColor="text1"/>
          <w:sz w:val="20"/>
          <w:szCs w:val="20"/>
          <w:lang w:val="es-VE"/>
        </w:rPr>
        <w:t xml:space="preserve"> la Opinión Consultiva OC-16/99 sobre </w:t>
      </w:r>
      <w:r w:rsidR="001C34F5" w:rsidRPr="00A10EEE">
        <w:rPr>
          <w:rFonts w:asciiTheme="majorHAnsi" w:hAnsiTheme="majorHAnsi"/>
          <w:color w:val="000000" w:themeColor="text1"/>
          <w:sz w:val="20"/>
          <w:szCs w:val="20"/>
          <w:lang w:val="es-VE"/>
        </w:rPr>
        <w:t xml:space="preserve">el </w:t>
      </w:r>
      <w:r w:rsidR="00DC3E10" w:rsidRPr="00A10EEE">
        <w:rPr>
          <w:rFonts w:asciiTheme="majorHAnsi" w:hAnsiTheme="majorHAnsi"/>
          <w:color w:val="000000" w:themeColor="text1"/>
          <w:sz w:val="20"/>
          <w:szCs w:val="20"/>
          <w:lang w:val="es-VE"/>
        </w:rPr>
        <w:t xml:space="preserve">derecho a la información </w:t>
      </w:r>
      <w:r w:rsidR="001A4946" w:rsidRPr="00A10EEE">
        <w:rPr>
          <w:rFonts w:asciiTheme="majorHAnsi" w:hAnsiTheme="majorHAnsi"/>
          <w:color w:val="000000" w:themeColor="text1"/>
          <w:sz w:val="20"/>
          <w:szCs w:val="20"/>
          <w:lang w:val="es-VE"/>
        </w:rPr>
        <w:t>y</w:t>
      </w:r>
      <w:r w:rsidR="00DC3E10" w:rsidRPr="00A10EEE">
        <w:rPr>
          <w:rFonts w:asciiTheme="majorHAnsi" w:hAnsiTheme="majorHAnsi"/>
          <w:color w:val="000000" w:themeColor="text1"/>
          <w:sz w:val="20"/>
          <w:szCs w:val="20"/>
          <w:lang w:val="es-VE"/>
        </w:rPr>
        <w:t xml:space="preserve"> </w:t>
      </w:r>
      <w:r w:rsidR="00DD5319" w:rsidRPr="00A10EEE">
        <w:rPr>
          <w:rFonts w:asciiTheme="majorHAnsi" w:hAnsiTheme="majorHAnsi"/>
          <w:color w:val="000000" w:themeColor="text1"/>
          <w:sz w:val="20"/>
          <w:szCs w:val="20"/>
          <w:lang w:val="es-VE"/>
        </w:rPr>
        <w:t>asistencia consular</w:t>
      </w:r>
      <w:r w:rsidR="007F253A" w:rsidRPr="00A10EEE">
        <w:rPr>
          <w:rFonts w:asciiTheme="majorHAnsi" w:hAnsiTheme="majorHAnsi"/>
          <w:color w:val="000000" w:themeColor="text1"/>
          <w:sz w:val="20"/>
          <w:szCs w:val="20"/>
          <w:lang w:val="es-VE"/>
        </w:rPr>
        <w:t xml:space="preserve">, </w:t>
      </w:r>
      <w:r w:rsidR="001C34F5" w:rsidRPr="00A10EEE">
        <w:rPr>
          <w:rFonts w:asciiTheme="majorHAnsi" w:hAnsiTheme="majorHAnsi"/>
          <w:color w:val="000000" w:themeColor="text1"/>
          <w:sz w:val="20"/>
          <w:szCs w:val="20"/>
          <w:lang w:val="es-VE"/>
        </w:rPr>
        <w:t xml:space="preserve">pues </w:t>
      </w:r>
      <w:r w:rsidR="007F253A" w:rsidRPr="00A10EEE">
        <w:rPr>
          <w:rFonts w:asciiTheme="majorHAnsi" w:hAnsiTheme="majorHAnsi"/>
          <w:color w:val="000000" w:themeColor="text1"/>
          <w:sz w:val="20"/>
          <w:szCs w:val="20"/>
          <w:lang w:val="es-VE"/>
        </w:rPr>
        <w:t>las autoridades del Estado de Ecuador debieron notificar al cónsul del Líbano sobre la detención del señor Sahih. No obstante, indica la parte peticionaria que el cónsul del Líbano no recibió información por parte del Estado</w:t>
      </w:r>
      <w:r w:rsidR="001A63F5" w:rsidRPr="00A10EEE">
        <w:rPr>
          <w:rFonts w:asciiTheme="majorHAnsi" w:hAnsiTheme="majorHAnsi"/>
          <w:color w:val="000000" w:themeColor="text1"/>
          <w:sz w:val="20"/>
          <w:szCs w:val="20"/>
          <w:lang w:val="es-VE"/>
        </w:rPr>
        <w:t xml:space="preserve">, sí la obtuvo por una fuente extra-oficial, razón por la que se comunicó con el Defensor Local Adjunto del Litoral y Galápagos </w:t>
      </w:r>
      <w:r w:rsidR="001C34F5" w:rsidRPr="00A10EEE">
        <w:rPr>
          <w:rFonts w:asciiTheme="majorHAnsi" w:hAnsiTheme="majorHAnsi"/>
          <w:color w:val="000000" w:themeColor="text1"/>
          <w:sz w:val="20"/>
          <w:szCs w:val="20"/>
          <w:lang w:val="es-VE"/>
        </w:rPr>
        <w:t xml:space="preserve">para gestionar la </w:t>
      </w:r>
      <w:r w:rsidR="001A63F5" w:rsidRPr="00A10EEE">
        <w:rPr>
          <w:rFonts w:asciiTheme="majorHAnsi" w:hAnsiTheme="majorHAnsi"/>
          <w:color w:val="000000" w:themeColor="text1"/>
          <w:sz w:val="20"/>
          <w:szCs w:val="20"/>
          <w:lang w:val="es-VE"/>
        </w:rPr>
        <w:t>libertad del señor Sahih.</w:t>
      </w:r>
    </w:p>
    <w:p w14:paraId="4069658E" w14:textId="77777777" w:rsidR="00A043CF" w:rsidRPr="00A10EEE" w:rsidRDefault="00A043CF" w:rsidP="00D81C50">
      <w:pPr>
        <w:tabs>
          <w:tab w:val="left" w:pos="360"/>
        </w:tabs>
        <w:jc w:val="both"/>
        <w:rPr>
          <w:rFonts w:asciiTheme="majorHAnsi" w:hAnsiTheme="majorHAnsi"/>
          <w:color w:val="000000" w:themeColor="text1"/>
          <w:sz w:val="20"/>
          <w:szCs w:val="20"/>
          <w:lang w:val="es-VE"/>
        </w:rPr>
      </w:pPr>
    </w:p>
    <w:p w14:paraId="2669C371" w14:textId="77777777" w:rsidR="00FD3279" w:rsidRPr="00A10EEE" w:rsidRDefault="00A043CF" w:rsidP="00D81C50">
      <w:pPr>
        <w:numPr>
          <w:ilvl w:val="0"/>
          <w:numId w:val="55"/>
        </w:numPr>
        <w:tabs>
          <w:tab w:val="left" w:pos="360"/>
        </w:tabs>
        <w:ind w:left="0" w:firstLine="0"/>
        <w:jc w:val="both"/>
        <w:rPr>
          <w:rFonts w:asciiTheme="majorHAnsi" w:hAnsiTheme="majorHAnsi"/>
          <w:color w:val="000000" w:themeColor="text1"/>
          <w:sz w:val="20"/>
          <w:szCs w:val="20"/>
          <w:lang w:val="es-VE"/>
        </w:rPr>
      </w:pPr>
      <w:r w:rsidRPr="00A10EEE">
        <w:rPr>
          <w:rFonts w:asciiTheme="majorHAnsi" w:hAnsiTheme="majorHAnsi"/>
          <w:color w:val="000000" w:themeColor="text1"/>
          <w:sz w:val="20"/>
          <w:szCs w:val="20"/>
          <w:lang w:val="es-VE"/>
        </w:rPr>
        <w:t xml:space="preserve">En relación con el artículo 2 de la Convención, señala que </w:t>
      </w:r>
      <w:r w:rsidR="004364F6" w:rsidRPr="00A10EEE">
        <w:rPr>
          <w:rFonts w:asciiTheme="majorHAnsi" w:hAnsiTheme="majorHAnsi"/>
          <w:color w:val="000000" w:themeColor="text1"/>
          <w:sz w:val="20"/>
          <w:szCs w:val="20"/>
          <w:lang w:val="es-VE"/>
        </w:rPr>
        <w:t>la</w:t>
      </w:r>
      <w:r w:rsidR="00BC1C89" w:rsidRPr="00A10EEE">
        <w:rPr>
          <w:rFonts w:asciiTheme="majorHAnsi" w:hAnsiTheme="majorHAnsi"/>
          <w:color w:val="000000" w:themeColor="text1"/>
          <w:sz w:val="20"/>
          <w:szCs w:val="20"/>
          <w:lang w:val="es-VE"/>
        </w:rPr>
        <w:t xml:space="preserve"> Ley de Extranjería y la Ley de Migración</w:t>
      </w:r>
      <w:r w:rsidR="001C34F5" w:rsidRPr="00A10EEE">
        <w:rPr>
          <w:rFonts w:asciiTheme="majorHAnsi" w:hAnsiTheme="majorHAnsi"/>
          <w:color w:val="000000" w:themeColor="text1"/>
          <w:sz w:val="20"/>
          <w:szCs w:val="20"/>
          <w:lang w:val="es-VE"/>
        </w:rPr>
        <w:t xml:space="preserve"> no se adecuan a </w:t>
      </w:r>
      <w:r w:rsidR="00BC1C89" w:rsidRPr="00A10EEE">
        <w:rPr>
          <w:rFonts w:asciiTheme="majorHAnsi" w:hAnsiTheme="majorHAnsi"/>
          <w:color w:val="000000" w:themeColor="text1"/>
          <w:sz w:val="20"/>
          <w:szCs w:val="20"/>
          <w:lang w:val="es-VE"/>
        </w:rPr>
        <w:t xml:space="preserve">los estándares </w:t>
      </w:r>
      <w:r w:rsidR="00E61913" w:rsidRPr="00A10EEE">
        <w:rPr>
          <w:rFonts w:asciiTheme="majorHAnsi" w:hAnsiTheme="majorHAnsi"/>
          <w:color w:val="000000" w:themeColor="text1"/>
          <w:sz w:val="20"/>
          <w:szCs w:val="20"/>
          <w:lang w:val="es-VE"/>
        </w:rPr>
        <w:t xml:space="preserve">interamericanos para hacer efectivos los derechos y libertades de la Convención Americana, ratificada por el Estado de Ecuador el 28 de diciembre de 1977. </w:t>
      </w:r>
      <w:r w:rsidR="00A06B62" w:rsidRPr="00A10EEE">
        <w:rPr>
          <w:rFonts w:asciiTheme="majorHAnsi" w:hAnsiTheme="majorHAnsi"/>
          <w:color w:val="000000" w:themeColor="text1"/>
          <w:sz w:val="20"/>
          <w:szCs w:val="20"/>
          <w:lang w:val="es-VE"/>
        </w:rPr>
        <w:t xml:space="preserve">Destaca que el artículo 7 de la Ley de Extranjería dispone que el </w:t>
      </w:r>
      <w:r w:rsidR="007F7483" w:rsidRPr="00A10EEE">
        <w:rPr>
          <w:rFonts w:asciiTheme="majorHAnsi" w:hAnsiTheme="majorHAnsi"/>
          <w:color w:val="000000" w:themeColor="text1"/>
          <w:sz w:val="20"/>
          <w:szCs w:val="20"/>
          <w:lang w:val="es-VE"/>
        </w:rPr>
        <w:t>Consejo Consultivo de Política Migratoria tiene la facultad soberana y discrecional de revocar visas</w:t>
      </w:r>
      <w:r w:rsidR="00975075" w:rsidRPr="00A10EEE">
        <w:rPr>
          <w:rFonts w:asciiTheme="majorHAnsi" w:hAnsiTheme="majorHAnsi"/>
          <w:color w:val="000000" w:themeColor="text1"/>
          <w:sz w:val="20"/>
          <w:szCs w:val="20"/>
          <w:lang w:val="es-VE"/>
        </w:rPr>
        <w:t xml:space="preserve">, lo cual estima violatorio del </w:t>
      </w:r>
      <w:r w:rsidR="006D3180" w:rsidRPr="00A10EEE">
        <w:rPr>
          <w:rFonts w:asciiTheme="majorHAnsi" w:hAnsiTheme="majorHAnsi"/>
          <w:color w:val="000000" w:themeColor="text1"/>
          <w:sz w:val="20"/>
          <w:szCs w:val="20"/>
          <w:lang w:val="es-VE"/>
        </w:rPr>
        <w:t>derecho a la libertad de circulación y residencia porque no se ajusta a los términos de las restricciones que contempla la Convención en</w:t>
      </w:r>
      <w:r w:rsidR="00DF1FFE" w:rsidRPr="00A10EEE">
        <w:rPr>
          <w:rFonts w:asciiTheme="majorHAnsi" w:hAnsiTheme="majorHAnsi"/>
          <w:color w:val="000000" w:themeColor="text1"/>
          <w:sz w:val="20"/>
          <w:szCs w:val="20"/>
          <w:lang w:val="es-VE"/>
        </w:rPr>
        <w:t xml:space="preserve"> </w:t>
      </w:r>
      <w:r w:rsidR="0046344A" w:rsidRPr="00A10EEE">
        <w:rPr>
          <w:rFonts w:asciiTheme="majorHAnsi" w:hAnsiTheme="majorHAnsi"/>
          <w:color w:val="000000" w:themeColor="text1"/>
          <w:sz w:val="20"/>
          <w:szCs w:val="20"/>
          <w:lang w:val="es-VE"/>
        </w:rPr>
        <w:t>l</w:t>
      </w:r>
      <w:r w:rsidR="00DF1FFE" w:rsidRPr="00A10EEE">
        <w:rPr>
          <w:rFonts w:asciiTheme="majorHAnsi" w:hAnsiTheme="majorHAnsi"/>
          <w:color w:val="000000" w:themeColor="text1"/>
          <w:sz w:val="20"/>
          <w:szCs w:val="20"/>
          <w:lang w:val="es-VE"/>
        </w:rPr>
        <w:t>os</w:t>
      </w:r>
      <w:r w:rsidR="0046344A" w:rsidRPr="00A10EEE">
        <w:rPr>
          <w:rFonts w:asciiTheme="majorHAnsi" w:hAnsiTheme="majorHAnsi"/>
          <w:color w:val="000000" w:themeColor="text1"/>
          <w:sz w:val="20"/>
          <w:szCs w:val="20"/>
          <w:lang w:val="es-VE"/>
        </w:rPr>
        <w:t xml:space="preserve"> artículo</w:t>
      </w:r>
      <w:r w:rsidR="00FA56F4" w:rsidRPr="00A10EEE">
        <w:rPr>
          <w:rFonts w:asciiTheme="majorHAnsi" w:hAnsiTheme="majorHAnsi"/>
          <w:color w:val="000000" w:themeColor="text1"/>
          <w:sz w:val="20"/>
          <w:szCs w:val="20"/>
          <w:lang w:val="es-VE"/>
        </w:rPr>
        <w:t>s</w:t>
      </w:r>
      <w:r w:rsidR="0046344A" w:rsidRPr="00A10EEE">
        <w:rPr>
          <w:rFonts w:asciiTheme="majorHAnsi" w:hAnsiTheme="majorHAnsi"/>
          <w:color w:val="000000" w:themeColor="text1"/>
          <w:sz w:val="20"/>
          <w:szCs w:val="20"/>
          <w:lang w:val="es-VE"/>
        </w:rPr>
        <w:t xml:space="preserve"> 22.3</w:t>
      </w:r>
      <w:r w:rsidR="00DF1FFE" w:rsidRPr="00A10EEE">
        <w:rPr>
          <w:rFonts w:asciiTheme="majorHAnsi" w:hAnsiTheme="majorHAnsi"/>
          <w:color w:val="000000" w:themeColor="text1"/>
          <w:sz w:val="20"/>
          <w:szCs w:val="20"/>
          <w:lang w:val="es-VE"/>
        </w:rPr>
        <w:t xml:space="preserve"> y </w:t>
      </w:r>
      <w:r w:rsidR="00F65CC4" w:rsidRPr="00A10EEE">
        <w:rPr>
          <w:rFonts w:asciiTheme="majorHAnsi" w:hAnsiTheme="majorHAnsi"/>
          <w:color w:val="000000" w:themeColor="text1"/>
          <w:sz w:val="20"/>
          <w:szCs w:val="20"/>
          <w:lang w:val="es-VE"/>
        </w:rPr>
        <w:t>22.6</w:t>
      </w:r>
      <w:r w:rsidR="0046344A" w:rsidRPr="00A10EEE">
        <w:rPr>
          <w:rFonts w:asciiTheme="majorHAnsi" w:hAnsiTheme="majorHAnsi"/>
          <w:color w:val="000000" w:themeColor="text1"/>
          <w:sz w:val="20"/>
          <w:szCs w:val="20"/>
          <w:lang w:val="es-VE"/>
        </w:rPr>
        <w:t xml:space="preserve"> de la Convenció</w:t>
      </w:r>
      <w:r w:rsidR="00A21A1D" w:rsidRPr="00A10EEE">
        <w:rPr>
          <w:rFonts w:asciiTheme="majorHAnsi" w:hAnsiTheme="majorHAnsi"/>
          <w:color w:val="000000" w:themeColor="text1"/>
          <w:sz w:val="20"/>
          <w:szCs w:val="20"/>
          <w:lang w:val="es-VE"/>
        </w:rPr>
        <w:t>n</w:t>
      </w:r>
      <w:r w:rsidR="00DF1FFE" w:rsidRPr="00A10EEE">
        <w:rPr>
          <w:rFonts w:asciiTheme="majorHAnsi" w:hAnsiTheme="majorHAnsi"/>
          <w:color w:val="000000" w:themeColor="text1"/>
          <w:sz w:val="20"/>
          <w:szCs w:val="20"/>
          <w:lang w:val="es-VE"/>
        </w:rPr>
        <w:t xml:space="preserve">. </w:t>
      </w:r>
      <w:r w:rsidR="001A1ABC" w:rsidRPr="00A10EEE">
        <w:rPr>
          <w:rFonts w:asciiTheme="majorHAnsi" w:hAnsiTheme="majorHAnsi"/>
          <w:color w:val="000000" w:themeColor="text1"/>
          <w:sz w:val="20"/>
          <w:szCs w:val="20"/>
          <w:lang w:val="es-VE"/>
        </w:rPr>
        <w:t xml:space="preserve">Destaca que las restricciones normativas aplicadas en el caso concreto fueron </w:t>
      </w:r>
      <w:r w:rsidR="008F78B7" w:rsidRPr="00A10EEE">
        <w:rPr>
          <w:rFonts w:asciiTheme="majorHAnsi" w:hAnsiTheme="majorHAnsi"/>
          <w:color w:val="000000" w:themeColor="text1"/>
          <w:sz w:val="20"/>
          <w:szCs w:val="20"/>
          <w:lang w:val="es-VE"/>
        </w:rPr>
        <w:t xml:space="preserve">emitidas por Decretos del Presidente José María Velasco </w:t>
      </w:r>
      <w:r w:rsidR="00882525" w:rsidRPr="00A10EEE">
        <w:rPr>
          <w:rFonts w:asciiTheme="majorHAnsi" w:hAnsiTheme="majorHAnsi"/>
          <w:color w:val="000000" w:themeColor="text1"/>
          <w:sz w:val="20"/>
          <w:szCs w:val="20"/>
          <w:lang w:val="es-VE"/>
        </w:rPr>
        <w:t xml:space="preserve">Ibarra, por lo tanto no fueron elaboradas por un órgano decmoráticamente constituido y no tienen la característica de ley. </w:t>
      </w:r>
      <w:r w:rsidR="00E73201" w:rsidRPr="00A10EEE">
        <w:rPr>
          <w:rFonts w:asciiTheme="majorHAnsi" w:hAnsiTheme="majorHAnsi"/>
          <w:color w:val="000000" w:themeColor="text1"/>
          <w:sz w:val="20"/>
          <w:szCs w:val="20"/>
          <w:lang w:val="es-VE"/>
        </w:rPr>
        <w:t xml:space="preserve">Agrega que aunque las </w:t>
      </w:r>
      <w:r w:rsidR="001C34F5" w:rsidRPr="00A10EEE">
        <w:rPr>
          <w:rFonts w:asciiTheme="majorHAnsi" w:hAnsiTheme="majorHAnsi"/>
          <w:color w:val="000000" w:themeColor="text1"/>
          <w:sz w:val="20"/>
          <w:szCs w:val="20"/>
          <w:lang w:val="es-VE"/>
        </w:rPr>
        <w:t>L</w:t>
      </w:r>
      <w:r w:rsidR="00E73201" w:rsidRPr="00A10EEE">
        <w:rPr>
          <w:rFonts w:asciiTheme="majorHAnsi" w:hAnsiTheme="majorHAnsi"/>
          <w:color w:val="000000" w:themeColor="text1"/>
          <w:sz w:val="20"/>
          <w:szCs w:val="20"/>
          <w:lang w:val="es-VE"/>
        </w:rPr>
        <w:t xml:space="preserve">eyes de Extranjería y Migración fueron codificadas en 2004 y 2005, respectivamente, ello no significa una verdadera reforma pues la Comisión de Legislación y Codificación del Congreso Nacional, es dependiente de la Función Legislativa y no es elegido por votación popular, y no puede reformar la ley. </w:t>
      </w:r>
      <w:r w:rsidR="003111DF" w:rsidRPr="00A10EEE">
        <w:rPr>
          <w:rFonts w:asciiTheme="majorHAnsi" w:hAnsiTheme="majorHAnsi"/>
          <w:color w:val="000000" w:themeColor="text1"/>
          <w:sz w:val="20"/>
          <w:szCs w:val="20"/>
          <w:lang w:val="es-VE"/>
        </w:rPr>
        <w:t>Igualmente, considera que la discrecionalidad que dicha norma otorga a la autoridad admini</w:t>
      </w:r>
      <w:r w:rsidR="00FB3B84" w:rsidRPr="00A10EEE">
        <w:rPr>
          <w:rFonts w:asciiTheme="majorHAnsi" w:hAnsiTheme="majorHAnsi"/>
          <w:color w:val="000000" w:themeColor="text1"/>
          <w:sz w:val="20"/>
          <w:szCs w:val="20"/>
          <w:lang w:val="es-VE"/>
        </w:rPr>
        <w:t>s</w:t>
      </w:r>
      <w:r w:rsidR="003111DF" w:rsidRPr="00A10EEE">
        <w:rPr>
          <w:rFonts w:asciiTheme="majorHAnsi" w:hAnsiTheme="majorHAnsi"/>
          <w:color w:val="000000" w:themeColor="text1"/>
          <w:sz w:val="20"/>
          <w:szCs w:val="20"/>
          <w:lang w:val="es-VE"/>
        </w:rPr>
        <w:t xml:space="preserve">trativa para revocar las visas, también es contraria a los citados artículos. </w:t>
      </w:r>
    </w:p>
    <w:p w14:paraId="427B8B23" w14:textId="77777777" w:rsidR="00981DF1" w:rsidRPr="00A10EEE" w:rsidRDefault="00981DF1" w:rsidP="00D81C50">
      <w:pPr>
        <w:tabs>
          <w:tab w:val="left" w:pos="360"/>
        </w:tabs>
        <w:jc w:val="both"/>
        <w:rPr>
          <w:rFonts w:asciiTheme="majorHAnsi" w:hAnsiTheme="majorHAnsi"/>
          <w:color w:val="000000" w:themeColor="text1"/>
          <w:sz w:val="20"/>
          <w:szCs w:val="20"/>
          <w:lang w:val="es-VE"/>
        </w:rPr>
      </w:pPr>
    </w:p>
    <w:p w14:paraId="18958353" w14:textId="77777777" w:rsidR="00981DF1" w:rsidRPr="00A10EEE" w:rsidRDefault="00981DF1" w:rsidP="00D81C50">
      <w:pPr>
        <w:numPr>
          <w:ilvl w:val="0"/>
          <w:numId w:val="55"/>
        </w:numPr>
        <w:tabs>
          <w:tab w:val="left" w:pos="360"/>
        </w:tabs>
        <w:ind w:left="0" w:firstLine="0"/>
        <w:jc w:val="both"/>
        <w:rPr>
          <w:rFonts w:asciiTheme="majorHAnsi" w:hAnsiTheme="majorHAnsi"/>
          <w:color w:val="000000" w:themeColor="text1"/>
          <w:sz w:val="20"/>
          <w:szCs w:val="20"/>
          <w:lang w:val="es-VE"/>
        </w:rPr>
      </w:pPr>
      <w:r w:rsidRPr="00A10EEE">
        <w:rPr>
          <w:rFonts w:asciiTheme="majorHAnsi" w:hAnsiTheme="majorHAnsi"/>
          <w:color w:val="000000" w:themeColor="text1"/>
          <w:sz w:val="20"/>
          <w:szCs w:val="20"/>
          <w:lang w:val="es-VE"/>
        </w:rPr>
        <w:t>En relación con el artículo 7 de la Convenció</w:t>
      </w:r>
      <w:r w:rsidR="00881EC4" w:rsidRPr="00A10EEE">
        <w:rPr>
          <w:rFonts w:asciiTheme="majorHAnsi" w:hAnsiTheme="majorHAnsi"/>
          <w:color w:val="000000" w:themeColor="text1"/>
          <w:sz w:val="20"/>
          <w:szCs w:val="20"/>
          <w:lang w:val="es-VE"/>
        </w:rPr>
        <w:t xml:space="preserve">n, </w:t>
      </w:r>
      <w:r w:rsidR="00A06E53" w:rsidRPr="00A10EEE">
        <w:rPr>
          <w:rFonts w:asciiTheme="majorHAnsi" w:hAnsiTheme="majorHAnsi"/>
          <w:color w:val="000000" w:themeColor="text1"/>
          <w:sz w:val="20"/>
          <w:szCs w:val="20"/>
          <w:lang w:val="es-VE"/>
        </w:rPr>
        <w:t>señala</w:t>
      </w:r>
      <w:r w:rsidR="00881EC4" w:rsidRPr="00A10EEE">
        <w:rPr>
          <w:rFonts w:asciiTheme="majorHAnsi" w:hAnsiTheme="majorHAnsi"/>
          <w:color w:val="000000" w:themeColor="text1"/>
          <w:sz w:val="20"/>
          <w:szCs w:val="20"/>
          <w:lang w:val="es-VE"/>
        </w:rPr>
        <w:t xml:space="preserve"> que Elías Gattass Sahih fue detenido el 5 de diciembre de 2001 por agentes de la Policí</w:t>
      </w:r>
      <w:r w:rsidR="00DF095A" w:rsidRPr="00A10EEE">
        <w:rPr>
          <w:rFonts w:asciiTheme="majorHAnsi" w:hAnsiTheme="majorHAnsi"/>
          <w:color w:val="000000" w:themeColor="text1"/>
          <w:sz w:val="20"/>
          <w:szCs w:val="20"/>
          <w:lang w:val="es-VE"/>
        </w:rPr>
        <w:t>a, para dar cumplimiento a la resolución del Consejo Consultivo de Política Migratoria</w:t>
      </w:r>
      <w:r w:rsidR="00DB202C" w:rsidRPr="00A10EEE">
        <w:rPr>
          <w:rFonts w:asciiTheme="majorHAnsi" w:hAnsiTheme="majorHAnsi"/>
          <w:color w:val="000000" w:themeColor="text1"/>
          <w:sz w:val="20"/>
          <w:szCs w:val="20"/>
          <w:lang w:val="es-VE"/>
        </w:rPr>
        <w:t xml:space="preserve"> que r</w:t>
      </w:r>
      <w:r w:rsidR="006015A1" w:rsidRPr="00A10EEE">
        <w:rPr>
          <w:rFonts w:asciiTheme="majorHAnsi" w:hAnsiTheme="majorHAnsi"/>
          <w:color w:val="000000" w:themeColor="text1"/>
          <w:sz w:val="20"/>
          <w:szCs w:val="20"/>
          <w:lang w:val="es-VE"/>
        </w:rPr>
        <w:t>e</w:t>
      </w:r>
      <w:r w:rsidR="00DB202C" w:rsidRPr="00A10EEE">
        <w:rPr>
          <w:rFonts w:asciiTheme="majorHAnsi" w:hAnsiTheme="majorHAnsi"/>
          <w:color w:val="000000" w:themeColor="text1"/>
          <w:sz w:val="20"/>
          <w:szCs w:val="20"/>
          <w:lang w:val="es-VE"/>
        </w:rPr>
        <w:t>v</w:t>
      </w:r>
      <w:r w:rsidR="006015A1" w:rsidRPr="00A10EEE">
        <w:rPr>
          <w:rFonts w:asciiTheme="majorHAnsi" w:hAnsiTheme="majorHAnsi"/>
          <w:color w:val="000000" w:themeColor="text1"/>
          <w:sz w:val="20"/>
          <w:szCs w:val="20"/>
          <w:lang w:val="es-VE"/>
        </w:rPr>
        <w:t>o</w:t>
      </w:r>
      <w:r w:rsidR="00DB202C" w:rsidRPr="00A10EEE">
        <w:rPr>
          <w:rFonts w:asciiTheme="majorHAnsi" w:hAnsiTheme="majorHAnsi"/>
          <w:color w:val="000000" w:themeColor="text1"/>
          <w:sz w:val="20"/>
          <w:szCs w:val="20"/>
          <w:lang w:val="es-VE"/>
        </w:rPr>
        <w:t>caba su visa de inmigrante</w:t>
      </w:r>
      <w:r w:rsidR="00DF095A" w:rsidRPr="00A10EEE">
        <w:rPr>
          <w:rFonts w:asciiTheme="majorHAnsi" w:hAnsiTheme="majorHAnsi"/>
          <w:color w:val="000000" w:themeColor="text1"/>
          <w:sz w:val="20"/>
          <w:szCs w:val="20"/>
          <w:lang w:val="es-VE"/>
        </w:rPr>
        <w:t>.</w:t>
      </w:r>
      <w:r w:rsidR="00DB202C" w:rsidRPr="00A10EEE">
        <w:rPr>
          <w:rFonts w:asciiTheme="majorHAnsi" w:hAnsiTheme="majorHAnsi"/>
          <w:color w:val="000000" w:themeColor="text1"/>
          <w:sz w:val="20"/>
          <w:szCs w:val="20"/>
          <w:lang w:val="es-VE"/>
        </w:rPr>
        <w:t xml:space="preserve"> Señala que en</w:t>
      </w:r>
      <w:r w:rsidR="006A28B4" w:rsidRPr="00A10EEE">
        <w:rPr>
          <w:rFonts w:asciiTheme="majorHAnsi" w:hAnsiTheme="majorHAnsi"/>
          <w:color w:val="000000" w:themeColor="text1"/>
          <w:sz w:val="20"/>
          <w:szCs w:val="20"/>
          <w:lang w:val="es-VE"/>
        </w:rPr>
        <w:t xml:space="preserve"> los documentos relacionados con la detención no se hace referencia a la infracción presuntamente cometida por el señor Sahih, por lo que era imposible que los agentes indicaran con claridad al detenido las razones de su privación de libertad. </w:t>
      </w:r>
      <w:r w:rsidR="000B235C" w:rsidRPr="00A10EEE">
        <w:rPr>
          <w:rFonts w:asciiTheme="majorHAnsi" w:hAnsiTheme="majorHAnsi"/>
          <w:color w:val="000000" w:themeColor="text1"/>
          <w:sz w:val="20"/>
          <w:szCs w:val="20"/>
          <w:lang w:val="es-VE"/>
        </w:rPr>
        <w:t>Aduce</w:t>
      </w:r>
      <w:r w:rsidR="002E788D" w:rsidRPr="00A10EEE">
        <w:rPr>
          <w:rFonts w:asciiTheme="majorHAnsi" w:hAnsiTheme="majorHAnsi"/>
          <w:color w:val="000000" w:themeColor="text1"/>
          <w:sz w:val="20"/>
          <w:szCs w:val="20"/>
          <w:lang w:val="es-VE"/>
        </w:rPr>
        <w:t xml:space="preserve"> que aunque en los escritos oficiales se indica que se dijo al señor Sahih cuáles eran sus derechos constitucionales, </w:t>
      </w:r>
      <w:r w:rsidR="006645DF" w:rsidRPr="00A10EEE">
        <w:rPr>
          <w:rFonts w:asciiTheme="majorHAnsi" w:hAnsiTheme="majorHAnsi"/>
          <w:color w:val="000000" w:themeColor="text1"/>
          <w:sz w:val="20"/>
          <w:szCs w:val="20"/>
          <w:lang w:val="es-VE"/>
        </w:rPr>
        <w:t xml:space="preserve">el señor Sahih no podía conocer la información clara sobre las </w:t>
      </w:r>
      <w:r w:rsidR="00254436" w:rsidRPr="00A10EEE">
        <w:rPr>
          <w:rFonts w:asciiTheme="majorHAnsi" w:hAnsiTheme="majorHAnsi"/>
          <w:color w:val="000000" w:themeColor="text1"/>
          <w:sz w:val="20"/>
          <w:szCs w:val="20"/>
          <w:lang w:val="es-VE"/>
        </w:rPr>
        <w:t xml:space="preserve">razones de su detención y la notificación de sus cargos, pues las propias autoridades no la conocían. </w:t>
      </w:r>
      <w:r w:rsidR="002C01D0" w:rsidRPr="00A10EEE">
        <w:rPr>
          <w:rFonts w:asciiTheme="majorHAnsi" w:hAnsiTheme="majorHAnsi"/>
          <w:color w:val="000000" w:themeColor="text1"/>
          <w:sz w:val="20"/>
          <w:szCs w:val="20"/>
          <w:lang w:val="es-VE"/>
        </w:rPr>
        <w:t>En el mismo sentido, considera que al iniciar la acción de deportación el 6 de diciembre de 2001, el Intendente General de Policí</w:t>
      </w:r>
      <w:r w:rsidR="00CF0CCE" w:rsidRPr="00A10EEE">
        <w:rPr>
          <w:rFonts w:asciiTheme="majorHAnsi" w:hAnsiTheme="majorHAnsi"/>
          <w:color w:val="000000" w:themeColor="text1"/>
          <w:sz w:val="20"/>
          <w:szCs w:val="20"/>
          <w:lang w:val="es-VE"/>
        </w:rPr>
        <w:t xml:space="preserve">a de Guayas se fundamentó en el artículo 20 y 23 de la Ley de Migración, sin determinar la infracción cometida por el señor Sahih. </w:t>
      </w:r>
    </w:p>
    <w:p w14:paraId="3ADBD72D" w14:textId="77777777" w:rsidR="00EC2D45" w:rsidRPr="00A10EEE" w:rsidRDefault="00EC2D45" w:rsidP="00D81C50">
      <w:pPr>
        <w:tabs>
          <w:tab w:val="left" w:pos="360"/>
        </w:tabs>
        <w:jc w:val="both"/>
        <w:rPr>
          <w:rFonts w:asciiTheme="majorHAnsi" w:hAnsiTheme="majorHAnsi"/>
          <w:color w:val="000000" w:themeColor="text1"/>
          <w:sz w:val="20"/>
          <w:szCs w:val="20"/>
          <w:lang w:val="es-VE"/>
        </w:rPr>
      </w:pPr>
    </w:p>
    <w:p w14:paraId="1EDAB2E4" w14:textId="77777777" w:rsidR="007147D3" w:rsidRPr="00A10EEE" w:rsidRDefault="00EC2D45" w:rsidP="00D81C50">
      <w:pPr>
        <w:numPr>
          <w:ilvl w:val="0"/>
          <w:numId w:val="55"/>
        </w:numPr>
        <w:tabs>
          <w:tab w:val="left" w:pos="360"/>
        </w:tabs>
        <w:ind w:left="0" w:firstLine="0"/>
        <w:jc w:val="both"/>
        <w:rPr>
          <w:rFonts w:asciiTheme="majorHAnsi" w:hAnsiTheme="majorHAnsi"/>
          <w:color w:val="000000" w:themeColor="text1"/>
          <w:sz w:val="20"/>
          <w:szCs w:val="20"/>
          <w:lang w:val="es-VE"/>
        </w:rPr>
      </w:pPr>
      <w:r w:rsidRPr="00A10EEE">
        <w:rPr>
          <w:rFonts w:asciiTheme="majorHAnsi" w:hAnsiTheme="majorHAnsi"/>
          <w:color w:val="000000" w:themeColor="text1"/>
          <w:sz w:val="20"/>
          <w:szCs w:val="20"/>
          <w:lang w:val="es-VE"/>
        </w:rPr>
        <w:t>Con respecto al artículo 25 de la Co</w:t>
      </w:r>
      <w:r w:rsidR="003D4367" w:rsidRPr="00A10EEE">
        <w:rPr>
          <w:rFonts w:asciiTheme="majorHAnsi" w:hAnsiTheme="majorHAnsi"/>
          <w:color w:val="000000" w:themeColor="text1"/>
          <w:sz w:val="20"/>
          <w:szCs w:val="20"/>
          <w:lang w:val="es-VE"/>
        </w:rPr>
        <w:t>nvención Americana, estima que é</w:t>
      </w:r>
      <w:r w:rsidRPr="00A10EEE">
        <w:rPr>
          <w:rFonts w:asciiTheme="majorHAnsi" w:hAnsiTheme="majorHAnsi"/>
          <w:color w:val="000000" w:themeColor="text1"/>
          <w:sz w:val="20"/>
          <w:szCs w:val="20"/>
          <w:lang w:val="es-VE"/>
        </w:rPr>
        <w:t xml:space="preserve">ste se desconoció porque </w:t>
      </w:r>
      <w:r w:rsidR="00F2640E" w:rsidRPr="00A10EEE">
        <w:rPr>
          <w:rFonts w:asciiTheme="majorHAnsi" w:hAnsiTheme="majorHAnsi"/>
          <w:color w:val="000000" w:themeColor="text1"/>
          <w:sz w:val="20"/>
          <w:szCs w:val="20"/>
          <w:lang w:val="es-VE"/>
        </w:rPr>
        <w:t xml:space="preserve">los jueces que conocieron el amparo constitucional no resolvieron de fondo sobre </w:t>
      </w:r>
      <w:r w:rsidR="004B09AF" w:rsidRPr="00A10EEE">
        <w:rPr>
          <w:rFonts w:asciiTheme="majorHAnsi" w:hAnsiTheme="majorHAnsi"/>
          <w:color w:val="000000" w:themeColor="text1"/>
          <w:sz w:val="20"/>
          <w:szCs w:val="20"/>
          <w:lang w:val="es-VE"/>
        </w:rPr>
        <w:t xml:space="preserve">la ausencia de garantías del debido proceso que implicaba la revocatoria de la visa por autoridad administrativa. </w:t>
      </w:r>
      <w:r w:rsidR="00C06FBF" w:rsidRPr="00A10EEE">
        <w:rPr>
          <w:rFonts w:asciiTheme="majorHAnsi" w:hAnsiTheme="majorHAnsi"/>
          <w:color w:val="000000" w:themeColor="text1"/>
          <w:sz w:val="20"/>
          <w:szCs w:val="20"/>
          <w:lang w:val="es-VE"/>
        </w:rPr>
        <w:t xml:space="preserve">Además, </w:t>
      </w:r>
      <w:r w:rsidR="000B235C" w:rsidRPr="00A10EEE">
        <w:rPr>
          <w:rFonts w:asciiTheme="majorHAnsi" w:hAnsiTheme="majorHAnsi"/>
          <w:color w:val="000000" w:themeColor="text1"/>
          <w:sz w:val="20"/>
          <w:szCs w:val="20"/>
          <w:lang w:val="es-VE"/>
        </w:rPr>
        <w:t>considera</w:t>
      </w:r>
      <w:r w:rsidR="00C06FBF" w:rsidRPr="00A10EEE">
        <w:rPr>
          <w:rFonts w:asciiTheme="majorHAnsi" w:hAnsiTheme="majorHAnsi"/>
          <w:color w:val="000000" w:themeColor="text1"/>
          <w:sz w:val="20"/>
          <w:szCs w:val="20"/>
          <w:lang w:val="es-VE"/>
        </w:rPr>
        <w:t xml:space="preserve"> que también se deconoció porque el acto administrativo de revocatoria de visa no se halla sujeto a ninguna acción de revisión por otro cuerpo administrativo </w:t>
      </w:r>
      <w:r w:rsidR="004D5616" w:rsidRPr="00A10EEE">
        <w:rPr>
          <w:rFonts w:asciiTheme="majorHAnsi" w:hAnsiTheme="majorHAnsi"/>
          <w:color w:val="000000" w:themeColor="text1"/>
          <w:sz w:val="20"/>
          <w:szCs w:val="20"/>
          <w:lang w:val="es-VE"/>
        </w:rPr>
        <w:t>o judici</w:t>
      </w:r>
      <w:r w:rsidR="00816AC6" w:rsidRPr="00A10EEE">
        <w:rPr>
          <w:rFonts w:asciiTheme="majorHAnsi" w:hAnsiTheme="majorHAnsi"/>
          <w:color w:val="000000" w:themeColor="text1"/>
          <w:sz w:val="20"/>
          <w:szCs w:val="20"/>
          <w:lang w:val="es-VE"/>
        </w:rPr>
        <w:t>a</w:t>
      </w:r>
      <w:r w:rsidR="004D5616" w:rsidRPr="00A10EEE">
        <w:rPr>
          <w:rFonts w:asciiTheme="majorHAnsi" w:hAnsiTheme="majorHAnsi"/>
          <w:color w:val="000000" w:themeColor="text1"/>
          <w:sz w:val="20"/>
          <w:szCs w:val="20"/>
          <w:lang w:val="es-VE"/>
        </w:rPr>
        <w:t xml:space="preserve">l y la única acción que pudo servir para ese propósito era la acción de amparo que fue presentada y denegada. </w:t>
      </w:r>
    </w:p>
    <w:p w14:paraId="470D8AA0" w14:textId="77777777" w:rsidR="0045598B" w:rsidRPr="00A10EEE" w:rsidRDefault="0045598B" w:rsidP="00D81C50">
      <w:pPr>
        <w:tabs>
          <w:tab w:val="left" w:pos="360"/>
        </w:tabs>
        <w:jc w:val="both"/>
        <w:rPr>
          <w:rFonts w:asciiTheme="majorHAnsi" w:hAnsiTheme="majorHAnsi"/>
          <w:color w:val="000000" w:themeColor="text1"/>
          <w:sz w:val="20"/>
          <w:szCs w:val="20"/>
          <w:lang w:val="es-VE"/>
        </w:rPr>
      </w:pPr>
    </w:p>
    <w:p w14:paraId="6D8C05FF" w14:textId="77777777" w:rsidR="007147D3" w:rsidRPr="00A10EEE" w:rsidRDefault="007147D3" w:rsidP="00D81C50">
      <w:pPr>
        <w:numPr>
          <w:ilvl w:val="0"/>
          <w:numId w:val="55"/>
        </w:numPr>
        <w:tabs>
          <w:tab w:val="left" w:pos="360"/>
        </w:tabs>
        <w:ind w:left="0" w:firstLine="0"/>
        <w:jc w:val="both"/>
        <w:rPr>
          <w:rFonts w:asciiTheme="majorHAnsi" w:hAnsiTheme="majorHAnsi"/>
          <w:color w:val="000000" w:themeColor="text1"/>
          <w:sz w:val="20"/>
          <w:szCs w:val="20"/>
          <w:lang w:val="es-VE"/>
        </w:rPr>
      </w:pPr>
      <w:r w:rsidRPr="00A10EEE">
        <w:rPr>
          <w:rFonts w:asciiTheme="majorHAnsi" w:hAnsiTheme="majorHAnsi"/>
          <w:color w:val="000000" w:themeColor="text1"/>
          <w:sz w:val="20"/>
          <w:szCs w:val="20"/>
          <w:lang w:val="es-VE"/>
        </w:rPr>
        <w:t>En audiencia púb</w:t>
      </w:r>
      <w:r w:rsidR="00500774" w:rsidRPr="00A10EEE">
        <w:rPr>
          <w:rFonts w:asciiTheme="majorHAnsi" w:hAnsiTheme="majorHAnsi"/>
          <w:color w:val="000000" w:themeColor="text1"/>
          <w:sz w:val="20"/>
          <w:szCs w:val="20"/>
          <w:lang w:val="es-VE"/>
        </w:rPr>
        <w:t>l</w:t>
      </w:r>
      <w:r w:rsidRPr="00A10EEE">
        <w:rPr>
          <w:rFonts w:asciiTheme="majorHAnsi" w:hAnsiTheme="majorHAnsi"/>
          <w:color w:val="000000" w:themeColor="text1"/>
          <w:sz w:val="20"/>
          <w:szCs w:val="20"/>
          <w:lang w:val="es-VE"/>
        </w:rPr>
        <w:t xml:space="preserve">ica ante la CIDH, la parte peticionaria indicó que el señor Elías Gattass Sahih ha visto deteriorada la relación con su hija, quien </w:t>
      </w:r>
      <w:r w:rsidR="00C0486E" w:rsidRPr="00A10EEE">
        <w:rPr>
          <w:rFonts w:asciiTheme="majorHAnsi" w:hAnsiTheme="majorHAnsi"/>
          <w:color w:val="000000" w:themeColor="text1"/>
          <w:sz w:val="20"/>
          <w:szCs w:val="20"/>
          <w:lang w:val="es-VE"/>
        </w:rPr>
        <w:t>vive en el extr</w:t>
      </w:r>
      <w:r w:rsidR="00DD3218" w:rsidRPr="00A10EEE">
        <w:rPr>
          <w:rFonts w:asciiTheme="majorHAnsi" w:hAnsiTheme="majorHAnsi"/>
          <w:color w:val="000000" w:themeColor="text1"/>
          <w:sz w:val="20"/>
          <w:szCs w:val="20"/>
          <w:lang w:val="es-VE"/>
        </w:rPr>
        <w:t>a</w:t>
      </w:r>
      <w:r w:rsidR="00C0486E" w:rsidRPr="00A10EEE">
        <w:rPr>
          <w:rFonts w:asciiTheme="majorHAnsi" w:hAnsiTheme="majorHAnsi"/>
          <w:color w:val="000000" w:themeColor="text1"/>
          <w:sz w:val="20"/>
          <w:szCs w:val="20"/>
          <w:lang w:val="es-VE"/>
        </w:rPr>
        <w:t>njero, ya que no le es permitido salir del país debido a que su visa de residencia fue revocada.</w:t>
      </w:r>
      <w:r w:rsidR="008E127F" w:rsidRPr="00A10EEE">
        <w:rPr>
          <w:rFonts w:asciiTheme="majorHAnsi" w:hAnsiTheme="majorHAnsi"/>
          <w:color w:val="000000" w:themeColor="text1"/>
          <w:sz w:val="20"/>
          <w:szCs w:val="20"/>
          <w:lang w:val="es-VE"/>
        </w:rPr>
        <w:t xml:space="preserve"> </w:t>
      </w:r>
      <w:r w:rsidR="00C03940" w:rsidRPr="00A10EEE">
        <w:rPr>
          <w:rFonts w:asciiTheme="majorHAnsi" w:hAnsiTheme="majorHAnsi"/>
          <w:color w:val="000000" w:themeColor="text1"/>
          <w:sz w:val="20"/>
          <w:szCs w:val="20"/>
          <w:lang w:val="es-VE"/>
        </w:rPr>
        <w:t>A</w:t>
      </w:r>
      <w:r w:rsidR="00CC1F21" w:rsidRPr="00A10EEE">
        <w:rPr>
          <w:rFonts w:asciiTheme="majorHAnsi" w:hAnsiTheme="majorHAnsi"/>
          <w:color w:val="000000" w:themeColor="text1"/>
          <w:sz w:val="20"/>
          <w:szCs w:val="20"/>
          <w:lang w:val="es-VE"/>
        </w:rPr>
        <w:t>grega</w:t>
      </w:r>
      <w:r w:rsidR="00C03940" w:rsidRPr="00A10EEE">
        <w:rPr>
          <w:rFonts w:asciiTheme="majorHAnsi" w:hAnsiTheme="majorHAnsi"/>
          <w:color w:val="000000" w:themeColor="text1"/>
          <w:sz w:val="20"/>
          <w:szCs w:val="20"/>
          <w:lang w:val="es-VE"/>
        </w:rPr>
        <w:t xml:space="preserve"> que, en una ocasión, el señor Sahih solicitó la visa de turista </w:t>
      </w:r>
      <w:r w:rsidR="00C03940" w:rsidRPr="00A10EEE">
        <w:rPr>
          <w:rFonts w:asciiTheme="majorHAnsi" w:hAnsiTheme="majorHAnsi"/>
          <w:color w:val="000000" w:themeColor="text1"/>
          <w:sz w:val="20"/>
          <w:szCs w:val="20"/>
          <w:lang w:val="es-VE"/>
        </w:rPr>
        <w:lastRenderedPageBreak/>
        <w:t>desde Perú y le fue negada.</w:t>
      </w:r>
      <w:r w:rsidR="00CC1F21" w:rsidRPr="00A10EEE">
        <w:rPr>
          <w:rFonts w:asciiTheme="majorHAnsi" w:hAnsiTheme="majorHAnsi"/>
          <w:color w:val="000000" w:themeColor="text1"/>
          <w:sz w:val="20"/>
          <w:szCs w:val="20"/>
          <w:lang w:val="es-VE"/>
        </w:rPr>
        <w:t xml:space="preserve"> Luego señala</w:t>
      </w:r>
      <w:r w:rsidR="00C03940" w:rsidRPr="00A10EEE">
        <w:rPr>
          <w:rFonts w:asciiTheme="majorHAnsi" w:hAnsiTheme="majorHAnsi"/>
          <w:color w:val="000000" w:themeColor="text1"/>
          <w:sz w:val="20"/>
          <w:szCs w:val="20"/>
          <w:lang w:val="es-VE"/>
        </w:rPr>
        <w:t xml:space="preserve"> que </w:t>
      </w:r>
      <w:r w:rsidR="004F500A" w:rsidRPr="00A10EEE">
        <w:rPr>
          <w:rFonts w:asciiTheme="majorHAnsi" w:hAnsiTheme="majorHAnsi"/>
          <w:color w:val="000000" w:themeColor="text1"/>
          <w:sz w:val="20"/>
          <w:szCs w:val="20"/>
          <w:lang w:val="es-VE"/>
        </w:rPr>
        <w:t xml:space="preserve">el señor Sahih obtuvo una visa de inversionista después de que le fue revocada la visa de inmigrante VI. </w:t>
      </w:r>
    </w:p>
    <w:p w14:paraId="2FCEFABA" w14:textId="77777777" w:rsidR="004A329A" w:rsidRPr="00A10EEE" w:rsidRDefault="004A329A" w:rsidP="00D81C50">
      <w:pPr>
        <w:tabs>
          <w:tab w:val="left" w:pos="360"/>
        </w:tabs>
        <w:jc w:val="both"/>
        <w:rPr>
          <w:rFonts w:asciiTheme="majorHAnsi" w:hAnsiTheme="majorHAnsi"/>
          <w:color w:val="000000" w:themeColor="text1"/>
          <w:sz w:val="20"/>
          <w:szCs w:val="20"/>
          <w:lang w:val="es-VE"/>
        </w:rPr>
      </w:pPr>
    </w:p>
    <w:p w14:paraId="32758B69" w14:textId="77777777" w:rsidR="00FD3279" w:rsidRPr="00A10EEE" w:rsidRDefault="004A329A" w:rsidP="00D81C50">
      <w:pPr>
        <w:numPr>
          <w:ilvl w:val="0"/>
          <w:numId w:val="55"/>
        </w:numPr>
        <w:tabs>
          <w:tab w:val="left" w:pos="360"/>
        </w:tabs>
        <w:ind w:left="0" w:firstLine="0"/>
        <w:jc w:val="both"/>
        <w:rPr>
          <w:rFonts w:asciiTheme="majorHAnsi" w:hAnsiTheme="majorHAnsi"/>
          <w:color w:val="000000" w:themeColor="text1"/>
          <w:sz w:val="20"/>
          <w:szCs w:val="20"/>
          <w:lang w:val="es-VE"/>
        </w:rPr>
      </w:pPr>
      <w:r w:rsidRPr="00A10EEE">
        <w:rPr>
          <w:rFonts w:asciiTheme="majorHAnsi" w:hAnsiTheme="majorHAnsi"/>
          <w:color w:val="000000" w:themeColor="text1"/>
          <w:sz w:val="20"/>
          <w:szCs w:val="20"/>
          <w:lang w:val="es-VE"/>
        </w:rPr>
        <w:t>La parte peticionaria solicita que se declare la respons</w:t>
      </w:r>
      <w:r w:rsidR="0091352B" w:rsidRPr="00A10EEE">
        <w:rPr>
          <w:rFonts w:asciiTheme="majorHAnsi" w:hAnsiTheme="majorHAnsi"/>
          <w:color w:val="000000" w:themeColor="text1"/>
          <w:sz w:val="20"/>
          <w:szCs w:val="20"/>
          <w:lang w:val="es-VE"/>
        </w:rPr>
        <w:t>a</w:t>
      </w:r>
      <w:r w:rsidRPr="00A10EEE">
        <w:rPr>
          <w:rFonts w:asciiTheme="majorHAnsi" w:hAnsiTheme="majorHAnsi"/>
          <w:color w:val="000000" w:themeColor="text1"/>
          <w:sz w:val="20"/>
          <w:szCs w:val="20"/>
          <w:lang w:val="es-VE"/>
        </w:rPr>
        <w:t>bil</w:t>
      </w:r>
      <w:r w:rsidR="0091352B" w:rsidRPr="00A10EEE">
        <w:rPr>
          <w:rFonts w:asciiTheme="majorHAnsi" w:hAnsiTheme="majorHAnsi"/>
          <w:color w:val="000000" w:themeColor="text1"/>
          <w:sz w:val="20"/>
          <w:szCs w:val="20"/>
          <w:lang w:val="es-VE"/>
        </w:rPr>
        <w:t>i</w:t>
      </w:r>
      <w:r w:rsidRPr="00A10EEE">
        <w:rPr>
          <w:rFonts w:asciiTheme="majorHAnsi" w:hAnsiTheme="majorHAnsi"/>
          <w:color w:val="000000" w:themeColor="text1"/>
          <w:sz w:val="20"/>
          <w:szCs w:val="20"/>
          <w:lang w:val="es-VE"/>
        </w:rPr>
        <w:t>dad del Estado por violación de los artículo</w:t>
      </w:r>
      <w:r w:rsidR="00C03940" w:rsidRPr="00A10EEE">
        <w:rPr>
          <w:rFonts w:asciiTheme="majorHAnsi" w:hAnsiTheme="majorHAnsi"/>
          <w:color w:val="000000" w:themeColor="text1"/>
          <w:sz w:val="20"/>
          <w:szCs w:val="20"/>
          <w:lang w:val="es-VE"/>
        </w:rPr>
        <w:t>s</w:t>
      </w:r>
      <w:r w:rsidRPr="00A10EEE">
        <w:rPr>
          <w:rFonts w:asciiTheme="majorHAnsi" w:hAnsiTheme="majorHAnsi"/>
          <w:color w:val="000000" w:themeColor="text1"/>
          <w:sz w:val="20"/>
          <w:szCs w:val="20"/>
          <w:lang w:val="es-VE"/>
        </w:rPr>
        <w:t xml:space="preserve"> 7, 8, 22 y 25 de la</w:t>
      </w:r>
      <w:r w:rsidR="00FD3279" w:rsidRPr="00A10EEE">
        <w:rPr>
          <w:rFonts w:asciiTheme="majorHAnsi" w:hAnsiTheme="majorHAnsi"/>
          <w:color w:val="000000" w:themeColor="text1"/>
          <w:sz w:val="20"/>
          <w:szCs w:val="20"/>
          <w:lang w:val="es-VE"/>
        </w:rPr>
        <w:t xml:space="preserve"> </w:t>
      </w:r>
      <w:r w:rsidRPr="00A10EEE">
        <w:rPr>
          <w:rFonts w:asciiTheme="majorHAnsi" w:hAnsiTheme="majorHAnsi"/>
          <w:color w:val="000000" w:themeColor="text1"/>
          <w:sz w:val="20"/>
          <w:szCs w:val="20"/>
          <w:lang w:val="es-VE"/>
        </w:rPr>
        <w:t xml:space="preserve">Convención, </w:t>
      </w:r>
      <w:r w:rsidR="00CC3245" w:rsidRPr="00A10EEE">
        <w:rPr>
          <w:rFonts w:asciiTheme="majorHAnsi" w:hAnsiTheme="majorHAnsi"/>
          <w:color w:val="000000" w:themeColor="text1"/>
          <w:sz w:val="20"/>
          <w:szCs w:val="20"/>
          <w:lang w:val="es-VE"/>
        </w:rPr>
        <w:t>en relación con los artículo 2 y 1.1 de la misma, asi como que ordene al Estado indemnizar a Elías Gattass Sahih</w:t>
      </w:r>
      <w:r w:rsidR="001F6D23" w:rsidRPr="00A10EEE">
        <w:rPr>
          <w:rFonts w:asciiTheme="majorHAnsi" w:hAnsiTheme="majorHAnsi"/>
          <w:color w:val="000000" w:themeColor="text1"/>
          <w:sz w:val="20"/>
          <w:szCs w:val="20"/>
          <w:lang w:val="es-VE"/>
        </w:rPr>
        <w:t xml:space="preserve"> e inicar un procedim</w:t>
      </w:r>
      <w:r w:rsidR="00330DA4" w:rsidRPr="00A10EEE">
        <w:rPr>
          <w:rFonts w:asciiTheme="majorHAnsi" w:hAnsiTheme="majorHAnsi"/>
          <w:color w:val="000000" w:themeColor="text1"/>
          <w:sz w:val="20"/>
          <w:szCs w:val="20"/>
          <w:lang w:val="es-VE"/>
        </w:rPr>
        <w:t>i</w:t>
      </w:r>
      <w:r w:rsidR="001F6D23" w:rsidRPr="00A10EEE">
        <w:rPr>
          <w:rFonts w:asciiTheme="majorHAnsi" w:hAnsiTheme="majorHAnsi"/>
          <w:color w:val="000000" w:themeColor="text1"/>
          <w:sz w:val="20"/>
          <w:szCs w:val="20"/>
          <w:lang w:val="es-VE"/>
        </w:rPr>
        <w:t>e</w:t>
      </w:r>
      <w:r w:rsidR="00330DA4" w:rsidRPr="00A10EEE">
        <w:rPr>
          <w:rFonts w:asciiTheme="majorHAnsi" w:hAnsiTheme="majorHAnsi"/>
          <w:color w:val="000000" w:themeColor="text1"/>
          <w:sz w:val="20"/>
          <w:szCs w:val="20"/>
          <w:lang w:val="es-VE"/>
        </w:rPr>
        <w:t xml:space="preserve">nto interno para la sanción de los responsables de los hechos. </w:t>
      </w:r>
    </w:p>
    <w:p w14:paraId="62720CD1" w14:textId="77777777" w:rsidR="00361415" w:rsidRPr="00A10EEE" w:rsidRDefault="00361415" w:rsidP="00D81C50">
      <w:pPr>
        <w:tabs>
          <w:tab w:val="left" w:pos="360"/>
        </w:tabs>
        <w:suppressAutoHyphens/>
        <w:rPr>
          <w:rFonts w:asciiTheme="majorHAnsi" w:hAnsiTheme="majorHAnsi"/>
          <w:color w:val="548DD4" w:themeColor="text2" w:themeTint="99"/>
          <w:sz w:val="20"/>
          <w:szCs w:val="20"/>
          <w:lang w:val="es-VE"/>
        </w:rPr>
      </w:pPr>
    </w:p>
    <w:p w14:paraId="4C628751" w14:textId="77777777" w:rsidR="00D12193" w:rsidRPr="00A10EEE" w:rsidRDefault="0022273F" w:rsidP="00D81C50">
      <w:pPr>
        <w:pStyle w:val="Heading2"/>
      </w:pPr>
      <w:bookmarkStart w:id="5" w:name="_Toc39489208"/>
      <w:r w:rsidRPr="00A10EEE">
        <w:t>Estado</w:t>
      </w:r>
      <w:bookmarkEnd w:id="5"/>
      <w:r w:rsidR="00CC63CF" w:rsidRPr="00A10EEE">
        <w:t xml:space="preserve"> </w:t>
      </w:r>
    </w:p>
    <w:p w14:paraId="7AEDFCA6" w14:textId="77777777" w:rsidR="007C756A" w:rsidRPr="00A10EEE" w:rsidRDefault="007C756A" w:rsidP="00D81C50">
      <w:pPr>
        <w:tabs>
          <w:tab w:val="left" w:pos="360"/>
        </w:tabs>
        <w:suppressAutoHyphens/>
        <w:rPr>
          <w:rFonts w:asciiTheme="majorHAnsi" w:hAnsiTheme="majorHAnsi"/>
          <w:sz w:val="20"/>
          <w:szCs w:val="20"/>
        </w:rPr>
      </w:pPr>
    </w:p>
    <w:p w14:paraId="17025E6C" w14:textId="77777777" w:rsidR="00AC6F9D" w:rsidRPr="00A10EEE" w:rsidRDefault="005A231B" w:rsidP="00D81C50">
      <w:pPr>
        <w:numPr>
          <w:ilvl w:val="0"/>
          <w:numId w:val="55"/>
        </w:numPr>
        <w:tabs>
          <w:tab w:val="left" w:pos="360"/>
        </w:tabs>
        <w:ind w:left="0" w:firstLine="0"/>
        <w:jc w:val="both"/>
        <w:rPr>
          <w:rFonts w:asciiTheme="majorHAnsi" w:hAnsiTheme="majorHAnsi"/>
          <w:color w:val="000000" w:themeColor="text1"/>
          <w:sz w:val="20"/>
          <w:szCs w:val="20"/>
          <w:lang w:val="es-VE"/>
        </w:rPr>
      </w:pPr>
      <w:r w:rsidRPr="00A10EEE">
        <w:rPr>
          <w:rFonts w:asciiTheme="majorHAnsi" w:hAnsiTheme="majorHAnsi"/>
          <w:color w:val="000000" w:themeColor="text1"/>
          <w:sz w:val="20"/>
          <w:szCs w:val="20"/>
          <w:lang w:val="es-VE"/>
        </w:rPr>
        <w:t xml:space="preserve">El Estado </w:t>
      </w:r>
      <w:r w:rsidR="00C673BB" w:rsidRPr="00A10EEE">
        <w:rPr>
          <w:rFonts w:asciiTheme="majorHAnsi" w:hAnsiTheme="majorHAnsi"/>
          <w:color w:val="000000" w:themeColor="text1"/>
          <w:sz w:val="20"/>
          <w:szCs w:val="20"/>
          <w:lang w:val="es-VE"/>
        </w:rPr>
        <w:t>señal</w:t>
      </w:r>
      <w:r w:rsidR="000A6239" w:rsidRPr="00A10EEE">
        <w:rPr>
          <w:rFonts w:asciiTheme="majorHAnsi" w:hAnsiTheme="majorHAnsi"/>
          <w:color w:val="000000" w:themeColor="text1"/>
          <w:sz w:val="20"/>
          <w:szCs w:val="20"/>
          <w:lang w:val="es-VE"/>
        </w:rPr>
        <w:t>a</w:t>
      </w:r>
      <w:r w:rsidR="00C673BB" w:rsidRPr="00A10EEE">
        <w:rPr>
          <w:rFonts w:asciiTheme="majorHAnsi" w:hAnsiTheme="majorHAnsi"/>
          <w:color w:val="000000" w:themeColor="text1"/>
          <w:sz w:val="20"/>
          <w:szCs w:val="20"/>
          <w:lang w:val="es-VE"/>
        </w:rPr>
        <w:t xml:space="preserve"> que Elías Gattass Sahih </w:t>
      </w:r>
      <w:r w:rsidR="00425A08" w:rsidRPr="00A10EEE">
        <w:rPr>
          <w:rFonts w:asciiTheme="majorHAnsi" w:hAnsiTheme="majorHAnsi"/>
          <w:color w:val="000000" w:themeColor="text1"/>
          <w:sz w:val="20"/>
          <w:szCs w:val="20"/>
          <w:lang w:val="es-VE"/>
        </w:rPr>
        <w:t>ingresó a Ecuador como turis</w:t>
      </w:r>
      <w:r w:rsidR="002364DE" w:rsidRPr="00A10EEE">
        <w:rPr>
          <w:rFonts w:asciiTheme="majorHAnsi" w:hAnsiTheme="majorHAnsi"/>
          <w:color w:val="000000" w:themeColor="text1"/>
          <w:sz w:val="20"/>
          <w:szCs w:val="20"/>
          <w:lang w:val="es-VE"/>
        </w:rPr>
        <w:t>ta en 1987 y “forjando los docu</w:t>
      </w:r>
      <w:r w:rsidR="00425A08" w:rsidRPr="00A10EEE">
        <w:rPr>
          <w:rFonts w:asciiTheme="majorHAnsi" w:hAnsiTheme="majorHAnsi"/>
          <w:color w:val="000000" w:themeColor="text1"/>
          <w:sz w:val="20"/>
          <w:szCs w:val="20"/>
          <w:lang w:val="es-VE"/>
        </w:rPr>
        <w:t>m</w:t>
      </w:r>
      <w:r w:rsidR="002364DE" w:rsidRPr="00A10EEE">
        <w:rPr>
          <w:rFonts w:asciiTheme="majorHAnsi" w:hAnsiTheme="majorHAnsi"/>
          <w:color w:val="000000" w:themeColor="text1"/>
          <w:sz w:val="20"/>
          <w:szCs w:val="20"/>
          <w:lang w:val="es-VE"/>
        </w:rPr>
        <w:t>e</w:t>
      </w:r>
      <w:r w:rsidR="00425A08" w:rsidRPr="00A10EEE">
        <w:rPr>
          <w:rFonts w:asciiTheme="majorHAnsi" w:hAnsiTheme="majorHAnsi"/>
          <w:color w:val="000000" w:themeColor="text1"/>
          <w:sz w:val="20"/>
          <w:szCs w:val="20"/>
          <w:lang w:val="es-VE"/>
        </w:rPr>
        <w:t xml:space="preserve">ntos de un extranjero libanés llamado Mikhael </w:t>
      </w:r>
      <w:r w:rsidR="00CC0C82" w:rsidRPr="00A10EEE">
        <w:rPr>
          <w:rFonts w:asciiTheme="majorHAnsi" w:hAnsiTheme="majorHAnsi"/>
          <w:color w:val="000000" w:themeColor="text1"/>
          <w:sz w:val="20"/>
          <w:szCs w:val="20"/>
          <w:lang w:val="es-VE"/>
        </w:rPr>
        <w:t>G</w:t>
      </w:r>
      <w:r w:rsidR="00425A08" w:rsidRPr="00A10EEE">
        <w:rPr>
          <w:rFonts w:asciiTheme="majorHAnsi" w:hAnsiTheme="majorHAnsi"/>
          <w:color w:val="000000" w:themeColor="text1"/>
          <w:sz w:val="20"/>
          <w:szCs w:val="20"/>
          <w:lang w:val="es-VE"/>
        </w:rPr>
        <w:t xml:space="preserve">eorges Ghoul, </w:t>
      </w:r>
      <w:r w:rsidR="002842C4" w:rsidRPr="00A10EEE">
        <w:rPr>
          <w:rFonts w:asciiTheme="majorHAnsi" w:hAnsiTheme="majorHAnsi"/>
          <w:color w:val="000000" w:themeColor="text1"/>
          <w:sz w:val="20"/>
          <w:szCs w:val="20"/>
          <w:lang w:val="es-VE"/>
        </w:rPr>
        <w:t xml:space="preserve">logró permanecer en territorio ecuatoriano por aproximadamente 15 años”, </w:t>
      </w:r>
      <w:r w:rsidR="002752EC" w:rsidRPr="00A10EEE">
        <w:rPr>
          <w:rFonts w:asciiTheme="majorHAnsi" w:hAnsiTheme="majorHAnsi"/>
          <w:color w:val="000000" w:themeColor="text1"/>
          <w:sz w:val="20"/>
          <w:szCs w:val="20"/>
          <w:lang w:val="es-VE"/>
        </w:rPr>
        <w:t>hasta que en</w:t>
      </w:r>
      <w:r w:rsidR="00CB7A57" w:rsidRPr="00A10EEE">
        <w:rPr>
          <w:rFonts w:asciiTheme="majorHAnsi" w:hAnsiTheme="majorHAnsi"/>
          <w:color w:val="000000" w:themeColor="text1"/>
          <w:sz w:val="20"/>
          <w:szCs w:val="20"/>
          <w:lang w:val="es-VE"/>
        </w:rPr>
        <w:t xml:space="preserve"> octubre de 2001</w:t>
      </w:r>
      <w:r w:rsidR="007C21CE" w:rsidRPr="00A10EEE">
        <w:rPr>
          <w:rFonts w:asciiTheme="majorHAnsi" w:hAnsiTheme="majorHAnsi"/>
          <w:color w:val="000000" w:themeColor="text1"/>
          <w:sz w:val="20"/>
          <w:szCs w:val="20"/>
          <w:lang w:val="es-VE"/>
        </w:rPr>
        <w:t xml:space="preserve"> </w:t>
      </w:r>
      <w:r w:rsidR="002842C4" w:rsidRPr="00A10EEE">
        <w:rPr>
          <w:rFonts w:asciiTheme="majorHAnsi" w:hAnsiTheme="majorHAnsi"/>
          <w:color w:val="000000" w:themeColor="text1"/>
          <w:sz w:val="20"/>
          <w:szCs w:val="20"/>
          <w:lang w:val="es-VE"/>
        </w:rPr>
        <w:t xml:space="preserve">obtuvo la visa de inmigrante VI por </w:t>
      </w:r>
      <w:r w:rsidR="007C21CE" w:rsidRPr="00A10EEE">
        <w:rPr>
          <w:rFonts w:asciiTheme="majorHAnsi" w:hAnsiTheme="majorHAnsi"/>
          <w:color w:val="000000" w:themeColor="text1"/>
          <w:sz w:val="20"/>
          <w:szCs w:val="20"/>
          <w:lang w:val="es-VE"/>
        </w:rPr>
        <w:t>dependencia económica de su cónyuge</w:t>
      </w:r>
      <w:r w:rsidR="0053058A" w:rsidRPr="00A10EEE">
        <w:rPr>
          <w:rFonts w:asciiTheme="majorHAnsi" w:hAnsiTheme="majorHAnsi"/>
          <w:color w:val="000000" w:themeColor="text1"/>
          <w:sz w:val="20"/>
          <w:szCs w:val="20"/>
          <w:lang w:val="es-VE"/>
        </w:rPr>
        <w:t xml:space="preserve"> ecuatoriana Leila Carvajal Erker</w:t>
      </w:r>
      <w:r w:rsidR="007C21CE" w:rsidRPr="00A10EEE">
        <w:rPr>
          <w:rFonts w:asciiTheme="majorHAnsi" w:hAnsiTheme="majorHAnsi"/>
          <w:color w:val="000000" w:themeColor="text1"/>
          <w:sz w:val="20"/>
          <w:szCs w:val="20"/>
          <w:lang w:val="es-VE"/>
        </w:rPr>
        <w:t>. Ad</w:t>
      </w:r>
      <w:r w:rsidR="000A6239" w:rsidRPr="00A10EEE">
        <w:rPr>
          <w:rFonts w:asciiTheme="majorHAnsi" w:hAnsiTheme="majorHAnsi"/>
          <w:color w:val="000000" w:themeColor="text1"/>
          <w:sz w:val="20"/>
          <w:szCs w:val="20"/>
          <w:lang w:val="es-VE"/>
        </w:rPr>
        <w:t>uce</w:t>
      </w:r>
      <w:r w:rsidR="007C21CE" w:rsidRPr="00A10EEE">
        <w:rPr>
          <w:rFonts w:asciiTheme="majorHAnsi" w:hAnsiTheme="majorHAnsi"/>
          <w:color w:val="000000" w:themeColor="text1"/>
          <w:sz w:val="20"/>
          <w:szCs w:val="20"/>
          <w:lang w:val="es-VE"/>
        </w:rPr>
        <w:t xml:space="preserve"> que </w:t>
      </w:r>
      <w:r w:rsidR="0053058A" w:rsidRPr="00A10EEE">
        <w:rPr>
          <w:rFonts w:asciiTheme="majorHAnsi" w:hAnsiTheme="majorHAnsi"/>
          <w:color w:val="000000" w:themeColor="text1"/>
          <w:sz w:val="20"/>
          <w:szCs w:val="20"/>
          <w:lang w:val="es-VE"/>
        </w:rPr>
        <w:t xml:space="preserve">la señora </w:t>
      </w:r>
      <w:r w:rsidR="007C21CE" w:rsidRPr="00A10EEE">
        <w:rPr>
          <w:rFonts w:asciiTheme="majorHAnsi" w:hAnsiTheme="majorHAnsi"/>
          <w:color w:val="000000" w:themeColor="text1"/>
          <w:sz w:val="20"/>
          <w:szCs w:val="20"/>
          <w:lang w:val="es-VE"/>
        </w:rPr>
        <w:t>Carvajal Erker</w:t>
      </w:r>
      <w:r w:rsidR="000A6239" w:rsidRPr="00A10EEE">
        <w:rPr>
          <w:rFonts w:asciiTheme="majorHAnsi" w:hAnsiTheme="majorHAnsi"/>
          <w:color w:val="000000" w:themeColor="text1"/>
          <w:sz w:val="20"/>
          <w:szCs w:val="20"/>
          <w:lang w:val="es-VE"/>
        </w:rPr>
        <w:t xml:space="preserve"> solicitó que se reconsiderara </w:t>
      </w:r>
      <w:r w:rsidR="00B00A18" w:rsidRPr="00A10EEE">
        <w:rPr>
          <w:rFonts w:asciiTheme="majorHAnsi" w:hAnsiTheme="majorHAnsi"/>
          <w:color w:val="000000" w:themeColor="text1"/>
          <w:sz w:val="20"/>
          <w:szCs w:val="20"/>
          <w:lang w:val="es-VE"/>
        </w:rPr>
        <w:t>el otorgami</w:t>
      </w:r>
      <w:r w:rsidR="000A6239" w:rsidRPr="00A10EEE">
        <w:rPr>
          <w:rFonts w:asciiTheme="majorHAnsi" w:hAnsiTheme="majorHAnsi"/>
          <w:color w:val="000000" w:themeColor="text1"/>
          <w:sz w:val="20"/>
          <w:szCs w:val="20"/>
          <w:lang w:val="es-VE"/>
        </w:rPr>
        <w:t>e</w:t>
      </w:r>
      <w:r w:rsidR="00B00A18" w:rsidRPr="00A10EEE">
        <w:rPr>
          <w:rFonts w:asciiTheme="majorHAnsi" w:hAnsiTheme="majorHAnsi"/>
          <w:color w:val="000000" w:themeColor="text1"/>
          <w:sz w:val="20"/>
          <w:szCs w:val="20"/>
          <w:lang w:val="es-VE"/>
        </w:rPr>
        <w:t xml:space="preserve">nto de visa al señor Sahih, pues </w:t>
      </w:r>
      <w:r w:rsidR="000E6517" w:rsidRPr="00A10EEE">
        <w:rPr>
          <w:rFonts w:asciiTheme="majorHAnsi" w:hAnsiTheme="majorHAnsi"/>
          <w:color w:val="000000" w:themeColor="text1"/>
          <w:sz w:val="20"/>
          <w:szCs w:val="20"/>
          <w:lang w:val="es-VE"/>
        </w:rPr>
        <w:t xml:space="preserve">al momento en que se </w:t>
      </w:r>
      <w:r w:rsidR="00A0696E" w:rsidRPr="00A10EEE">
        <w:rPr>
          <w:rFonts w:asciiTheme="majorHAnsi" w:hAnsiTheme="majorHAnsi"/>
          <w:color w:val="000000" w:themeColor="text1"/>
          <w:sz w:val="20"/>
          <w:szCs w:val="20"/>
          <w:lang w:val="es-VE"/>
        </w:rPr>
        <w:t xml:space="preserve">le </w:t>
      </w:r>
      <w:r w:rsidR="00BA591B" w:rsidRPr="00A10EEE">
        <w:rPr>
          <w:rFonts w:asciiTheme="majorHAnsi" w:hAnsiTheme="majorHAnsi"/>
          <w:color w:val="000000" w:themeColor="text1"/>
          <w:sz w:val="20"/>
          <w:szCs w:val="20"/>
          <w:lang w:val="es-VE"/>
        </w:rPr>
        <w:t>concedió</w:t>
      </w:r>
      <w:r w:rsidR="0050348F" w:rsidRPr="00A10EEE">
        <w:rPr>
          <w:rFonts w:asciiTheme="majorHAnsi" w:hAnsiTheme="majorHAnsi"/>
          <w:color w:val="000000" w:themeColor="text1"/>
          <w:sz w:val="20"/>
          <w:szCs w:val="20"/>
          <w:lang w:val="es-VE"/>
        </w:rPr>
        <w:t>,</w:t>
      </w:r>
      <w:r w:rsidR="007978FA" w:rsidRPr="00A10EEE">
        <w:rPr>
          <w:rFonts w:asciiTheme="majorHAnsi" w:hAnsiTheme="majorHAnsi"/>
          <w:color w:val="000000" w:themeColor="text1"/>
          <w:sz w:val="20"/>
          <w:szCs w:val="20"/>
          <w:lang w:val="es-VE"/>
        </w:rPr>
        <w:t xml:space="preserve"> ella estaba separada del señor Sahih </w:t>
      </w:r>
      <w:r w:rsidR="00E43566" w:rsidRPr="00A10EEE">
        <w:rPr>
          <w:rFonts w:asciiTheme="majorHAnsi" w:hAnsiTheme="majorHAnsi"/>
          <w:color w:val="000000" w:themeColor="text1"/>
          <w:sz w:val="20"/>
          <w:szCs w:val="20"/>
          <w:lang w:val="es-VE"/>
        </w:rPr>
        <w:t>y</w:t>
      </w:r>
      <w:r w:rsidR="000E6517" w:rsidRPr="00A10EEE">
        <w:rPr>
          <w:rFonts w:asciiTheme="majorHAnsi" w:hAnsiTheme="majorHAnsi"/>
          <w:color w:val="000000" w:themeColor="text1"/>
          <w:sz w:val="20"/>
          <w:szCs w:val="20"/>
          <w:lang w:val="es-VE"/>
        </w:rPr>
        <w:t>,</w:t>
      </w:r>
      <w:r w:rsidR="00E43566" w:rsidRPr="00A10EEE">
        <w:rPr>
          <w:rFonts w:asciiTheme="majorHAnsi" w:hAnsiTheme="majorHAnsi"/>
          <w:color w:val="000000" w:themeColor="text1"/>
          <w:sz w:val="20"/>
          <w:szCs w:val="20"/>
          <w:lang w:val="es-VE"/>
        </w:rPr>
        <w:t xml:space="preserve"> de acuerdo con el artículo 35 de la Ley de Extranjería, quienes hubieren adquirido la calidad de inmigrante en virtud del matrimonio, perder</w:t>
      </w:r>
      <w:r w:rsidR="000B235C" w:rsidRPr="00A10EEE">
        <w:rPr>
          <w:rFonts w:asciiTheme="majorHAnsi" w:hAnsiTheme="majorHAnsi"/>
          <w:color w:val="000000" w:themeColor="text1"/>
          <w:sz w:val="20"/>
          <w:szCs w:val="20"/>
          <w:lang w:val="es-VE"/>
        </w:rPr>
        <w:t>ía</w:t>
      </w:r>
      <w:r w:rsidR="00E43566" w:rsidRPr="00A10EEE">
        <w:rPr>
          <w:rFonts w:asciiTheme="majorHAnsi" w:hAnsiTheme="majorHAnsi"/>
          <w:color w:val="000000" w:themeColor="text1"/>
          <w:sz w:val="20"/>
          <w:szCs w:val="20"/>
          <w:lang w:val="es-VE"/>
        </w:rPr>
        <w:t xml:space="preserve">n </w:t>
      </w:r>
      <w:r w:rsidR="00367DBC" w:rsidRPr="00A10EEE">
        <w:rPr>
          <w:rFonts w:asciiTheme="majorHAnsi" w:hAnsiTheme="majorHAnsi"/>
          <w:color w:val="000000" w:themeColor="text1"/>
          <w:sz w:val="20"/>
          <w:szCs w:val="20"/>
          <w:lang w:val="es-VE"/>
        </w:rPr>
        <w:t>esta categoría al terminar el matrimonio</w:t>
      </w:r>
      <w:r w:rsidR="00B00A18" w:rsidRPr="00A10EEE">
        <w:rPr>
          <w:rFonts w:asciiTheme="majorHAnsi" w:hAnsiTheme="majorHAnsi"/>
          <w:color w:val="000000" w:themeColor="text1"/>
          <w:sz w:val="20"/>
          <w:szCs w:val="20"/>
          <w:lang w:val="es-VE"/>
        </w:rPr>
        <w:t xml:space="preserve">. </w:t>
      </w:r>
    </w:p>
    <w:p w14:paraId="50ED2149" w14:textId="77777777" w:rsidR="00AC6F9D" w:rsidRPr="00A10EEE" w:rsidRDefault="00AC6F9D" w:rsidP="00D81C50">
      <w:pPr>
        <w:tabs>
          <w:tab w:val="left" w:pos="360"/>
        </w:tabs>
        <w:jc w:val="both"/>
        <w:rPr>
          <w:rFonts w:asciiTheme="majorHAnsi" w:hAnsiTheme="majorHAnsi"/>
          <w:color w:val="000000" w:themeColor="text1"/>
          <w:sz w:val="20"/>
          <w:szCs w:val="20"/>
          <w:lang w:val="es-VE"/>
        </w:rPr>
      </w:pPr>
    </w:p>
    <w:p w14:paraId="3422D55F" w14:textId="77777777" w:rsidR="00C673BB" w:rsidRPr="00A10EEE" w:rsidRDefault="00AC6F9D" w:rsidP="00D81C50">
      <w:pPr>
        <w:numPr>
          <w:ilvl w:val="0"/>
          <w:numId w:val="55"/>
        </w:numPr>
        <w:tabs>
          <w:tab w:val="left" w:pos="360"/>
        </w:tabs>
        <w:ind w:left="0" w:firstLine="0"/>
        <w:jc w:val="both"/>
        <w:rPr>
          <w:rFonts w:asciiTheme="majorHAnsi" w:hAnsiTheme="majorHAnsi"/>
          <w:color w:val="000000" w:themeColor="text1"/>
          <w:sz w:val="20"/>
          <w:szCs w:val="20"/>
          <w:lang w:val="es-VE"/>
        </w:rPr>
      </w:pPr>
      <w:r w:rsidRPr="00A10EEE">
        <w:rPr>
          <w:rFonts w:asciiTheme="majorHAnsi" w:hAnsiTheme="majorHAnsi"/>
          <w:color w:val="000000" w:themeColor="text1"/>
          <w:sz w:val="20"/>
          <w:szCs w:val="20"/>
          <w:lang w:val="es-VE"/>
        </w:rPr>
        <w:t>S</w:t>
      </w:r>
      <w:r w:rsidR="00A72BA7" w:rsidRPr="00A10EEE">
        <w:rPr>
          <w:rFonts w:asciiTheme="majorHAnsi" w:hAnsiTheme="majorHAnsi"/>
          <w:color w:val="000000" w:themeColor="text1"/>
          <w:sz w:val="20"/>
          <w:szCs w:val="20"/>
          <w:lang w:val="es-VE"/>
        </w:rPr>
        <w:t xml:space="preserve">eñala que al otorgarle la visa a Sahih, </w:t>
      </w:r>
      <w:r w:rsidRPr="00A10EEE">
        <w:rPr>
          <w:rFonts w:asciiTheme="majorHAnsi" w:hAnsiTheme="majorHAnsi"/>
          <w:color w:val="000000" w:themeColor="text1"/>
          <w:sz w:val="20"/>
          <w:szCs w:val="20"/>
          <w:lang w:val="es-VE"/>
        </w:rPr>
        <w:t>las autoridades presumían</w:t>
      </w:r>
      <w:r w:rsidR="00A72BA7" w:rsidRPr="00A10EEE">
        <w:rPr>
          <w:rFonts w:asciiTheme="majorHAnsi" w:hAnsiTheme="majorHAnsi"/>
          <w:color w:val="000000" w:themeColor="text1"/>
          <w:sz w:val="20"/>
          <w:szCs w:val="20"/>
          <w:lang w:val="es-VE"/>
        </w:rPr>
        <w:t xml:space="preserve"> que la cónyuge estaba de acuerdo, </w:t>
      </w:r>
      <w:r w:rsidR="008712EB" w:rsidRPr="00A10EEE">
        <w:rPr>
          <w:rFonts w:asciiTheme="majorHAnsi" w:hAnsiTheme="majorHAnsi"/>
          <w:color w:val="000000" w:themeColor="text1"/>
          <w:sz w:val="20"/>
          <w:szCs w:val="20"/>
          <w:lang w:val="es-VE"/>
        </w:rPr>
        <w:t>y demos</w:t>
      </w:r>
      <w:r w:rsidR="007978FA" w:rsidRPr="00A10EEE">
        <w:rPr>
          <w:rFonts w:asciiTheme="majorHAnsi" w:hAnsiTheme="majorHAnsi"/>
          <w:color w:val="000000" w:themeColor="text1"/>
          <w:sz w:val="20"/>
          <w:szCs w:val="20"/>
          <w:lang w:val="es-VE"/>
        </w:rPr>
        <w:t>trado lo contrario, el Consejo C</w:t>
      </w:r>
      <w:r w:rsidR="008712EB" w:rsidRPr="00A10EEE">
        <w:rPr>
          <w:rFonts w:asciiTheme="majorHAnsi" w:hAnsiTheme="majorHAnsi"/>
          <w:color w:val="000000" w:themeColor="text1"/>
          <w:sz w:val="20"/>
          <w:szCs w:val="20"/>
          <w:lang w:val="es-VE"/>
        </w:rPr>
        <w:t xml:space="preserve">onsultivo </w:t>
      </w:r>
      <w:r w:rsidR="007978FA" w:rsidRPr="00A10EEE">
        <w:rPr>
          <w:rFonts w:asciiTheme="majorHAnsi" w:hAnsiTheme="majorHAnsi"/>
          <w:color w:val="000000" w:themeColor="text1"/>
          <w:sz w:val="20"/>
          <w:szCs w:val="20"/>
          <w:lang w:val="es-VE"/>
        </w:rPr>
        <w:t xml:space="preserve">de Política Migratoria </w:t>
      </w:r>
      <w:r w:rsidR="008712EB" w:rsidRPr="00A10EEE">
        <w:rPr>
          <w:rFonts w:asciiTheme="majorHAnsi" w:hAnsiTheme="majorHAnsi"/>
          <w:color w:val="000000" w:themeColor="text1"/>
          <w:sz w:val="20"/>
          <w:szCs w:val="20"/>
          <w:lang w:val="es-VE"/>
        </w:rPr>
        <w:t xml:space="preserve">tuvo motivos para revocarle la visa. </w:t>
      </w:r>
      <w:r w:rsidR="001A65D0" w:rsidRPr="00A10EEE">
        <w:rPr>
          <w:rFonts w:asciiTheme="majorHAnsi" w:hAnsiTheme="majorHAnsi"/>
          <w:color w:val="000000" w:themeColor="text1"/>
          <w:sz w:val="20"/>
          <w:szCs w:val="20"/>
          <w:lang w:val="es-VE"/>
        </w:rPr>
        <w:t xml:space="preserve">En audiencia pública ante la CIDH, el Estado </w:t>
      </w:r>
      <w:r w:rsidR="00AD584E" w:rsidRPr="00A10EEE">
        <w:rPr>
          <w:rFonts w:asciiTheme="majorHAnsi" w:hAnsiTheme="majorHAnsi"/>
          <w:color w:val="000000" w:themeColor="text1"/>
          <w:sz w:val="20"/>
          <w:szCs w:val="20"/>
          <w:lang w:val="es-VE"/>
        </w:rPr>
        <w:t>indicó</w:t>
      </w:r>
      <w:r w:rsidR="001A65D0" w:rsidRPr="00A10EEE">
        <w:rPr>
          <w:rFonts w:asciiTheme="majorHAnsi" w:hAnsiTheme="majorHAnsi"/>
          <w:color w:val="000000" w:themeColor="text1"/>
          <w:sz w:val="20"/>
          <w:szCs w:val="20"/>
          <w:lang w:val="es-VE"/>
        </w:rPr>
        <w:t xml:space="preserve"> que </w:t>
      </w:r>
      <w:r w:rsidR="00F82C81" w:rsidRPr="00A10EEE">
        <w:rPr>
          <w:rFonts w:asciiTheme="majorHAnsi" w:hAnsiTheme="majorHAnsi"/>
          <w:color w:val="000000" w:themeColor="text1"/>
          <w:sz w:val="20"/>
          <w:szCs w:val="20"/>
          <w:lang w:val="es-VE"/>
        </w:rPr>
        <w:t xml:space="preserve">el señor Gattass escondió el hecho de su separación marital de hecho con dolo, </w:t>
      </w:r>
      <w:r w:rsidR="00ED30D6" w:rsidRPr="00A10EEE">
        <w:rPr>
          <w:rFonts w:asciiTheme="majorHAnsi" w:hAnsiTheme="majorHAnsi"/>
          <w:color w:val="000000" w:themeColor="text1"/>
          <w:sz w:val="20"/>
          <w:szCs w:val="20"/>
          <w:lang w:val="es-VE"/>
        </w:rPr>
        <w:t xml:space="preserve">por lo que </w:t>
      </w:r>
      <w:r w:rsidR="00F82C81" w:rsidRPr="00A10EEE">
        <w:rPr>
          <w:rFonts w:asciiTheme="majorHAnsi" w:hAnsiTheme="majorHAnsi"/>
          <w:color w:val="000000" w:themeColor="text1"/>
          <w:sz w:val="20"/>
          <w:szCs w:val="20"/>
          <w:lang w:val="es-VE"/>
        </w:rPr>
        <w:t xml:space="preserve">jurídicamente se puede afirmar </w:t>
      </w:r>
      <w:r w:rsidR="00A76D96" w:rsidRPr="00A10EEE">
        <w:rPr>
          <w:rFonts w:asciiTheme="majorHAnsi" w:hAnsiTheme="majorHAnsi"/>
          <w:color w:val="000000" w:themeColor="text1"/>
          <w:sz w:val="20"/>
          <w:szCs w:val="20"/>
          <w:lang w:val="es-VE"/>
        </w:rPr>
        <w:t xml:space="preserve">la </w:t>
      </w:r>
      <w:r w:rsidR="00F82C81" w:rsidRPr="00A10EEE">
        <w:rPr>
          <w:rFonts w:asciiTheme="majorHAnsi" w:hAnsiTheme="majorHAnsi"/>
          <w:color w:val="000000" w:themeColor="text1"/>
          <w:sz w:val="20"/>
          <w:szCs w:val="20"/>
          <w:lang w:val="es-VE"/>
        </w:rPr>
        <w:t xml:space="preserve">inexistencia del </w:t>
      </w:r>
      <w:r w:rsidR="00A76D96" w:rsidRPr="00A10EEE">
        <w:rPr>
          <w:rFonts w:asciiTheme="majorHAnsi" w:hAnsiTheme="majorHAnsi"/>
          <w:color w:val="000000" w:themeColor="text1"/>
          <w:sz w:val="20"/>
          <w:szCs w:val="20"/>
          <w:lang w:val="es-VE"/>
        </w:rPr>
        <w:t xml:space="preserve">acto que le otorgó la visa. </w:t>
      </w:r>
      <w:r w:rsidR="0020255C" w:rsidRPr="00A10EEE">
        <w:rPr>
          <w:rFonts w:asciiTheme="majorHAnsi" w:hAnsiTheme="majorHAnsi"/>
          <w:color w:val="000000" w:themeColor="text1"/>
          <w:sz w:val="20"/>
          <w:szCs w:val="20"/>
          <w:lang w:val="es-VE"/>
        </w:rPr>
        <w:t xml:space="preserve">Igualmente, aduce </w:t>
      </w:r>
      <w:r w:rsidR="001A65D0" w:rsidRPr="00A10EEE">
        <w:rPr>
          <w:rFonts w:asciiTheme="majorHAnsi" w:hAnsiTheme="majorHAnsi"/>
          <w:color w:val="000000" w:themeColor="text1"/>
          <w:sz w:val="20"/>
          <w:szCs w:val="20"/>
          <w:lang w:val="es-VE"/>
        </w:rPr>
        <w:t>el Estado</w:t>
      </w:r>
      <w:r w:rsidR="009A3018" w:rsidRPr="00A10EEE">
        <w:rPr>
          <w:rFonts w:asciiTheme="majorHAnsi" w:hAnsiTheme="majorHAnsi"/>
          <w:color w:val="000000" w:themeColor="text1"/>
          <w:sz w:val="20"/>
          <w:szCs w:val="20"/>
          <w:lang w:val="es-VE"/>
        </w:rPr>
        <w:t xml:space="preserve"> que</w:t>
      </w:r>
      <w:r w:rsidR="00256A83" w:rsidRPr="00A10EEE">
        <w:rPr>
          <w:rFonts w:asciiTheme="majorHAnsi" w:hAnsiTheme="majorHAnsi"/>
          <w:color w:val="000000" w:themeColor="text1"/>
          <w:sz w:val="20"/>
          <w:szCs w:val="20"/>
          <w:lang w:val="es-VE"/>
        </w:rPr>
        <w:t xml:space="preserve"> su visa también fue revocada </w:t>
      </w:r>
      <w:r w:rsidR="0099330D" w:rsidRPr="00A10EEE">
        <w:rPr>
          <w:rFonts w:asciiTheme="majorHAnsi" w:hAnsiTheme="majorHAnsi"/>
          <w:color w:val="000000" w:themeColor="text1"/>
          <w:sz w:val="20"/>
          <w:szCs w:val="20"/>
          <w:lang w:val="es-VE"/>
        </w:rPr>
        <w:t>porque el extranjero incurrió en una de las casuales de expulsión que se refiere a personas que procuren o hayan</w:t>
      </w:r>
      <w:r w:rsidR="00D651D1" w:rsidRPr="00A10EEE">
        <w:rPr>
          <w:rFonts w:asciiTheme="majorHAnsi" w:hAnsiTheme="majorHAnsi"/>
          <w:color w:val="000000" w:themeColor="text1"/>
          <w:sz w:val="20"/>
          <w:szCs w:val="20"/>
          <w:lang w:val="es-VE"/>
        </w:rPr>
        <w:t xml:space="preserve"> procurado una visa u otro docu</w:t>
      </w:r>
      <w:r w:rsidR="0099330D" w:rsidRPr="00A10EEE">
        <w:rPr>
          <w:rFonts w:asciiTheme="majorHAnsi" w:hAnsiTheme="majorHAnsi"/>
          <w:color w:val="000000" w:themeColor="text1"/>
          <w:sz w:val="20"/>
          <w:szCs w:val="20"/>
          <w:lang w:val="es-VE"/>
        </w:rPr>
        <w:t>m</w:t>
      </w:r>
      <w:r w:rsidR="00D651D1" w:rsidRPr="00A10EEE">
        <w:rPr>
          <w:rFonts w:asciiTheme="majorHAnsi" w:hAnsiTheme="majorHAnsi"/>
          <w:color w:val="000000" w:themeColor="text1"/>
          <w:sz w:val="20"/>
          <w:szCs w:val="20"/>
          <w:lang w:val="es-VE"/>
        </w:rPr>
        <w:t>e</w:t>
      </w:r>
      <w:r w:rsidR="0099330D" w:rsidRPr="00A10EEE">
        <w:rPr>
          <w:rFonts w:asciiTheme="majorHAnsi" w:hAnsiTheme="majorHAnsi"/>
          <w:color w:val="000000" w:themeColor="text1"/>
          <w:sz w:val="20"/>
          <w:szCs w:val="20"/>
          <w:lang w:val="es-VE"/>
        </w:rPr>
        <w:t xml:space="preserve">nto </w:t>
      </w:r>
      <w:r w:rsidR="00D651D1" w:rsidRPr="00A10EEE">
        <w:rPr>
          <w:rFonts w:asciiTheme="majorHAnsi" w:hAnsiTheme="majorHAnsi"/>
          <w:color w:val="000000" w:themeColor="text1"/>
          <w:sz w:val="20"/>
          <w:szCs w:val="20"/>
          <w:lang w:val="es-VE"/>
        </w:rPr>
        <w:t xml:space="preserve">o traten de ingresar al país con fraude o con documentación impropia o irregular. </w:t>
      </w:r>
    </w:p>
    <w:p w14:paraId="37606DE9" w14:textId="77777777" w:rsidR="00AB5165" w:rsidRPr="00A10EEE" w:rsidRDefault="00AB5165" w:rsidP="00D81C50">
      <w:pPr>
        <w:tabs>
          <w:tab w:val="left" w:pos="360"/>
        </w:tabs>
        <w:jc w:val="both"/>
        <w:rPr>
          <w:rFonts w:asciiTheme="majorHAnsi" w:hAnsiTheme="majorHAnsi"/>
          <w:color w:val="000000" w:themeColor="text1"/>
          <w:sz w:val="20"/>
          <w:szCs w:val="20"/>
          <w:lang w:val="es-VE"/>
        </w:rPr>
      </w:pPr>
    </w:p>
    <w:p w14:paraId="096559AA" w14:textId="77777777" w:rsidR="00143109" w:rsidRPr="00A10EEE" w:rsidRDefault="00AB5165" w:rsidP="00D81C50">
      <w:pPr>
        <w:numPr>
          <w:ilvl w:val="0"/>
          <w:numId w:val="55"/>
        </w:numPr>
        <w:tabs>
          <w:tab w:val="left" w:pos="360"/>
        </w:tabs>
        <w:ind w:left="0" w:firstLine="0"/>
        <w:jc w:val="both"/>
        <w:rPr>
          <w:rFonts w:asciiTheme="majorHAnsi" w:hAnsiTheme="majorHAnsi"/>
          <w:color w:val="000000" w:themeColor="text1"/>
          <w:sz w:val="20"/>
          <w:szCs w:val="20"/>
          <w:lang w:val="es-VE"/>
        </w:rPr>
      </w:pPr>
      <w:r w:rsidRPr="00A10EEE">
        <w:rPr>
          <w:rFonts w:asciiTheme="majorHAnsi" w:hAnsiTheme="majorHAnsi"/>
          <w:color w:val="000000" w:themeColor="text1"/>
          <w:sz w:val="20"/>
          <w:szCs w:val="20"/>
          <w:lang w:val="es-VE"/>
        </w:rPr>
        <w:t>El Estado estima que no se vulneró</w:t>
      </w:r>
      <w:r w:rsidR="00A61D7A" w:rsidRPr="00A10EEE">
        <w:rPr>
          <w:rFonts w:asciiTheme="majorHAnsi" w:hAnsiTheme="majorHAnsi"/>
          <w:color w:val="000000" w:themeColor="text1"/>
          <w:sz w:val="20"/>
          <w:szCs w:val="20"/>
          <w:lang w:val="es-VE"/>
        </w:rPr>
        <w:t xml:space="preserve"> el artícu</w:t>
      </w:r>
      <w:r w:rsidR="000B235C" w:rsidRPr="00A10EEE">
        <w:rPr>
          <w:rFonts w:asciiTheme="majorHAnsi" w:hAnsiTheme="majorHAnsi"/>
          <w:color w:val="000000" w:themeColor="text1"/>
          <w:sz w:val="20"/>
          <w:szCs w:val="20"/>
          <w:lang w:val="es-VE"/>
        </w:rPr>
        <w:t>l</w:t>
      </w:r>
      <w:r w:rsidR="00A61D7A" w:rsidRPr="00A10EEE">
        <w:rPr>
          <w:rFonts w:asciiTheme="majorHAnsi" w:hAnsiTheme="majorHAnsi"/>
          <w:color w:val="000000" w:themeColor="text1"/>
          <w:sz w:val="20"/>
          <w:szCs w:val="20"/>
          <w:lang w:val="es-VE"/>
        </w:rPr>
        <w:t>o 8 de la Convención porque en el proceso de revocatoria de visa de inmigrante el Consejo Consultivo de Política Criminal hizo uso de la facultad soberana y discrecional que le otorga</w:t>
      </w:r>
      <w:r w:rsidR="00892619" w:rsidRPr="00A10EEE">
        <w:rPr>
          <w:rFonts w:asciiTheme="majorHAnsi" w:hAnsiTheme="majorHAnsi"/>
          <w:color w:val="000000" w:themeColor="text1"/>
          <w:sz w:val="20"/>
          <w:szCs w:val="20"/>
          <w:lang w:val="es-VE"/>
        </w:rPr>
        <w:t>n</w:t>
      </w:r>
      <w:r w:rsidR="00A61D7A" w:rsidRPr="00A10EEE">
        <w:rPr>
          <w:rFonts w:asciiTheme="majorHAnsi" w:hAnsiTheme="majorHAnsi"/>
          <w:color w:val="000000" w:themeColor="text1"/>
          <w:sz w:val="20"/>
          <w:szCs w:val="20"/>
          <w:lang w:val="es-VE"/>
        </w:rPr>
        <w:t xml:space="preserve"> los artículos 7 y 8 de la Ley de Extranjería.</w:t>
      </w:r>
      <w:r w:rsidR="00143109" w:rsidRPr="00A10EEE">
        <w:rPr>
          <w:rFonts w:asciiTheme="majorHAnsi" w:hAnsiTheme="majorHAnsi"/>
          <w:color w:val="000000" w:themeColor="text1"/>
          <w:sz w:val="20"/>
          <w:szCs w:val="20"/>
          <w:lang w:val="es-VE"/>
        </w:rPr>
        <w:t xml:space="preserve"> En relación con la acción de deportación, indica que el señor Sahih ejerció su derecho a la defensa porque concurrió con su abogado defensor y allí solicitó su libertad inmediata con fundamento en el inicio del trámite del amparo constitucional. Destaca que el artículo 8.2 de la Convención no es pertinente en el presente caso porque el proceso de deportación y su aprehensión no se sustentan en la comisión de un delito. En todo caso, señala que el peticionario fue informado de forma debida de la acusación en su contra, contó con el tiempo suficiente para preparar su defensa, y se le asignó un abogado de oficio, </w:t>
      </w:r>
      <w:r w:rsidR="000B235C" w:rsidRPr="00A10EEE">
        <w:rPr>
          <w:rFonts w:asciiTheme="majorHAnsi" w:hAnsiTheme="majorHAnsi"/>
          <w:color w:val="000000" w:themeColor="text1"/>
          <w:sz w:val="20"/>
          <w:szCs w:val="20"/>
          <w:lang w:val="es-VE"/>
        </w:rPr>
        <w:t xml:space="preserve">y </w:t>
      </w:r>
      <w:r w:rsidR="00143109" w:rsidRPr="00A10EEE">
        <w:rPr>
          <w:rFonts w:asciiTheme="majorHAnsi" w:hAnsiTheme="majorHAnsi"/>
          <w:color w:val="000000" w:themeColor="text1"/>
          <w:sz w:val="20"/>
          <w:szCs w:val="20"/>
          <w:lang w:val="es-VE"/>
        </w:rPr>
        <w:t>el procesado luego t</w:t>
      </w:r>
      <w:r w:rsidR="000B235C" w:rsidRPr="00A10EEE">
        <w:rPr>
          <w:rFonts w:asciiTheme="majorHAnsi" w:hAnsiTheme="majorHAnsi"/>
          <w:color w:val="000000" w:themeColor="text1"/>
          <w:sz w:val="20"/>
          <w:szCs w:val="20"/>
          <w:lang w:val="es-VE"/>
        </w:rPr>
        <w:t>uvo un</w:t>
      </w:r>
      <w:r w:rsidR="00143109" w:rsidRPr="00A10EEE">
        <w:rPr>
          <w:rFonts w:asciiTheme="majorHAnsi" w:hAnsiTheme="majorHAnsi"/>
          <w:color w:val="000000" w:themeColor="text1"/>
          <w:sz w:val="20"/>
          <w:szCs w:val="20"/>
          <w:lang w:val="es-VE"/>
        </w:rPr>
        <w:t xml:space="preserve"> abogado de confianza. </w:t>
      </w:r>
    </w:p>
    <w:p w14:paraId="102D9651" w14:textId="77777777" w:rsidR="00014A88" w:rsidRPr="00A10EEE" w:rsidRDefault="00014A88" w:rsidP="00D81C50">
      <w:pPr>
        <w:tabs>
          <w:tab w:val="left" w:pos="360"/>
        </w:tabs>
        <w:jc w:val="both"/>
        <w:rPr>
          <w:rFonts w:asciiTheme="majorHAnsi" w:hAnsiTheme="majorHAnsi"/>
          <w:color w:val="000000" w:themeColor="text1"/>
          <w:sz w:val="20"/>
          <w:szCs w:val="20"/>
          <w:lang w:val="es-VE"/>
        </w:rPr>
      </w:pPr>
    </w:p>
    <w:p w14:paraId="3FEC66CF" w14:textId="77777777" w:rsidR="00A9420F" w:rsidRPr="00A10EEE" w:rsidRDefault="003678A5" w:rsidP="00D81C50">
      <w:pPr>
        <w:numPr>
          <w:ilvl w:val="0"/>
          <w:numId w:val="55"/>
        </w:numPr>
        <w:tabs>
          <w:tab w:val="left" w:pos="360"/>
        </w:tabs>
        <w:ind w:left="0" w:firstLine="0"/>
        <w:jc w:val="both"/>
        <w:rPr>
          <w:rFonts w:asciiTheme="majorHAnsi" w:hAnsiTheme="majorHAnsi"/>
          <w:color w:val="000000" w:themeColor="text1"/>
          <w:sz w:val="20"/>
          <w:szCs w:val="20"/>
          <w:lang w:val="es-VE"/>
        </w:rPr>
      </w:pPr>
      <w:r w:rsidRPr="00A10EEE">
        <w:rPr>
          <w:rFonts w:asciiTheme="majorHAnsi" w:hAnsiTheme="majorHAnsi"/>
          <w:color w:val="000000" w:themeColor="text1"/>
          <w:sz w:val="20"/>
          <w:szCs w:val="20"/>
          <w:lang w:val="es-VE"/>
        </w:rPr>
        <w:t xml:space="preserve">Sobre la alegada violación al artículo 7 de la Convención, </w:t>
      </w:r>
      <w:r w:rsidR="00E47F86" w:rsidRPr="00A10EEE">
        <w:rPr>
          <w:rFonts w:asciiTheme="majorHAnsi" w:hAnsiTheme="majorHAnsi"/>
          <w:color w:val="000000" w:themeColor="text1"/>
          <w:sz w:val="20"/>
          <w:szCs w:val="20"/>
          <w:lang w:val="es-VE"/>
        </w:rPr>
        <w:t xml:space="preserve">aduce que </w:t>
      </w:r>
      <w:r w:rsidR="002D4676" w:rsidRPr="00A10EEE">
        <w:rPr>
          <w:rFonts w:asciiTheme="majorHAnsi" w:hAnsiTheme="majorHAnsi"/>
          <w:color w:val="000000" w:themeColor="text1"/>
          <w:sz w:val="20"/>
          <w:szCs w:val="20"/>
          <w:lang w:val="es-VE"/>
        </w:rPr>
        <w:t>el 5 de diciembre de 2001 se ordenó a la Policía de Migración aprehender al señor Gattas para iniciar el proceso de deportación y</w:t>
      </w:r>
      <w:r w:rsidR="009D2DEB" w:rsidRPr="00A10EEE">
        <w:rPr>
          <w:rFonts w:asciiTheme="majorHAnsi" w:hAnsiTheme="majorHAnsi"/>
          <w:color w:val="000000" w:themeColor="text1"/>
          <w:sz w:val="20"/>
          <w:szCs w:val="20"/>
          <w:lang w:val="es-VE"/>
        </w:rPr>
        <w:t>,</w:t>
      </w:r>
      <w:r w:rsidRPr="00A10EEE">
        <w:rPr>
          <w:rFonts w:asciiTheme="majorHAnsi" w:hAnsiTheme="majorHAnsi"/>
          <w:color w:val="000000" w:themeColor="text1"/>
          <w:sz w:val="20"/>
          <w:szCs w:val="20"/>
          <w:lang w:val="es-VE"/>
        </w:rPr>
        <w:t xml:space="preserve"> </w:t>
      </w:r>
      <w:r w:rsidR="00A64807" w:rsidRPr="00A10EEE">
        <w:rPr>
          <w:rFonts w:asciiTheme="majorHAnsi" w:hAnsiTheme="majorHAnsi"/>
          <w:color w:val="000000" w:themeColor="text1"/>
          <w:sz w:val="20"/>
          <w:szCs w:val="20"/>
          <w:lang w:val="es-VE"/>
        </w:rPr>
        <w:t xml:space="preserve">como consta en el parte policial del 5 de diciembre de 2001, al señor Elías Gattass Sahih se le informaron sus derechos constitucionales al momento de la </w:t>
      </w:r>
      <w:r w:rsidR="00C85372" w:rsidRPr="00A10EEE">
        <w:rPr>
          <w:rFonts w:asciiTheme="majorHAnsi" w:hAnsiTheme="majorHAnsi"/>
          <w:color w:val="000000" w:themeColor="text1"/>
          <w:sz w:val="20"/>
          <w:szCs w:val="20"/>
          <w:lang w:val="es-VE"/>
        </w:rPr>
        <w:t>detención</w:t>
      </w:r>
      <w:r w:rsidR="00A64807" w:rsidRPr="00A10EEE">
        <w:rPr>
          <w:rFonts w:asciiTheme="majorHAnsi" w:hAnsiTheme="majorHAnsi"/>
          <w:color w:val="000000" w:themeColor="text1"/>
          <w:sz w:val="20"/>
          <w:szCs w:val="20"/>
          <w:lang w:val="es-VE"/>
        </w:rPr>
        <w:t xml:space="preserve">. </w:t>
      </w:r>
      <w:r w:rsidR="00CD490D" w:rsidRPr="00A10EEE">
        <w:rPr>
          <w:rFonts w:asciiTheme="majorHAnsi" w:hAnsiTheme="majorHAnsi"/>
          <w:color w:val="000000" w:themeColor="text1"/>
          <w:sz w:val="20"/>
          <w:szCs w:val="20"/>
          <w:lang w:val="es-VE"/>
        </w:rPr>
        <w:t>Agrega que la privación de la lib</w:t>
      </w:r>
      <w:r w:rsidR="009D2DEB" w:rsidRPr="00A10EEE">
        <w:rPr>
          <w:rFonts w:asciiTheme="majorHAnsi" w:hAnsiTheme="majorHAnsi"/>
          <w:color w:val="000000" w:themeColor="text1"/>
          <w:sz w:val="20"/>
          <w:szCs w:val="20"/>
          <w:lang w:val="es-VE"/>
        </w:rPr>
        <w:t>ertad del peticionario se efectu</w:t>
      </w:r>
      <w:r w:rsidR="00CD490D" w:rsidRPr="00A10EEE">
        <w:rPr>
          <w:rFonts w:asciiTheme="majorHAnsi" w:hAnsiTheme="majorHAnsi"/>
          <w:color w:val="000000" w:themeColor="text1"/>
          <w:sz w:val="20"/>
          <w:szCs w:val="20"/>
          <w:lang w:val="es-VE"/>
        </w:rPr>
        <w:t xml:space="preserve">ó de manera legal, verificándose que la misma se fundamentó en normas prescritas en el ordenamiento jurídico ecuatoriano, </w:t>
      </w:r>
      <w:r w:rsidR="00E9406B" w:rsidRPr="00A10EEE">
        <w:rPr>
          <w:rFonts w:asciiTheme="majorHAnsi" w:hAnsiTheme="majorHAnsi"/>
          <w:color w:val="000000" w:themeColor="text1"/>
          <w:sz w:val="20"/>
          <w:szCs w:val="20"/>
          <w:lang w:val="es-VE"/>
        </w:rPr>
        <w:t xml:space="preserve">y permitiendo </w:t>
      </w:r>
      <w:r w:rsidR="002E653D" w:rsidRPr="00A10EEE">
        <w:rPr>
          <w:rFonts w:asciiTheme="majorHAnsi" w:hAnsiTheme="majorHAnsi"/>
          <w:color w:val="000000" w:themeColor="text1"/>
          <w:sz w:val="20"/>
          <w:szCs w:val="20"/>
          <w:lang w:val="es-VE"/>
        </w:rPr>
        <w:t xml:space="preserve">su </w:t>
      </w:r>
      <w:r w:rsidR="00E9406B" w:rsidRPr="00A10EEE">
        <w:rPr>
          <w:rFonts w:asciiTheme="majorHAnsi" w:hAnsiTheme="majorHAnsi"/>
          <w:color w:val="000000" w:themeColor="text1"/>
          <w:sz w:val="20"/>
          <w:szCs w:val="20"/>
          <w:lang w:val="es-VE"/>
        </w:rPr>
        <w:t>derecho a la defensa</w:t>
      </w:r>
      <w:r w:rsidR="000B235C" w:rsidRPr="00A10EEE">
        <w:rPr>
          <w:rFonts w:asciiTheme="majorHAnsi" w:hAnsiTheme="majorHAnsi"/>
          <w:color w:val="000000" w:themeColor="text1"/>
          <w:sz w:val="20"/>
          <w:szCs w:val="20"/>
          <w:lang w:val="es-VE"/>
        </w:rPr>
        <w:t xml:space="preserve">. </w:t>
      </w:r>
    </w:p>
    <w:p w14:paraId="6B30F4AE" w14:textId="77777777" w:rsidR="00645549" w:rsidRPr="00A10EEE" w:rsidRDefault="00645549" w:rsidP="00D81C50">
      <w:pPr>
        <w:tabs>
          <w:tab w:val="left" w:pos="360"/>
        </w:tabs>
        <w:jc w:val="both"/>
        <w:rPr>
          <w:rFonts w:asciiTheme="majorHAnsi" w:hAnsiTheme="majorHAnsi"/>
          <w:color w:val="000000" w:themeColor="text1"/>
          <w:sz w:val="20"/>
          <w:szCs w:val="20"/>
          <w:lang w:val="es-VE"/>
        </w:rPr>
      </w:pPr>
    </w:p>
    <w:p w14:paraId="50279D1D" w14:textId="77777777" w:rsidR="00BD5D29" w:rsidRPr="00A10EEE" w:rsidRDefault="00A9420F" w:rsidP="00D81C50">
      <w:pPr>
        <w:numPr>
          <w:ilvl w:val="0"/>
          <w:numId w:val="55"/>
        </w:numPr>
        <w:tabs>
          <w:tab w:val="left" w:pos="360"/>
        </w:tabs>
        <w:ind w:left="0" w:firstLine="0"/>
        <w:jc w:val="both"/>
        <w:rPr>
          <w:rFonts w:asciiTheme="majorHAnsi" w:hAnsiTheme="majorHAnsi"/>
          <w:color w:val="000000" w:themeColor="text1"/>
          <w:sz w:val="20"/>
          <w:szCs w:val="20"/>
          <w:lang w:val="es-VE"/>
        </w:rPr>
      </w:pPr>
      <w:r w:rsidRPr="00A10EEE">
        <w:rPr>
          <w:rFonts w:asciiTheme="majorHAnsi" w:hAnsiTheme="majorHAnsi"/>
          <w:color w:val="000000" w:themeColor="text1"/>
          <w:sz w:val="20"/>
          <w:szCs w:val="20"/>
          <w:lang w:val="es-VE"/>
        </w:rPr>
        <w:t xml:space="preserve">En relación con la alegada violación del artículo 22 de la Convención, el Estado señala que </w:t>
      </w:r>
      <w:r w:rsidR="00B203C0" w:rsidRPr="00A10EEE">
        <w:rPr>
          <w:rFonts w:asciiTheme="majorHAnsi" w:hAnsiTheme="majorHAnsi"/>
          <w:color w:val="000000" w:themeColor="text1"/>
          <w:sz w:val="20"/>
          <w:szCs w:val="20"/>
          <w:lang w:val="es-VE"/>
        </w:rPr>
        <w:t>el señor Elías Gattass alteró el orden público, la vida de mi</w:t>
      </w:r>
      <w:r w:rsidR="00AD3B6D" w:rsidRPr="00A10EEE">
        <w:rPr>
          <w:rFonts w:asciiTheme="majorHAnsi" w:hAnsiTheme="majorHAnsi"/>
          <w:color w:val="000000" w:themeColor="text1"/>
          <w:sz w:val="20"/>
          <w:szCs w:val="20"/>
          <w:lang w:val="es-VE"/>
        </w:rPr>
        <w:t>l</w:t>
      </w:r>
      <w:r w:rsidR="00B203C0" w:rsidRPr="00A10EEE">
        <w:rPr>
          <w:rFonts w:asciiTheme="majorHAnsi" w:hAnsiTheme="majorHAnsi"/>
          <w:color w:val="000000" w:themeColor="text1"/>
          <w:sz w:val="20"/>
          <w:szCs w:val="20"/>
          <w:lang w:val="es-VE"/>
        </w:rPr>
        <w:t xml:space="preserve">es de agricultores, su </w:t>
      </w:r>
      <w:r w:rsidR="00AD3B6D" w:rsidRPr="00A10EEE">
        <w:rPr>
          <w:rFonts w:asciiTheme="majorHAnsi" w:hAnsiTheme="majorHAnsi"/>
          <w:color w:val="000000" w:themeColor="text1"/>
          <w:sz w:val="20"/>
          <w:szCs w:val="20"/>
          <w:lang w:val="es-VE"/>
        </w:rPr>
        <w:t>v</w:t>
      </w:r>
      <w:r w:rsidR="00B203C0" w:rsidRPr="00A10EEE">
        <w:rPr>
          <w:rFonts w:asciiTheme="majorHAnsi" w:hAnsiTheme="majorHAnsi"/>
          <w:color w:val="000000" w:themeColor="text1"/>
          <w:sz w:val="20"/>
          <w:szCs w:val="20"/>
          <w:lang w:val="es-VE"/>
        </w:rPr>
        <w:t>ida conyugal, la vida de la familia, la vida de su hija quien se vio obligada a irse a Alemania</w:t>
      </w:r>
      <w:r w:rsidR="00C36454" w:rsidRPr="00A10EEE">
        <w:rPr>
          <w:rFonts w:asciiTheme="majorHAnsi" w:hAnsiTheme="majorHAnsi"/>
          <w:color w:val="000000" w:themeColor="text1"/>
          <w:sz w:val="20"/>
          <w:szCs w:val="20"/>
          <w:lang w:val="es-VE"/>
        </w:rPr>
        <w:t xml:space="preserve"> para escapar de las agresiones de su padre. Agrega que el peticionario no puede aducir violación a su derecho a la circulación porque ha estado en el país durante más de 15 años. </w:t>
      </w:r>
      <w:r w:rsidR="001979E1" w:rsidRPr="00A10EEE">
        <w:rPr>
          <w:rFonts w:asciiTheme="majorHAnsi" w:hAnsiTheme="majorHAnsi"/>
          <w:color w:val="000000" w:themeColor="text1"/>
          <w:sz w:val="20"/>
          <w:szCs w:val="20"/>
          <w:lang w:val="es-VE"/>
        </w:rPr>
        <w:t xml:space="preserve">Además, ha salido e ingresado </w:t>
      </w:r>
      <w:r w:rsidR="000B235C" w:rsidRPr="00A10EEE">
        <w:rPr>
          <w:rFonts w:asciiTheme="majorHAnsi" w:hAnsiTheme="majorHAnsi"/>
          <w:color w:val="000000" w:themeColor="text1"/>
          <w:sz w:val="20"/>
          <w:szCs w:val="20"/>
          <w:lang w:val="es-VE"/>
        </w:rPr>
        <w:t>de Ecuador</w:t>
      </w:r>
      <w:r w:rsidR="001979E1" w:rsidRPr="00A10EEE">
        <w:rPr>
          <w:rFonts w:asciiTheme="majorHAnsi" w:hAnsiTheme="majorHAnsi"/>
          <w:color w:val="000000" w:themeColor="text1"/>
          <w:sz w:val="20"/>
          <w:szCs w:val="20"/>
          <w:lang w:val="es-VE"/>
        </w:rPr>
        <w:t xml:space="preserve"> en varias ocasiones por lo que lo que se discute en el caso no es un impedimento para visitar a su hija.  </w:t>
      </w:r>
      <w:r w:rsidR="008C20C6" w:rsidRPr="00A10EEE">
        <w:rPr>
          <w:rFonts w:asciiTheme="majorHAnsi" w:hAnsiTheme="majorHAnsi"/>
          <w:color w:val="000000" w:themeColor="text1"/>
          <w:sz w:val="20"/>
          <w:szCs w:val="20"/>
          <w:lang w:val="es-VE"/>
        </w:rPr>
        <w:t>Señala que el artículo 22 n</w:t>
      </w:r>
      <w:r w:rsidR="00176661" w:rsidRPr="00A10EEE">
        <w:rPr>
          <w:rFonts w:asciiTheme="majorHAnsi" w:hAnsiTheme="majorHAnsi"/>
          <w:color w:val="000000" w:themeColor="text1"/>
          <w:sz w:val="20"/>
          <w:szCs w:val="20"/>
          <w:lang w:val="es-VE"/>
        </w:rPr>
        <w:t xml:space="preserve">o puede ser leído sin interpretar </w:t>
      </w:r>
      <w:r w:rsidR="00F73B54" w:rsidRPr="00A10EEE">
        <w:rPr>
          <w:rFonts w:asciiTheme="majorHAnsi" w:hAnsiTheme="majorHAnsi"/>
          <w:color w:val="000000" w:themeColor="text1"/>
          <w:sz w:val="20"/>
          <w:szCs w:val="20"/>
          <w:lang w:val="es-VE"/>
        </w:rPr>
        <w:t>a su vez el artículo 22.2 que señala que el ejercicio de los der</w:t>
      </w:r>
      <w:r w:rsidR="000B235C" w:rsidRPr="00A10EEE">
        <w:rPr>
          <w:rFonts w:asciiTheme="majorHAnsi" w:hAnsiTheme="majorHAnsi"/>
          <w:color w:val="000000" w:themeColor="text1"/>
          <w:sz w:val="20"/>
          <w:szCs w:val="20"/>
          <w:lang w:val="es-VE"/>
        </w:rPr>
        <w:t>e</w:t>
      </w:r>
      <w:r w:rsidR="00F73B54" w:rsidRPr="00A10EEE">
        <w:rPr>
          <w:rFonts w:asciiTheme="majorHAnsi" w:hAnsiTheme="majorHAnsi"/>
          <w:color w:val="000000" w:themeColor="text1"/>
          <w:sz w:val="20"/>
          <w:szCs w:val="20"/>
          <w:lang w:val="es-VE"/>
        </w:rPr>
        <w:t xml:space="preserve">chos antes descritos no puede ser restringido sin una ley. </w:t>
      </w:r>
      <w:r w:rsidR="00BD5D29" w:rsidRPr="00A10EEE">
        <w:rPr>
          <w:rFonts w:asciiTheme="majorHAnsi" w:hAnsiTheme="majorHAnsi"/>
          <w:color w:val="000000" w:themeColor="text1"/>
          <w:sz w:val="20"/>
          <w:szCs w:val="20"/>
          <w:lang w:val="es-VE"/>
        </w:rPr>
        <w:t>En todo caso, señaló que el peticionario nunca ha visto restringido su derecho</w:t>
      </w:r>
      <w:r w:rsidR="00443A4E" w:rsidRPr="00A10EEE">
        <w:rPr>
          <w:rFonts w:asciiTheme="majorHAnsi" w:hAnsiTheme="majorHAnsi"/>
          <w:color w:val="000000" w:themeColor="text1"/>
          <w:sz w:val="20"/>
          <w:szCs w:val="20"/>
          <w:lang w:val="es-VE"/>
        </w:rPr>
        <w:t xml:space="preserve"> </w:t>
      </w:r>
      <w:r w:rsidR="00BD5D29" w:rsidRPr="00A10EEE">
        <w:rPr>
          <w:rFonts w:asciiTheme="majorHAnsi" w:hAnsiTheme="majorHAnsi"/>
          <w:color w:val="000000" w:themeColor="text1"/>
          <w:sz w:val="20"/>
          <w:szCs w:val="20"/>
          <w:lang w:val="es-VE"/>
        </w:rPr>
        <w:t>a a la libertad de cir</w:t>
      </w:r>
      <w:r w:rsidR="00314D80" w:rsidRPr="00A10EEE">
        <w:rPr>
          <w:rFonts w:asciiTheme="majorHAnsi" w:hAnsiTheme="majorHAnsi"/>
          <w:color w:val="000000" w:themeColor="text1"/>
          <w:sz w:val="20"/>
          <w:szCs w:val="20"/>
          <w:lang w:val="es-VE"/>
        </w:rPr>
        <w:t>c</w:t>
      </w:r>
      <w:r w:rsidR="00BD5D29" w:rsidRPr="00A10EEE">
        <w:rPr>
          <w:rFonts w:asciiTheme="majorHAnsi" w:hAnsiTheme="majorHAnsi"/>
          <w:color w:val="000000" w:themeColor="text1"/>
          <w:sz w:val="20"/>
          <w:szCs w:val="20"/>
          <w:lang w:val="es-VE"/>
        </w:rPr>
        <w:t>ulación porque ha tenido varias visas, que le han permitido ingresar y salir del país, lo cual demuestra que no hubo restricciones a su libertad</w:t>
      </w:r>
      <w:r w:rsidR="0049471D" w:rsidRPr="00A10EEE">
        <w:rPr>
          <w:rFonts w:asciiTheme="majorHAnsi" w:hAnsiTheme="majorHAnsi"/>
          <w:color w:val="000000" w:themeColor="text1"/>
          <w:sz w:val="20"/>
          <w:szCs w:val="20"/>
          <w:lang w:val="es-VE"/>
        </w:rPr>
        <w:t>, ni violación al artículo 22 de la Convención, menos ahora que ostenta la calidad de ciudadano ecuatoriano</w:t>
      </w:r>
      <w:r w:rsidR="00BD5D29" w:rsidRPr="00A10EEE">
        <w:rPr>
          <w:rFonts w:asciiTheme="majorHAnsi" w:hAnsiTheme="majorHAnsi"/>
          <w:color w:val="000000" w:themeColor="text1"/>
          <w:sz w:val="20"/>
          <w:szCs w:val="20"/>
          <w:lang w:val="es-VE"/>
        </w:rPr>
        <w:t xml:space="preserve">. </w:t>
      </w:r>
    </w:p>
    <w:p w14:paraId="1AC33C93" w14:textId="77777777" w:rsidR="00645549" w:rsidRPr="00A10EEE" w:rsidRDefault="00645549" w:rsidP="00D81C50">
      <w:pPr>
        <w:tabs>
          <w:tab w:val="left" w:pos="360"/>
        </w:tabs>
        <w:jc w:val="both"/>
        <w:rPr>
          <w:rFonts w:asciiTheme="majorHAnsi" w:hAnsiTheme="majorHAnsi"/>
          <w:color w:val="000000" w:themeColor="text1"/>
          <w:sz w:val="20"/>
          <w:szCs w:val="20"/>
          <w:lang w:val="es-VE"/>
        </w:rPr>
      </w:pPr>
    </w:p>
    <w:p w14:paraId="4EF7A17A" w14:textId="77777777" w:rsidR="00645549" w:rsidRPr="00A10EEE" w:rsidRDefault="00645549" w:rsidP="00D81C50">
      <w:pPr>
        <w:numPr>
          <w:ilvl w:val="0"/>
          <w:numId w:val="55"/>
        </w:numPr>
        <w:tabs>
          <w:tab w:val="left" w:pos="360"/>
        </w:tabs>
        <w:ind w:left="0" w:firstLine="0"/>
        <w:jc w:val="both"/>
        <w:rPr>
          <w:rFonts w:asciiTheme="majorHAnsi" w:hAnsiTheme="majorHAnsi"/>
          <w:color w:val="000000" w:themeColor="text1"/>
          <w:sz w:val="20"/>
          <w:szCs w:val="20"/>
          <w:lang w:val="es-VE"/>
        </w:rPr>
      </w:pPr>
      <w:r w:rsidRPr="00A10EEE">
        <w:rPr>
          <w:rFonts w:asciiTheme="majorHAnsi" w:hAnsiTheme="majorHAnsi"/>
          <w:color w:val="000000" w:themeColor="text1"/>
          <w:sz w:val="20"/>
          <w:szCs w:val="20"/>
          <w:lang w:val="es-VE"/>
        </w:rPr>
        <w:t xml:space="preserve">En relación con el artículo 25 considera que el señor Sahih contó con recursos judiciales que efectivamente utilizó. En su criterio, el hecho de que no se resuelva un recurso judicial a favor del peticionario, no implica que el Estado transgreda los derechos garantizados en el artículo 8 de la Convención Americana. Agrega que en ningún momento se ha negado un recurso efectivo al señor Elías Gattass Sahih, muestra de ello fue el recurso de amparo constitucional en primera y segunda instancia que posteriormente fue ratificado por </w:t>
      </w:r>
      <w:r w:rsidR="00BF5DA2" w:rsidRPr="00A10EEE">
        <w:rPr>
          <w:rFonts w:asciiTheme="majorHAnsi" w:hAnsiTheme="majorHAnsi"/>
          <w:color w:val="000000" w:themeColor="text1"/>
          <w:sz w:val="20"/>
          <w:szCs w:val="20"/>
          <w:lang w:val="es-VE"/>
        </w:rPr>
        <w:t>considerar</w:t>
      </w:r>
      <w:r w:rsidRPr="00A10EEE">
        <w:rPr>
          <w:rFonts w:asciiTheme="majorHAnsi" w:hAnsiTheme="majorHAnsi"/>
          <w:color w:val="000000" w:themeColor="text1"/>
          <w:sz w:val="20"/>
          <w:szCs w:val="20"/>
          <w:lang w:val="es-VE"/>
        </w:rPr>
        <w:t xml:space="preserve"> las acciones estatales como legítimas y debidamente motivadas.  </w:t>
      </w:r>
    </w:p>
    <w:p w14:paraId="0CFAA981" w14:textId="77777777" w:rsidR="00645549" w:rsidRPr="00A10EEE" w:rsidRDefault="00645549" w:rsidP="00D81C50">
      <w:pPr>
        <w:tabs>
          <w:tab w:val="left" w:pos="360"/>
        </w:tabs>
        <w:jc w:val="both"/>
        <w:rPr>
          <w:rFonts w:asciiTheme="majorHAnsi" w:hAnsiTheme="majorHAnsi"/>
          <w:color w:val="000000" w:themeColor="text1"/>
          <w:sz w:val="20"/>
          <w:szCs w:val="20"/>
          <w:lang w:val="es-VE"/>
        </w:rPr>
      </w:pPr>
    </w:p>
    <w:p w14:paraId="074567B9" w14:textId="77777777" w:rsidR="00645549" w:rsidRPr="00A10EEE" w:rsidRDefault="00645549" w:rsidP="00D81C50">
      <w:pPr>
        <w:numPr>
          <w:ilvl w:val="0"/>
          <w:numId w:val="55"/>
        </w:numPr>
        <w:tabs>
          <w:tab w:val="left" w:pos="360"/>
        </w:tabs>
        <w:ind w:left="0" w:firstLine="0"/>
        <w:jc w:val="both"/>
        <w:rPr>
          <w:rFonts w:asciiTheme="majorHAnsi" w:hAnsiTheme="majorHAnsi"/>
          <w:color w:val="000000" w:themeColor="text1"/>
          <w:sz w:val="20"/>
          <w:szCs w:val="20"/>
          <w:lang w:val="es-VE"/>
        </w:rPr>
      </w:pPr>
      <w:r w:rsidRPr="00A10EEE">
        <w:rPr>
          <w:rFonts w:asciiTheme="majorHAnsi" w:hAnsiTheme="majorHAnsi"/>
          <w:color w:val="000000" w:themeColor="text1"/>
          <w:sz w:val="20"/>
          <w:szCs w:val="20"/>
          <w:lang w:val="es-VE"/>
        </w:rPr>
        <w:t>Agrega el Estado que, después de la decisión de amparo que ordenó suspender el cumplimiento de la resolución del Consejo Consultivo de Política Migratoria, la acción de deportación intentó continuar su curso. Sin emb</w:t>
      </w:r>
      <w:r w:rsidR="00BF5DA2" w:rsidRPr="00A10EEE">
        <w:rPr>
          <w:rFonts w:asciiTheme="majorHAnsi" w:hAnsiTheme="majorHAnsi"/>
          <w:color w:val="000000" w:themeColor="text1"/>
          <w:sz w:val="20"/>
          <w:szCs w:val="20"/>
          <w:lang w:val="es-VE"/>
        </w:rPr>
        <w:t>a</w:t>
      </w:r>
      <w:r w:rsidRPr="00A10EEE">
        <w:rPr>
          <w:rFonts w:asciiTheme="majorHAnsi" w:hAnsiTheme="majorHAnsi"/>
          <w:color w:val="000000" w:themeColor="text1"/>
          <w:sz w:val="20"/>
          <w:szCs w:val="20"/>
          <w:lang w:val="es-VE"/>
        </w:rPr>
        <w:t xml:space="preserve">rgo, el 16 de diciembre de 2001 el señor Sahih viajó a Estados Unidos, probablemente huyendo de sus acreedores en Ecuador; por lo tanto, la acción de deportación quedó suspendida. </w:t>
      </w:r>
    </w:p>
    <w:p w14:paraId="0CA8DDFB" w14:textId="77777777" w:rsidR="00AD3B6D" w:rsidRPr="00A10EEE" w:rsidRDefault="00AD3B6D" w:rsidP="00D81C50">
      <w:pPr>
        <w:tabs>
          <w:tab w:val="left" w:pos="360"/>
        </w:tabs>
        <w:jc w:val="both"/>
        <w:rPr>
          <w:rFonts w:asciiTheme="majorHAnsi" w:hAnsiTheme="majorHAnsi"/>
          <w:color w:val="000000" w:themeColor="text1"/>
          <w:sz w:val="20"/>
          <w:szCs w:val="20"/>
          <w:lang w:val="es-VE"/>
        </w:rPr>
      </w:pPr>
    </w:p>
    <w:p w14:paraId="45589B62" w14:textId="77777777" w:rsidR="00AD3B6D" w:rsidRPr="00A10EEE" w:rsidRDefault="00AD3B6D" w:rsidP="00D81C50">
      <w:pPr>
        <w:numPr>
          <w:ilvl w:val="0"/>
          <w:numId w:val="55"/>
        </w:numPr>
        <w:tabs>
          <w:tab w:val="left" w:pos="360"/>
        </w:tabs>
        <w:ind w:left="0" w:firstLine="0"/>
        <w:jc w:val="both"/>
        <w:rPr>
          <w:rFonts w:asciiTheme="majorHAnsi" w:hAnsiTheme="majorHAnsi"/>
          <w:color w:val="000000" w:themeColor="text1"/>
          <w:sz w:val="20"/>
          <w:szCs w:val="20"/>
          <w:lang w:val="es-VE"/>
        </w:rPr>
      </w:pPr>
      <w:r w:rsidRPr="00A10EEE">
        <w:rPr>
          <w:rFonts w:asciiTheme="majorHAnsi" w:hAnsiTheme="majorHAnsi"/>
          <w:color w:val="000000" w:themeColor="text1"/>
          <w:sz w:val="20"/>
          <w:szCs w:val="20"/>
          <w:lang w:val="es-VE"/>
        </w:rPr>
        <w:t xml:space="preserve">Señala que llama la atención del Estado que peticionario aduzca la violación del artículo 2 de la Convención, puesto que el señor Sahih contó con una amplia normativa que contenía derechos y obligaciones respecto a los extranjeros, empleadas por el peticionario. También indica que el marco jurídico vigente al momento de los hechos se componía por la Constitución Política del Ecuador, que establecía normas generales del debido proceso, la Ley de Extranjería, la Ley de Migración, y sus reglamentos, así como los convenios internacionales de protección de derechos humanos específicos de migración y refugio. Considera que ello es demostrativo de una estructura normativa suficiente en relación con su política migratoria. </w:t>
      </w:r>
    </w:p>
    <w:p w14:paraId="734DD717" w14:textId="77777777" w:rsidR="00FD6B05" w:rsidRPr="00A10EEE" w:rsidRDefault="00FD6B05" w:rsidP="00D81C50">
      <w:pPr>
        <w:tabs>
          <w:tab w:val="left" w:pos="360"/>
        </w:tabs>
        <w:jc w:val="both"/>
        <w:rPr>
          <w:rFonts w:asciiTheme="majorHAnsi" w:hAnsiTheme="majorHAnsi"/>
          <w:color w:val="000000" w:themeColor="text1"/>
          <w:sz w:val="20"/>
          <w:szCs w:val="20"/>
          <w:lang w:val="es-VE"/>
        </w:rPr>
      </w:pPr>
    </w:p>
    <w:p w14:paraId="0C417B0E" w14:textId="77777777" w:rsidR="00130BCF" w:rsidRPr="00A10EEE" w:rsidRDefault="00613A93" w:rsidP="00D81C50">
      <w:pPr>
        <w:numPr>
          <w:ilvl w:val="0"/>
          <w:numId w:val="55"/>
        </w:numPr>
        <w:tabs>
          <w:tab w:val="left" w:pos="360"/>
        </w:tabs>
        <w:ind w:left="0" w:firstLine="0"/>
        <w:jc w:val="both"/>
        <w:rPr>
          <w:rFonts w:asciiTheme="majorHAnsi" w:hAnsiTheme="majorHAnsi"/>
          <w:color w:val="000000" w:themeColor="text1"/>
          <w:sz w:val="20"/>
          <w:szCs w:val="20"/>
          <w:lang w:val="es-VE"/>
        </w:rPr>
      </w:pPr>
      <w:r w:rsidRPr="00A10EEE">
        <w:rPr>
          <w:rFonts w:asciiTheme="majorHAnsi" w:hAnsiTheme="majorHAnsi"/>
          <w:color w:val="000000" w:themeColor="text1"/>
          <w:sz w:val="20"/>
          <w:szCs w:val="20"/>
          <w:lang w:val="es-VE"/>
        </w:rPr>
        <w:t xml:space="preserve">Finalmente, el Estado </w:t>
      </w:r>
      <w:r w:rsidR="00FD2DC8" w:rsidRPr="00A10EEE">
        <w:rPr>
          <w:rFonts w:asciiTheme="majorHAnsi" w:hAnsiTheme="majorHAnsi"/>
          <w:color w:val="000000" w:themeColor="text1"/>
          <w:sz w:val="20"/>
          <w:szCs w:val="20"/>
          <w:lang w:val="es-VE"/>
        </w:rPr>
        <w:t>señala que después de su revocatoria de visa de inmigrante VI, el señor Sahih obtuvo una visa de</w:t>
      </w:r>
      <w:r w:rsidR="002C5F84" w:rsidRPr="00A10EEE">
        <w:rPr>
          <w:rFonts w:asciiTheme="majorHAnsi" w:hAnsiTheme="majorHAnsi"/>
          <w:color w:val="000000" w:themeColor="text1"/>
          <w:sz w:val="20"/>
          <w:szCs w:val="20"/>
          <w:lang w:val="es-VE"/>
        </w:rPr>
        <w:t xml:space="preserve"> inversionista, y desde 2013 obtuvo la nacionalidad ecuatoriana. Por ello, </w:t>
      </w:r>
      <w:r w:rsidRPr="00A10EEE">
        <w:rPr>
          <w:rFonts w:asciiTheme="majorHAnsi" w:hAnsiTheme="majorHAnsi"/>
          <w:color w:val="000000" w:themeColor="text1"/>
          <w:sz w:val="20"/>
          <w:szCs w:val="20"/>
          <w:lang w:val="es-VE"/>
        </w:rPr>
        <w:t>estima que en el presente caso exi</w:t>
      </w:r>
      <w:r w:rsidR="002C5F84" w:rsidRPr="00A10EEE">
        <w:rPr>
          <w:rFonts w:asciiTheme="majorHAnsi" w:hAnsiTheme="majorHAnsi"/>
          <w:color w:val="000000" w:themeColor="text1"/>
          <w:sz w:val="20"/>
          <w:szCs w:val="20"/>
          <w:lang w:val="es-VE"/>
        </w:rPr>
        <w:t>s</w:t>
      </w:r>
      <w:r w:rsidRPr="00A10EEE">
        <w:rPr>
          <w:rFonts w:asciiTheme="majorHAnsi" w:hAnsiTheme="majorHAnsi"/>
          <w:color w:val="000000" w:themeColor="text1"/>
          <w:sz w:val="20"/>
          <w:szCs w:val="20"/>
          <w:lang w:val="es-VE"/>
        </w:rPr>
        <w:t xml:space="preserve">ten hechos sobrevinientes </w:t>
      </w:r>
      <w:r w:rsidR="00D52D0C" w:rsidRPr="00A10EEE">
        <w:rPr>
          <w:rFonts w:asciiTheme="majorHAnsi" w:hAnsiTheme="majorHAnsi"/>
          <w:color w:val="000000" w:themeColor="text1"/>
          <w:sz w:val="20"/>
          <w:szCs w:val="20"/>
          <w:lang w:val="es-VE"/>
        </w:rPr>
        <w:t xml:space="preserve">después de la adopción del informe de admisibilidad, </w:t>
      </w:r>
      <w:r w:rsidRPr="00A10EEE">
        <w:rPr>
          <w:rFonts w:asciiTheme="majorHAnsi" w:hAnsiTheme="majorHAnsi"/>
          <w:color w:val="000000" w:themeColor="text1"/>
          <w:sz w:val="20"/>
          <w:szCs w:val="20"/>
          <w:lang w:val="es-VE"/>
        </w:rPr>
        <w:t>en virtud de los cuales la petición se torna im</w:t>
      </w:r>
      <w:r w:rsidR="00D66C31" w:rsidRPr="00A10EEE">
        <w:rPr>
          <w:rFonts w:asciiTheme="majorHAnsi" w:hAnsiTheme="majorHAnsi"/>
          <w:color w:val="000000" w:themeColor="text1"/>
          <w:sz w:val="20"/>
          <w:szCs w:val="20"/>
          <w:lang w:val="es-VE"/>
        </w:rPr>
        <w:t xml:space="preserve">procedente. </w:t>
      </w:r>
    </w:p>
    <w:p w14:paraId="471A7890" w14:textId="77777777" w:rsidR="002C5F84" w:rsidRPr="00A10EEE" w:rsidRDefault="002C5F84" w:rsidP="00D81C50">
      <w:pPr>
        <w:tabs>
          <w:tab w:val="left" w:pos="360"/>
        </w:tabs>
        <w:jc w:val="both"/>
        <w:rPr>
          <w:rFonts w:asciiTheme="majorHAnsi" w:hAnsiTheme="majorHAnsi"/>
          <w:color w:val="000000" w:themeColor="text1"/>
          <w:sz w:val="20"/>
          <w:szCs w:val="20"/>
          <w:lang w:val="es-VE"/>
        </w:rPr>
      </w:pPr>
    </w:p>
    <w:p w14:paraId="5D901A28" w14:textId="77777777" w:rsidR="00130BCF" w:rsidRPr="00A10EEE" w:rsidRDefault="00130BCF" w:rsidP="00D81C50">
      <w:pPr>
        <w:numPr>
          <w:ilvl w:val="0"/>
          <w:numId w:val="55"/>
        </w:numPr>
        <w:tabs>
          <w:tab w:val="left" w:pos="360"/>
        </w:tabs>
        <w:ind w:left="0" w:firstLine="0"/>
        <w:jc w:val="both"/>
        <w:rPr>
          <w:rFonts w:asciiTheme="majorHAnsi" w:hAnsiTheme="majorHAnsi"/>
          <w:color w:val="000000" w:themeColor="text1"/>
          <w:sz w:val="20"/>
          <w:szCs w:val="20"/>
          <w:lang w:val="es-VE"/>
        </w:rPr>
      </w:pPr>
      <w:r w:rsidRPr="00A10EEE">
        <w:rPr>
          <w:rFonts w:asciiTheme="majorHAnsi" w:hAnsiTheme="majorHAnsi"/>
          <w:color w:val="000000" w:themeColor="text1"/>
          <w:sz w:val="20"/>
          <w:szCs w:val="20"/>
          <w:lang w:val="es-VE"/>
        </w:rPr>
        <w:t xml:space="preserve">En conclusión solicita que la Comisión deseche las pretensiones del peticionario y declare la inexistencia de vulneración de los artículos 2, 7, 8, 22 y 25 de la Convención Americana. </w:t>
      </w:r>
    </w:p>
    <w:p w14:paraId="7C48554E" w14:textId="77777777" w:rsidR="008266A7" w:rsidRPr="00A10EEE" w:rsidRDefault="007171B3" w:rsidP="00D81C50">
      <w:pPr>
        <w:tabs>
          <w:tab w:val="left" w:pos="360"/>
        </w:tabs>
        <w:jc w:val="both"/>
        <w:rPr>
          <w:rFonts w:asciiTheme="majorHAnsi" w:hAnsiTheme="majorHAnsi"/>
          <w:color w:val="000000" w:themeColor="text1"/>
          <w:sz w:val="20"/>
          <w:szCs w:val="20"/>
          <w:lang w:val="es-VE"/>
        </w:rPr>
      </w:pPr>
      <w:r w:rsidRPr="00A10EEE">
        <w:rPr>
          <w:rFonts w:asciiTheme="majorHAnsi" w:hAnsiTheme="majorHAnsi"/>
          <w:color w:val="000000" w:themeColor="text1"/>
          <w:sz w:val="20"/>
          <w:szCs w:val="20"/>
          <w:lang w:val="es-VE"/>
        </w:rPr>
        <w:t xml:space="preserve"> </w:t>
      </w:r>
    </w:p>
    <w:p w14:paraId="7DFD9D4C" w14:textId="77777777" w:rsidR="00D12193" w:rsidRPr="0075684A" w:rsidRDefault="00D12193" w:rsidP="00B8126D">
      <w:pPr>
        <w:pStyle w:val="Heading1"/>
      </w:pPr>
      <w:bookmarkStart w:id="6" w:name="_Toc39489209"/>
      <w:r w:rsidRPr="0075684A">
        <w:t>DETERMINACIONES DE HECHO</w:t>
      </w:r>
      <w:bookmarkEnd w:id="6"/>
      <w:r w:rsidR="008A078F" w:rsidRPr="0075684A">
        <w:t xml:space="preserve"> </w:t>
      </w:r>
    </w:p>
    <w:p w14:paraId="05887881" w14:textId="77777777" w:rsidR="00B95E54" w:rsidRPr="00A10EEE" w:rsidRDefault="00B95E54" w:rsidP="00D81C50">
      <w:pPr>
        <w:pStyle w:val="parrafos"/>
        <w:numPr>
          <w:ilvl w:val="0"/>
          <w:numId w:val="0"/>
        </w:numPr>
        <w:rPr>
          <w:b/>
          <w:color w:val="FF0000"/>
          <w:lang w:val="es-ES_tradnl"/>
        </w:rPr>
      </w:pPr>
    </w:p>
    <w:p w14:paraId="5F83A522" w14:textId="77777777" w:rsidR="00B95E54" w:rsidRPr="00A10EEE" w:rsidRDefault="00B95E54" w:rsidP="00845DB1">
      <w:pPr>
        <w:pStyle w:val="parrafos"/>
        <w:numPr>
          <w:ilvl w:val="0"/>
          <w:numId w:val="57"/>
        </w:numPr>
        <w:rPr>
          <w:b/>
          <w:bdr w:val="none" w:sz="0" w:space="0" w:color="auto"/>
        </w:rPr>
      </w:pPr>
      <w:r w:rsidRPr="00A10EEE">
        <w:rPr>
          <w:b/>
          <w:bdr w:val="none" w:sz="0" w:space="0" w:color="auto"/>
        </w:rPr>
        <w:t>Hechos del caso</w:t>
      </w:r>
    </w:p>
    <w:p w14:paraId="5862F300" w14:textId="77777777" w:rsidR="00B95E54" w:rsidRPr="00A10EEE" w:rsidRDefault="00B95E54" w:rsidP="00D81C50">
      <w:pPr>
        <w:pStyle w:val="parrafos"/>
        <w:numPr>
          <w:ilvl w:val="0"/>
          <w:numId w:val="0"/>
        </w:numPr>
        <w:rPr>
          <w:bdr w:val="none" w:sz="0" w:space="0" w:color="auto"/>
        </w:rPr>
      </w:pPr>
    </w:p>
    <w:p w14:paraId="6711252F" w14:textId="77777777" w:rsidR="00B10CCB" w:rsidRPr="00A10EEE" w:rsidRDefault="00E81005" w:rsidP="00D81C50">
      <w:pPr>
        <w:pStyle w:val="parrafos"/>
        <w:ind w:left="0" w:firstLine="0"/>
        <w:rPr>
          <w:bdr w:val="none" w:sz="0" w:space="0" w:color="auto"/>
        </w:rPr>
      </w:pPr>
      <w:r w:rsidRPr="00A10EEE">
        <w:rPr>
          <w:bdr w:val="none" w:sz="0" w:space="0" w:color="auto"/>
        </w:rPr>
        <w:t>Elías Gattass Sahih es de origen libanés. El 3 de abril de 1998, contrajo matrimonio con la ciudadana ecuatoriana Leila Carvajal Erker, con quien tuvo una hija nacida en Ecuador el 21 de mayo de 1999.</w:t>
      </w:r>
    </w:p>
    <w:p w14:paraId="17CC6247" w14:textId="77777777" w:rsidR="00B10CCB" w:rsidRPr="00A10EEE" w:rsidRDefault="00B10CCB" w:rsidP="00D81C50">
      <w:pPr>
        <w:pStyle w:val="parrafos"/>
        <w:numPr>
          <w:ilvl w:val="0"/>
          <w:numId w:val="0"/>
        </w:numPr>
        <w:rPr>
          <w:bdr w:val="none" w:sz="0" w:space="0" w:color="auto"/>
        </w:rPr>
      </w:pPr>
    </w:p>
    <w:p w14:paraId="16E30E58" w14:textId="77777777" w:rsidR="00B10CCB" w:rsidRPr="00A10EEE" w:rsidRDefault="00E81005" w:rsidP="00D81C50">
      <w:pPr>
        <w:pStyle w:val="parrafos"/>
        <w:ind w:left="0" w:firstLine="0"/>
        <w:rPr>
          <w:bdr w:val="none" w:sz="0" w:space="0" w:color="auto"/>
        </w:rPr>
      </w:pPr>
      <w:r w:rsidRPr="00A10EEE">
        <w:rPr>
          <w:rFonts w:eastAsia="Times New Roman" w:cs="Arial"/>
          <w:bCs/>
          <w:iCs/>
        </w:rPr>
        <w:t>En razón de su matrimonio con una ciudadana ecuatoriana, el 15 de octubre de 2001, Elías G</w:t>
      </w:r>
      <w:r w:rsidR="0044669D" w:rsidRPr="00A10EEE">
        <w:rPr>
          <w:rFonts w:eastAsia="Times New Roman" w:cs="Arial"/>
          <w:bCs/>
          <w:iCs/>
        </w:rPr>
        <w:t>attass Sahih obtuvo la visa de i</w:t>
      </w:r>
      <w:r w:rsidRPr="00A10EEE">
        <w:rPr>
          <w:rFonts w:eastAsia="Times New Roman" w:cs="Arial"/>
          <w:bCs/>
          <w:iCs/>
        </w:rPr>
        <w:t>nmigrante VI. Lo anterior, con fundamento en el artículo 10 de la Ley de Extranjería, según el cual es inmigrante todo extranjero que se interna legal y condicionalmente en el país con el propósito de radicarse y de</w:t>
      </w:r>
      <w:r w:rsidR="00EA222C" w:rsidRPr="00A10EEE">
        <w:rPr>
          <w:rFonts w:eastAsia="Times New Roman" w:cs="Arial"/>
          <w:bCs/>
          <w:iCs/>
        </w:rPr>
        <w:t>sarrollar</w:t>
      </w:r>
      <w:r w:rsidRPr="00A10EEE">
        <w:rPr>
          <w:rFonts w:eastAsia="Times New Roman" w:cs="Arial"/>
          <w:bCs/>
          <w:iCs/>
        </w:rPr>
        <w:t xml:space="preserve"> las actividades autorizadas, específicamente la causal VI indica</w:t>
      </w:r>
      <w:r w:rsidR="005F7E06" w:rsidRPr="00A10EEE">
        <w:rPr>
          <w:rFonts w:eastAsia="Times New Roman" w:cs="Arial"/>
          <w:bCs/>
          <w:iCs/>
        </w:rPr>
        <w:t>ba</w:t>
      </w:r>
      <w:r w:rsidRPr="00A10EEE">
        <w:rPr>
          <w:rFonts w:eastAsia="Times New Roman" w:cs="Arial"/>
          <w:bCs/>
          <w:iCs/>
        </w:rPr>
        <w:t>: “para vivir bajo la dependencia económica del cónyuge o de un pariente consanguíneo dentro del segundo grado”</w:t>
      </w:r>
      <w:r w:rsidRPr="00A10EEE">
        <w:rPr>
          <w:rStyle w:val="FootnoteReference"/>
          <w:rFonts w:eastAsia="Times New Roman" w:cs="Arial"/>
          <w:bCs/>
          <w:iCs/>
        </w:rPr>
        <w:footnoteReference w:id="3"/>
      </w:r>
      <w:r w:rsidRPr="00A10EEE">
        <w:rPr>
          <w:rFonts w:eastAsia="Times New Roman" w:cs="Arial"/>
          <w:bCs/>
          <w:iCs/>
        </w:rPr>
        <w:t xml:space="preserve">. </w:t>
      </w:r>
    </w:p>
    <w:p w14:paraId="1FAA0390" w14:textId="77777777" w:rsidR="00B10CCB" w:rsidRPr="00A10EEE" w:rsidRDefault="00B10CCB" w:rsidP="00D81C50">
      <w:pPr>
        <w:pStyle w:val="parrafos"/>
        <w:numPr>
          <w:ilvl w:val="0"/>
          <w:numId w:val="0"/>
        </w:numPr>
        <w:rPr>
          <w:rFonts w:eastAsia="Times New Roman" w:cs="Arial"/>
          <w:bCs/>
          <w:iCs/>
        </w:rPr>
      </w:pPr>
    </w:p>
    <w:p w14:paraId="58576AA0" w14:textId="77777777" w:rsidR="00E81005" w:rsidRPr="00A10EEE" w:rsidRDefault="00E81005" w:rsidP="00D81C50">
      <w:pPr>
        <w:pStyle w:val="parrafos"/>
        <w:ind w:left="0" w:firstLine="0"/>
        <w:rPr>
          <w:bdr w:val="none" w:sz="0" w:space="0" w:color="auto"/>
        </w:rPr>
      </w:pPr>
      <w:r w:rsidRPr="00A10EEE">
        <w:rPr>
          <w:rFonts w:eastAsia="Times New Roman" w:cs="Arial"/>
          <w:bCs/>
          <w:iCs/>
        </w:rPr>
        <w:t>El 10 de julio de 2001, Leila Carvajal Erker denunció ante la Comisaría de la mujer y del niño a su cónyuge por su actitud hostil y amenazante, manifestando que le ha prohibido a ella y a su hija tener cercanía con su padre y hermano y advirtiéndole que “pued[e] amanecer ahogada en su propia cama, si lleg[a] a desconocer sus prohibiciones”</w:t>
      </w:r>
      <w:r w:rsidRPr="00A10EEE">
        <w:rPr>
          <w:rStyle w:val="FootnoteReference"/>
          <w:rFonts w:eastAsia="Times New Roman" w:cs="Arial"/>
          <w:bCs/>
          <w:iCs/>
        </w:rPr>
        <w:footnoteReference w:id="4"/>
      </w:r>
      <w:r w:rsidRPr="00A10EEE">
        <w:rPr>
          <w:rFonts w:eastAsia="Times New Roman" w:cs="Arial"/>
          <w:bCs/>
          <w:iCs/>
        </w:rPr>
        <w:t>. En la misma fecha, la Comisaría concedió medidas de amparo a favor de la denunciante y ordenó al intervención de la Oficina de Defensa de los Derechos de la Mujer y la Familia de la Policía Nacional para que realizaran una investigación</w:t>
      </w:r>
      <w:r w:rsidRPr="00A10EEE">
        <w:rPr>
          <w:rStyle w:val="FootnoteReference"/>
          <w:rFonts w:eastAsia="Times New Roman" w:cs="Arial"/>
          <w:bCs/>
          <w:iCs/>
        </w:rPr>
        <w:footnoteReference w:id="5"/>
      </w:r>
      <w:r w:rsidRPr="00A10EEE">
        <w:rPr>
          <w:rFonts w:eastAsia="Times New Roman" w:cs="Arial"/>
          <w:bCs/>
          <w:iCs/>
        </w:rPr>
        <w:t xml:space="preserve">. </w:t>
      </w:r>
    </w:p>
    <w:p w14:paraId="2CA2689F" w14:textId="77777777" w:rsidR="00E81005" w:rsidRPr="00A10EEE" w:rsidRDefault="00E81005" w:rsidP="00D81C50">
      <w:pPr>
        <w:tabs>
          <w:tab w:val="left" w:pos="360"/>
        </w:tabs>
        <w:jc w:val="both"/>
        <w:rPr>
          <w:rFonts w:asciiTheme="majorHAnsi" w:eastAsia="Times New Roman" w:hAnsiTheme="majorHAnsi" w:cs="Arial"/>
          <w:bCs/>
          <w:iCs/>
          <w:color w:val="000000" w:themeColor="text1"/>
          <w:sz w:val="20"/>
          <w:szCs w:val="20"/>
        </w:rPr>
      </w:pPr>
    </w:p>
    <w:p w14:paraId="6D947633" w14:textId="77777777" w:rsidR="00E81005" w:rsidRPr="00A10EEE" w:rsidRDefault="00E81005" w:rsidP="00D81C50">
      <w:pPr>
        <w:pStyle w:val="parrafos"/>
        <w:ind w:left="0" w:firstLine="0"/>
        <w:rPr>
          <w:rFonts w:eastAsia="Times New Roman" w:cs="Arial"/>
          <w:bCs/>
          <w:iCs/>
        </w:rPr>
      </w:pPr>
      <w:r w:rsidRPr="00A10EEE">
        <w:rPr>
          <w:rFonts w:eastAsia="Times New Roman" w:cs="Arial"/>
          <w:bCs/>
          <w:iCs/>
        </w:rPr>
        <w:lastRenderedPageBreak/>
        <w:t>El 22 de noviembre de 2001, el Consejo Consultivo de Política Migratoria, del Ministerio de Gobierno, resolvió una petición de la apoderada de Leila Carvajal Er</w:t>
      </w:r>
      <w:r w:rsidR="0070066F" w:rsidRPr="00A10EEE">
        <w:rPr>
          <w:rFonts w:eastAsia="Times New Roman" w:cs="Arial"/>
          <w:bCs/>
          <w:iCs/>
        </w:rPr>
        <w:t>ker para que se le revocara la visa de i</w:t>
      </w:r>
      <w:r w:rsidRPr="00A10EEE">
        <w:rPr>
          <w:rFonts w:eastAsia="Times New Roman" w:cs="Arial"/>
          <w:bCs/>
          <w:iCs/>
        </w:rPr>
        <w:t>nmigrante a Elías Gattass Sahih por su conducta impropia. Con fundamento en los artículos 7 y 8 literal a) de la Ley de Extranjería , el artículo 62 del Reglamento de la Ley de Extranjería, en concordancia con el Capítulo IV de la Ley de Migración, y al analizar los hechos descritos, el Consejo Consultivo consideró que la conducta de</w:t>
      </w:r>
      <w:r w:rsidR="00B26344" w:rsidRPr="00A10EEE">
        <w:rPr>
          <w:rFonts w:eastAsia="Times New Roman" w:cs="Arial"/>
          <w:bCs/>
          <w:iCs/>
        </w:rPr>
        <w:t xml:space="preserve"> Elías</w:t>
      </w:r>
      <w:r w:rsidRPr="00A10EEE">
        <w:rPr>
          <w:rFonts w:eastAsia="Times New Roman" w:cs="Arial"/>
          <w:bCs/>
          <w:iCs/>
        </w:rPr>
        <w:t xml:space="preserve"> Gattass Sahih era impropia y atentaba contra la paz y tranquilidad familiar y por ende el orden social y comunitario. En consecuencia,  ordenó “revocar la visa de inmigrante categoría VI, que tiene el señor Elías Gatas Sahih de nacionalidad libanesa y oficiar a la Policía de Migración para que lo ponga a </w:t>
      </w:r>
      <w:r w:rsidR="0029599A" w:rsidRPr="00A10EEE">
        <w:rPr>
          <w:rFonts w:eastAsia="Times New Roman" w:cs="Arial"/>
          <w:bCs/>
          <w:iCs/>
        </w:rPr>
        <w:t>órdenes</w:t>
      </w:r>
      <w:r w:rsidRPr="00A10EEE">
        <w:rPr>
          <w:rFonts w:eastAsia="Times New Roman" w:cs="Arial"/>
          <w:bCs/>
          <w:iCs/>
        </w:rPr>
        <w:t xml:space="preserve"> del Intendente de Policía y se lleva a cabo el proceso de deportación”</w:t>
      </w:r>
      <w:r w:rsidRPr="00A10EEE">
        <w:rPr>
          <w:vertAlign w:val="superscript"/>
        </w:rPr>
        <w:footnoteReference w:id="6"/>
      </w:r>
      <w:r w:rsidRPr="00A10EEE">
        <w:rPr>
          <w:rFonts w:eastAsia="Times New Roman" w:cs="Arial"/>
          <w:bCs/>
          <w:iCs/>
        </w:rPr>
        <w:t>.</w:t>
      </w:r>
    </w:p>
    <w:p w14:paraId="73876594" w14:textId="77777777" w:rsidR="00E81005" w:rsidRPr="00A10EEE" w:rsidRDefault="00E81005" w:rsidP="00D81C50">
      <w:pPr>
        <w:pStyle w:val="parrafos"/>
        <w:numPr>
          <w:ilvl w:val="0"/>
          <w:numId w:val="0"/>
        </w:numPr>
        <w:rPr>
          <w:rFonts w:eastAsia="Times New Roman" w:cs="Arial"/>
          <w:bCs/>
          <w:iCs/>
        </w:rPr>
      </w:pPr>
    </w:p>
    <w:p w14:paraId="2C50E411" w14:textId="77777777" w:rsidR="00E81005" w:rsidRPr="00A10EEE" w:rsidRDefault="00E81005" w:rsidP="00D81C50">
      <w:pPr>
        <w:pStyle w:val="parrafos"/>
        <w:ind w:left="0" w:firstLine="0"/>
        <w:rPr>
          <w:rFonts w:eastAsia="Times New Roman" w:cs="Arial"/>
          <w:bCs/>
          <w:iCs/>
        </w:rPr>
      </w:pPr>
      <w:r w:rsidRPr="00A10EEE">
        <w:rPr>
          <w:rFonts w:eastAsia="Times New Roman" w:cs="Arial"/>
          <w:bCs/>
          <w:iCs/>
        </w:rPr>
        <w:t>El 28 de noviembre, el Director General de Extranjería y Presidente del Consejo Consultivo de Política Migratoria comunicó la decisión del Consejo Consultivo de Política Migratoria al Intendente General de Policía del Guayas para que tome las medidas necesarias para su cumplimiento</w:t>
      </w:r>
      <w:r w:rsidRPr="00A10EEE">
        <w:rPr>
          <w:vertAlign w:val="superscript"/>
        </w:rPr>
        <w:footnoteReference w:id="7"/>
      </w:r>
      <w:r w:rsidRPr="00A10EEE">
        <w:rPr>
          <w:rFonts w:eastAsia="Times New Roman" w:cs="Arial"/>
          <w:bCs/>
          <w:iCs/>
        </w:rPr>
        <w:t>. En cumplimiento de ello, el Intendente General de la Policía de</w:t>
      </w:r>
      <w:r w:rsidR="00B26344" w:rsidRPr="00A10EEE">
        <w:rPr>
          <w:rFonts w:eastAsia="Times New Roman" w:cs="Arial"/>
          <w:bCs/>
          <w:iCs/>
        </w:rPr>
        <w:t>l</w:t>
      </w:r>
      <w:r w:rsidRPr="00A10EEE">
        <w:rPr>
          <w:rFonts w:eastAsia="Times New Roman" w:cs="Arial"/>
          <w:bCs/>
          <w:iCs/>
        </w:rPr>
        <w:t xml:space="preserve"> Guayas envió la decisión del Consejo Consultivo al Jefe Provinci</w:t>
      </w:r>
      <w:r w:rsidR="00B26344" w:rsidRPr="00A10EEE">
        <w:rPr>
          <w:rFonts w:eastAsia="Times New Roman" w:cs="Arial"/>
          <w:bCs/>
          <w:iCs/>
        </w:rPr>
        <w:t>a</w:t>
      </w:r>
      <w:r w:rsidRPr="00A10EEE">
        <w:rPr>
          <w:rFonts w:eastAsia="Times New Roman" w:cs="Arial"/>
          <w:bCs/>
          <w:iCs/>
        </w:rPr>
        <w:t>l de Migración de</w:t>
      </w:r>
      <w:r w:rsidR="00B26344" w:rsidRPr="00A10EEE">
        <w:rPr>
          <w:rFonts w:eastAsia="Times New Roman" w:cs="Arial"/>
          <w:bCs/>
          <w:iCs/>
        </w:rPr>
        <w:t>l</w:t>
      </w:r>
      <w:r w:rsidRPr="00A10EEE">
        <w:rPr>
          <w:rFonts w:eastAsia="Times New Roman" w:cs="Arial"/>
          <w:bCs/>
          <w:iCs/>
        </w:rPr>
        <w:t xml:space="preserve"> Guayas para dar cumplimiento a la resolución</w:t>
      </w:r>
      <w:r w:rsidRPr="00A10EEE">
        <w:rPr>
          <w:vertAlign w:val="superscript"/>
        </w:rPr>
        <w:footnoteReference w:id="8"/>
      </w:r>
      <w:r w:rsidRPr="00A10EEE">
        <w:rPr>
          <w:rFonts w:eastAsia="Times New Roman" w:cs="Arial"/>
          <w:bCs/>
          <w:iCs/>
        </w:rPr>
        <w:t xml:space="preserve">. </w:t>
      </w:r>
    </w:p>
    <w:p w14:paraId="364A190C" w14:textId="77777777" w:rsidR="00E81005" w:rsidRPr="00A10EEE" w:rsidRDefault="00E81005" w:rsidP="00D81C50">
      <w:pPr>
        <w:pStyle w:val="parrafos"/>
        <w:numPr>
          <w:ilvl w:val="0"/>
          <w:numId w:val="0"/>
        </w:numPr>
        <w:rPr>
          <w:rFonts w:eastAsia="Times New Roman" w:cs="Arial"/>
          <w:bCs/>
          <w:iCs/>
        </w:rPr>
      </w:pPr>
    </w:p>
    <w:p w14:paraId="53AFB607" w14:textId="77777777" w:rsidR="002D7F53" w:rsidRPr="00A10EEE" w:rsidRDefault="00E81005" w:rsidP="00D81C50">
      <w:pPr>
        <w:pStyle w:val="parrafos"/>
        <w:ind w:left="0" w:firstLine="0"/>
        <w:rPr>
          <w:rFonts w:eastAsia="Times New Roman" w:cs="Arial"/>
          <w:bCs/>
          <w:iCs/>
        </w:rPr>
      </w:pPr>
      <w:r w:rsidRPr="00A10EEE">
        <w:rPr>
          <w:rFonts w:eastAsia="Times New Roman" w:cs="Arial"/>
          <w:bCs/>
          <w:iCs/>
        </w:rPr>
        <w:t>El 3 de diciembre de 2001, Elías Sahih Gattass fue aprehendido y trasladado a las Oficinas de la Jefatura Provincial de Migración de Guayas. Según el acta de Policía, al momento de la aprehensión se le indicaron sus derechos constitucionales</w:t>
      </w:r>
      <w:r w:rsidRPr="00A10EEE">
        <w:rPr>
          <w:vertAlign w:val="superscript"/>
        </w:rPr>
        <w:footnoteReference w:id="9"/>
      </w:r>
      <w:r w:rsidRPr="00A10EEE">
        <w:rPr>
          <w:rFonts w:eastAsia="Times New Roman" w:cs="Arial"/>
          <w:bCs/>
          <w:iCs/>
        </w:rPr>
        <w:t xml:space="preserve">. </w:t>
      </w:r>
    </w:p>
    <w:p w14:paraId="16E70E20" w14:textId="77777777" w:rsidR="002D7F53" w:rsidRPr="00A10EEE" w:rsidRDefault="002D7F53" w:rsidP="00D81C50">
      <w:pPr>
        <w:pStyle w:val="parrafos"/>
        <w:numPr>
          <w:ilvl w:val="0"/>
          <w:numId w:val="0"/>
        </w:numPr>
        <w:rPr>
          <w:rFonts w:eastAsia="Times New Roman" w:cs="Arial"/>
          <w:bCs/>
          <w:iCs/>
        </w:rPr>
      </w:pPr>
    </w:p>
    <w:p w14:paraId="3915A476" w14:textId="77777777" w:rsidR="002D7F53" w:rsidRPr="00A10EEE" w:rsidRDefault="00E81005" w:rsidP="00D81C50">
      <w:pPr>
        <w:pStyle w:val="parrafos"/>
        <w:ind w:left="0" w:firstLine="0"/>
        <w:rPr>
          <w:rFonts w:eastAsia="Times New Roman" w:cs="Arial"/>
          <w:bCs/>
          <w:iCs/>
        </w:rPr>
      </w:pPr>
      <w:r w:rsidRPr="00A10EEE">
        <w:rPr>
          <w:rFonts w:eastAsia="Times New Roman" w:cs="Arial"/>
          <w:bCs/>
          <w:iCs/>
        </w:rPr>
        <w:t>En cumplimiento de los anteriores oficios, el 6 de diciembre de 2001, el Intendente General de la Policía de</w:t>
      </w:r>
      <w:r w:rsidR="006062BC" w:rsidRPr="00A10EEE">
        <w:rPr>
          <w:rFonts w:eastAsia="Times New Roman" w:cs="Arial"/>
          <w:bCs/>
          <w:iCs/>
        </w:rPr>
        <w:t>l</w:t>
      </w:r>
      <w:r w:rsidRPr="00A10EEE">
        <w:rPr>
          <w:rFonts w:eastAsia="Times New Roman" w:cs="Arial"/>
          <w:bCs/>
          <w:iCs/>
        </w:rPr>
        <w:t xml:space="preserve"> Guayas dictó acción penal de deportación contra Al Sahih Elías Gattas, con fundamento en el artículo 23 de la Ley de Migración, que le otorga dicha competencia</w:t>
      </w:r>
      <w:r w:rsidRPr="00A10EEE">
        <w:rPr>
          <w:rStyle w:val="FootnoteReference"/>
          <w:rFonts w:eastAsia="Times New Roman" w:cs="Arial"/>
          <w:bCs/>
          <w:iCs/>
        </w:rPr>
        <w:footnoteReference w:id="10"/>
      </w:r>
      <w:r w:rsidR="0023296B" w:rsidRPr="00A10EEE">
        <w:rPr>
          <w:rFonts w:eastAsia="Times New Roman" w:cs="Arial"/>
          <w:bCs/>
          <w:iCs/>
        </w:rPr>
        <w:t>. En el mismo oficio</w:t>
      </w:r>
      <w:r w:rsidRPr="00A10EEE">
        <w:rPr>
          <w:rFonts w:eastAsia="Times New Roman" w:cs="Arial"/>
          <w:bCs/>
          <w:iCs/>
        </w:rPr>
        <w:t xml:space="preserve"> fijó para el día siguiente, 7 de diciembre </w:t>
      </w:r>
      <w:r w:rsidR="0023296B" w:rsidRPr="00A10EEE">
        <w:rPr>
          <w:rFonts w:eastAsia="Times New Roman" w:cs="Arial"/>
          <w:bCs/>
          <w:iCs/>
        </w:rPr>
        <w:t xml:space="preserve">de 2001, </w:t>
      </w:r>
      <w:r w:rsidRPr="00A10EEE">
        <w:rPr>
          <w:rFonts w:eastAsia="Times New Roman" w:cs="Arial"/>
          <w:bCs/>
          <w:iCs/>
        </w:rPr>
        <w:t xml:space="preserve">a las 9 horas, la audiencia a la que debía concurrir Elías Gattass Sahih. </w:t>
      </w:r>
      <w:r w:rsidR="00435F70" w:rsidRPr="00A10EEE">
        <w:rPr>
          <w:rFonts w:eastAsia="Times New Roman" w:cs="Arial"/>
          <w:bCs/>
          <w:iCs/>
        </w:rPr>
        <w:t xml:space="preserve">De acuerdo con oficio del secretario de la Intendencia General de la Policía del Guayas, la audiencia oral de juzgamiento fijada para el 7 de diciembre de 2001 contra </w:t>
      </w:r>
      <w:r w:rsidR="007C085B" w:rsidRPr="00A10EEE">
        <w:rPr>
          <w:rFonts w:eastAsia="Times New Roman" w:cs="Arial"/>
          <w:bCs/>
          <w:iCs/>
        </w:rPr>
        <w:t>“</w:t>
      </w:r>
      <w:r w:rsidR="00435F70" w:rsidRPr="00A10EEE">
        <w:rPr>
          <w:rFonts w:eastAsia="Times New Roman" w:cs="Arial"/>
          <w:bCs/>
          <w:iCs/>
        </w:rPr>
        <w:t>Al Sahih Elías Gattass</w:t>
      </w:r>
      <w:r w:rsidR="007C085B" w:rsidRPr="00A10EEE">
        <w:rPr>
          <w:rFonts w:eastAsia="Times New Roman" w:cs="Arial"/>
          <w:bCs/>
          <w:iCs/>
        </w:rPr>
        <w:t>”</w:t>
      </w:r>
      <w:r w:rsidR="00D8609E" w:rsidRPr="00A10EEE">
        <w:rPr>
          <w:rFonts w:eastAsia="Times New Roman" w:cs="Arial"/>
          <w:bCs/>
          <w:iCs/>
        </w:rPr>
        <w:t xml:space="preserve"> no se realizó</w:t>
      </w:r>
      <w:r w:rsidR="00435F70" w:rsidRPr="00A10EEE">
        <w:rPr>
          <w:rStyle w:val="FootnoteReference"/>
          <w:rFonts w:eastAsia="Times New Roman" w:cs="Arial"/>
          <w:bCs/>
          <w:iCs/>
        </w:rPr>
        <w:footnoteReference w:id="11"/>
      </w:r>
      <w:r w:rsidR="00D8609E" w:rsidRPr="00A10EEE">
        <w:rPr>
          <w:rFonts w:eastAsia="Times New Roman" w:cs="Arial"/>
          <w:bCs/>
          <w:iCs/>
        </w:rPr>
        <w:t>.</w:t>
      </w:r>
      <w:r w:rsidR="00BA2342" w:rsidRPr="00A10EEE">
        <w:rPr>
          <w:rFonts w:eastAsia="Times New Roman" w:cs="Arial"/>
          <w:bCs/>
          <w:iCs/>
        </w:rPr>
        <w:t xml:space="preserve"> </w:t>
      </w:r>
    </w:p>
    <w:p w14:paraId="0E531D9C" w14:textId="77777777" w:rsidR="002D7F53" w:rsidRPr="00A10EEE" w:rsidRDefault="002D7F53" w:rsidP="00D81C50">
      <w:pPr>
        <w:pStyle w:val="parrafos"/>
        <w:numPr>
          <w:ilvl w:val="0"/>
          <w:numId w:val="0"/>
        </w:numPr>
        <w:rPr>
          <w:rFonts w:eastAsia="Times New Roman" w:cs="Arial"/>
          <w:bCs/>
          <w:iCs/>
        </w:rPr>
      </w:pPr>
    </w:p>
    <w:p w14:paraId="25A39BE0" w14:textId="77777777" w:rsidR="002D7F53" w:rsidRPr="00A10EEE" w:rsidRDefault="00435F70" w:rsidP="00D81C50">
      <w:pPr>
        <w:pStyle w:val="parrafos"/>
        <w:ind w:left="0" w:firstLine="0"/>
        <w:rPr>
          <w:rFonts w:eastAsia="Times New Roman" w:cs="Arial"/>
          <w:bCs/>
          <w:iCs/>
        </w:rPr>
      </w:pPr>
      <w:r w:rsidRPr="00A10EEE">
        <w:rPr>
          <w:rFonts w:eastAsia="Times New Roman" w:cs="Arial"/>
          <w:bCs/>
          <w:iCs/>
        </w:rPr>
        <w:t>El 7 de diciembre de 2001, el Cónsul del Líbano en Ecuador envió una comunicación al Defensor Adjunto del Litoral y Galápagos, manifestando tener conocimiento de la detención de Elías Ghattass Alsahih, a pesar de tener su documentación de residente en el país debidamente actualizada. Además, le solicitó hacer las gestiones pertinentes para lograr la libertad de Elías Ghattass Alsahih, por cuestiones de salud</w:t>
      </w:r>
      <w:r w:rsidRPr="00A10EEE">
        <w:rPr>
          <w:rStyle w:val="FootnoteReference"/>
          <w:rFonts w:eastAsia="Times New Roman" w:cs="Arial"/>
          <w:bCs/>
          <w:iCs/>
        </w:rPr>
        <w:footnoteReference w:id="12"/>
      </w:r>
      <w:r w:rsidRPr="00A10EEE">
        <w:rPr>
          <w:rFonts w:eastAsia="Times New Roman" w:cs="Arial"/>
          <w:bCs/>
          <w:iCs/>
        </w:rPr>
        <w:t>.  El 7 de julio de 2001, el Defensor Adjunto Segundo del Litoral y Galápagos comunicó al Intendente General</w:t>
      </w:r>
      <w:r w:rsidR="004B7863">
        <w:rPr>
          <w:rFonts w:eastAsia="Times New Roman" w:cs="Arial"/>
          <w:bCs/>
          <w:iCs/>
        </w:rPr>
        <w:t xml:space="preserve"> </w:t>
      </w:r>
      <w:r w:rsidRPr="00A10EEE">
        <w:rPr>
          <w:rFonts w:eastAsia="Times New Roman" w:cs="Arial"/>
          <w:bCs/>
          <w:iCs/>
        </w:rPr>
        <w:t>de Policí</w:t>
      </w:r>
      <w:r w:rsidR="00820481" w:rsidRPr="00A10EEE">
        <w:rPr>
          <w:rFonts w:eastAsia="Times New Roman" w:cs="Arial"/>
          <w:bCs/>
          <w:iCs/>
        </w:rPr>
        <w:t>a del Guayas que vigilaría</w:t>
      </w:r>
      <w:r w:rsidRPr="00A10EEE">
        <w:rPr>
          <w:rFonts w:eastAsia="Times New Roman" w:cs="Arial"/>
          <w:bCs/>
          <w:iCs/>
        </w:rPr>
        <w:t xml:space="preserve"> le proceso seguido contra Elías Gattass Sahih y solicitó copias del mismo</w:t>
      </w:r>
      <w:r w:rsidRPr="00A10EEE">
        <w:rPr>
          <w:rStyle w:val="FootnoteReference"/>
          <w:rFonts w:eastAsia="Times New Roman" w:cs="Arial"/>
          <w:bCs/>
          <w:iCs/>
        </w:rPr>
        <w:footnoteReference w:id="13"/>
      </w:r>
      <w:r w:rsidRPr="00A10EEE">
        <w:rPr>
          <w:rFonts w:eastAsia="Times New Roman" w:cs="Arial"/>
          <w:bCs/>
          <w:iCs/>
        </w:rPr>
        <w:t xml:space="preserve">. </w:t>
      </w:r>
      <w:r w:rsidR="00820481" w:rsidRPr="00A10EEE">
        <w:rPr>
          <w:rFonts w:eastAsia="Times New Roman" w:cs="Arial"/>
          <w:bCs/>
          <w:iCs/>
        </w:rPr>
        <w:t xml:space="preserve">El 8 de diciembre, el señor Elías Gattass Sahih presentó un escrito ante el Señor Intendente General de Policía de Guayas, en el que indicó que se encontraba detenido y solicitó que por condiciones de salud se le enviara urgentemente a </w:t>
      </w:r>
      <w:r w:rsidR="00E32067" w:rsidRPr="00A10EEE">
        <w:rPr>
          <w:rFonts w:eastAsia="Times New Roman" w:cs="Arial"/>
          <w:bCs/>
          <w:iCs/>
        </w:rPr>
        <w:t>una</w:t>
      </w:r>
      <w:r w:rsidR="00820481" w:rsidRPr="00A10EEE">
        <w:rPr>
          <w:rFonts w:eastAsia="Times New Roman" w:cs="Arial"/>
          <w:bCs/>
          <w:iCs/>
        </w:rPr>
        <w:t xml:space="preserve"> clínica</w:t>
      </w:r>
      <w:r w:rsidR="00E32067" w:rsidRPr="00A10EEE">
        <w:rPr>
          <w:rFonts w:eastAsia="Times New Roman" w:cs="Arial"/>
          <w:bCs/>
          <w:iCs/>
        </w:rPr>
        <w:t>.</w:t>
      </w:r>
      <w:r w:rsidR="00820481" w:rsidRPr="00A10EEE">
        <w:rPr>
          <w:rStyle w:val="FootnoteReference"/>
          <w:rFonts w:eastAsia="Times New Roman" w:cs="Arial"/>
          <w:bCs/>
          <w:iCs/>
        </w:rPr>
        <w:footnoteReference w:id="14"/>
      </w:r>
      <w:r w:rsidR="00820481" w:rsidRPr="00A10EEE">
        <w:rPr>
          <w:rFonts w:eastAsia="Times New Roman" w:cs="Arial"/>
          <w:bCs/>
          <w:iCs/>
        </w:rPr>
        <w:t xml:space="preserve">.  </w:t>
      </w:r>
    </w:p>
    <w:p w14:paraId="109FAEAE" w14:textId="77777777" w:rsidR="002D7F53" w:rsidRPr="00A10EEE" w:rsidRDefault="002D7F53" w:rsidP="00D81C50">
      <w:pPr>
        <w:pStyle w:val="parrafos"/>
        <w:numPr>
          <w:ilvl w:val="0"/>
          <w:numId w:val="0"/>
        </w:numPr>
        <w:rPr>
          <w:rFonts w:eastAsia="Times New Roman" w:cs="Arial"/>
          <w:bCs/>
          <w:iCs/>
        </w:rPr>
      </w:pPr>
    </w:p>
    <w:p w14:paraId="58FCF591" w14:textId="77777777" w:rsidR="002D7F53" w:rsidRPr="00A10EEE" w:rsidRDefault="00E81005" w:rsidP="00D81C50">
      <w:pPr>
        <w:pStyle w:val="parrafos"/>
        <w:ind w:left="0" w:firstLine="0"/>
        <w:rPr>
          <w:rFonts w:eastAsia="Times New Roman" w:cs="Arial"/>
          <w:bCs/>
          <w:iCs/>
        </w:rPr>
      </w:pPr>
      <w:r w:rsidRPr="00A10EEE">
        <w:rPr>
          <w:rFonts w:eastAsia="Times New Roman" w:cs="Arial"/>
          <w:bCs/>
          <w:iCs/>
        </w:rPr>
        <w:t>El 9 de diciembre de 2001, Elías Gattass Sahih presentó recurso de amparo constitucional contra las actuaciones del Consejo Consultivo de Política Migratoria, la Dirección General de Extranjería y el Intendente General de la Policía del Guayas. Argumentó que en el proceso de r</w:t>
      </w:r>
      <w:r w:rsidR="00FC5099" w:rsidRPr="00A10EEE">
        <w:rPr>
          <w:rFonts w:eastAsia="Times New Roman" w:cs="Arial"/>
          <w:bCs/>
          <w:iCs/>
        </w:rPr>
        <w:t>e</w:t>
      </w:r>
      <w:r w:rsidRPr="00A10EEE">
        <w:rPr>
          <w:rFonts w:eastAsia="Times New Roman" w:cs="Arial"/>
          <w:bCs/>
          <w:iCs/>
        </w:rPr>
        <w:t xml:space="preserve">vocatoria de visa de inmigrante se le negó su derecho a la defensa porque no se le permitió desvirtuar la denuncia en su contra y porque la Resolución del </w:t>
      </w:r>
      <w:r w:rsidRPr="00A10EEE">
        <w:rPr>
          <w:rFonts w:eastAsia="Times New Roman" w:cs="Arial"/>
          <w:bCs/>
          <w:iCs/>
        </w:rPr>
        <w:lastRenderedPageBreak/>
        <w:t xml:space="preserve">Consejo Consultivo carece de motivación porque no enunció los principios o normas en las que se fundamentó. </w:t>
      </w:r>
      <w:r w:rsidR="006144B1" w:rsidRPr="00A10EEE">
        <w:rPr>
          <w:rFonts w:eastAsia="Times New Roman" w:cs="Arial"/>
          <w:bCs/>
          <w:iCs/>
        </w:rPr>
        <w:t xml:space="preserve">Señaló que conoció la Resolución del Consejo Consultivo sólo al momento de su detención. </w:t>
      </w:r>
      <w:r w:rsidRPr="00A10EEE">
        <w:rPr>
          <w:rFonts w:eastAsia="Times New Roman" w:cs="Arial"/>
          <w:bCs/>
          <w:iCs/>
        </w:rPr>
        <w:t xml:space="preserve">Indicó que lleva más de 15 años en el país, donde ha invertido y ha generado trabajo a través de varias empresas, contrajo matrimonio y tiene </w:t>
      </w:r>
      <w:r w:rsidR="004D4C0E" w:rsidRPr="00A10EEE">
        <w:rPr>
          <w:rFonts w:eastAsia="Times New Roman" w:cs="Arial"/>
          <w:bCs/>
          <w:iCs/>
        </w:rPr>
        <w:t xml:space="preserve">una </w:t>
      </w:r>
      <w:r w:rsidRPr="00A10EEE">
        <w:rPr>
          <w:rFonts w:eastAsia="Times New Roman" w:cs="Arial"/>
          <w:bCs/>
          <w:iCs/>
        </w:rPr>
        <w:t>hija de dos años de edad, por ello, la decisión del Consejo Consultivo de Política Migratoria le impide e</w:t>
      </w:r>
      <w:r w:rsidR="004D4C0E" w:rsidRPr="00A10EEE">
        <w:rPr>
          <w:rFonts w:eastAsia="Times New Roman" w:cs="Arial"/>
          <w:bCs/>
          <w:iCs/>
        </w:rPr>
        <w:t>jercer sus derechos de padre so</w:t>
      </w:r>
      <w:r w:rsidRPr="00A10EEE">
        <w:rPr>
          <w:rFonts w:eastAsia="Times New Roman" w:cs="Arial"/>
          <w:bCs/>
          <w:iCs/>
        </w:rPr>
        <w:t>b</w:t>
      </w:r>
      <w:r w:rsidR="004D4C0E" w:rsidRPr="00A10EEE">
        <w:rPr>
          <w:rFonts w:eastAsia="Times New Roman" w:cs="Arial"/>
          <w:bCs/>
          <w:iCs/>
        </w:rPr>
        <w:t>r</w:t>
      </w:r>
      <w:r w:rsidRPr="00A10EEE">
        <w:rPr>
          <w:rFonts w:eastAsia="Times New Roman" w:cs="Arial"/>
          <w:bCs/>
          <w:iCs/>
        </w:rPr>
        <w:t>e su hija y pone en riesgo su derecho a la propiedad sobre varios bienes (que tenía</w:t>
      </w:r>
      <w:r w:rsidR="006062BC" w:rsidRPr="00A10EEE">
        <w:rPr>
          <w:rFonts w:eastAsia="Times New Roman" w:cs="Arial"/>
          <w:bCs/>
          <w:iCs/>
        </w:rPr>
        <w:t>n</w:t>
      </w:r>
      <w:r w:rsidRPr="00A10EEE">
        <w:rPr>
          <w:rFonts w:eastAsia="Times New Roman" w:cs="Arial"/>
          <w:bCs/>
          <w:iCs/>
        </w:rPr>
        <w:t xml:space="preserve"> varios procesos judiciales). Señaló que está en una situación de indefensión que transgrede también su derecho de acceder a la justicia</w:t>
      </w:r>
      <w:r w:rsidRPr="00A10EEE">
        <w:rPr>
          <w:rStyle w:val="FootnoteReference"/>
          <w:rFonts w:eastAsia="Times New Roman" w:cs="Arial"/>
          <w:bCs/>
          <w:iCs/>
        </w:rPr>
        <w:footnoteReference w:id="15"/>
      </w:r>
      <w:r w:rsidRPr="00A10EEE">
        <w:rPr>
          <w:rFonts w:eastAsia="Times New Roman" w:cs="Arial"/>
          <w:bCs/>
          <w:iCs/>
        </w:rPr>
        <w:t xml:space="preserve">. </w:t>
      </w:r>
    </w:p>
    <w:p w14:paraId="7B65A9E4" w14:textId="77777777" w:rsidR="002D7F53" w:rsidRPr="00A10EEE" w:rsidRDefault="002D7F53" w:rsidP="00D81C50">
      <w:pPr>
        <w:pStyle w:val="parrafos"/>
        <w:numPr>
          <w:ilvl w:val="0"/>
          <w:numId w:val="0"/>
        </w:numPr>
        <w:rPr>
          <w:rFonts w:eastAsia="Times New Roman" w:cs="Arial"/>
          <w:bCs/>
          <w:iCs/>
        </w:rPr>
      </w:pPr>
    </w:p>
    <w:p w14:paraId="06339774" w14:textId="77777777" w:rsidR="002D7F53" w:rsidRPr="00A10EEE" w:rsidRDefault="00E81005" w:rsidP="00D81C50">
      <w:pPr>
        <w:pStyle w:val="parrafos"/>
        <w:ind w:left="0" w:firstLine="0"/>
        <w:rPr>
          <w:rFonts w:eastAsia="Times New Roman" w:cs="Arial"/>
          <w:bCs/>
          <w:iCs/>
        </w:rPr>
      </w:pPr>
      <w:r w:rsidRPr="00A10EEE">
        <w:rPr>
          <w:rFonts w:eastAsia="Times New Roman" w:cs="Arial"/>
          <w:bCs/>
          <w:iCs/>
        </w:rPr>
        <w:t>E</w:t>
      </w:r>
      <w:r w:rsidR="002D7F53" w:rsidRPr="00A10EEE">
        <w:rPr>
          <w:rFonts w:eastAsia="Times New Roman" w:cs="Arial"/>
          <w:bCs/>
          <w:iCs/>
        </w:rPr>
        <w:t>l</w:t>
      </w:r>
      <w:r w:rsidRPr="00A10EEE">
        <w:rPr>
          <w:rFonts w:eastAsia="Times New Roman" w:cs="Arial"/>
          <w:bCs/>
          <w:iCs/>
        </w:rPr>
        <w:t xml:space="preserve"> 9 de diciembre de 2001, el Juez Vigésimo de lo Penal </w:t>
      </w:r>
      <w:r w:rsidR="006144B1" w:rsidRPr="00A10EEE">
        <w:rPr>
          <w:rFonts w:eastAsia="Times New Roman" w:cs="Arial"/>
          <w:bCs/>
          <w:iCs/>
        </w:rPr>
        <w:t>de</w:t>
      </w:r>
      <w:r w:rsidR="008514D6" w:rsidRPr="00A10EEE">
        <w:rPr>
          <w:rFonts w:eastAsia="Times New Roman" w:cs="Arial"/>
          <w:bCs/>
          <w:iCs/>
        </w:rPr>
        <w:t>l</w:t>
      </w:r>
      <w:r w:rsidR="006144B1" w:rsidRPr="00A10EEE">
        <w:rPr>
          <w:rFonts w:eastAsia="Times New Roman" w:cs="Arial"/>
          <w:bCs/>
          <w:iCs/>
        </w:rPr>
        <w:t xml:space="preserve"> </w:t>
      </w:r>
      <w:r w:rsidRPr="00A10EEE">
        <w:rPr>
          <w:rFonts w:eastAsia="Times New Roman" w:cs="Arial"/>
          <w:bCs/>
          <w:iCs/>
        </w:rPr>
        <w:t>Guayas ordenó la suspensión inmediata de los efectos del acto administrativo de 28 de noviembre</w:t>
      </w:r>
      <w:r w:rsidR="00ED10FD" w:rsidRPr="00A10EEE">
        <w:rPr>
          <w:rFonts w:eastAsia="Times New Roman" w:cs="Arial"/>
          <w:bCs/>
          <w:iCs/>
        </w:rPr>
        <w:t xml:space="preserve"> de 2001</w:t>
      </w:r>
      <w:r w:rsidRPr="00A10EEE">
        <w:rPr>
          <w:rFonts w:eastAsia="Times New Roman" w:cs="Arial"/>
          <w:bCs/>
          <w:iCs/>
        </w:rPr>
        <w:t xml:space="preserve">, del Director General de Extranjería y Presidente del Consejo Consultivo de Política Migratoria </w:t>
      </w:r>
      <w:r w:rsidR="009A55CB" w:rsidRPr="00A10EEE">
        <w:rPr>
          <w:rFonts w:eastAsia="Times New Roman" w:cs="Arial"/>
          <w:bCs/>
          <w:iCs/>
        </w:rPr>
        <w:t>y</w:t>
      </w:r>
      <w:r w:rsidRPr="00A10EEE">
        <w:rPr>
          <w:rFonts w:eastAsia="Times New Roman" w:cs="Arial"/>
          <w:bCs/>
          <w:iCs/>
        </w:rPr>
        <w:t xml:space="preserve"> citó a audiencia pública para el 14 de diciembre siguiente</w:t>
      </w:r>
      <w:r w:rsidR="006144B1" w:rsidRPr="00A10EEE">
        <w:rPr>
          <w:rStyle w:val="FootnoteReference"/>
          <w:rFonts w:eastAsia="Times New Roman" w:cs="Arial"/>
          <w:bCs/>
          <w:iCs/>
        </w:rPr>
        <w:footnoteReference w:id="16"/>
      </w:r>
      <w:r w:rsidRPr="00A10EEE">
        <w:rPr>
          <w:rFonts w:eastAsia="Times New Roman" w:cs="Arial"/>
          <w:bCs/>
          <w:iCs/>
        </w:rPr>
        <w:t xml:space="preserve">. </w:t>
      </w:r>
    </w:p>
    <w:p w14:paraId="0445E7EE" w14:textId="77777777" w:rsidR="002D7F53" w:rsidRPr="00A10EEE" w:rsidRDefault="00D002ED" w:rsidP="00D81C50">
      <w:pPr>
        <w:pStyle w:val="parrafos"/>
        <w:numPr>
          <w:ilvl w:val="0"/>
          <w:numId w:val="0"/>
        </w:numPr>
        <w:tabs>
          <w:tab w:val="clear" w:pos="360"/>
          <w:tab w:val="left" w:pos="1760"/>
        </w:tabs>
        <w:rPr>
          <w:rFonts w:eastAsia="Times New Roman" w:cs="Arial"/>
          <w:bCs/>
          <w:iCs/>
        </w:rPr>
      </w:pPr>
      <w:r w:rsidRPr="00A10EEE">
        <w:rPr>
          <w:rFonts w:eastAsia="Times New Roman" w:cs="Arial"/>
          <w:bCs/>
          <w:iCs/>
        </w:rPr>
        <w:tab/>
      </w:r>
    </w:p>
    <w:p w14:paraId="08DF3E13" w14:textId="77777777" w:rsidR="002D7F53" w:rsidRPr="00A10EEE" w:rsidRDefault="006144B1" w:rsidP="00D81C50">
      <w:pPr>
        <w:pStyle w:val="parrafos"/>
        <w:ind w:left="0" w:firstLine="0"/>
        <w:rPr>
          <w:rFonts w:eastAsia="Times New Roman" w:cs="Arial"/>
          <w:bCs/>
          <w:iCs/>
        </w:rPr>
      </w:pPr>
      <w:r w:rsidRPr="00A10EEE">
        <w:rPr>
          <w:rFonts w:eastAsia="Times New Roman" w:cs="Arial"/>
          <w:bCs/>
          <w:iCs/>
        </w:rPr>
        <w:t xml:space="preserve">El 10 de diciembre de 2001, en la Intendencia General de la Policía del Guayas se </w:t>
      </w:r>
      <w:r w:rsidR="00D002ED" w:rsidRPr="00A10EEE">
        <w:rPr>
          <w:rFonts w:eastAsia="Times New Roman" w:cs="Arial"/>
          <w:bCs/>
          <w:iCs/>
        </w:rPr>
        <w:t>inició</w:t>
      </w:r>
      <w:r w:rsidRPr="00A10EEE">
        <w:rPr>
          <w:rFonts w:eastAsia="Times New Roman" w:cs="Arial"/>
          <w:bCs/>
          <w:iCs/>
        </w:rPr>
        <w:t xml:space="preserve"> la audiencia oral de juzgamiento dentro de la acción penal de deportación y en cumplimiento de la orden del Juez Vigésimo de lo Penal de Guayas se suspendió la audiencia convocada</w:t>
      </w:r>
      <w:r w:rsidRPr="00A10EEE">
        <w:rPr>
          <w:rStyle w:val="FootnoteReference"/>
          <w:rFonts w:eastAsia="Times New Roman" w:cs="Arial"/>
          <w:bCs/>
          <w:iCs/>
        </w:rPr>
        <w:footnoteReference w:id="17"/>
      </w:r>
      <w:r w:rsidRPr="00A10EEE">
        <w:rPr>
          <w:rFonts w:eastAsia="Times New Roman" w:cs="Arial"/>
          <w:bCs/>
          <w:iCs/>
        </w:rPr>
        <w:t xml:space="preserve">. También en cumplimiento de dicha </w:t>
      </w:r>
      <w:r w:rsidR="00D002ED" w:rsidRPr="00A10EEE">
        <w:rPr>
          <w:rFonts w:eastAsia="Times New Roman" w:cs="Arial"/>
          <w:bCs/>
          <w:iCs/>
        </w:rPr>
        <w:t>orden</w:t>
      </w:r>
      <w:r w:rsidRPr="00A10EEE">
        <w:rPr>
          <w:rFonts w:eastAsia="Times New Roman" w:cs="Arial"/>
          <w:bCs/>
          <w:iCs/>
        </w:rPr>
        <w:t>, el 10 de diciembre de 2001, el Secretario de la Intendencia General de Policía del Guayas dispuso la libertad inmediata Elías Gattass Sahih</w:t>
      </w:r>
      <w:r w:rsidRPr="00A10EEE">
        <w:rPr>
          <w:rStyle w:val="FootnoteReference"/>
          <w:rFonts w:eastAsia="Times New Roman" w:cs="Arial"/>
          <w:bCs/>
          <w:iCs/>
        </w:rPr>
        <w:footnoteReference w:id="18"/>
      </w:r>
      <w:r w:rsidRPr="00A10EEE">
        <w:rPr>
          <w:rFonts w:eastAsia="Times New Roman" w:cs="Arial"/>
          <w:bCs/>
          <w:iCs/>
        </w:rPr>
        <w:t>.</w:t>
      </w:r>
    </w:p>
    <w:p w14:paraId="775D239C" w14:textId="77777777" w:rsidR="002D7F53" w:rsidRPr="00A10EEE" w:rsidRDefault="002D7F53" w:rsidP="00D81C50">
      <w:pPr>
        <w:pStyle w:val="parrafos"/>
        <w:numPr>
          <w:ilvl w:val="0"/>
          <w:numId w:val="0"/>
        </w:numPr>
        <w:rPr>
          <w:rFonts w:eastAsia="Times New Roman" w:cs="Arial"/>
          <w:bCs/>
          <w:iCs/>
        </w:rPr>
      </w:pPr>
    </w:p>
    <w:p w14:paraId="4B2C072A" w14:textId="77777777" w:rsidR="002D7F53" w:rsidRPr="00A10EEE" w:rsidRDefault="006144B1" w:rsidP="00D81C50">
      <w:pPr>
        <w:pStyle w:val="parrafos"/>
        <w:ind w:left="0" w:firstLine="0"/>
        <w:rPr>
          <w:rFonts w:eastAsia="Times New Roman" w:cs="Arial"/>
          <w:bCs/>
          <w:iCs/>
        </w:rPr>
      </w:pPr>
      <w:r w:rsidRPr="00A10EEE">
        <w:rPr>
          <w:rFonts w:eastAsia="Times New Roman" w:cs="Arial"/>
          <w:bCs/>
          <w:iCs/>
        </w:rPr>
        <w:t>De acuerdo con el certificado de movimientos migratorios, el 16 de diciembre de 2001, Al Sahih Elías salió del</w:t>
      </w:r>
      <w:r w:rsidR="005813A6" w:rsidRPr="00A10EEE">
        <w:rPr>
          <w:rFonts w:eastAsia="Times New Roman" w:cs="Arial"/>
          <w:bCs/>
          <w:iCs/>
        </w:rPr>
        <w:t xml:space="preserve"> Ecuador</w:t>
      </w:r>
      <w:r w:rsidRPr="00A10EEE">
        <w:rPr>
          <w:rFonts w:eastAsia="Times New Roman" w:cs="Arial"/>
          <w:bCs/>
          <w:iCs/>
        </w:rPr>
        <w:t xml:space="preserve"> hacia Estados Unidos</w:t>
      </w:r>
      <w:r w:rsidRPr="00A10EEE">
        <w:rPr>
          <w:rStyle w:val="FootnoteReference"/>
          <w:rFonts w:eastAsia="Times New Roman" w:cs="Arial"/>
          <w:bCs/>
          <w:iCs/>
        </w:rPr>
        <w:footnoteReference w:id="19"/>
      </w:r>
      <w:r w:rsidRPr="00A10EEE">
        <w:rPr>
          <w:rFonts w:eastAsia="Times New Roman" w:cs="Arial"/>
          <w:bCs/>
          <w:iCs/>
        </w:rPr>
        <w:t>.</w:t>
      </w:r>
    </w:p>
    <w:p w14:paraId="731BBAE2" w14:textId="77777777" w:rsidR="002D7F53" w:rsidRPr="00A10EEE" w:rsidRDefault="002D7F53" w:rsidP="00D81C50">
      <w:pPr>
        <w:pStyle w:val="parrafos"/>
        <w:numPr>
          <w:ilvl w:val="0"/>
          <w:numId w:val="0"/>
        </w:numPr>
        <w:rPr>
          <w:rFonts w:eastAsia="Times New Roman" w:cs="Arial"/>
          <w:bCs/>
          <w:iCs/>
        </w:rPr>
      </w:pPr>
    </w:p>
    <w:p w14:paraId="09DD6E22" w14:textId="77777777" w:rsidR="00F2030E" w:rsidRPr="00A10EEE" w:rsidRDefault="00E81005" w:rsidP="00D81C50">
      <w:pPr>
        <w:pStyle w:val="parrafos"/>
        <w:ind w:left="0" w:firstLine="0"/>
        <w:rPr>
          <w:rFonts w:eastAsia="Times New Roman" w:cs="Arial"/>
          <w:bCs/>
          <w:iCs/>
        </w:rPr>
      </w:pPr>
      <w:r w:rsidRPr="00A10EEE">
        <w:rPr>
          <w:rFonts w:eastAsia="Times New Roman" w:cs="Arial"/>
          <w:bCs/>
          <w:iCs/>
        </w:rPr>
        <w:t xml:space="preserve">El 22 de enero de 2002, </w:t>
      </w:r>
      <w:r w:rsidR="006144B1" w:rsidRPr="00A10EEE">
        <w:rPr>
          <w:rFonts w:eastAsia="Times New Roman" w:cs="Arial"/>
          <w:bCs/>
          <w:iCs/>
        </w:rPr>
        <w:t>el Juzgado Vigésimo de lo Penal de Guayas resolvió declarar sin lugar la acción de amparo constitucional y dejar sin efecto su decisión previa que suspendía el acto administrativo emitido por el Consejo Consultivo de Política Migratoria. Determinó que, al margen de las consideraciones sobre las razones expuestas al Consejo Consultivo de Política Migratoria para revocar la visa de Elías Gattass Sahih, el artículo 7 de la Ley de Extranjería “establece que la decisión de conceder, negar o revocar una visa no obstante el cumplimiento de los requisitos legales y reglamentarios es facultad soberana y discrecional de la Función Ejecutiva, a través de los organismos competentes y, el Art. 8 de la misma Ley dice que corresponde al Consejo Consultivo de Política Criminal determinar y regular la permanencia de los extranjeros y sus obligaciones en el Ecuador, y, en el artículo agregado al Artículo 8, establece que corresponde al Consejo Consultivo de Política Migratoria conocer de las consultas venida</w:t>
      </w:r>
      <w:r w:rsidR="005813A6" w:rsidRPr="00A10EEE">
        <w:rPr>
          <w:rFonts w:eastAsia="Times New Roman" w:cs="Arial"/>
          <w:bCs/>
          <w:iCs/>
        </w:rPr>
        <w:t>s</w:t>
      </w:r>
      <w:r w:rsidR="006144B1" w:rsidRPr="00A10EEE">
        <w:rPr>
          <w:rFonts w:eastAsia="Times New Roman" w:cs="Arial"/>
          <w:bCs/>
          <w:iCs/>
        </w:rPr>
        <w:t xml:space="preserve"> en grado sobre la negativa o revocatoria en el otorgamiento de visas de inmigrante o no inmigrante; y en el Art. 20 del Reglamento para la Ley de Extranjería no se establece un procedimiento especial al que debe someterse el Consejo Consultivo de Política Migratoria a efecto de dictar resoluciones como la que emitió el 22 de noviembre de 2001”</w:t>
      </w:r>
      <w:r w:rsidR="006144B1" w:rsidRPr="00A10EEE">
        <w:rPr>
          <w:rStyle w:val="FootnoteReference"/>
          <w:rFonts w:eastAsia="Times New Roman" w:cs="Arial"/>
          <w:bCs/>
          <w:iCs/>
        </w:rPr>
        <w:t xml:space="preserve"> </w:t>
      </w:r>
      <w:r w:rsidR="006144B1" w:rsidRPr="00A10EEE">
        <w:rPr>
          <w:rStyle w:val="FootnoteReference"/>
          <w:rFonts w:eastAsia="Times New Roman" w:cs="Arial"/>
          <w:bCs/>
          <w:iCs/>
        </w:rPr>
        <w:footnoteReference w:id="20"/>
      </w:r>
      <w:r w:rsidR="006144B1" w:rsidRPr="00A10EEE">
        <w:rPr>
          <w:rFonts w:eastAsia="Times New Roman" w:cs="Arial"/>
          <w:bCs/>
          <w:iCs/>
        </w:rPr>
        <w:t xml:space="preserve">. </w:t>
      </w:r>
      <w:r w:rsidR="00F2030E" w:rsidRPr="00A10EEE">
        <w:rPr>
          <w:rFonts w:eastAsia="Times New Roman" w:cs="Arial"/>
          <w:bCs/>
          <w:iCs/>
        </w:rPr>
        <w:t xml:space="preserve"> </w:t>
      </w:r>
    </w:p>
    <w:p w14:paraId="0ED6D5E9" w14:textId="77777777" w:rsidR="00F2030E" w:rsidRPr="00A10EEE" w:rsidRDefault="00F2030E" w:rsidP="00D81C50">
      <w:pPr>
        <w:pStyle w:val="parrafos"/>
        <w:numPr>
          <w:ilvl w:val="0"/>
          <w:numId w:val="0"/>
        </w:numPr>
        <w:rPr>
          <w:rFonts w:eastAsia="Times New Roman" w:cs="Arial"/>
          <w:bCs/>
          <w:iCs/>
        </w:rPr>
      </w:pPr>
    </w:p>
    <w:p w14:paraId="62D91107" w14:textId="77777777" w:rsidR="002D7F53" w:rsidRPr="00A10EEE" w:rsidRDefault="006144B1" w:rsidP="00D81C50">
      <w:pPr>
        <w:pStyle w:val="parrafos"/>
        <w:ind w:left="0" w:firstLine="0"/>
        <w:rPr>
          <w:rFonts w:eastAsia="Times New Roman" w:cs="Arial"/>
          <w:bCs/>
          <w:iCs/>
        </w:rPr>
      </w:pPr>
      <w:r w:rsidRPr="00A10EEE">
        <w:rPr>
          <w:rFonts w:eastAsia="Times New Roman" w:cs="Arial"/>
          <w:bCs/>
          <w:iCs/>
        </w:rPr>
        <w:t>Agregó que “en cambio, tratándose de la acción penal de deportación en la que se encontraba empeñado el señor Intendente Gen</w:t>
      </w:r>
      <w:r w:rsidR="00F2030E" w:rsidRPr="00A10EEE">
        <w:rPr>
          <w:rFonts w:eastAsia="Times New Roman" w:cs="Arial"/>
          <w:bCs/>
          <w:iCs/>
        </w:rPr>
        <w:t>e</w:t>
      </w:r>
      <w:r w:rsidRPr="00A10EEE">
        <w:rPr>
          <w:rFonts w:eastAsia="Times New Roman" w:cs="Arial"/>
          <w:bCs/>
          <w:iCs/>
        </w:rPr>
        <w:t>ral de Policía del Guayas sí existe un procedimiento en donde el extranjero puede  oponerse a la misma, exhibiendo documentación, evidencias y demás situaciones de hecho y de derecho que estime conveniente”</w:t>
      </w:r>
      <w:r w:rsidRPr="00A10EEE">
        <w:rPr>
          <w:rStyle w:val="FootnoteReference"/>
          <w:rFonts w:eastAsia="Times New Roman" w:cs="Arial"/>
          <w:bCs/>
          <w:iCs/>
        </w:rPr>
        <w:footnoteReference w:id="21"/>
      </w:r>
      <w:r w:rsidRPr="00A10EEE">
        <w:rPr>
          <w:rFonts w:eastAsia="Times New Roman" w:cs="Arial"/>
          <w:bCs/>
          <w:iCs/>
        </w:rPr>
        <w:t xml:space="preserve">. </w:t>
      </w:r>
    </w:p>
    <w:p w14:paraId="3C6F1B06" w14:textId="77777777" w:rsidR="002D7F53" w:rsidRPr="00A10EEE" w:rsidRDefault="002D7F53" w:rsidP="00D81C50">
      <w:pPr>
        <w:pStyle w:val="parrafos"/>
        <w:numPr>
          <w:ilvl w:val="0"/>
          <w:numId w:val="0"/>
        </w:numPr>
        <w:rPr>
          <w:rFonts w:eastAsia="Times New Roman" w:cs="Arial"/>
          <w:bCs/>
          <w:iCs/>
        </w:rPr>
      </w:pPr>
    </w:p>
    <w:p w14:paraId="0D6C9B16" w14:textId="77777777" w:rsidR="002D7F53" w:rsidRPr="00A10EEE" w:rsidRDefault="006144B1" w:rsidP="00D81C50">
      <w:pPr>
        <w:pStyle w:val="parrafos"/>
        <w:ind w:left="0" w:firstLine="0"/>
        <w:rPr>
          <w:rFonts w:eastAsia="Times New Roman" w:cs="Arial"/>
          <w:bCs/>
          <w:iCs/>
        </w:rPr>
      </w:pPr>
      <w:r w:rsidRPr="00A10EEE">
        <w:rPr>
          <w:rFonts w:eastAsia="Times New Roman" w:cs="Arial"/>
          <w:bCs/>
          <w:iCs/>
        </w:rPr>
        <w:t xml:space="preserve">El 7 de junio de 2002, la Sala Tercera del Tribunal Constitucional confirmó integralmente la decisión del 22 de enero de 2002 del Juzgado Vigésimo de lo Penal de Guayas. Consideró, en el mismo sentido del Juzgado de instancia, que conforme con los artículos 7 y 8 de la Ley de Extranjería el Consejo Consultivo de Política Migratoria tiene la facultad soberana y discrecional de conceder, negar y revocar visas, por lo que en el caso de </w:t>
      </w:r>
      <w:r w:rsidRPr="00A10EEE">
        <w:rPr>
          <w:rFonts w:eastAsia="Times New Roman" w:cs="Arial"/>
          <w:bCs/>
          <w:iCs/>
        </w:rPr>
        <w:lastRenderedPageBreak/>
        <w:t>Elías Gattass Sahih hizo uso de dicha facultad. Reiteró que en el proceso de deportación el extranjero podía hacer uso de su derecho de defensa</w:t>
      </w:r>
      <w:r w:rsidRPr="00A10EEE">
        <w:rPr>
          <w:rStyle w:val="FootnoteReference"/>
          <w:rFonts w:eastAsia="Times New Roman" w:cs="Arial"/>
          <w:bCs/>
          <w:iCs/>
        </w:rPr>
        <w:footnoteReference w:id="22"/>
      </w:r>
      <w:r w:rsidRPr="00A10EEE">
        <w:rPr>
          <w:rFonts w:eastAsia="Times New Roman" w:cs="Arial"/>
          <w:bCs/>
          <w:iCs/>
        </w:rPr>
        <w:t xml:space="preserve">. </w:t>
      </w:r>
    </w:p>
    <w:p w14:paraId="1A864FAB" w14:textId="77777777" w:rsidR="002D7F53" w:rsidRPr="00A10EEE" w:rsidRDefault="002D7F53" w:rsidP="00D81C50">
      <w:pPr>
        <w:pStyle w:val="parrafos"/>
        <w:numPr>
          <w:ilvl w:val="0"/>
          <w:numId w:val="0"/>
        </w:numPr>
        <w:rPr>
          <w:rFonts w:eastAsia="Times New Roman" w:cs="Arial"/>
          <w:bCs/>
          <w:iCs/>
        </w:rPr>
      </w:pPr>
    </w:p>
    <w:p w14:paraId="2DAB2133" w14:textId="77777777" w:rsidR="00EF6086" w:rsidRPr="00A10EEE" w:rsidRDefault="00820481" w:rsidP="00D81C50">
      <w:pPr>
        <w:pStyle w:val="parrafos"/>
        <w:ind w:left="0" w:firstLine="0"/>
        <w:rPr>
          <w:rFonts w:eastAsia="Times New Roman" w:cs="Arial"/>
          <w:bCs/>
          <w:iCs/>
        </w:rPr>
      </w:pPr>
      <w:r w:rsidRPr="00A10EEE">
        <w:rPr>
          <w:rFonts w:eastAsia="Times New Roman" w:cs="Arial"/>
          <w:bCs/>
          <w:iCs/>
        </w:rPr>
        <w:t>De acuerdo con lo expuesto por el peticionario, mientras se encontraba recluido en el Penal de Guayaquil, su esposa se llevó a su hija fuera de Ecuador, por lo que nunca más la ha visto</w:t>
      </w:r>
      <w:r w:rsidRPr="00A10EEE">
        <w:rPr>
          <w:rStyle w:val="FootnoteReference"/>
          <w:rFonts w:eastAsia="Times New Roman" w:cs="Arial"/>
          <w:bCs/>
          <w:iCs/>
        </w:rPr>
        <w:footnoteReference w:id="23"/>
      </w:r>
      <w:r w:rsidRPr="00A10EEE">
        <w:rPr>
          <w:rFonts w:eastAsia="Times New Roman" w:cs="Arial"/>
          <w:bCs/>
          <w:iCs/>
        </w:rPr>
        <w:t>. Al respecto, anexó denuncia por la desaparición de su hija presentada el 16 de marzo de 2016 ante la Directora Nacional de DINAPEN</w:t>
      </w:r>
      <w:r w:rsidRPr="00A10EEE">
        <w:rPr>
          <w:rStyle w:val="FootnoteReference"/>
          <w:rFonts w:eastAsia="Times New Roman" w:cs="Arial"/>
          <w:bCs/>
          <w:iCs/>
        </w:rPr>
        <w:footnoteReference w:id="24"/>
      </w:r>
      <w:r w:rsidRPr="00A10EEE">
        <w:rPr>
          <w:rFonts w:eastAsia="Times New Roman" w:cs="Arial"/>
          <w:bCs/>
          <w:iCs/>
        </w:rPr>
        <w:t>.</w:t>
      </w:r>
      <w:r w:rsidR="00B95E54" w:rsidRPr="00A10EEE">
        <w:rPr>
          <w:rFonts w:eastAsia="Times New Roman" w:cs="Arial"/>
          <w:bCs/>
          <w:iCs/>
        </w:rPr>
        <w:t xml:space="preserve"> Asimismo, consta en el expediente un Boletín de Prensa del Centro de Atención y Defensa al Niño Perdido que señala que desde el “14 de julio de 2001 está desparecida la niña Sahih Carvajal de 2 años y 7 meses de edad, quien se presume q</w:t>
      </w:r>
      <w:r w:rsidR="00452781" w:rsidRPr="00A10EEE">
        <w:rPr>
          <w:rFonts w:eastAsia="Times New Roman" w:cs="Arial"/>
          <w:bCs/>
          <w:iCs/>
        </w:rPr>
        <w:t>ue fue plagida por su madre”, c</w:t>
      </w:r>
      <w:r w:rsidR="00B95E54" w:rsidRPr="00A10EEE">
        <w:rPr>
          <w:rFonts w:eastAsia="Times New Roman" w:cs="Arial"/>
          <w:bCs/>
          <w:iCs/>
        </w:rPr>
        <w:t>on fecha de 12 de diciembre de 2001</w:t>
      </w:r>
      <w:r w:rsidR="00B95E54" w:rsidRPr="00A10EEE">
        <w:rPr>
          <w:rStyle w:val="FootnoteReference"/>
          <w:rFonts w:eastAsia="Times New Roman" w:cs="Arial"/>
          <w:bCs/>
          <w:iCs/>
        </w:rPr>
        <w:footnoteReference w:id="25"/>
      </w:r>
      <w:r w:rsidR="00B95E54" w:rsidRPr="00A10EEE">
        <w:rPr>
          <w:rFonts w:eastAsia="Times New Roman" w:cs="Arial"/>
          <w:bCs/>
          <w:iCs/>
        </w:rPr>
        <w:t xml:space="preserve">.  </w:t>
      </w:r>
    </w:p>
    <w:p w14:paraId="19255F59" w14:textId="77777777" w:rsidR="00EF6086" w:rsidRPr="00A10EEE" w:rsidRDefault="00EF6086" w:rsidP="00D81C50">
      <w:pPr>
        <w:pStyle w:val="parrafos"/>
        <w:numPr>
          <w:ilvl w:val="0"/>
          <w:numId w:val="0"/>
        </w:numPr>
        <w:rPr>
          <w:rFonts w:eastAsia="Times New Roman" w:cs="Arial"/>
          <w:bCs/>
          <w:iCs/>
        </w:rPr>
      </w:pPr>
    </w:p>
    <w:p w14:paraId="49C78730" w14:textId="77777777" w:rsidR="002D7F53" w:rsidRPr="00A10EEE" w:rsidRDefault="00435F70" w:rsidP="00D81C50">
      <w:pPr>
        <w:pStyle w:val="parrafos"/>
        <w:ind w:left="0" w:firstLine="0"/>
        <w:rPr>
          <w:rFonts w:eastAsia="Times New Roman" w:cs="Arial"/>
          <w:bCs/>
          <w:iCs/>
        </w:rPr>
      </w:pPr>
      <w:r w:rsidRPr="00A10EEE">
        <w:rPr>
          <w:rFonts w:eastAsia="Times New Roman" w:cs="Arial"/>
          <w:bCs/>
          <w:iCs/>
        </w:rPr>
        <w:t xml:space="preserve">De acuerdo con el certificado de movimiento migratorio, </w:t>
      </w:r>
      <w:r w:rsidR="00F62242" w:rsidRPr="00A10EEE">
        <w:rPr>
          <w:rFonts w:eastAsia="Times New Roman" w:cs="Arial"/>
          <w:bCs/>
          <w:iCs/>
        </w:rPr>
        <w:t xml:space="preserve">el 12 de septiembre de 2003, Elías Gattass Sahih </w:t>
      </w:r>
      <w:r w:rsidRPr="00A10EEE">
        <w:rPr>
          <w:rFonts w:eastAsia="Times New Roman" w:cs="Arial"/>
          <w:bCs/>
          <w:iCs/>
        </w:rPr>
        <w:t xml:space="preserve">obtuvo la visa 10-II para inversionistas, </w:t>
      </w:r>
      <w:r w:rsidR="007230AB" w:rsidRPr="00A10EEE">
        <w:rPr>
          <w:rFonts w:eastAsia="Times New Roman" w:cs="Arial"/>
          <w:bCs/>
          <w:iCs/>
        </w:rPr>
        <w:t>y en</w:t>
      </w:r>
      <w:r w:rsidRPr="00A10EEE">
        <w:rPr>
          <w:rFonts w:eastAsia="Times New Roman" w:cs="Arial"/>
          <w:bCs/>
          <w:iCs/>
        </w:rPr>
        <w:t xml:space="preserve"> varias ocasiones ingresó y salió de Ecuador en el período 200</w:t>
      </w:r>
      <w:r w:rsidR="00820D55" w:rsidRPr="00A10EEE">
        <w:rPr>
          <w:rFonts w:eastAsia="Times New Roman" w:cs="Arial"/>
          <w:bCs/>
          <w:iCs/>
        </w:rPr>
        <w:t>5</w:t>
      </w:r>
      <w:r w:rsidRPr="00A10EEE">
        <w:rPr>
          <w:rFonts w:eastAsia="Times New Roman" w:cs="Arial"/>
          <w:bCs/>
          <w:iCs/>
        </w:rPr>
        <w:t xml:space="preserve"> a 2010</w:t>
      </w:r>
      <w:r w:rsidR="00820D55" w:rsidRPr="00A10EEE">
        <w:rPr>
          <w:rStyle w:val="FootnoteReference"/>
          <w:rFonts w:eastAsia="Times New Roman" w:cs="Arial"/>
          <w:bCs/>
          <w:iCs/>
        </w:rPr>
        <w:footnoteReference w:id="26"/>
      </w:r>
      <w:r w:rsidRPr="00A10EEE">
        <w:rPr>
          <w:rFonts w:eastAsia="Times New Roman" w:cs="Arial"/>
          <w:bCs/>
          <w:iCs/>
        </w:rPr>
        <w:t xml:space="preserve">. </w:t>
      </w:r>
    </w:p>
    <w:p w14:paraId="069A1C93" w14:textId="77777777" w:rsidR="002D7F53" w:rsidRPr="00A10EEE" w:rsidRDefault="002D7F53" w:rsidP="00D81C50">
      <w:pPr>
        <w:tabs>
          <w:tab w:val="left" w:pos="360"/>
        </w:tabs>
        <w:ind w:left="360"/>
        <w:jc w:val="both"/>
        <w:rPr>
          <w:rFonts w:asciiTheme="majorHAnsi" w:eastAsia="Times New Roman" w:hAnsiTheme="majorHAnsi" w:cs="Arial"/>
          <w:bCs/>
          <w:iCs/>
          <w:color w:val="000000" w:themeColor="text1"/>
          <w:sz w:val="20"/>
          <w:szCs w:val="20"/>
        </w:rPr>
      </w:pPr>
    </w:p>
    <w:p w14:paraId="6146E89A" w14:textId="77777777" w:rsidR="00132907" w:rsidRPr="00A10EEE" w:rsidRDefault="00132907" w:rsidP="00D81C50">
      <w:pPr>
        <w:pStyle w:val="parrafos"/>
        <w:ind w:left="0" w:firstLine="0"/>
        <w:rPr>
          <w:rFonts w:eastAsia="Times New Roman" w:cs="Arial"/>
          <w:bCs/>
          <w:iCs/>
        </w:rPr>
      </w:pPr>
      <w:r w:rsidRPr="00A10EEE">
        <w:rPr>
          <w:rFonts w:eastAsia="Times New Roman" w:cs="Arial"/>
          <w:bCs/>
          <w:iCs/>
        </w:rPr>
        <w:t xml:space="preserve">De acuerdo con el Informe de la Dirección General de Registro Civil, Identificación y Cedulación, </w:t>
      </w:r>
      <w:r w:rsidR="00435F70" w:rsidRPr="00A10EEE">
        <w:rPr>
          <w:rFonts w:eastAsia="Times New Roman" w:cs="Arial"/>
          <w:bCs/>
          <w:iCs/>
        </w:rPr>
        <w:t>el señor Elías Gattass Sahih</w:t>
      </w:r>
      <w:r w:rsidRPr="00A10EEE">
        <w:rPr>
          <w:rFonts w:eastAsia="Times New Roman" w:cs="Arial"/>
          <w:bCs/>
          <w:iCs/>
        </w:rPr>
        <w:t xml:space="preserve"> ha obtenido varios documentos de identidad en su estadía en Ecuador. Indica que constan dos tarjetas índices, una del 24 de marzo de 1987 y otra de 28 de julio de 1989, con nombre “Elías Gattan El Sahih” y “Elías Gattas Sahih”, respectivamente. Señala también que existe acta de matrimonio entre Elías Gattass Sahih y Leila Juliana Carvajal Erker del 3 de abril de </w:t>
      </w:r>
      <w:r w:rsidR="00B70A49" w:rsidRPr="00A10EEE">
        <w:rPr>
          <w:rFonts w:eastAsia="Times New Roman" w:cs="Arial"/>
          <w:bCs/>
          <w:iCs/>
        </w:rPr>
        <w:t>199</w:t>
      </w:r>
      <w:r w:rsidRPr="00A10EEE">
        <w:rPr>
          <w:rFonts w:eastAsia="Times New Roman" w:cs="Arial"/>
          <w:bCs/>
          <w:iCs/>
        </w:rPr>
        <w:t xml:space="preserve">8, con una disolución de la sociedad conyugal el 22 de mayo de </w:t>
      </w:r>
      <w:r w:rsidR="00B70A49" w:rsidRPr="00A10EEE">
        <w:rPr>
          <w:rFonts w:eastAsia="Times New Roman" w:cs="Arial"/>
          <w:bCs/>
          <w:iCs/>
        </w:rPr>
        <w:t>199</w:t>
      </w:r>
      <w:r w:rsidRPr="00A10EEE">
        <w:rPr>
          <w:rFonts w:eastAsia="Times New Roman" w:cs="Arial"/>
          <w:bCs/>
          <w:iCs/>
        </w:rPr>
        <w:t>8 y divorcio mediante sentencia del 24 de marzo de 2006. Además, indica que el 1 de febrero de 2013, el Ministerio de Relaciones Exteriores, Comercio e Integración resolvió declarar la nacionalidad ecuatoriana por naturalización a Elías Gattas Sa</w:t>
      </w:r>
      <w:r w:rsidR="00AF4275" w:rsidRPr="00A10EEE">
        <w:rPr>
          <w:rFonts w:eastAsia="Times New Roman" w:cs="Arial"/>
          <w:bCs/>
          <w:iCs/>
        </w:rPr>
        <w:t>hih, quein tiene una relación otra</w:t>
      </w:r>
      <w:r w:rsidRPr="00A10EEE">
        <w:rPr>
          <w:rFonts w:eastAsia="Times New Roman" w:cs="Arial"/>
          <w:bCs/>
          <w:iCs/>
        </w:rPr>
        <w:t xml:space="preserve"> ciudadana ecuatoriana</w:t>
      </w:r>
      <w:r w:rsidRPr="00A10EEE">
        <w:rPr>
          <w:rStyle w:val="FootnoteReference"/>
          <w:rFonts w:eastAsia="Times New Roman" w:cs="Arial"/>
          <w:bCs/>
          <w:iCs/>
        </w:rPr>
        <w:footnoteReference w:id="27"/>
      </w:r>
      <w:r w:rsidRPr="00A10EEE">
        <w:rPr>
          <w:rFonts w:eastAsia="Times New Roman" w:cs="Arial"/>
          <w:bCs/>
          <w:iCs/>
        </w:rPr>
        <w:t xml:space="preserve">. </w:t>
      </w:r>
    </w:p>
    <w:p w14:paraId="7856346F" w14:textId="77777777" w:rsidR="00807C25" w:rsidRPr="00A10EEE" w:rsidRDefault="00807C25" w:rsidP="00D81C50">
      <w:pPr>
        <w:tabs>
          <w:tab w:val="left" w:pos="360"/>
        </w:tabs>
        <w:jc w:val="both"/>
        <w:rPr>
          <w:rFonts w:asciiTheme="majorHAnsi" w:eastAsia="Times New Roman" w:hAnsiTheme="majorHAnsi" w:cs="Arial"/>
          <w:bCs/>
          <w:iCs/>
          <w:color w:val="000000" w:themeColor="text1"/>
          <w:sz w:val="20"/>
          <w:szCs w:val="20"/>
        </w:rPr>
      </w:pPr>
    </w:p>
    <w:p w14:paraId="1E267406" w14:textId="77777777" w:rsidR="004F18E7" w:rsidRPr="00354FF9" w:rsidRDefault="00807C25" w:rsidP="00845DB1">
      <w:pPr>
        <w:pStyle w:val="parrafos"/>
        <w:numPr>
          <w:ilvl w:val="0"/>
          <w:numId w:val="57"/>
        </w:numPr>
        <w:rPr>
          <w:b/>
          <w:bCs/>
        </w:rPr>
      </w:pPr>
      <w:r w:rsidRPr="00354FF9">
        <w:rPr>
          <w:b/>
          <w:bCs/>
        </w:rPr>
        <w:t>Marco normativo relevante</w:t>
      </w:r>
    </w:p>
    <w:p w14:paraId="443DBAA9" w14:textId="77777777" w:rsidR="0028658A" w:rsidRPr="00A10EEE" w:rsidRDefault="0028658A" w:rsidP="00D81C50">
      <w:pPr>
        <w:tabs>
          <w:tab w:val="left" w:pos="360"/>
        </w:tabs>
        <w:jc w:val="both"/>
        <w:rPr>
          <w:rFonts w:asciiTheme="majorHAnsi" w:eastAsia="Times New Roman" w:hAnsiTheme="majorHAnsi" w:cs="Arial"/>
          <w:b/>
          <w:bCs/>
          <w:iCs/>
          <w:color w:val="000000" w:themeColor="text1"/>
          <w:sz w:val="20"/>
          <w:szCs w:val="20"/>
        </w:rPr>
      </w:pPr>
    </w:p>
    <w:p w14:paraId="0F2EACE1" w14:textId="77777777" w:rsidR="0028658A" w:rsidRPr="00A10EEE" w:rsidRDefault="00807C25" w:rsidP="00D81C50">
      <w:pPr>
        <w:pStyle w:val="parrafos"/>
        <w:ind w:left="0" w:firstLine="0"/>
        <w:rPr>
          <w:rFonts w:eastAsia="Times New Roman" w:cs="Arial"/>
          <w:b/>
          <w:bCs/>
          <w:iCs/>
        </w:rPr>
      </w:pPr>
      <w:r w:rsidRPr="00A10EEE">
        <w:t xml:space="preserve">Al momento de la concesión y revocatoria de la </w:t>
      </w:r>
      <w:r w:rsidR="009D15F3" w:rsidRPr="00A10EEE">
        <w:t>visa de i</w:t>
      </w:r>
      <w:r w:rsidRPr="00A10EEE">
        <w:t xml:space="preserve">nmigrante de los hechos del caso, así como en el inicio del proceso de deportación, eran </w:t>
      </w:r>
      <w:r w:rsidR="00637638">
        <w:t>aplicabales</w:t>
      </w:r>
      <w:r w:rsidRPr="00A10EEE">
        <w:t>: la Ley de Extranjería</w:t>
      </w:r>
      <w:r w:rsidR="007E1B22" w:rsidRPr="00A10EEE">
        <w:t xml:space="preserve"> y</w:t>
      </w:r>
      <w:r w:rsidRPr="00A10EEE">
        <w:t xml:space="preserve"> la Ley de Migración.</w:t>
      </w:r>
    </w:p>
    <w:p w14:paraId="0CAAF228" w14:textId="77777777" w:rsidR="0028658A" w:rsidRPr="00A10EEE" w:rsidRDefault="0043565F" w:rsidP="00D81C50">
      <w:pPr>
        <w:pStyle w:val="parrafos"/>
        <w:numPr>
          <w:ilvl w:val="0"/>
          <w:numId w:val="0"/>
        </w:numPr>
        <w:tabs>
          <w:tab w:val="clear" w:pos="360"/>
          <w:tab w:val="left" w:pos="5882"/>
        </w:tabs>
        <w:rPr>
          <w:rFonts w:eastAsia="Times New Roman" w:cs="Arial"/>
          <w:b/>
          <w:bCs/>
          <w:iCs/>
        </w:rPr>
      </w:pPr>
      <w:r w:rsidRPr="00A10EEE">
        <w:rPr>
          <w:rFonts w:eastAsia="Times New Roman" w:cs="Arial"/>
          <w:b/>
          <w:bCs/>
          <w:iCs/>
        </w:rPr>
        <w:tab/>
      </w:r>
    </w:p>
    <w:p w14:paraId="1518A7C6" w14:textId="77777777" w:rsidR="00637638" w:rsidRPr="00637638" w:rsidRDefault="0043565F" w:rsidP="00637638">
      <w:pPr>
        <w:pStyle w:val="parrafos"/>
        <w:ind w:left="0" w:firstLine="0"/>
        <w:rPr>
          <w:rFonts w:eastAsia="Times New Roman" w:cs="Arial"/>
          <w:b/>
          <w:bCs/>
          <w:iCs/>
        </w:rPr>
      </w:pPr>
      <w:r w:rsidRPr="00A10EEE">
        <w:rPr>
          <w:rFonts w:eastAsia="Times New Roman" w:cs="Arial"/>
          <w:bCs/>
          <w:iCs/>
        </w:rPr>
        <w:t xml:space="preserve">La Ley de Extranjería </w:t>
      </w:r>
      <w:r w:rsidR="00807C25" w:rsidRPr="00A10EEE">
        <w:rPr>
          <w:rFonts w:eastAsia="Times New Roman" w:cs="Arial"/>
          <w:bCs/>
          <w:iCs/>
        </w:rPr>
        <w:t xml:space="preserve">establecía </w:t>
      </w:r>
      <w:r w:rsidR="00943D16" w:rsidRPr="00A10EEE">
        <w:rPr>
          <w:rFonts w:eastAsia="Times New Roman" w:cs="Arial"/>
          <w:bCs/>
          <w:iCs/>
        </w:rPr>
        <w:t xml:space="preserve">competencias de </w:t>
      </w:r>
      <w:r w:rsidR="00807C25" w:rsidRPr="00A10EEE">
        <w:rPr>
          <w:rFonts w:eastAsia="Times New Roman" w:cs="Arial"/>
          <w:bCs/>
          <w:iCs/>
        </w:rPr>
        <w:t>la Función Ejecutiva</w:t>
      </w:r>
      <w:r w:rsidR="00085945" w:rsidRPr="00A10EEE">
        <w:rPr>
          <w:rFonts w:eastAsia="Times New Roman" w:cs="Arial"/>
          <w:bCs/>
          <w:iCs/>
        </w:rPr>
        <w:t>, del Consejo Consultivo de P</w:t>
      </w:r>
      <w:r w:rsidR="00807C25" w:rsidRPr="00A10EEE">
        <w:rPr>
          <w:rFonts w:eastAsia="Times New Roman" w:cs="Arial"/>
          <w:bCs/>
          <w:iCs/>
        </w:rPr>
        <w:t>olítica Migratoria</w:t>
      </w:r>
      <w:r w:rsidR="00085945" w:rsidRPr="00A10EEE">
        <w:rPr>
          <w:rFonts w:eastAsia="Times New Roman" w:cs="Arial"/>
          <w:bCs/>
          <w:iCs/>
        </w:rPr>
        <w:t xml:space="preserve">, e indicaba </w:t>
      </w:r>
      <w:r w:rsidR="00807C25" w:rsidRPr="00A10EEE">
        <w:rPr>
          <w:rFonts w:eastAsia="Times New Roman" w:cs="Arial"/>
          <w:bCs/>
          <w:iCs/>
        </w:rPr>
        <w:t>los casos en los que se podía otorgar una visa de inmigrante</w:t>
      </w:r>
      <w:r w:rsidR="00085945" w:rsidRPr="00A10EEE">
        <w:rPr>
          <w:rFonts w:eastAsia="Times New Roman" w:cs="Arial"/>
          <w:bCs/>
          <w:iCs/>
        </w:rPr>
        <w:t xml:space="preserve">, como se cita a </w:t>
      </w:r>
      <w:r w:rsidR="00B03E03" w:rsidRPr="00A10EEE">
        <w:rPr>
          <w:rFonts w:eastAsia="Times New Roman" w:cs="Arial"/>
          <w:bCs/>
          <w:iCs/>
        </w:rPr>
        <w:t>continuación</w:t>
      </w:r>
      <w:r w:rsidR="00085945" w:rsidRPr="00A10EEE">
        <w:rPr>
          <w:rFonts w:eastAsia="Times New Roman" w:cs="Arial"/>
          <w:bCs/>
          <w:iCs/>
        </w:rPr>
        <w:t xml:space="preserve">. </w:t>
      </w:r>
    </w:p>
    <w:p w14:paraId="6DE91617" w14:textId="77777777" w:rsidR="00637638" w:rsidRDefault="00637638" w:rsidP="00637638">
      <w:pPr>
        <w:ind w:left="720" w:hanging="360"/>
      </w:pPr>
    </w:p>
    <w:p w14:paraId="22017548" w14:textId="77777777" w:rsidR="00B03E03" w:rsidRPr="00637638" w:rsidRDefault="00B03E03" w:rsidP="00637638">
      <w:pPr>
        <w:ind w:left="567" w:right="571"/>
        <w:jc w:val="both"/>
        <w:rPr>
          <w:rFonts w:asciiTheme="majorHAnsi" w:eastAsia="Times New Roman" w:hAnsiTheme="majorHAnsi"/>
          <w:b/>
          <w:bCs/>
          <w:sz w:val="18"/>
          <w:szCs w:val="18"/>
        </w:rPr>
      </w:pPr>
      <w:r w:rsidRPr="00637638">
        <w:rPr>
          <w:rFonts w:asciiTheme="majorHAnsi" w:hAnsiTheme="majorHAnsi"/>
          <w:sz w:val="18"/>
          <w:szCs w:val="18"/>
        </w:rPr>
        <w:t>“Art. 7. Corresponde a la Función Ejecutiva, por conducto de la Dirección General de Extranjería del Ministerio de Gobierno, Cultos, Policía y Municipalidades, la aplicación y ejecución de las normas y procedimientos relativos a extranjería, especialmente al otorgamiento de visas de inmigrantes dentro y fuera del país. El manejo y otorgamiento de visas de no inmigrantes estará a cargo del Ministerio de Relaciones Exteriores.</w:t>
      </w:r>
    </w:p>
    <w:p w14:paraId="2CFD07A0" w14:textId="77777777" w:rsidR="00B03E03" w:rsidRPr="00A10EEE" w:rsidRDefault="00B03E03" w:rsidP="00D81C50">
      <w:pPr>
        <w:ind w:left="567" w:right="571"/>
        <w:jc w:val="both"/>
        <w:rPr>
          <w:rFonts w:asciiTheme="majorHAnsi" w:eastAsia="Times New Roman" w:hAnsiTheme="majorHAnsi"/>
          <w:sz w:val="18"/>
          <w:szCs w:val="18"/>
        </w:rPr>
      </w:pPr>
    </w:p>
    <w:p w14:paraId="021A4F02" w14:textId="77777777" w:rsidR="00B03E03" w:rsidRPr="00A10EEE" w:rsidRDefault="00B03E03" w:rsidP="00D81C50">
      <w:pPr>
        <w:pStyle w:val="parrafos"/>
        <w:numPr>
          <w:ilvl w:val="0"/>
          <w:numId w:val="0"/>
        </w:numPr>
        <w:ind w:left="567" w:right="571"/>
        <w:rPr>
          <w:rFonts w:eastAsia="Times New Roman"/>
          <w:sz w:val="18"/>
          <w:szCs w:val="18"/>
        </w:rPr>
      </w:pPr>
      <w:r w:rsidRPr="00A10EEE">
        <w:rPr>
          <w:rFonts w:eastAsia="Times New Roman"/>
          <w:sz w:val="18"/>
          <w:szCs w:val="18"/>
        </w:rPr>
        <w:t>La decisión de conceder, negar o revocar una visa a un ciudadano extranjero, no obstante el cumplimiento de los requisitos legales y reglamentarios, es facultad soberana y discrecional de la función Ejecutiva, a través de los organismos competentes”</w:t>
      </w:r>
      <w:r w:rsidRPr="00A10EEE">
        <w:rPr>
          <w:rStyle w:val="FootnoteReference"/>
          <w:rFonts w:eastAsia="Times New Roman"/>
          <w:sz w:val="18"/>
          <w:szCs w:val="18"/>
        </w:rPr>
        <w:footnoteReference w:id="28"/>
      </w:r>
      <w:r w:rsidRPr="00A10EEE">
        <w:rPr>
          <w:rFonts w:eastAsia="Times New Roman"/>
          <w:sz w:val="18"/>
          <w:szCs w:val="18"/>
        </w:rPr>
        <w:t>.</w:t>
      </w:r>
    </w:p>
    <w:p w14:paraId="4655B6F3" w14:textId="77777777" w:rsidR="00927548" w:rsidRPr="00A10EEE" w:rsidRDefault="00927548" w:rsidP="00D81C50">
      <w:pPr>
        <w:pStyle w:val="parrafos"/>
        <w:numPr>
          <w:ilvl w:val="0"/>
          <w:numId w:val="0"/>
        </w:numPr>
        <w:ind w:left="567" w:right="571"/>
        <w:rPr>
          <w:rFonts w:eastAsia="Times New Roman"/>
          <w:sz w:val="18"/>
          <w:szCs w:val="18"/>
        </w:rPr>
      </w:pPr>
    </w:p>
    <w:p w14:paraId="61585D19" w14:textId="77777777" w:rsidR="00637638" w:rsidRDefault="00927548" w:rsidP="00637638">
      <w:pPr>
        <w:ind w:left="567" w:right="571"/>
        <w:jc w:val="both"/>
        <w:rPr>
          <w:rFonts w:asciiTheme="majorHAnsi" w:eastAsia="Times New Roman" w:hAnsiTheme="majorHAnsi"/>
          <w:color w:val="000000" w:themeColor="text1"/>
          <w:sz w:val="18"/>
          <w:szCs w:val="18"/>
          <w:bdr w:val="nil"/>
          <w:lang w:val="es-VE" w:eastAsia="en-US"/>
        </w:rPr>
      </w:pPr>
      <w:r w:rsidRPr="00A10EEE">
        <w:rPr>
          <w:rFonts w:asciiTheme="majorHAnsi" w:eastAsia="Times New Roman" w:hAnsiTheme="majorHAnsi"/>
          <w:color w:val="000000" w:themeColor="text1"/>
          <w:sz w:val="18"/>
          <w:szCs w:val="18"/>
          <w:bdr w:val="nil"/>
          <w:lang w:val="es-VE" w:eastAsia="en-US"/>
        </w:rPr>
        <w:t>“Art. 8.  El Consejo Consultivo de Política Migratoria tendrá los siguientes deberes y atribuciones fundamentales:</w:t>
      </w:r>
    </w:p>
    <w:p w14:paraId="15F86A3E" w14:textId="77777777" w:rsidR="00637638" w:rsidRDefault="00637638" w:rsidP="00637638">
      <w:pPr>
        <w:ind w:left="567" w:right="571"/>
        <w:jc w:val="both"/>
        <w:rPr>
          <w:rFonts w:asciiTheme="majorHAnsi" w:eastAsia="Times New Roman" w:hAnsiTheme="majorHAnsi"/>
          <w:color w:val="000000" w:themeColor="text1"/>
          <w:sz w:val="18"/>
          <w:szCs w:val="18"/>
          <w:bdr w:val="nil"/>
          <w:lang w:val="es-VE" w:eastAsia="en-US"/>
        </w:rPr>
      </w:pPr>
    </w:p>
    <w:p w14:paraId="76107E0C" w14:textId="77777777" w:rsidR="00927548" w:rsidRPr="00637638" w:rsidRDefault="00927548" w:rsidP="00637638">
      <w:pPr>
        <w:ind w:left="567" w:right="571"/>
        <w:jc w:val="both"/>
        <w:rPr>
          <w:rFonts w:asciiTheme="majorHAnsi" w:eastAsia="Times New Roman" w:hAnsiTheme="majorHAnsi"/>
          <w:color w:val="000000" w:themeColor="text1"/>
          <w:sz w:val="18"/>
          <w:szCs w:val="18"/>
          <w:bdr w:val="nil"/>
          <w:lang w:val="es-VE" w:eastAsia="en-US"/>
        </w:rPr>
      </w:pPr>
      <w:r w:rsidRPr="00637638">
        <w:rPr>
          <w:sz w:val="18"/>
          <w:szCs w:val="18"/>
        </w:rPr>
        <w:lastRenderedPageBreak/>
        <w:t>Conocer de las consultas venidas en grado sobre la negativa o revocato</w:t>
      </w:r>
      <w:r w:rsidR="00E666BA" w:rsidRPr="00637638">
        <w:rPr>
          <w:sz w:val="18"/>
          <w:szCs w:val="18"/>
        </w:rPr>
        <w:t>r</w:t>
      </w:r>
      <w:r w:rsidRPr="00637638">
        <w:rPr>
          <w:sz w:val="18"/>
          <w:szCs w:val="18"/>
        </w:rPr>
        <w:t>ia en el otorgamiento de visas de inmigrante o de no inmigrante, presentadas por la Dirección General de Extranjería de1 Ministerio de Gobierno, Cultos, Policia y Municipalidades; y, la Dirección de Asuntos Migratorios del Ministerio de Relaciones Exteriores; (…)</w:t>
      </w:r>
      <w:r w:rsidR="00DB3790" w:rsidRPr="00637638">
        <w:rPr>
          <w:sz w:val="18"/>
          <w:szCs w:val="18"/>
        </w:rPr>
        <w:t xml:space="preserve"> </w:t>
      </w:r>
      <w:r w:rsidRPr="00637638">
        <w:rPr>
          <w:sz w:val="18"/>
          <w:szCs w:val="18"/>
        </w:rPr>
        <w:t>Las resoluciones que adopte el Consejo Consultivo de Política Migratoria, sobre la facultad señalada en el literal a) de este artículo, son de aplicación obligatoria. (…)”</w:t>
      </w:r>
      <w:r w:rsidRPr="00637638">
        <w:rPr>
          <w:rStyle w:val="FootnoteReference"/>
          <w:b/>
          <w:bCs/>
          <w:sz w:val="18"/>
          <w:szCs w:val="18"/>
        </w:rPr>
        <w:footnoteReference w:id="29"/>
      </w:r>
      <w:r w:rsidRPr="00637638">
        <w:rPr>
          <w:sz w:val="18"/>
          <w:szCs w:val="18"/>
        </w:rPr>
        <w:t>.</w:t>
      </w:r>
    </w:p>
    <w:p w14:paraId="71C09508" w14:textId="77777777" w:rsidR="00927548" w:rsidRPr="00A10EEE" w:rsidRDefault="00927548" w:rsidP="00D81C50">
      <w:pPr>
        <w:pStyle w:val="parrafos"/>
        <w:numPr>
          <w:ilvl w:val="0"/>
          <w:numId w:val="0"/>
        </w:numPr>
        <w:ind w:left="567" w:right="571"/>
        <w:rPr>
          <w:rFonts w:eastAsia="Times New Roman"/>
          <w:sz w:val="18"/>
          <w:szCs w:val="18"/>
        </w:rPr>
      </w:pPr>
    </w:p>
    <w:p w14:paraId="04224BB8" w14:textId="77777777" w:rsidR="00CE661F" w:rsidRPr="00A10EEE" w:rsidRDefault="00CE661F" w:rsidP="00D81C50">
      <w:pPr>
        <w:ind w:left="567" w:right="571"/>
        <w:jc w:val="both"/>
        <w:rPr>
          <w:rFonts w:asciiTheme="majorHAnsi" w:eastAsia="Times New Roman" w:hAnsiTheme="majorHAnsi"/>
          <w:sz w:val="18"/>
          <w:szCs w:val="18"/>
        </w:rPr>
      </w:pPr>
      <w:r w:rsidRPr="00A10EEE">
        <w:rPr>
          <w:rFonts w:asciiTheme="majorHAnsi" w:eastAsia="Times New Roman" w:hAnsiTheme="majorHAnsi"/>
          <w:sz w:val="18"/>
          <w:szCs w:val="18"/>
        </w:rPr>
        <w:t>“Art. 10.- Considérese inmigrante a todo extranjero que se interna legal y condicionalmente en el país, con el propósito de radicarse y desarrollar las actividades autorizadas que en cada categoría se determina a continuación: VI- Para vivir bajo la dependencia económica del cónyuge o de un pariente consanguíneo dentro del segundo grado”.</w:t>
      </w:r>
    </w:p>
    <w:p w14:paraId="32BF9667" w14:textId="77777777" w:rsidR="00807C25" w:rsidRPr="00A10EEE" w:rsidRDefault="00807C25" w:rsidP="00D81C50">
      <w:pPr>
        <w:tabs>
          <w:tab w:val="left" w:pos="360"/>
        </w:tabs>
        <w:jc w:val="both"/>
        <w:rPr>
          <w:rFonts w:asciiTheme="majorHAnsi" w:eastAsia="Times New Roman" w:hAnsiTheme="majorHAnsi" w:cs="Arial"/>
          <w:bCs/>
          <w:iCs/>
          <w:color w:val="000000" w:themeColor="text1"/>
          <w:sz w:val="20"/>
          <w:szCs w:val="20"/>
        </w:rPr>
      </w:pPr>
    </w:p>
    <w:p w14:paraId="7AF9CEF9" w14:textId="77777777" w:rsidR="00807C25" w:rsidRPr="00A10EEE" w:rsidRDefault="00807C25" w:rsidP="00D81C50">
      <w:pPr>
        <w:pStyle w:val="parrafos"/>
        <w:ind w:left="0" w:firstLine="0"/>
      </w:pPr>
      <w:r w:rsidRPr="00A10EEE">
        <w:t>La Ley de Migración</w:t>
      </w:r>
      <w:r w:rsidR="0043565F" w:rsidRPr="00A10EEE">
        <w:t xml:space="preserve"> </w:t>
      </w:r>
      <w:r w:rsidRPr="00A10EEE">
        <w:t xml:space="preserve">establecía </w:t>
      </w:r>
      <w:r w:rsidR="00385BB8" w:rsidRPr="00A10EEE">
        <w:t xml:space="preserve">el procedimiento de </w:t>
      </w:r>
      <w:r w:rsidRPr="00A10EEE">
        <w:t xml:space="preserve">la acción penal de deportación de extranjeros a cargo del Intendente General de Policía: </w:t>
      </w:r>
    </w:p>
    <w:p w14:paraId="5C861354" w14:textId="77777777" w:rsidR="00807C25" w:rsidRPr="00A10EEE" w:rsidRDefault="00807C25" w:rsidP="00D81C50">
      <w:pPr>
        <w:ind w:right="429"/>
        <w:jc w:val="both"/>
        <w:rPr>
          <w:rFonts w:asciiTheme="majorHAnsi" w:eastAsia="Times New Roman" w:hAnsiTheme="majorHAnsi"/>
          <w:sz w:val="20"/>
          <w:szCs w:val="20"/>
        </w:rPr>
      </w:pPr>
    </w:p>
    <w:p w14:paraId="1EA05482" w14:textId="77777777" w:rsidR="00807C25" w:rsidRPr="00A10EEE" w:rsidRDefault="007F3415" w:rsidP="00D81C50">
      <w:pPr>
        <w:ind w:left="567" w:right="429"/>
        <w:jc w:val="both"/>
        <w:rPr>
          <w:rFonts w:asciiTheme="majorHAnsi" w:eastAsia="Times New Roman" w:hAnsiTheme="majorHAnsi"/>
          <w:sz w:val="18"/>
          <w:szCs w:val="18"/>
        </w:rPr>
      </w:pPr>
      <w:r w:rsidRPr="00A10EEE">
        <w:rPr>
          <w:rFonts w:asciiTheme="majorHAnsi" w:eastAsia="Times New Roman" w:hAnsiTheme="majorHAnsi"/>
          <w:sz w:val="18"/>
          <w:szCs w:val="18"/>
        </w:rPr>
        <w:t xml:space="preserve"> </w:t>
      </w:r>
      <w:r w:rsidR="00807C25" w:rsidRPr="00A10EEE">
        <w:rPr>
          <w:rFonts w:asciiTheme="majorHAnsi" w:eastAsia="Times New Roman" w:hAnsiTheme="majorHAnsi"/>
          <w:sz w:val="18"/>
          <w:szCs w:val="18"/>
        </w:rPr>
        <w:t>“Artículo 20. Los agentes de policía del Servicio de Migración que tuvieren conocimiento de alguno de los hechos constitutivos de las causas de deportación, podrán realizar el arresto provisional del extranjero implicado para que el Intendente General de Policía de la provincia en que se efectuó la detención inicie la respectiva acción  en la que no se admitirá fianza carcelaria”.</w:t>
      </w:r>
    </w:p>
    <w:p w14:paraId="07D6D4A6" w14:textId="77777777" w:rsidR="00807C25" w:rsidRPr="00A10EEE" w:rsidRDefault="006F78C1" w:rsidP="00D81C50">
      <w:pPr>
        <w:tabs>
          <w:tab w:val="left" w:pos="3699"/>
        </w:tabs>
        <w:ind w:right="429"/>
        <w:jc w:val="both"/>
        <w:rPr>
          <w:rFonts w:asciiTheme="majorHAnsi" w:eastAsia="Times New Roman" w:hAnsiTheme="majorHAnsi"/>
          <w:sz w:val="18"/>
          <w:szCs w:val="18"/>
        </w:rPr>
      </w:pPr>
      <w:r w:rsidRPr="00A10EEE">
        <w:rPr>
          <w:rFonts w:asciiTheme="majorHAnsi" w:eastAsia="Times New Roman" w:hAnsiTheme="majorHAnsi"/>
          <w:sz w:val="18"/>
          <w:szCs w:val="18"/>
        </w:rPr>
        <w:tab/>
      </w:r>
    </w:p>
    <w:p w14:paraId="57A89A7A" w14:textId="77777777" w:rsidR="00CC4A33" w:rsidRPr="00A10EEE" w:rsidRDefault="00E32067" w:rsidP="00D81C50">
      <w:pPr>
        <w:ind w:left="567" w:right="429"/>
        <w:jc w:val="both"/>
        <w:rPr>
          <w:rFonts w:asciiTheme="majorHAnsi" w:eastAsia="Times New Roman" w:hAnsiTheme="majorHAnsi"/>
          <w:sz w:val="18"/>
          <w:szCs w:val="18"/>
        </w:rPr>
      </w:pPr>
      <w:r w:rsidRPr="00A10EEE">
        <w:rPr>
          <w:rFonts w:asciiTheme="majorHAnsi" w:eastAsia="Times New Roman" w:hAnsiTheme="majorHAnsi"/>
          <w:sz w:val="18"/>
          <w:szCs w:val="18"/>
        </w:rPr>
        <w:t>“</w:t>
      </w:r>
      <w:r w:rsidR="00807C25" w:rsidRPr="00A10EEE">
        <w:rPr>
          <w:rFonts w:asciiTheme="majorHAnsi" w:eastAsia="Times New Roman" w:hAnsiTheme="majorHAnsi"/>
          <w:sz w:val="18"/>
          <w:szCs w:val="18"/>
        </w:rPr>
        <w:t>Artículo 26. En la audiencia se exhibirán los documentos, evidencias y demás situaciones de hecho y de derecho en que se fundamente la acción; y la declaración y alegatos del extranjero que se opongan a la misma.</w:t>
      </w:r>
      <w:r w:rsidRPr="00A10EEE">
        <w:rPr>
          <w:rFonts w:asciiTheme="majorHAnsi" w:eastAsia="Times New Roman" w:hAnsiTheme="majorHAnsi"/>
          <w:sz w:val="18"/>
          <w:szCs w:val="18"/>
        </w:rPr>
        <w:t xml:space="preserve"> (…)</w:t>
      </w:r>
      <w:r w:rsidR="00807C25" w:rsidRPr="00A10EEE">
        <w:rPr>
          <w:rFonts w:asciiTheme="majorHAnsi" w:eastAsia="Times New Roman" w:hAnsiTheme="majorHAnsi"/>
          <w:sz w:val="18"/>
          <w:szCs w:val="18"/>
        </w:rPr>
        <w:t>”.</w:t>
      </w:r>
    </w:p>
    <w:p w14:paraId="7A3B20AB" w14:textId="77777777" w:rsidR="00CC4A33" w:rsidRPr="00A10EEE" w:rsidRDefault="00CC4A33" w:rsidP="00D81C50">
      <w:pPr>
        <w:ind w:left="567" w:right="429"/>
        <w:jc w:val="both"/>
        <w:rPr>
          <w:rFonts w:asciiTheme="majorHAnsi" w:eastAsia="Times New Roman" w:hAnsiTheme="majorHAnsi"/>
          <w:sz w:val="18"/>
          <w:szCs w:val="18"/>
        </w:rPr>
      </w:pPr>
    </w:p>
    <w:p w14:paraId="496144F8" w14:textId="77777777" w:rsidR="0028658A" w:rsidRPr="00A10EEE" w:rsidRDefault="00506BBE" w:rsidP="00D81C50">
      <w:pPr>
        <w:pStyle w:val="parrafos"/>
        <w:ind w:left="0" w:firstLine="0"/>
        <w:rPr>
          <w:rFonts w:eastAsia="Times New Roman"/>
          <w:sz w:val="18"/>
          <w:szCs w:val="18"/>
        </w:rPr>
      </w:pPr>
      <w:r w:rsidRPr="00A10EEE">
        <w:t xml:space="preserve">Sobre los recursos respecto a la orden de deportación, </w:t>
      </w:r>
      <w:r w:rsidR="00807C25" w:rsidRPr="00A10EEE">
        <w:t xml:space="preserve">el artículo 30 </w:t>
      </w:r>
      <w:r w:rsidR="001F4798" w:rsidRPr="00A10EEE">
        <w:t xml:space="preserve">de la Ley de Migración </w:t>
      </w:r>
      <w:r w:rsidRPr="00A10EEE">
        <w:t xml:space="preserve">vigente a la época de los hechos establecía </w:t>
      </w:r>
      <w:r w:rsidR="00807C25" w:rsidRPr="00A10EEE">
        <w:t>que la orden de deportación contra un extranjero no t</w:t>
      </w:r>
      <w:r w:rsidR="001F4798" w:rsidRPr="00A10EEE">
        <w:t>enía</w:t>
      </w:r>
      <w:r w:rsidR="00807C25" w:rsidRPr="00A10EEE">
        <w:t xml:space="preserve"> recursos</w:t>
      </w:r>
      <w:r w:rsidR="00A13C72" w:rsidRPr="00A10EEE">
        <w:rPr>
          <w:rStyle w:val="FootnoteReference"/>
        </w:rPr>
        <w:footnoteReference w:id="30"/>
      </w:r>
      <w:r w:rsidRPr="00A10EEE">
        <w:t xml:space="preserve">, sin embargo, aquel fue modificado </w:t>
      </w:r>
      <w:r w:rsidR="00375D85" w:rsidRPr="00A10EEE">
        <w:t>en 2005</w:t>
      </w:r>
      <w:r w:rsidR="00A13C72" w:rsidRPr="00A10EEE">
        <w:rPr>
          <w:rStyle w:val="FootnoteReference"/>
        </w:rPr>
        <w:footnoteReference w:id="31"/>
      </w:r>
      <w:r w:rsidR="00A13C72" w:rsidRPr="00A10EEE">
        <w:t xml:space="preserve">. </w:t>
      </w:r>
    </w:p>
    <w:p w14:paraId="339FB9E2" w14:textId="77777777" w:rsidR="00E03D1A" w:rsidRPr="00A10EEE" w:rsidRDefault="00E03D1A" w:rsidP="00D81C50">
      <w:pPr>
        <w:pStyle w:val="parrafos"/>
        <w:numPr>
          <w:ilvl w:val="0"/>
          <w:numId w:val="0"/>
        </w:numPr>
        <w:tabs>
          <w:tab w:val="clear" w:pos="360"/>
        </w:tabs>
      </w:pPr>
    </w:p>
    <w:p w14:paraId="11AADA23" w14:textId="77777777" w:rsidR="00243FA3" w:rsidRPr="00A10EEE" w:rsidRDefault="00807C25" w:rsidP="00D81C50">
      <w:pPr>
        <w:numPr>
          <w:ilvl w:val="0"/>
          <w:numId w:val="55"/>
        </w:numPr>
        <w:tabs>
          <w:tab w:val="left" w:pos="360"/>
        </w:tabs>
        <w:ind w:left="0" w:firstLine="0"/>
        <w:jc w:val="both"/>
        <w:rPr>
          <w:rFonts w:asciiTheme="majorHAnsi" w:hAnsiTheme="majorHAnsi"/>
          <w:color w:val="000000" w:themeColor="text1"/>
          <w:sz w:val="20"/>
          <w:szCs w:val="20"/>
          <w:lang w:val="es-VE"/>
        </w:rPr>
      </w:pPr>
      <w:r w:rsidRPr="00A10EEE">
        <w:rPr>
          <w:rFonts w:asciiTheme="majorHAnsi" w:eastAsia="Times New Roman" w:hAnsiTheme="majorHAnsi"/>
          <w:sz w:val="20"/>
          <w:szCs w:val="20"/>
        </w:rPr>
        <w:t>Después de ocurridos los hechos del proceso objeto del presente Informe, se emitió en Ecuador la codificación de la Ley de Migración</w:t>
      </w:r>
      <w:r w:rsidR="00E56870" w:rsidRPr="00A10EEE">
        <w:rPr>
          <w:rFonts w:asciiTheme="majorHAnsi" w:eastAsia="Times New Roman" w:hAnsiTheme="majorHAnsi"/>
          <w:sz w:val="20"/>
          <w:szCs w:val="20"/>
        </w:rPr>
        <w:t xml:space="preserve">, publicada en el </w:t>
      </w:r>
      <w:r w:rsidRPr="00A10EEE">
        <w:rPr>
          <w:rFonts w:asciiTheme="majorHAnsi" w:eastAsia="Times New Roman" w:hAnsiTheme="majorHAnsi"/>
          <w:sz w:val="20"/>
          <w:szCs w:val="20"/>
        </w:rPr>
        <w:t>Registro Oficial 563 de 12 de abril de 2005</w:t>
      </w:r>
      <w:r w:rsidR="001F4798" w:rsidRPr="00A10EEE">
        <w:rPr>
          <w:rFonts w:asciiTheme="majorHAnsi" w:eastAsia="Times New Roman" w:hAnsiTheme="majorHAnsi"/>
          <w:sz w:val="20"/>
          <w:szCs w:val="20"/>
        </w:rPr>
        <w:t xml:space="preserve">, así como </w:t>
      </w:r>
      <w:r w:rsidR="00E15029" w:rsidRPr="00A10EEE">
        <w:rPr>
          <w:rFonts w:asciiTheme="majorHAnsi" w:eastAsia="Times New Roman" w:hAnsiTheme="majorHAnsi"/>
          <w:sz w:val="20"/>
          <w:szCs w:val="20"/>
        </w:rPr>
        <w:t xml:space="preserve">la codificación de la Ley de Extranjería, publicada en el Registro Oficial No. 454 de 4 de noviembre de 2004. </w:t>
      </w:r>
      <w:r w:rsidR="004C13B1" w:rsidRPr="00A10EEE">
        <w:rPr>
          <w:rFonts w:asciiTheme="majorHAnsi" w:hAnsiTheme="majorHAnsi"/>
          <w:color w:val="000000" w:themeColor="text1"/>
          <w:sz w:val="20"/>
          <w:szCs w:val="20"/>
          <w:lang w:val="es-VE"/>
        </w:rPr>
        <w:t xml:space="preserve">El </w:t>
      </w:r>
      <w:r w:rsidR="005B37AD" w:rsidRPr="00A10EEE">
        <w:rPr>
          <w:rFonts w:asciiTheme="majorHAnsi" w:hAnsiTheme="majorHAnsi"/>
          <w:color w:val="000000" w:themeColor="text1"/>
          <w:sz w:val="20"/>
          <w:szCs w:val="20"/>
          <w:lang w:val="es-VE"/>
        </w:rPr>
        <w:t xml:space="preserve">6 de febrero </w:t>
      </w:r>
      <w:r w:rsidR="004C13B1" w:rsidRPr="00A10EEE">
        <w:rPr>
          <w:rFonts w:asciiTheme="majorHAnsi" w:hAnsiTheme="majorHAnsi"/>
          <w:color w:val="000000" w:themeColor="text1"/>
          <w:sz w:val="20"/>
          <w:szCs w:val="20"/>
          <w:lang w:val="es-VE"/>
        </w:rPr>
        <w:t xml:space="preserve">de 2017, fue </w:t>
      </w:r>
      <w:r w:rsidR="005B37AD" w:rsidRPr="00A10EEE">
        <w:rPr>
          <w:rFonts w:asciiTheme="majorHAnsi" w:hAnsiTheme="majorHAnsi"/>
          <w:color w:val="000000" w:themeColor="text1"/>
          <w:sz w:val="20"/>
          <w:szCs w:val="20"/>
          <w:lang w:val="es-VE"/>
        </w:rPr>
        <w:t>promulgada</w:t>
      </w:r>
      <w:r w:rsidR="004C13B1" w:rsidRPr="00A10EEE">
        <w:rPr>
          <w:rFonts w:asciiTheme="majorHAnsi" w:hAnsiTheme="majorHAnsi"/>
          <w:color w:val="000000" w:themeColor="text1"/>
          <w:sz w:val="20"/>
          <w:szCs w:val="20"/>
          <w:lang w:val="es-VE"/>
        </w:rPr>
        <w:t xml:space="preserve"> la Ley Orgánica de Movilidad Humana en Ecuador, que derogó la Ley de Extranjería, la Ley de Migración y sus respectivos reglamentos. </w:t>
      </w:r>
    </w:p>
    <w:p w14:paraId="627F2BAE" w14:textId="77777777" w:rsidR="00E56870" w:rsidRPr="00A10EEE" w:rsidRDefault="00505385" w:rsidP="00D81C50">
      <w:pPr>
        <w:tabs>
          <w:tab w:val="left" w:pos="360"/>
        </w:tabs>
        <w:jc w:val="both"/>
        <w:rPr>
          <w:rFonts w:asciiTheme="majorHAnsi" w:eastAsia="Times New Roman" w:hAnsiTheme="majorHAnsi" w:cs="Arial"/>
          <w:bCs/>
          <w:iCs/>
          <w:color w:val="000000" w:themeColor="text1"/>
          <w:sz w:val="20"/>
          <w:szCs w:val="20"/>
        </w:rPr>
      </w:pPr>
      <w:r w:rsidRPr="00A10EEE">
        <w:rPr>
          <w:rFonts w:asciiTheme="majorHAnsi" w:eastAsia="Times New Roman" w:hAnsiTheme="majorHAnsi" w:cs="Arial"/>
          <w:bCs/>
          <w:iCs/>
          <w:color w:val="000000" w:themeColor="text1"/>
          <w:sz w:val="20"/>
          <w:szCs w:val="20"/>
        </w:rPr>
        <w:tab/>
      </w:r>
    </w:p>
    <w:p w14:paraId="43BBB08A" w14:textId="77777777" w:rsidR="00BE4EC9" w:rsidRPr="00637638" w:rsidRDefault="00BE4EC9" w:rsidP="00B8126D">
      <w:pPr>
        <w:pStyle w:val="Heading1"/>
      </w:pPr>
      <w:bookmarkStart w:id="7" w:name="_Toc39489210"/>
      <w:r w:rsidRPr="00637638">
        <w:t>ESCRITOS DE AMICUS CURIAE</w:t>
      </w:r>
      <w:bookmarkEnd w:id="7"/>
    </w:p>
    <w:p w14:paraId="1270816A" w14:textId="77777777" w:rsidR="00BE4EC9" w:rsidRPr="00A10EEE" w:rsidRDefault="00BE4EC9" w:rsidP="00D81C50">
      <w:pPr>
        <w:pStyle w:val="parrafos"/>
        <w:numPr>
          <w:ilvl w:val="0"/>
          <w:numId w:val="0"/>
        </w:numPr>
      </w:pPr>
    </w:p>
    <w:p w14:paraId="01218CD7" w14:textId="77777777" w:rsidR="004F18E7" w:rsidRPr="00A10EEE" w:rsidRDefault="00BE4EC9" w:rsidP="00D81C50">
      <w:pPr>
        <w:pStyle w:val="parrafos"/>
        <w:ind w:left="0" w:firstLine="0"/>
      </w:pPr>
      <w:r w:rsidRPr="00A10EEE">
        <w:t xml:space="preserve">Durante el trámite de la presente petición, la Comisión recibió dos </w:t>
      </w:r>
      <w:r w:rsidRPr="00A10EEE">
        <w:rPr>
          <w:i/>
        </w:rPr>
        <w:t>amicus cur</w:t>
      </w:r>
      <w:r w:rsidR="00587E98" w:rsidRPr="00A10EEE">
        <w:rPr>
          <w:i/>
        </w:rPr>
        <w:t>i</w:t>
      </w:r>
      <w:r w:rsidRPr="00A10EEE">
        <w:rPr>
          <w:i/>
        </w:rPr>
        <w:t>ae</w:t>
      </w:r>
      <w:r w:rsidRPr="00A10EEE">
        <w:t xml:space="preserve">, uno de la </w:t>
      </w:r>
      <w:r w:rsidR="00BC4B20" w:rsidRPr="00A10EEE">
        <w:t>ex pareja del peticionario, Leila Carvajal Erker; y otro de la Clínica jurídica de</w:t>
      </w:r>
      <w:r w:rsidR="00BC4B20" w:rsidRPr="00A10EEE">
        <w:rPr>
          <w:rFonts w:eastAsia="Times New Roman" w:cs="Arial"/>
          <w:bCs/>
          <w:iCs/>
        </w:rPr>
        <w:t xml:space="preserve"> la Universidad San Francisco de Quito, Ecuador.</w:t>
      </w:r>
    </w:p>
    <w:p w14:paraId="7F24B299" w14:textId="77777777" w:rsidR="004F18E7" w:rsidRPr="00A10EEE" w:rsidRDefault="004F18E7" w:rsidP="00D81C50">
      <w:pPr>
        <w:pStyle w:val="parrafos"/>
        <w:numPr>
          <w:ilvl w:val="0"/>
          <w:numId w:val="0"/>
        </w:numPr>
      </w:pPr>
    </w:p>
    <w:p w14:paraId="3DE49503" w14:textId="77777777" w:rsidR="00BC4B20" w:rsidRPr="00A10EEE" w:rsidRDefault="00BC4B20" w:rsidP="00845DB1">
      <w:pPr>
        <w:pStyle w:val="Heading2"/>
        <w:numPr>
          <w:ilvl w:val="0"/>
          <w:numId w:val="58"/>
        </w:numPr>
        <w:rPr>
          <w:rFonts w:eastAsia="Arial Unicode MS"/>
          <w:lang w:val="pt-BR"/>
        </w:rPr>
      </w:pPr>
      <w:bookmarkStart w:id="8" w:name="_Toc39489211"/>
      <w:r w:rsidRPr="00A10EEE">
        <w:rPr>
          <w:i/>
          <w:lang w:val="pt-BR"/>
        </w:rPr>
        <w:t>Amicus curiae</w:t>
      </w:r>
      <w:r w:rsidRPr="00A10EEE">
        <w:rPr>
          <w:lang w:val="pt-BR"/>
        </w:rPr>
        <w:t xml:space="preserve"> de Leila Carvajal Erker</w:t>
      </w:r>
      <w:bookmarkEnd w:id="8"/>
    </w:p>
    <w:p w14:paraId="05357C05" w14:textId="77777777" w:rsidR="00BC4B20" w:rsidRPr="00A10EEE" w:rsidRDefault="00BC4B20" w:rsidP="00D81C50">
      <w:pPr>
        <w:pStyle w:val="parrafos"/>
        <w:numPr>
          <w:ilvl w:val="0"/>
          <w:numId w:val="0"/>
        </w:numPr>
        <w:ind w:left="720"/>
        <w:rPr>
          <w:lang w:val="pt-BR"/>
        </w:rPr>
      </w:pPr>
    </w:p>
    <w:p w14:paraId="6FE37CD1" w14:textId="77777777" w:rsidR="0028658A" w:rsidRPr="00A10EEE" w:rsidRDefault="00BA2342" w:rsidP="00D81C50">
      <w:pPr>
        <w:pStyle w:val="parrafos"/>
        <w:ind w:left="0" w:firstLine="0"/>
      </w:pPr>
      <w:r w:rsidRPr="00A10EEE">
        <w:t>El 12 de febrero de 2004, la CIDH recibió un escrito de la apoderada de Leila Carvajal Erker, en el que solicitaba la inadmisibilidad de la petición presentada por Elías Gattass Sahih por considerarla infundada, audaz, malic</w:t>
      </w:r>
      <w:r w:rsidR="00C97EDB" w:rsidRPr="00A10EEE">
        <w:t xml:space="preserve">iosa y temeraria. Expuso que </w:t>
      </w:r>
      <w:r w:rsidRPr="00A10EEE">
        <w:t>Sahih ha</w:t>
      </w:r>
      <w:r w:rsidR="00E77E39">
        <w:t>bía</w:t>
      </w:r>
      <w:r w:rsidRPr="00A10EEE">
        <w:t xml:space="preserve"> mentido sobre su identidad, sus estudios,</w:t>
      </w:r>
      <w:r w:rsidR="003D5242" w:rsidRPr="00A10EEE">
        <w:t xml:space="preserve"> </w:t>
      </w:r>
      <w:r w:rsidR="0019031D" w:rsidRPr="00A10EEE">
        <w:t>pues no e</w:t>
      </w:r>
      <w:r w:rsidR="00E77E39">
        <w:t>ra</w:t>
      </w:r>
      <w:r w:rsidR="0019031D" w:rsidRPr="00A10EEE">
        <w:t xml:space="preserve"> empresario</w:t>
      </w:r>
      <w:r w:rsidRPr="00A10EEE">
        <w:t xml:space="preserve"> y utilizó documentación que correspondía a otra persona. Indicó que desde julio de 2001 </w:t>
      </w:r>
      <w:r w:rsidR="0019031D" w:rsidRPr="00A10EEE">
        <w:t xml:space="preserve">Leila Carvajal y Elías Sahih estaban </w:t>
      </w:r>
      <w:r w:rsidRPr="00A10EEE">
        <w:t>separados</w:t>
      </w:r>
      <w:r w:rsidR="0019031D" w:rsidRPr="00A10EEE">
        <w:t xml:space="preserve"> y que</w:t>
      </w:r>
      <w:r w:rsidRPr="00A10EEE">
        <w:t xml:space="preserve"> la Comisaría Séptima de Policía de la Mujer y la Familia que dictó medidas cautelares a favor de </w:t>
      </w:r>
      <w:r w:rsidR="00CC58D3" w:rsidRPr="00A10EEE">
        <w:t>la cónyuge</w:t>
      </w:r>
      <w:r w:rsidRPr="00A10EEE">
        <w:t xml:space="preserve"> para evitar daños irreparables. Señaló que </w:t>
      </w:r>
      <w:r w:rsidR="00CC58D3" w:rsidRPr="00A10EEE">
        <w:t xml:space="preserve">Sahih </w:t>
      </w:r>
      <w:r w:rsidRPr="00A10EEE">
        <w:t xml:space="preserve">constituyó varias compañías </w:t>
      </w:r>
      <w:r w:rsidR="00CC58D3" w:rsidRPr="00A10EEE">
        <w:t xml:space="preserve">y que tenía </w:t>
      </w:r>
      <w:r w:rsidRPr="00A10EEE">
        <w:t xml:space="preserve">procesos judiciales por deudas, falsificación de documentos, entre otras. Agregó que la familia de Leila Carvajal fue objeto de persecución e intimidación después de su conflicto con Sahih.   </w:t>
      </w:r>
    </w:p>
    <w:p w14:paraId="05385631" w14:textId="77777777" w:rsidR="0028658A" w:rsidRPr="00A10EEE" w:rsidRDefault="0028658A" w:rsidP="00D81C50">
      <w:pPr>
        <w:pStyle w:val="parrafos"/>
        <w:numPr>
          <w:ilvl w:val="0"/>
          <w:numId w:val="0"/>
        </w:numPr>
      </w:pPr>
    </w:p>
    <w:p w14:paraId="5D4F3771" w14:textId="77777777" w:rsidR="0028658A" w:rsidRPr="00A10EEE" w:rsidRDefault="00BA2342" w:rsidP="00D81C50">
      <w:pPr>
        <w:pStyle w:val="parrafos"/>
        <w:ind w:left="0" w:firstLine="0"/>
      </w:pPr>
      <w:r w:rsidRPr="00A10EEE">
        <w:rPr>
          <w:rFonts w:eastAsia="Times New Roman" w:cs="Arial"/>
          <w:bCs/>
          <w:iCs/>
        </w:rPr>
        <w:lastRenderedPageBreak/>
        <w:t>El 27 de febrero de 2004, la Comisión manifestó a la apoderada de Leila Carvajal Erker que el procedimiento ante el sistema interamericano no prevé la participación de terceros y que su información ha</w:t>
      </w:r>
      <w:r w:rsidR="00CC58D3" w:rsidRPr="00A10EEE">
        <w:rPr>
          <w:rFonts w:eastAsia="Times New Roman" w:cs="Arial"/>
          <w:bCs/>
          <w:iCs/>
        </w:rPr>
        <w:t>bía</w:t>
      </w:r>
      <w:r w:rsidRPr="00A10EEE">
        <w:rPr>
          <w:rFonts w:eastAsia="Times New Roman" w:cs="Arial"/>
          <w:bCs/>
          <w:iCs/>
        </w:rPr>
        <w:t xml:space="preserve"> sido recibida en calidad de </w:t>
      </w:r>
      <w:r w:rsidRPr="00A10EEE">
        <w:rPr>
          <w:rFonts w:eastAsia="Times New Roman" w:cs="Arial"/>
          <w:bCs/>
          <w:i/>
          <w:iCs/>
        </w:rPr>
        <w:t>amicus curiae</w:t>
      </w:r>
      <w:r w:rsidRPr="00A10EEE">
        <w:rPr>
          <w:rFonts w:eastAsia="Times New Roman" w:cs="Arial"/>
          <w:bCs/>
          <w:iCs/>
        </w:rPr>
        <w:t xml:space="preserve">. Posteriormente, la apoderada envió documentación  en la que consta una solicitud al Director General de Extranjería del 14 de noviembre de 2001 para que reconsidere la decisión de otorgarle visa al extranjero Elías Sahih, para lo cual describe y anexa documentos sobre una presunta falsificación de documentos y conducta amenazante contra su cónyuge. </w:t>
      </w:r>
    </w:p>
    <w:p w14:paraId="430ED93F" w14:textId="77777777" w:rsidR="00BC4B20" w:rsidRPr="00A10EEE" w:rsidRDefault="00BC4B20" w:rsidP="00D81C50">
      <w:pPr>
        <w:pStyle w:val="parrafos"/>
        <w:numPr>
          <w:ilvl w:val="0"/>
          <w:numId w:val="0"/>
        </w:numPr>
      </w:pPr>
    </w:p>
    <w:p w14:paraId="2BB10EA5" w14:textId="77777777" w:rsidR="00BC4B20" w:rsidRPr="00A10EEE" w:rsidRDefault="00BC4B20" w:rsidP="00845DB1">
      <w:pPr>
        <w:pStyle w:val="Heading2"/>
        <w:numPr>
          <w:ilvl w:val="0"/>
          <w:numId w:val="58"/>
        </w:numPr>
      </w:pPr>
      <w:bookmarkStart w:id="9" w:name="_Toc39489212"/>
      <w:r w:rsidRPr="00A10EEE">
        <w:rPr>
          <w:i/>
        </w:rPr>
        <w:t>Amicus curiae</w:t>
      </w:r>
      <w:r w:rsidRPr="00A10EEE">
        <w:t xml:space="preserve"> de la Clínica Jurídica de la Universidad San Francisco de Quito</w:t>
      </w:r>
      <w:bookmarkEnd w:id="9"/>
    </w:p>
    <w:p w14:paraId="428B91BB" w14:textId="77777777" w:rsidR="0028658A" w:rsidRPr="00A10EEE" w:rsidRDefault="0028658A" w:rsidP="00D81C50">
      <w:pPr>
        <w:pStyle w:val="parrafos"/>
        <w:numPr>
          <w:ilvl w:val="0"/>
          <w:numId w:val="0"/>
        </w:numPr>
        <w:rPr>
          <w:rFonts w:eastAsia="Times New Roman" w:cs="Arial"/>
          <w:bCs/>
          <w:iCs/>
        </w:rPr>
      </w:pPr>
    </w:p>
    <w:p w14:paraId="7F6278D7" w14:textId="77777777" w:rsidR="0028658A" w:rsidRPr="00A10EEE" w:rsidRDefault="00820481" w:rsidP="00D81C50">
      <w:pPr>
        <w:pStyle w:val="parrafos"/>
        <w:ind w:left="0" w:firstLine="0"/>
      </w:pPr>
      <w:r w:rsidRPr="00A10EEE">
        <w:t xml:space="preserve">El 4 de mayo de 2006, la CIDH recibió un </w:t>
      </w:r>
      <w:r w:rsidRPr="00A10EEE">
        <w:rPr>
          <w:i/>
        </w:rPr>
        <w:t>amicus curiae</w:t>
      </w:r>
      <w:r w:rsidR="00BC4B20" w:rsidRPr="00A10EEE">
        <w:t xml:space="preserve"> de los estudiantes de la</w:t>
      </w:r>
      <w:r w:rsidRPr="00A10EEE">
        <w:t xml:space="preserve"> Clínicas Jurídicas de la Universidad San </w:t>
      </w:r>
      <w:r w:rsidR="00B95E54" w:rsidRPr="00A10EEE">
        <w:t>Francisco</w:t>
      </w:r>
      <w:r w:rsidRPr="00A10EEE">
        <w:t xml:space="preserve"> de Quito, Ecuador</w:t>
      </w:r>
      <w:r w:rsidRPr="00A10EEE">
        <w:rPr>
          <w:rStyle w:val="FootnoteReference"/>
          <w:rFonts w:eastAsia="Times New Roman" w:cs="Arial"/>
          <w:bCs/>
          <w:iCs/>
        </w:rPr>
        <w:footnoteReference w:id="32"/>
      </w:r>
      <w:r w:rsidRPr="00A10EEE">
        <w:t xml:space="preserve">. </w:t>
      </w:r>
      <w:r w:rsidR="007D07DB" w:rsidRPr="00A10EEE">
        <w:t xml:space="preserve"> </w:t>
      </w:r>
      <w:r w:rsidR="00A955FC" w:rsidRPr="00A10EEE">
        <w:t>Los firmante</w:t>
      </w:r>
      <w:r w:rsidR="00CC58D3" w:rsidRPr="00A10EEE">
        <w:t>s</w:t>
      </w:r>
      <w:r w:rsidR="00A955FC" w:rsidRPr="00A10EEE">
        <w:t xml:space="preserve"> manifestaron que </w:t>
      </w:r>
      <w:r w:rsidR="00FC5EF2" w:rsidRPr="00A10EEE">
        <w:t xml:space="preserve">las normas que permitieron la privación de la libertad y la revocatoria de la visa de inmigrante de Elías Gattass Sahih son una suerte de “híbrido”, pues </w:t>
      </w:r>
      <w:r w:rsidR="00881A6B" w:rsidRPr="00A10EEE">
        <w:t xml:space="preserve">estaban contenidas en Decretos Supremos dictados por el Ejecutivo, </w:t>
      </w:r>
      <w:r w:rsidR="00BD1731" w:rsidRPr="00A10EEE">
        <w:t>en 2005</w:t>
      </w:r>
      <w:r w:rsidR="00881A6B" w:rsidRPr="00A10EEE">
        <w:t xml:space="preserve"> fueron codificadas </w:t>
      </w:r>
      <w:r w:rsidR="00BD1731" w:rsidRPr="00A10EEE">
        <w:t>por una Comisión del Congreso Nacional de la República</w:t>
      </w:r>
      <w:r w:rsidR="00E17D18" w:rsidRPr="00A10EEE">
        <w:t>, y, en su criterio, después de la proclamación de la Constitución Política del Ecuador, las mismas se tornan contrarias a los principios constitucionales y de derechos humanos.</w:t>
      </w:r>
      <w:r w:rsidR="00A95C54" w:rsidRPr="00A10EEE">
        <w:t xml:space="preserve"> Destacaron que la normativa sobre migración y extranjería</w:t>
      </w:r>
      <w:r w:rsidR="005A7904" w:rsidRPr="00A10EEE">
        <w:t xml:space="preserve"> no surgieron del Congreso de la República, y por lo tanto no tienen el carácter de ley</w:t>
      </w:r>
      <w:r w:rsidR="007F54F4" w:rsidRPr="00A10EEE">
        <w:t>. S</w:t>
      </w:r>
      <w:r w:rsidR="005A7904" w:rsidRPr="00A10EEE">
        <w:t xml:space="preserve">eñalaron que ello es </w:t>
      </w:r>
      <w:r w:rsidR="00C25D2C" w:rsidRPr="00A10EEE">
        <w:t>una violació</w:t>
      </w:r>
      <w:r w:rsidR="00091934" w:rsidRPr="00A10EEE">
        <w:t xml:space="preserve">n al marco interamericano y que demuestra que el Ecuador es </w:t>
      </w:r>
      <w:r w:rsidR="0053468C" w:rsidRPr="00A10EEE">
        <w:t>responsable</w:t>
      </w:r>
      <w:r w:rsidR="00091934" w:rsidRPr="00A10EEE">
        <w:t xml:space="preserve"> por no ade</w:t>
      </w:r>
      <w:r w:rsidR="0053468C" w:rsidRPr="00A10EEE">
        <w:t xml:space="preserve">cuar su ordenamiento. </w:t>
      </w:r>
      <w:r w:rsidR="00C32A40" w:rsidRPr="00A10EEE">
        <w:t xml:space="preserve">Señalaron que las autoridades administrativas tienen una </w:t>
      </w:r>
      <w:r w:rsidR="00356516" w:rsidRPr="00A10EEE">
        <w:t>discrecionalidad</w:t>
      </w:r>
      <w:r w:rsidR="00A25601" w:rsidRPr="00A10EEE">
        <w:t xml:space="preserve"> excedida para imponer restricciones a derechos, sin asegurar un proceso justo, </w:t>
      </w:r>
      <w:r w:rsidR="00FA0166" w:rsidRPr="00A10EEE">
        <w:t xml:space="preserve">ni </w:t>
      </w:r>
      <w:r w:rsidR="00A25601" w:rsidRPr="00A10EEE">
        <w:t>la posibilidad de quien se vea a</w:t>
      </w:r>
      <w:r w:rsidR="00FA0166" w:rsidRPr="00A10EEE">
        <w:t>fectado por las decisiones interponga recursos</w:t>
      </w:r>
      <w:r w:rsidR="00756FE5" w:rsidRPr="00A10EEE">
        <w:t xml:space="preserve">. </w:t>
      </w:r>
    </w:p>
    <w:p w14:paraId="7FC2BC00" w14:textId="77777777" w:rsidR="00756FE5" w:rsidRPr="00A10EEE" w:rsidRDefault="00756FE5" w:rsidP="00D81C50">
      <w:pPr>
        <w:pStyle w:val="parrafos"/>
        <w:numPr>
          <w:ilvl w:val="0"/>
          <w:numId w:val="0"/>
        </w:numPr>
      </w:pPr>
    </w:p>
    <w:p w14:paraId="6CB33B6A" w14:textId="77777777" w:rsidR="00ED20B0" w:rsidRPr="00A10EEE" w:rsidRDefault="005048A4" w:rsidP="00D81C50">
      <w:pPr>
        <w:pStyle w:val="parrafos"/>
        <w:ind w:left="0" w:firstLine="0"/>
      </w:pPr>
      <w:r w:rsidRPr="00A10EEE">
        <w:rPr>
          <w:rFonts w:eastAsia="Times New Roman" w:cs="Arial"/>
          <w:bCs/>
          <w:iCs/>
        </w:rPr>
        <w:t>E</w:t>
      </w:r>
      <w:r w:rsidR="00A955FC" w:rsidRPr="00A10EEE">
        <w:rPr>
          <w:rFonts w:eastAsia="Times New Roman" w:cs="Arial"/>
          <w:bCs/>
          <w:iCs/>
        </w:rPr>
        <w:t xml:space="preserve">n el caso </w:t>
      </w:r>
      <w:r w:rsidR="006515B7" w:rsidRPr="00A10EEE">
        <w:rPr>
          <w:rFonts w:eastAsia="Times New Roman" w:cs="Arial"/>
          <w:bCs/>
          <w:iCs/>
        </w:rPr>
        <w:t>concreto</w:t>
      </w:r>
      <w:r w:rsidR="00ED20B0" w:rsidRPr="00A10EEE">
        <w:rPr>
          <w:rFonts w:eastAsia="Times New Roman" w:cs="Arial"/>
          <w:bCs/>
          <w:iCs/>
        </w:rPr>
        <w:t xml:space="preserve">, indicaron que </w:t>
      </w:r>
      <w:r w:rsidR="006515B7" w:rsidRPr="00A10EEE">
        <w:rPr>
          <w:rFonts w:eastAsia="Times New Roman" w:cs="Arial"/>
          <w:bCs/>
          <w:iCs/>
        </w:rPr>
        <w:t>se viol</w:t>
      </w:r>
      <w:r w:rsidR="00ED20B0" w:rsidRPr="00A10EEE">
        <w:rPr>
          <w:rFonts w:eastAsia="Times New Roman" w:cs="Arial"/>
          <w:bCs/>
          <w:iCs/>
        </w:rPr>
        <w:t xml:space="preserve">ó el artículo 7.4 de la Convención </w:t>
      </w:r>
      <w:r w:rsidR="00EE1CC0" w:rsidRPr="00A10EEE">
        <w:rPr>
          <w:rFonts w:eastAsia="Times New Roman" w:cs="Arial"/>
          <w:bCs/>
          <w:iCs/>
        </w:rPr>
        <w:t xml:space="preserve">porque no se le informó al señor Sahih de forma debida </w:t>
      </w:r>
      <w:r w:rsidR="006E78A8" w:rsidRPr="00A10EEE">
        <w:rPr>
          <w:rFonts w:eastAsia="Times New Roman" w:cs="Arial"/>
          <w:bCs/>
          <w:iCs/>
        </w:rPr>
        <w:t xml:space="preserve">las razones de su privación de la libertad. Sobre el derecho a las garantías judiciales, señalaron que </w:t>
      </w:r>
      <w:r w:rsidR="000E4759" w:rsidRPr="00A10EEE">
        <w:rPr>
          <w:rFonts w:eastAsia="Times New Roman" w:cs="Arial"/>
          <w:bCs/>
          <w:iCs/>
        </w:rPr>
        <w:t>las debidas garantías en los procedi</w:t>
      </w:r>
      <w:r w:rsidR="002F4A06" w:rsidRPr="00A10EEE">
        <w:rPr>
          <w:rFonts w:eastAsia="Times New Roman" w:cs="Arial"/>
          <w:bCs/>
          <w:iCs/>
        </w:rPr>
        <w:t>mientos en contra de ciudadanos</w:t>
      </w:r>
      <w:r w:rsidR="000E4759" w:rsidRPr="00A10EEE">
        <w:rPr>
          <w:rFonts w:eastAsia="Times New Roman" w:cs="Arial"/>
          <w:bCs/>
          <w:iCs/>
        </w:rPr>
        <w:t xml:space="preserve"> extranjeros deben complementarse con las disposiciones de la Convención de Viena sobre Relaciones Consulares, </w:t>
      </w:r>
      <w:r w:rsidR="00E824BE" w:rsidRPr="00A10EEE">
        <w:rPr>
          <w:rFonts w:eastAsia="Times New Roman" w:cs="Arial"/>
          <w:bCs/>
          <w:iCs/>
        </w:rPr>
        <w:t>la Convención Internacional sobre la Protección de los Derechos de Todos los Trabajadores Migratorios y de sus Familiares, y el Conjunto de Principios para la Protección de todas las Personas Sometidas</w:t>
      </w:r>
      <w:r w:rsidR="000173DD" w:rsidRPr="00A10EEE">
        <w:rPr>
          <w:rFonts w:eastAsia="Times New Roman" w:cs="Arial"/>
          <w:bCs/>
          <w:iCs/>
        </w:rPr>
        <w:t xml:space="preserve"> a cualquier forma de Detención o Prisión</w:t>
      </w:r>
      <w:r w:rsidR="00BC4528" w:rsidRPr="00A10EEE">
        <w:rPr>
          <w:rFonts w:eastAsia="Times New Roman" w:cs="Arial"/>
          <w:bCs/>
          <w:iCs/>
        </w:rPr>
        <w:t>, en virtud de los cuales las autoridades tenían la obligación de informar al consulado del Líbano sobre la detención del señor Elías Gatta</w:t>
      </w:r>
      <w:r w:rsidR="00607617" w:rsidRPr="00A10EEE">
        <w:rPr>
          <w:rFonts w:eastAsia="Times New Roman" w:cs="Arial"/>
          <w:bCs/>
          <w:iCs/>
        </w:rPr>
        <w:t>s</w:t>
      </w:r>
      <w:r w:rsidR="00BC4528" w:rsidRPr="00A10EEE">
        <w:rPr>
          <w:rFonts w:eastAsia="Times New Roman" w:cs="Arial"/>
          <w:bCs/>
          <w:iCs/>
        </w:rPr>
        <w:t>s Sahih</w:t>
      </w:r>
      <w:r w:rsidR="000173DD" w:rsidRPr="00A10EEE">
        <w:rPr>
          <w:rFonts w:eastAsia="Times New Roman" w:cs="Arial"/>
          <w:bCs/>
          <w:iCs/>
        </w:rPr>
        <w:t xml:space="preserve">. </w:t>
      </w:r>
      <w:r w:rsidR="00636DE6" w:rsidRPr="00A10EEE">
        <w:rPr>
          <w:rFonts w:eastAsia="Times New Roman" w:cs="Arial"/>
          <w:bCs/>
          <w:iCs/>
        </w:rPr>
        <w:t xml:space="preserve">En relación con el derecho de circulación y residencia, </w:t>
      </w:r>
      <w:r w:rsidR="00C27802" w:rsidRPr="00A10EEE">
        <w:rPr>
          <w:rFonts w:eastAsia="Times New Roman" w:cs="Arial"/>
          <w:bCs/>
          <w:iCs/>
        </w:rPr>
        <w:t xml:space="preserve">consideraron que aquel se violó porque la presunta víctima fue detenida y la deportación ha impedido que cumpla con sus deberes familiares, obligaciones laborales y económicas en el país. </w:t>
      </w:r>
      <w:r w:rsidR="00D9541E" w:rsidRPr="00A10EEE">
        <w:rPr>
          <w:rFonts w:eastAsia="Times New Roman" w:cs="Arial"/>
          <w:bCs/>
          <w:iCs/>
        </w:rPr>
        <w:t>Y sobre el derecho a la protección judicial, concluyeron que el mismo se desconoció</w:t>
      </w:r>
      <w:r w:rsidR="00223BB3" w:rsidRPr="00A10EEE">
        <w:rPr>
          <w:rFonts w:eastAsia="Times New Roman" w:cs="Arial"/>
          <w:bCs/>
          <w:iCs/>
        </w:rPr>
        <w:t xml:space="preserve"> al iniciar el procedimiento administrativo de revocatoria de visa sin notificarle a Sahih  y al rechazar el recurso de amparo.</w:t>
      </w:r>
    </w:p>
    <w:p w14:paraId="32FB559C" w14:textId="77777777" w:rsidR="004D2720" w:rsidRPr="00A10EEE" w:rsidRDefault="004D2720" w:rsidP="00D81C50">
      <w:pPr>
        <w:tabs>
          <w:tab w:val="left" w:pos="360"/>
        </w:tabs>
        <w:rPr>
          <w:rFonts w:asciiTheme="majorHAnsi" w:hAnsiTheme="majorHAnsi"/>
          <w:sz w:val="20"/>
          <w:szCs w:val="20"/>
        </w:rPr>
      </w:pPr>
    </w:p>
    <w:p w14:paraId="6F0FFE23" w14:textId="77777777" w:rsidR="00D12193" w:rsidRPr="00A10EEE" w:rsidRDefault="00D12193" w:rsidP="00B8126D">
      <w:pPr>
        <w:pStyle w:val="Heading1"/>
      </w:pPr>
      <w:bookmarkStart w:id="10" w:name="_Toc39489213"/>
      <w:r w:rsidRPr="00A10EEE">
        <w:t>ANÁLISIS DE DERECHO</w:t>
      </w:r>
      <w:bookmarkEnd w:id="10"/>
    </w:p>
    <w:p w14:paraId="539574F5" w14:textId="77777777" w:rsidR="007D1F49" w:rsidRPr="00A10EEE" w:rsidRDefault="007D1F49" w:rsidP="00D81C50">
      <w:pPr>
        <w:pStyle w:val="parrafos"/>
        <w:numPr>
          <w:ilvl w:val="0"/>
          <w:numId w:val="0"/>
        </w:numPr>
        <w:tabs>
          <w:tab w:val="clear" w:pos="360"/>
        </w:tabs>
        <w:rPr>
          <w:lang w:val="es-CO"/>
        </w:rPr>
      </w:pPr>
    </w:p>
    <w:p w14:paraId="27B4B8BE" w14:textId="77777777" w:rsidR="000A39E4" w:rsidRPr="00A10EEE" w:rsidRDefault="00CA3B6A" w:rsidP="00845DB1">
      <w:pPr>
        <w:pStyle w:val="Heading2"/>
        <w:numPr>
          <w:ilvl w:val="0"/>
          <w:numId w:val="59"/>
        </w:numPr>
        <w:rPr>
          <w:lang w:val="es-CO"/>
        </w:rPr>
      </w:pPr>
      <w:bookmarkStart w:id="11" w:name="_Toc39489214"/>
      <w:r w:rsidRPr="00A10EEE">
        <w:t>Cuestión previa</w:t>
      </w:r>
      <w:bookmarkEnd w:id="11"/>
    </w:p>
    <w:p w14:paraId="5B200D6A" w14:textId="77777777" w:rsidR="00CA3B6A" w:rsidRPr="00A10EEE" w:rsidRDefault="00CA3B6A" w:rsidP="00D81C50">
      <w:pPr>
        <w:rPr>
          <w:rFonts w:asciiTheme="majorHAnsi" w:hAnsiTheme="majorHAnsi"/>
          <w:sz w:val="20"/>
          <w:szCs w:val="20"/>
        </w:rPr>
      </w:pPr>
    </w:p>
    <w:p w14:paraId="77AF84C7" w14:textId="77777777" w:rsidR="005169FA" w:rsidRPr="00A10EEE" w:rsidRDefault="00CA3B6A" w:rsidP="00D81C50">
      <w:pPr>
        <w:pStyle w:val="parrafos"/>
        <w:tabs>
          <w:tab w:val="clear" w:pos="360"/>
        </w:tabs>
        <w:ind w:left="0" w:firstLine="0"/>
      </w:pPr>
      <w:r w:rsidRPr="00A10EEE">
        <w:t xml:space="preserve">En los más recientes escritos, el Estado solicitó a la Comisión que declare la improcedencia de la petición porque desde el año 2013 concedió la </w:t>
      </w:r>
      <w:r w:rsidR="00A77C9D" w:rsidRPr="00A10EEE">
        <w:t xml:space="preserve">ciudadanía ecuatoriana al señor Elías Gattass Sahih, por lo que considera que </w:t>
      </w:r>
      <w:r w:rsidR="005C0B6F" w:rsidRPr="00A10EEE">
        <w:t xml:space="preserve">aquel </w:t>
      </w:r>
      <w:r w:rsidR="00A77C9D" w:rsidRPr="00A10EEE">
        <w:t>cuenta con los derechos de todos los nacionales y no está sujeto a restricciones derechos a la circulación, ni residencia, ni a procesos de deportación. Al respecto, la Comisión</w:t>
      </w:r>
      <w:r w:rsidR="00BC7112" w:rsidRPr="00A10EEE">
        <w:t xml:space="preserve"> considera que la infor</w:t>
      </w:r>
      <w:r w:rsidR="00CA0A54" w:rsidRPr="00A10EEE">
        <w:t>mación sobre el actual estatus de ciudadano del señor Sahih no es suficiente para omitir el análisis de la petición que fue declarada admisible, pues ella se refiere a hechos ocurridos a finales de 2001 y principios de 2002</w:t>
      </w:r>
      <w:r w:rsidR="0015745A" w:rsidRPr="00A10EEE">
        <w:t xml:space="preserve">, que pudieron generar una violación en sus </w:t>
      </w:r>
      <w:r w:rsidR="00706180" w:rsidRPr="00A10EEE">
        <w:t>derechos,</w:t>
      </w:r>
      <w:r w:rsidR="0015745A" w:rsidRPr="00A10EEE">
        <w:t xml:space="preserve"> aunque ella no persista o no exista riesgo actual con la nueva calidad de ciudadano del señor Sahih. En ese sentido, la CIDH analizará si en el pasado </w:t>
      </w:r>
      <w:r w:rsidR="004652AC" w:rsidRPr="00A10EEE">
        <w:t>se produjo una violación a la Convención Americana</w:t>
      </w:r>
      <w:r w:rsidR="00D558AB" w:rsidRPr="00A10EEE">
        <w:t xml:space="preserve"> cuando el señor Elías Gattass Sahih no gozaba de la calidad de ciudadano, y la </w:t>
      </w:r>
      <w:r w:rsidR="00D71859" w:rsidRPr="00A10EEE">
        <w:t>info</w:t>
      </w:r>
      <w:r w:rsidR="00D558AB" w:rsidRPr="00A10EEE">
        <w:t>r</w:t>
      </w:r>
      <w:r w:rsidR="00D71859" w:rsidRPr="00A10EEE">
        <w:t xml:space="preserve">mación </w:t>
      </w:r>
      <w:r w:rsidR="00D558AB" w:rsidRPr="00A10EEE">
        <w:t xml:space="preserve">sobre este nuevo estatus será tenida en cuenta al momento de dictar las reparaciones, en caso que corresponda. </w:t>
      </w:r>
    </w:p>
    <w:p w14:paraId="2385CE5D" w14:textId="77777777" w:rsidR="00CA3B6A" w:rsidRPr="00A10EEE" w:rsidRDefault="00CA3B6A" w:rsidP="00D81C50">
      <w:pPr>
        <w:pStyle w:val="Heading2"/>
        <w:numPr>
          <w:ilvl w:val="0"/>
          <w:numId w:val="0"/>
        </w:numPr>
      </w:pPr>
    </w:p>
    <w:p w14:paraId="5F4A9A3A" w14:textId="77777777" w:rsidR="00A47966" w:rsidRPr="00A10EEE" w:rsidRDefault="00E268C7" w:rsidP="00845DB1">
      <w:pPr>
        <w:pStyle w:val="Heading2"/>
        <w:numPr>
          <w:ilvl w:val="0"/>
          <w:numId w:val="59"/>
        </w:numPr>
      </w:pPr>
      <w:bookmarkStart w:id="12" w:name="_Toc485650798"/>
      <w:bookmarkStart w:id="13" w:name="_Toc39489215"/>
      <w:r w:rsidRPr="00A10EEE">
        <w:t>Derechos</w:t>
      </w:r>
      <w:r w:rsidR="00A40137" w:rsidRPr="00A10EEE">
        <w:t xml:space="preserve"> a </w:t>
      </w:r>
      <w:r w:rsidR="00284F8B" w:rsidRPr="00A10EEE">
        <w:t xml:space="preserve">las garantías </w:t>
      </w:r>
      <w:r w:rsidR="0065297D" w:rsidRPr="00A10EEE">
        <w:t>judiciales</w:t>
      </w:r>
      <w:r w:rsidR="00225359">
        <w:t xml:space="preserve">, </w:t>
      </w:r>
      <w:r w:rsidR="0065297D" w:rsidRPr="00A10EEE">
        <w:t xml:space="preserve">y la </w:t>
      </w:r>
      <w:r w:rsidR="004E7CDC">
        <w:t xml:space="preserve">protección judicial (artículos </w:t>
      </w:r>
      <w:r w:rsidR="00AF7E92">
        <w:t>8</w:t>
      </w:r>
      <w:r w:rsidR="0065297D" w:rsidRPr="00A10EEE">
        <w:rPr>
          <w:rStyle w:val="FootnoteReference"/>
          <w:b w:val="0"/>
        </w:rPr>
        <w:footnoteReference w:id="33"/>
      </w:r>
      <w:r w:rsidR="00D14DCA" w:rsidRPr="00A10EEE">
        <w:t xml:space="preserve"> y 25</w:t>
      </w:r>
      <w:r w:rsidR="00D14DCA" w:rsidRPr="00A10EEE">
        <w:rPr>
          <w:rStyle w:val="FootnoteReference"/>
        </w:rPr>
        <w:footnoteReference w:id="34"/>
      </w:r>
      <w:r w:rsidR="0065297D" w:rsidRPr="00A10EEE">
        <w:rPr>
          <w:vertAlign w:val="superscript"/>
        </w:rPr>
        <w:t xml:space="preserve"> </w:t>
      </w:r>
      <w:r w:rsidR="00474FDB" w:rsidRPr="00A10EEE">
        <w:t>de la Convenció</w:t>
      </w:r>
      <w:r w:rsidR="005C0B6F" w:rsidRPr="00A10EEE">
        <w:t>n</w:t>
      </w:r>
      <w:r w:rsidR="0022273F" w:rsidRPr="00A10EEE">
        <w:t>)</w:t>
      </w:r>
      <w:bookmarkEnd w:id="12"/>
      <w:r w:rsidR="003D7B0A" w:rsidRPr="00A10EEE">
        <w:t xml:space="preserve"> </w:t>
      </w:r>
      <w:r w:rsidR="00A40137" w:rsidRPr="00A10EEE">
        <w:t>y derecho de circulación y residencia (artículos 22</w:t>
      </w:r>
      <w:r w:rsidR="00A40137" w:rsidRPr="00A10EEE">
        <w:rPr>
          <w:rStyle w:val="FootnoteReference"/>
        </w:rPr>
        <w:footnoteReference w:id="35"/>
      </w:r>
      <w:r w:rsidR="00A40137" w:rsidRPr="00A10EEE">
        <w:t xml:space="preserve">  de la Convención)  </w:t>
      </w:r>
      <w:r w:rsidR="003D7B0A" w:rsidRPr="00A10EEE">
        <w:t xml:space="preserve">en </w:t>
      </w:r>
      <w:r w:rsidR="00A40137" w:rsidRPr="00A10EEE">
        <w:t>el marco del</w:t>
      </w:r>
      <w:r w:rsidR="003D7B0A" w:rsidRPr="00A10EEE">
        <w:t xml:space="preserve"> proceso administrativo de revocación de visa y la acción penal de deportación, </w:t>
      </w:r>
      <w:r w:rsidR="0022273F" w:rsidRPr="00A10EEE">
        <w:t xml:space="preserve">en relación con </w:t>
      </w:r>
      <w:r w:rsidR="00A026C0" w:rsidRPr="00A10EEE">
        <w:t>los</w:t>
      </w:r>
      <w:r w:rsidR="0022273F" w:rsidRPr="00A10EEE">
        <w:t xml:space="preserve"> artículo</w:t>
      </w:r>
      <w:r w:rsidR="00B21C52" w:rsidRPr="00A10EEE">
        <w:t>s</w:t>
      </w:r>
      <w:r w:rsidR="0022273F" w:rsidRPr="00A10EEE">
        <w:t xml:space="preserve"> 1.1</w:t>
      </w:r>
      <w:r w:rsidR="00A026C0" w:rsidRPr="00A10EEE">
        <w:rPr>
          <w:rStyle w:val="FootnoteReference"/>
          <w:b w:val="0"/>
        </w:rPr>
        <w:footnoteReference w:id="36"/>
      </w:r>
      <w:r w:rsidR="00A026C0" w:rsidRPr="00A10EEE">
        <w:t xml:space="preserve"> y 2</w:t>
      </w:r>
      <w:r w:rsidR="00A026C0" w:rsidRPr="00A10EEE">
        <w:rPr>
          <w:rStyle w:val="FootnoteReference"/>
          <w:b w:val="0"/>
        </w:rPr>
        <w:footnoteReference w:id="37"/>
      </w:r>
      <w:r w:rsidR="0022273F" w:rsidRPr="00A10EEE">
        <w:t xml:space="preserve"> de la Convención Americana</w:t>
      </w:r>
      <w:r w:rsidR="003D7B0A" w:rsidRPr="00A10EEE">
        <w:t>.</w:t>
      </w:r>
      <w:bookmarkEnd w:id="13"/>
    </w:p>
    <w:p w14:paraId="4C0B981C" w14:textId="77777777" w:rsidR="00A47966" w:rsidRPr="00A10EEE" w:rsidRDefault="00A47966" w:rsidP="00D81C50">
      <w:pPr>
        <w:pStyle w:val="Heading2"/>
        <w:numPr>
          <w:ilvl w:val="0"/>
          <w:numId w:val="0"/>
        </w:numPr>
      </w:pPr>
    </w:p>
    <w:p w14:paraId="73D7395E" w14:textId="77777777" w:rsidR="007B4C27" w:rsidRPr="00A10EEE" w:rsidRDefault="00A47966" w:rsidP="00D81C50">
      <w:pPr>
        <w:pStyle w:val="Heading3"/>
        <w:jc w:val="both"/>
        <w:rPr>
          <w:szCs w:val="20"/>
          <w:lang w:val="es-US"/>
        </w:rPr>
      </w:pPr>
      <w:bookmarkStart w:id="14" w:name="_Toc39489216"/>
      <w:r w:rsidRPr="00A10EEE">
        <w:rPr>
          <w:szCs w:val="20"/>
          <w:lang w:val="es-US"/>
        </w:rPr>
        <w:t>Consideraciones generales</w:t>
      </w:r>
      <w:bookmarkEnd w:id="14"/>
      <w:r w:rsidRPr="00A10EEE">
        <w:rPr>
          <w:szCs w:val="20"/>
          <w:lang w:val="es-US"/>
        </w:rPr>
        <w:t xml:space="preserve"> </w:t>
      </w:r>
    </w:p>
    <w:p w14:paraId="22C0CB21" w14:textId="77777777" w:rsidR="007B4C27" w:rsidRPr="00A10EEE" w:rsidRDefault="007B4C27" w:rsidP="00D81C50">
      <w:pPr>
        <w:rPr>
          <w:rFonts w:asciiTheme="majorHAnsi" w:hAnsiTheme="majorHAnsi"/>
          <w:sz w:val="20"/>
          <w:szCs w:val="20"/>
        </w:rPr>
      </w:pPr>
    </w:p>
    <w:p w14:paraId="593D6DC1" w14:textId="77777777" w:rsidR="00501B2D" w:rsidRPr="00A10EEE" w:rsidRDefault="00AB2DE7" w:rsidP="00D81C50">
      <w:pPr>
        <w:pStyle w:val="parrafos"/>
        <w:ind w:left="0" w:firstLine="0"/>
      </w:pPr>
      <w:r w:rsidRPr="00A10EEE">
        <w:rPr>
          <w:lang w:val="es-ES_tradnl"/>
        </w:rPr>
        <w:t>La Comisión reconoce que l</w:t>
      </w:r>
      <w:r w:rsidRPr="00A10EEE">
        <w:t xml:space="preserve">os Estados tienen discrecionalidad para regular sus propios asuntos </w:t>
      </w:r>
      <w:r w:rsidR="00E22BFB" w:rsidRPr="00A10EEE">
        <w:t xml:space="preserve">migratorios y pueden establecer mecanismos de control de ingreso y salida de </w:t>
      </w:r>
      <w:r w:rsidR="008B7FAE" w:rsidRPr="00A10EEE">
        <w:t>su territorio</w:t>
      </w:r>
      <w:r w:rsidR="00E22BFB" w:rsidRPr="00A10EEE">
        <w:t xml:space="preserve"> con respecto a personas que no sean nacionales suyas.</w:t>
      </w:r>
      <w:r w:rsidR="00143452" w:rsidRPr="00A10EEE">
        <w:t xml:space="preserve"> El derecho internacional de los derechos humanos, no </w:t>
      </w:r>
      <w:r w:rsidR="0020582B" w:rsidRPr="00A10EEE">
        <w:t>reconoce</w:t>
      </w:r>
      <w:r w:rsidR="00143452" w:rsidRPr="00A10EEE">
        <w:t xml:space="preserve"> a los extranjeros el derecho a entrar en el territorio de un Estado Parte ni de residir en él. En principio, corresponde al Estado decidir a quién ha de admitir en su territorio</w:t>
      </w:r>
      <w:r w:rsidR="00143452" w:rsidRPr="00A10EEE">
        <w:rPr>
          <w:rStyle w:val="FootnoteReference"/>
        </w:rPr>
        <w:footnoteReference w:id="38"/>
      </w:r>
      <w:r w:rsidR="00143452" w:rsidRPr="00A10EEE">
        <w:t xml:space="preserve">. </w:t>
      </w:r>
    </w:p>
    <w:p w14:paraId="24A86ADE" w14:textId="77777777" w:rsidR="00501B2D" w:rsidRPr="00A10EEE" w:rsidRDefault="00501B2D" w:rsidP="00D81C50">
      <w:pPr>
        <w:pStyle w:val="parrafos"/>
        <w:numPr>
          <w:ilvl w:val="0"/>
          <w:numId w:val="0"/>
        </w:numPr>
      </w:pPr>
    </w:p>
    <w:p w14:paraId="6C1893BF" w14:textId="77777777" w:rsidR="00660147" w:rsidRDefault="00E22BFB" w:rsidP="00660147">
      <w:pPr>
        <w:pStyle w:val="parrafos"/>
        <w:ind w:left="0" w:firstLine="0"/>
      </w:pPr>
      <w:r w:rsidRPr="00A10EEE">
        <w:t>S</w:t>
      </w:r>
      <w:r w:rsidR="00AB2DE7" w:rsidRPr="00A10EEE">
        <w:t xml:space="preserve">in </w:t>
      </w:r>
      <w:r w:rsidR="00501B2D" w:rsidRPr="00A10EEE">
        <w:t>perjuicio de lo anterior</w:t>
      </w:r>
      <w:r w:rsidR="00AB2DE7" w:rsidRPr="00A10EEE">
        <w:t xml:space="preserve">, </w:t>
      </w:r>
      <w:r w:rsidR="00501B2D" w:rsidRPr="00A10EEE">
        <w:t>los</w:t>
      </w:r>
      <w:r w:rsidR="00143452" w:rsidRPr="00A10EEE">
        <w:t xml:space="preserve"> Estados </w:t>
      </w:r>
      <w:r w:rsidR="00AB2DE7" w:rsidRPr="00A10EEE">
        <w:t>deben respetar los derechos de la Convención en la adopción de sus políticas</w:t>
      </w:r>
      <w:r w:rsidR="00143452" w:rsidRPr="00A10EEE">
        <w:t xml:space="preserve"> y los procedimientos que puedan resultar en la expulsión de una persona de su territorio</w:t>
      </w:r>
      <w:r w:rsidR="00AB2DE7" w:rsidRPr="00A10EEE">
        <w:t xml:space="preserve">. </w:t>
      </w:r>
      <w:r w:rsidR="00501B2D" w:rsidRPr="00A10EEE">
        <w:t>La Convención Americana</w:t>
      </w:r>
      <w:r w:rsidR="00AB2DE7" w:rsidRPr="00A10EEE">
        <w:t xml:space="preserve"> </w:t>
      </w:r>
      <w:r w:rsidR="00143452" w:rsidRPr="00A10EEE">
        <w:t xml:space="preserve">en su artículo 22 </w:t>
      </w:r>
      <w:r w:rsidR="00501B2D" w:rsidRPr="00A10EEE">
        <w:t xml:space="preserve">que consagra el derecho de circulación y residencia </w:t>
      </w:r>
      <w:r w:rsidR="00143452" w:rsidRPr="00A10EEE">
        <w:t>contiene</w:t>
      </w:r>
      <w:r w:rsidR="00501B2D" w:rsidRPr="00A10EEE">
        <w:t xml:space="preserve"> salvaguardas para la protección de los derechos de la persona extranjera que pueda ser expulsada, como lo son la protección contra expulsiones colectivas (artículo 22.9) o el principio de no devolución (artículo 22.8). Asimismo, la Convención contiene </w:t>
      </w:r>
      <w:r w:rsidR="00143452" w:rsidRPr="00A10EEE">
        <w:t xml:space="preserve">una cláusula que limita la actuación del Estado respecto de extranjeros que se encuentran lícitamente en su territorio. Dicha protección, consagrada en el artículo 26 establece </w:t>
      </w:r>
      <w:r w:rsidR="00501B2D" w:rsidRPr="00A10EEE">
        <w:t>que “</w:t>
      </w:r>
      <w:r w:rsidR="00143452" w:rsidRPr="00A10EEE">
        <w:t>[e]l extranjero que se halle legalmente en el territorio de un Estado parte en la presente Convención, solo podrá́ ser expulsado de él en cumplimiento de una decisión adoptada conforme a la ley”.</w:t>
      </w:r>
      <w:r w:rsidR="00660147">
        <w:t xml:space="preserve"> </w:t>
      </w:r>
    </w:p>
    <w:p w14:paraId="05E90312" w14:textId="77777777" w:rsidR="00660147" w:rsidRDefault="00660147" w:rsidP="00225359">
      <w:pPr>
        <w:ind w:left="720"/>
      </w:pPr>
    </w:p>
    <w:p w14:paraId="5727869B" w14:textId="77777777" w:rsidR="004E7CDC" w:rsidRPr="00C46471" w:rsidRDefault="004E4B3F" w:rsidP="004E7CDC">
      <w:pPr>
        <w:pStyle w:val="parrafos"/>
        <w:ind w:left="0" w:firstLine="0"/>
      </w:pPr>
      <w:r w:rsidRPr="00C46471">
        <w:t xml:space="preserve">Por otra parte, la </w:t>
      </w:r>
      <w:r w:rsidR="004E7CDC" w:rsidRPr="00C46471">
        <w:t>Co</w:t>
      </w:r>
      <w:r w:rsidRPr="00C46471">
        <w:t>misión y la Corte Interamericana</w:t>
      </w:r>
      <w:r w:rsidR="004E7CDC" w:rsidRPr="00C46471">
        <w:t xml:space="preserve"> ha</w:t>
      </w:r>
      <w:r w:rsidRPr="00C46471">
        <w:t>n</w:t>
      </w:r>
      <w:r w:rsidR="004E7CDC" w:rsidRPr="00C46471">
        <w:t xml:space="preserve"> definido el debido proceso legal, a partir de lo establecido en el artículo 8 de la Convención, como el conjunto de requisitos que deben observarse en las instancias procesales a efectos de que las personas estén en condiciones de defender adecuadamente sus derechos ante cualquier tipo de acto del Estado que pueda afectarlos. De acuerdo a lo dispuesto en el artículo 8.1 de la Convención, en la determinación de los derechos y obligaciones de todas las personas, de orden penal, civil, laboral, fiscal o de cualquier otro carácter, se deben observar “las debidas garantías” que aseguren, según el procedimiento de que se trate, el derecho al debido proceso. El incumplimiento de una de esas garantías conlleva una violación de dicha disposición convencional. Las garantías contempladas en el artículo 8.1 de la Convención son también aplicables al supuesto en que alguna autoridad no judicial adopte decisiones que afecten la determinación de los derechos de las personas, tomando en cuenta que no le son exigibles aquellas </w:t>
      </w:r>
      <w:r w:rsidR="004E7CDC" w:rsidRPr="00C46471">
        <w:lastRenderedPageBreak/>
        <w:t>propias de un órgano jurisdiccional, pero sí debe cumplir con aquellas destinadas a asegurar que la decisión no sea arbitraria</w:t>
      </w:r>
      <w:r w:rsidR="004E7CDC" w:rsidRPr="00C46471">
        <w:rPr>
          <w:rStyle w:val="FootnoteReference"/>
        </w:rPr>
        <w:footnoteReference w:id="39"/>
      </w:r>
      <w:r w:rsidR="004E7CDC" w:rsidRPr="00C46471">
        <w:t>.</w:t>
      </w:r>
    </w:p>
    <w:p w14:paraId="2263C393" w14:textId="77777777" w:rsidR="003776FA" w:rsidRDefault="003776FA" w:rsidP="004E7CDC">
      <w:pPr>
        <w:pStyle w:val="parrafos"/>
        <w:numPr>
          <w:ilvl w:val="0"/>
          <w:numId w:val="0"/>
        </w:numPr>
      </w:pPr>
    </w:p>
    <w:p w14:paraId="68529B04" w14:textId="77777777" w:rsidR="00C245FE" w:rsidRPr="00A10EEE" w:rsidRDefault="00D676F5" w:rsidP="00FD217B">
      <w:pPr>
        <w:pStyle w:val="parrafos"/>
        <w:ind w:left="0" w:firstLine="0"/>
      </w:pPr>
      <w:r w:rsidRPr="00660147">
        <w:t xml:space="preserve"> </w:t>
      </w:r>
      <w:r w:rsidR="004E7CDC">
        <w:rPr>
          <w:color w:val="000000"/>
          <w:lang w:val="es-CO"/>
        </w:rPr>
        <w:t>E</w:t>
      </w:r>
      <w:r w:rsidR="00C245FE" w:rsidRPr="00FD217B">
        <w:rPr>
          <w:color w:val="000000"/>
          <w:lang w:val="es-CO"/>
        </w:rPr>
        <w:t xml:space="preserve">n su Informe </w:t>
      </w:r>
      <w:r w:rsidR="00C245FE" w:rsidRPr="00FD217B">
        <w:rPr>
          <w:i/>
          <w:color w:val="000000"/>
          <w:lang w:val="es-CO"/>
        </w:rPr>
        <w:t xml:space="preserve">Movilidad Humana, Estándares Interamericanos </w:t>
      </w:r>
      <w:r w:rsidR="00C245FE" w:rsidRPr="00FD217B">
        <w:rPr>
          <w:iCs/>
          <w:color w:val="000000"/>
          <w:lang w:val="es-CO"/>
        </w:rPr>
        <w:t>(en adelante</w:t>
      </w:r>
      <w:r w:rsidR="00C245FE" w:rsidRPr="00FD217B">
        <w:rPr>
          <w:i/>
          <w:color w:val="000000"/>
          <w:lang w:val="es-CO"/>
        </w:rPr>
        <w:t>, Informe Movilidad Humana</w:t>
      </w:r>
      <w:r w:rsidR="00C245FE" w:rsidRPr="00FD217B">
        <w:rPr>
          <w:iCs/>
          <w:color w:val="000000"/>
          <w:lang w:val="es-CO"/>
        </w:rPr>
        <w:t>)</w:t>
      </w:r>
      <w:r w:rsidR="00C245FE" w:rsidRPr="00FD217B">
        <w:rPr>
          <w:color w:val="000000"/>
          <w:lang w:val="es-CO"/>
        </w:rPr>
        <w:t xml:space="preserve">, la Comisión sistematizó las garantías que debían reunir los procesos migratorios de acuerdo con la jurisprudencia interamericana y los informes previos de la </w:t>
      </w:r>
      <w:r w:rsidR="00C245FE" w:rsidRPr="00FD217B">
        <w:rPr>
          <w:rFonts w:cs="Tahoma"/>
          <w:color w:val="000000"/>
          <w:lang w:val="es-CO"/>
        </w:rPr>
        <w:t>CIDH</w:t>
      </w:r>
      <w:r w:rsidR="00C245FE" w:rsidRPr="00FD217B">
        <w:rPr>
          <w:color w:val="000000"/>
          <w:lang w:val="es-CO"/>
        </w:rPr>
        <w:t>, como se indica a continuación:</w:t>
      </w:r>
    </w:p>
    <w:p w14:paraId="4411E6A2" w14:textId="77777777" w:rsidR="00C245FE" w:rsidRPr="00A10EEE" w:rsidRDefault="00C245FE" w:rsidP="00D81C50">
      <w:pPr>
        <w:pStyle w:val="NormalWeb"/>
        <w:spacing w:before="0" w:beforeAutospacing="0" w:after="0" w:afterAutospacing="0"/>
        <w:ind w:right="4" w:firstLine="720"/>
        <w:jc w:val="both"/>
        <w:rPr>
          <w:rFonts w:asciiTheme="majorHAnsi" w:hAnsiTheme="majorHAnsi"/>
          <w:color w:val="000000"/>
          <w:sz w:val="20"/>
          <w:szCs w:val="20"/>
          <w:lang w:val="es-CO"/>
        </w:rPr>
      </w:pPr>
    </w:p>
    <w:p w14:paraId="7DC9AA31" w14:textId="77777777" w:rsidR="00C245FE" w:rsidRPr="00A10EEE" w:rsidRDefault="00C245FE" w:rsidP="00D81C50">
      <w:pPr>
        <w:ind w:left="567" w:right="571"/>
        <w:jc w:val="both"/>
        <w:rPr>
          <w:rFonts w:asciiTheme="majorHAnsi" w:hAnsiTheme="majorHAnsi"/>
          <w:sz w:val="18"/>
          <w:szCs w:val="18"/>
          <w:lang w:val="es-CO"/>
        </w:rPr>
      </w:pPr>
      <w:r w:rsidRPr="00A10EEE">
        <w:rPr>
          <w:rFonts w:asciiTheme="majorHAnsi" w:hAnsiTheme="majorHAnsi"/>
          <w:sz w:val="18"/>
          <w:szCs w:val="18"/>
          <w:lang w:val="es-CO"/>
        </w:rPr>
        <w:t>1. Derecho a recibir una comunicación previa y detallada del procedimiento para la determinación de su situación jurídica y, en caso de que la persona sea detenida o retenida, a ser informada de las razones de su detención y notificada sin demora del cargo o cargos formulados contra ella.</w:t>
      </w:r>
    </w:p>
    <w:p w14:paraId="3C9315BC" w14:textId="77777777" w:rsidR="00C245FE" w:rsidRPr="00A10EEE" w:rsidRDefault="00C245FE" w:rsidP="00D81C50">
      <w:pPr>
        <w:ind w:left="567" w:right="571"/>
        <w:jc w:val="both"/>
        <w:rPr>
          <w:rFonts w:asciiTheme="majorHAnsi" w:hAnsiTheme="majorHAnsi"/>
          <w:sz w:val="18"/>
          <w:szCs w:val="18"/>
          <w:lang w:val="es-CO"/>
        </w:rPr>
      </w:pPr>
      <w:r w:rsidRPr="00A10EEE">
        <w:rPr>
          <w:rFonts w:asciiTheme="majorHAnsi" w:hAnsiTheme="majorHAnsi"/>
          <w:sz w:val="18"/>
          <w:szCs w:val="18"/>
          <w:lang w:val="es-CO"/>
        </w:rPr>
        <w:t>2. En caso de ser detenida o retenida, derecho a ser llevada, sin demora, ante un juez u otro funcionario autorizado por la ley para ejercer funciones judiciales y tendrá derecho a ser juzgada dentro de un plazo razonable o a ser puesta en libertad, sin perjuicio de que continúe el proceso. Su libertad podrá ser condicionada a garantías que aseguren su comparecencia en juicio.</w:t>
      </w:r>
    </w:p>
    <w:p w14:paraId="71B5918E" w14:textId="77777777" w:rsidR="00C245FE" w:rsidRPr="00A10EEE" w:rsidRDefault="00C245FE" w:rsidP="00D81C50">
      <w:pPr>
        <w:ind w:left="567" w:right="571"/>
        <w:jc w:val="both"/>
        <w:rPr>
          <w:rFonts w:asciiTheme="majorHAnsi" w:hAnsiTheme="majorHAnsi"/>
          <w:sz w:val="18"/>
          <w:szCs w:val="18"/>
          <w:lang w:val="es-CO"/>
        </w:rPr>
      </w:pPr>
      <w:r w:rsidRPr="00A10EEE">
        <w:rPr>
          <w:rFonts w:asciiTheme="majorHAnsi" w:hAnsiTheme="majorHAnsi"/>
          <w:sz w:val="18"/>
          <w:szCs w:val="18"/>
          <w:lang w:val="es-CO"/>
        </w:rPr>
        <w:t>3. Derecho a ser oído sin demora, a contar con un tiempo razonable y los medios adecuados para la preparación de su defensa y a reunirse libremente y en forma privada con su defensor.</w:t>
      </w:r>
    </w:p>
    <w:p w14:paraId="5D9DE0A2" w14:textId="77777777" w:rsidR="00C245FE" w:rsidRPr="00A10EEE" w:rsidRDefault="00C245FE" w:rsidP="00D81C50">
      <w:pPr>
        <w:ind w:left="567" w:right="571"/>
        <w:jc w:val="both"/>
        <w:rPr>
          <w:rFonts w:asciiTheme="majorHAnsi" w:hAnsiTheme="majorHAnsi"/>
          <w:sz w:val="18"/>
          <w:szCs w:val="18"/>
          <w:lang w:val="es-CO"/>
        </w:rPr>
      </w:pPr>
      <w:r w:rsidRPr="00A10EEE">
        <w:rPr>
          <w:rFonts w:asciiTheme="majorHAnsi" w:hAnsiTheme="majorHAnsi"/>
          <w:sz w:val="18"/>
          <w:szCs w:val="18"/>
          <w:lang w:val="es-CO"/>
        </w:rPr>
        <w:t>4. Derecho a que los procedimientos migratorios sean llevados por un adjudicador competente, independiente e imparcial.</w:t>
      </w:r>
    </w:p>
    <w:p w14:paraId="0CBF7DFF" w14:textId="77777777" w:rsidR="00C245FE" w:rsidRPr="00A10EEE" w:rsidRDefault="00C245FE" w:rsidP="00D81C50">
      <w:pPr>
        <w:ind w:left="567" w:right="571"/>
        <w:jc w:val="both"/>
        <w:rPr>
          <w:rFonts w:asciiTheme="majorHAnsi" w:hAnsiTheme="majorHAnsi"/>
          <w:sz w:val="18"/>
          <w:szCs w:val="18"/>
          <w:lang w:val="es-CO"/>
        </w:rPr>
      </w:pPr>
      <w:r w:rsidRPr="00A10EEE">
        <w:rPr>
          <w:rFonts w:asciiTheme="majorHAnsi" w:hAnsiTheme="majorHAnsi"/>
          <w:sz w:val="18"/>
          <w:szCs w:val="18"/>
          <w:lang w:val="es-CO"/>
        </w:rPr>
        <w:t>5. Derecho a un traductor y/o intérprete libre de cargos.</w:t>
      </w:r>
    </w:p>
    <w:p w14:paraId="29515CA1" w14:textId="77777777" w:rsidR="00C245FE" w:rsidRPr="00A10EEE" w:rsidRDefault="00C245FE" w:rsidP="00D81C50">
      <w:pPr>
        <w:ind w:left="567" w:right="571"/>
        <w:jc w:val="both"/>
        <w:rPr>
          <w:rFonts w:asciiTheme="majorHAnsi" w:hAnsiTheme="majorHAnsi"/>
          <w:sz w:val="18"/>
          <w:szCs w:val="18"/>
          <w:lang w:val="es-CO"/>
        </w:rPr>
      </w:pPr>
      <w:r w:rsidRPr="00A10EEE">
        <w:rPr>
          <w:rFonts w:asciiTheme="majorHAnsi" w:hAnsiTheme="majorHAnsi"/>
          <w:sz w:val="18"/>
          <w:szCs w:val="18"/>
          <w:lang w:val="es-CO"/>
        </w:rPr>
        <w:t>6. Derecho a representación letrada o legal.</w:t>
      </w:r>
    </w:p>
    <w:p w14:paraId="315B60C9" w14:textId="77777777" w:rsidR="00C245FE" w:rsidRPr="00A10EEE" w:rsidRDefault="00C245FE" w:rsidP="00D81C50">
      <w:pPr>
        <w:ind w:left="567" w:right="571"/>
        <w:jc w:val="both"/>
        <w:rPr>
          <w:rFonts w:asciiTheme="majorHAnsi" w:hAnsiTheme="majorHAnsi"/>
          <w:sz w:val="18"/>
          <w:szCs w:val="18"/>
          <w:lang w:val="es-CO"/>
        </w:rPr>
      </w:pPr>
      <w:r w:rsidRPr="00A10EEE">
        <w:rPr>
          <w:rFonts w:asciiTheme="majorHAnsi" w:hAnsiTheme="majorHAnsi"/>
          <w:sz w:val="18"/>
          <w:szCs w:val="18"/>
          <w:lang w:val="es-CO"/>
        </w:rPr>
        <w:t>7. Derecho a que la decisión que se adopte sea debidamente motivada.</w:t>
      </w:r>
    </w:p>
    <w:p w14:paraId="199CBFC3" w14:textId="77777777" w:rsidR="00C245FE" w:rsidRPr="00A10EEE" w:rsidRDefault="00C245FE" w:rsidP="00D81C50">
      <w:pPr>
        <w:ind w:left="567" w:right="571"/>
        <w:jc w:val="both"/>
        <w:rPr>
          <w:rFonts w:asciiTheme="majorHAnsi" w:hAnsiTheme="majorHAnsi"/>
          <w:sz w:val="18"/>
          <w:szCs w:val="18"/>
          <w:lang w:val="es-CO"/>
        </w:rPr>
      </w:pPr>
      <w:r w:rsidRPr="00A10EEE">
        <w:rPr>
          <w:rFonts w:asciiTheme="majorHAnsi" w:hAnsiTheme="majorHAnsi"/>
          <w:sz w:val="18"/>
          <w:szCs w:val="18"/>
          <w:lang w:val="es-CO"/>
        </w:rPr>
        <w:t xml:space="preserve">8. Derecho a ser notificado de la decisión que se adopte en el marco del procedimiento.  </w:t>
      </w:r>
    </w:p>
    <w:p w14:paraId="2D754CEB" w14:textId="77777777" w:rsidR="00C245FE" w:rsidRPr="00A10EEE" w:rsidRDefault="00C245FE" w:rsidP="00D81C50">
      <w:pPr>
        <w:ind w:left="567" w:right="571"/>
        <w:jc w:val="both"/>
        <w:rPr>
          <w:rFonts w:asciiTheme="majorHAnsi" w:hAnsiTheme="majorHAnsi"/>
          <w:sz w:val="18"/>
          <w:szCs w:val="18"/>
          <w:lang w:val="es-CO"/>
        </w:rPr>
      </w:pPr>
      <w:r w:rsidRPr="00A10EEE">
        <w:rPr>
          <w:rFonts w:asciiTheme="majorHAnsi" w:hAnsiTheme="majorHAnsi"/>
          <w:sz w:val="18"/>
          <w:szCs w:val="18"/>
          <w:lang w:val="es-CO"/>
        </w:rPr>
        <w:t>9. Derecho a recurrir la decisión ante un juez o tribunal superior con efectos suspensivos.</w:t>
      </w:r>
    </w:p>
    <w:p w14:paraId="0814AC3D" w14:textId="77777777" w:rsidR="00C245FE" w:rsidRPr="00A10EEE" w:rsidRDefault="00C245FE" w:rsidP="00D81C50">
      <w:pPr>
        <w:ind w:left="567" w:right="571"/>
        <w:jc w:val="both"/>
        <w:rPr>
          <w:rFonts w:asciiTheme="majorHAnsi" w:hAnsiTheme="majorHAnsi"/>
          <w:sz w:val="18"/>
          <w:szCs w:val="18"/>
          <w:lang w:val="es-CO"/>
        </w:rPr>
      </w:pPr>
      <w:r w:rsidRPr="00A10EEE">
        <w:rPr>
          <w:rFonts w:asciiTheme="majorHAnsi" w:hAnsiTheme="majorHAnsi"/>
          <w:sz w:val="18"/>
          <w:szCs w:val="18"/>
          <w:lang w:val="es-CO"/>
        </w:rPr>
        <w:t>10. Derecho a la información y acceso efectivo a la asistencia consular.</w:t>
      </w:r>
    </w:p>
    <w:p w14:paraId="1C2063F9" w14:textId="77777777" w:rsidR="0046645F" w:rsidRPr="0046645F" w:rsidRDefault="0046645F" w:rsidP="0046645F">
      <w:pPr>
        <w:pStyle w:val="parrafos"/>
        <w:numPr>
          <w:ilvl w:val="0"/>
          <w:numId w:val="0"/>
        </w:numPr>
        <w:tabs>
          <w:tab w:val="clear" w:pos="360"/>
        </w:tabs>
        <w:rPr>
          <w:rFonts w:eastAsia="Times New Roman"/>
          <w:lang w:val="es-CO"/>
        </w:rPr>
      </w:pPr>
    </w:p>
    <w:p w14:paraId="21A809B2" w14:textId="77777777" w:rsidR="00C86C69" w:rsidRPr="00C46471" w:rsidRDefault="0046645F" w:rsidP="00C86C69">
      <w:pPr>
        <w:pStyle w:val="parrafos"/>
        <w:ind w:left="0" w:firstLine="0"/>
        <w:rPr>
          <w:rFonts w:eastAsia="Times New Roman"/>
          <w:lang w:val="es-CO"/>
        </w:rPr>
      </w:pPr>
      <w:r w:rsidRPr="00C46471">
        <w:t xml:space="preserve">En el mismo sentido, a través de la Resolución 04/19, aprobada el 7 de diciembre de 2019, la Comisión Interamericana adoptó los </w:t>
      </w:r>
      <w:r w:rsidRPr="00C46471">
        <w:rPr>
          <w:i/>
          <w:iCs/>
        </w:rPr>
        <w:t>Principios Interamericanos sobre Derechos Humanos de todas las personas migrantes, refugiadas, apátridas y las víctimas de la trata de personas</w:t>
      </w:r>
      <w:r w:rsidRPr="00C46471">
        <w:rPr>
          <w:rStyle w:val="FootnoteReference"/>
          <w:i/>
          <w:iCs/>
        </w:rPr>
        <w:footnoteReference w:id="40"/>
      </w:r>
      <w:r w:rsidR="00C86C69" w:rsidRPr="00C46471">
        <w:t xml:space="preserve">, Estos principios </w:t>
      </w:r>
      <w:r w:rsidR="00C86C69" w:rsidRPr="00C46471">
        <w:rPr>
          <w:rFonts w:eastAsia="Times New Roman"/>
          <w:lang w:val="es-CO"/>
        </w:rPr>
        <w:t>buscan orientar a los Estados Miembros de la OEA en sus deberes de respetar, proteger, promover y garantizar los derechos humanos de todas las personas independientemente de su nacionalidad o situación migratoria, incluidos las personas migrantes, refugiadas, apátridas y las víctimas de la trata de personas. Al respecto, se destaca</w:t>
      </w:r>
      <w:r w:rsidR="00356254" w:rsidRPr="00C46471">
        <w:rPr>
          <w:rFonts w:eastAsia="Times New Roman"/>
          <w:lang w:val="es-CO"/>
        </w:rPr>
        <w:t xml:space="preserve"> el Principio</w:t>
      </w:r>
      <w:r w:rsidR="008D7E51" w:rsidRPr="00C46471">
        <w:rPr>
          <w:rFonts w:eastAsia="Times New Roman"/>
          <w:lang w:val="es-CO"/>
        </w:rPr>
        <w:t xml:space="preserve"> 10 que en su</w:t>
      </w:r>
      <w:r w:rsidR="00356254" w:rsidRPr="00C46471">
        <w:rPr>
          <w:rFonts w:eastAsia="Times New Roman"/>
          <w:lang w:val="es-CO"/>
        </w:rPr>
        <w:t xml:space="preserve"> </w:t>
      </w:r>
      <w:r w:rsidR="008D7E51" w:rsidRPr="00C46471">
        <w:rPr>
          <w:rFonts w:eastAsia="Times New Roman"/>
          <w:lang w:val="es-CO"/>
        </w:rPr>
        <w:t>apartado</w:t>
      </w:r>
      <w:r w:rsidR="00356254" w:rsidRPr="00C46471">
        <w:rPr>
          <w:rFonts w:eastAsia="Times New Roman"/>
          <w:lang w:val="es-CO"/>
        </w:rPr>
        <w:t xml:space="preserve"> inicial señala: </w:t>
      </w:r>
      <w:r w:rsidR="008D7E51" w:rsidRPr="00C46471">
        <w:rPr>
          <w:rFonts w:eastAsia="Times New Roman"/>
          <w:lang w:val="es-CO"/>
        </w:rPr>
        <w:t xml:space="preserve">  </w:t>
      </w:r>
      <w:r w:rsidR="00C86C69" w:rsidRPr="00C46471">
        <w:rPr>
          <w:rFonts w:eastAsia="Times New Roman"/>
          <w:lang w:val="es-CO"/>
        </w:rPr>
        <w:t xml:space="preserve"> </w:t>
      </w:r>
    </w:p>
    <w:p w14:paraId="4688BB05" w14:textId="77777777" w:rsidR="00C86C69" w:rsidRPr="00C46471" w:rsidRDefault="00C86C69" w:rsidP="00C86C69">
      <w:pPr>
        <w:pStyle w:val="parrafos"/>
        <w:numPr>
          <w:ilvl w:val="0"/>
          <w:numId w:val="0"/>
        </w:numPr>
        <w:ind w:left="360" w:hanging="360"/>
        <w:rPr>
          <w:rFonts w:eastAsia="Times New Roman"/>
          <w:lang w:val="es-CO"/>
        </w:rPr>
      </w:pPr>
    </w:p>
    <w:p w14:paraId="067B81FE" w14:textId="77777777" w:rsidR="0046645F" w:rsidRPr="00C46471" w:rsidRDefault="00C86C69" w:rsidP="00356254">
      <w:pPr>
        <w:ind w:left="284" w:right="288"/>
        <w:jc w:val="both"/>
        <w:rPr>
          <w:rFonts w:asciiTheme="majorHAnsi" w:eastAsia="Times New Roman" w:hAnsiTheme="majorHAnsi"/>
          <w:sz w:val="18"/>
          <w:szCs w:val="18"/>
          <w:lang w:val="es-CO"/>
        </w:rPr>
      </w:pPr>
      <w:r w:rsidRPr="00C46471">
        <w:rPr>
          <w:rFonts w:asciiTheme="majorHAnsi" w:eastAsia="Times New Roman" w:hAnsiTheme="majorHAnsi"/>
          <w:sz w:val="18"/>
          <w:szCs w:val="18"/>
          <w:lang w:val="es-CO"/>
        </w:rPr>
        <w:t>“</w:t>
      </w:r>
      <w:r w:rsidR="008D7E51" w:rsidRPr="00C46471">
        <w:rPr>
          <w:rFonts w:asciiTheme="majorHAnsi" w:eastAsia="Times New Roman" w:hAnsiTheme="majorHAnsi"/>
          <w:sz w:val="18"/>
          <w:szCs w:val="18"/>
          <w:lang w:val="es-CO"/>
        </w:rPr>
        <w:t>Principio 10: […] Cualquier política migratoria y decisión administrativa o judicial relacionada con la entrada, estancia, detención, expulsión o deportación de un niño, niña o adolescente o cualquier acción del Estado considerada en relación con algún de sus progenitores, cuidador primario o tutor legal, incluidas las medidas adoptadas en relación con su condición de migrante, deben priorizar a la evaluación, determinación, consideración y protección del interés superior del niño, niña o adolescente involucrado”</w:t>
      </w:r>
    </w:p>
    <w:p w14:paraId="4B369236" w14:textId="77777777" w:rsidR="00356254" w:rsidRPr="00356254" w:rsidRDefault="00356254" w:rsidP="00356254">
      <w:pPr>
        <w:ind w:left="284" w:right="288"/>
        <w:jc w:val="both"/>
        <w:rPr>
          <w:rFonts w:asciiTheme="majorHAnsi" w:eastAsia="Times New Roman" w:hAnsiTheme="majorHAnsi"/>
          <w:sz w:val="18"/>
          <w:szCs w:val="18"/>
          <w:highlight w:val="cyan"/>
          <w:lang w:val="es-CO"/>
        </w:rPr>
      </w:pPr>
    </w:p>
    <w:p w14:paraId="07941084" w14:textId="77777777" w:rsidR="00C245FE" w:rsidRPr="00A10EEE" w:rsidRDefault="00C245FE" w:rsidP="00B16D62">
      <w:pPr>
        <w:pStyle w:val="parrafos"/>
        <w:ind w:left="0" w:firstLine="0"/>
        <w:rPr>
          <w:rFonts w:eastAsia="Times New Roman"/>
          <w:lang w:val="es-CO"/>
        </w:rPr>
      </w:pPr>
      <w:r w:rsidRPr="00A10EEE">
        <w:t xml:space="preserve">Por su parte, la Corte Interamericana en el </w:t>
      </w:r>
      <w:r w:rsidRPr="00A10EEE">
        <w:rPr>
          <w:i/>
          <w:iCs/>
        </w:rPr>
        <w:t>Caso de personas dominicanas y haitianas expulsadas Vs. República Dominicana</w:t>
      </w:r>
      <w:r w:rsidR="008B7FAE" w:rsidRPr="00A10EEE">
        <w:t xml:space="preserve"> </w:t>
      </w:r>
      <w:r w:rsidRPr="00A10EEE">
        <w:t>señaló que un proceso que pueda resultar en la expulsión de un extranjero debe ser individual, no debe ser discriminatorio y  la persona sometida a él ha de contar con las siguientes garantías mínimas: “</w:t>
      </w:r>
      <w:r w:rsidRPr="00A10EEE">
        <w:rPr>
          <w:rFonts w:eastAsia="Times New Roman"/>
          <w:lang w:val="es-CO"/>
        </w:rPr>
        <w:t>a) ser informada expresa y formalmente de los cargos en su contra y de los motivos de la expulsión o deportación. Esta notificación debe incluir información sobre sus derechos, tales como: i) la posibilidad de exponer sus razones y oponerse a los cargos en su contra, y ii) la posibilidad de solicitar y recibir asistencia consular, asesoría legal y, de ser el caso, traducción o interpretación; b) en caso de decisión desfavorable, debe tener derecho a someter su caso a revisión ante la autoridad competente y presentarse ante ella para tal fin, y c) ser formal y fehacientemente notificada de la eventual decisión de expulsión, que debe estar debidamente motivada conforme a la ley”</w:t>
      </w:r>
      <w:r w:rsidRPr="00A10EEE">
        <w:rPr>
          <w:rStyle w:val="FootnoteReference"/>
          <w:rFonts w:eastAsia="Times New Roman"/>
          <w:lang w:val="es-CO"/>
        </w:rPr>
        <w:footnoteReference w:id="41"/>
      </w:r>
      <w:r w:rsidRPr="00A10EEE">
        <w:rPr>
          <w:rFonts w:eastAsia="Times New Roman"/>
          <w:lang w:val="es-CO"/>
        </w:rPr>
        <w:t>. La Comisión nota que e</w:t>
      </w:r>
      <w:r w:rsidRPr="00A10EEE">
        <w:rPr>
          <w:spacing w:val="2"/>
          <w:szCs w:val="22"/>
          <w:lang w:val="es-ES_tradnl"/>
        </w:rPr>
        <w:t xml:space="preserve">l Grupo de Trabajo de Naciones Unidas sobre la Detención Arbitraria, ha señalado que “en el caso de que se haya detenido, expulsado o devuelto a personas </w:t>
      </w:r>
      <w:r w:rsidRPr="00A10EEE">
        <w:rPr>
          <w:spacing w:val="2"/>
          <w:szCs w:val="22"/>
          <w:lang w:val="es-ES_tradnl"/>
        </w:rPr>
        <w:lastRenderedPageBreak/>
        <w:t>sin otorgarles garantías legales, se consideran arbitrarias su detención y su posterior expulsión.”</w:t>
      </w:r>
      <w:r w:rsidRPr="00A10EEE">
        <w:rPr>
          <w:rStyle w:val="FootnoteReference"/>
          <w:rFonts w:eastAsia="MS Mincho"/>
          <w:spacing w:val="2"/>
          <w:szCs w:val="22"/>
          <w:lang w:val="es-ES_tradnl"/>
        </w:rPr>
        <w:footnoteReference w:id="42"/>
      </w:r>
      <w:r w:rsidRPr="00A10EEE">
        <w:rPr>
          <w:spacing w:val="2"/>
          <w:szCs w:val="22"/>
          <w:lang w:val="es-ES_tradnl"/>
        </w:rPr>
        <w:t xml:space="preserve"> </w:t>
      </w:r>
      <w:r w:rsidRPr="00A10EEE">
        <w:rPr>
          <w:szCs w:val="22"/>
          <w:lang w:val="es-ES_tradnl"/>
        </w:rPr>
        <w:t xml:space="preserve">Asimismo, </w:t>
      </w:r>
      <w:r w:rsidRPr="00A10EEE">
        <w:rPr>
          <w:rFonts w:cs="Times-Roman"/>
          <w:szCs w:val="22"/>
          <w:lang w:val="es-ES_tradnl" w:bidi="en-US"/>
        </w:rPr>
        <w:t>la Comisión Africana de Derechos Humanos y de los Pueblos también ha sostenido de manera consistente que las garantías del debido proceso deben aplicarse en el marco de los procedimientos de expulsión de migrantes y refugiados.</w:t>
      </w:r>
      <w:r w:rsidRPr="00A10EEE">
        <w:rPr>
          <w:rStyle w:val="FootnoteReference"/>
          <w:szCs w:val="22"/>
          <w:lang w:val="es-ES_tradnl" w:bidi="en-US"/>
        </w:rPr>
        <w:footnoteReference w:id="43"/>
      </w:r>
      <w:r w:rsidRPr="00A10EEE">
        <w:rPr>
          <w:rFonts w:cs="Times-Roman"/>
          <w:szCs w:val="22"/>
          <w:lang w:val="es-ES_tradnl" w:bidi="en-US"/>
        </w:rPr>
        <w:t xml:space="preserve"> </w:t>
      </w:r>
    </w:p>
    <w:p w14:paraId="564A44D6" w14:textId="77777777" w:rsidR="00C245FE" w:rsidRPr="00A10EEE" w:rsidRDefault="00C245FE" w:rsidP="00D81C50">
      <w:pPr>
        <w:pStyle w:val="parrafos"/>
        <w:numPr>
          <w:ilvl w:val="0"/>
          <w:numId w:val="0"/>
        </w:numPr>
        <w:tabs>
          <w:tab w:val="clear" w:pos="360"/>
        </w:tabs>
        <w:rPr>
          <w:lang w:val="es-CO"/>
        </w:rPr>
      </w:pPr>
    </w:p>
    <w:p w14:paraId="7A3F9803" w14:textId="77777777" w:rsidR="00C245FE" w:rsidRPr="00A10EEE" w:rsidRDefault="00C245FE" w:rsidP="00B16D62">
      <w:pPr>
        <w:pStyle w:val="parrafos"/>
        <w:ind w:left="0" w:firstLine="0"/>
        <w:rPr>
          <w:lang w:val="es-CO"/>
        </w:rPr>
      </w:pPr>
      <w:r w:rsidRPr="00A10EEE">
        <w:t>E</w:t>
      </w:r>
      <w:r w:rsidRPr="00422BA0">
        <w:t xml:space="preserve">ntrando al análisis del contenido de tales garantías, en cuanto al derecho a ser oídos </w:t>
      </w:r>
      <w:r w:rsidR="00B95F19" w:rsidRPr="00422BA0">
        <w:t>con las debidas garantías</w:t>
      </w:r>
      <w:r w:rsidR="00B95F19" w:rsidRPr="00B95F19">
        <w:rPr>
          <w:i/>
          <w:iCs/>
        </w:rPr>
        <w:t xml:space="preserve"> </w:t>
      </w:r>
      <w:r w:rsidRPr="00A10EEE">
        <w:t>en artículo 8.1 de la Convención</w:t>
      </w:r>
      <w:r w:rsidRPr="00A10EEE">
        <w:rPr>
          <w:rFonts w:cs="Tahoma"/>
          <w:lang w:val="es-CO"/>
        </w:rPr>
        <w:t xml:space="preserve"> se destaca que </w:t>
      </w:r>
      <w:r w:rsidRPr="00A10EEE">
        <w:t>en su Informe Movilidad Humana, la CIDH señaló que en “lo que respecta a procedimientos migratorios, la Comisión ha tenido conocimiento de situaciones y casos en que los migrantes son deportados sin ser oídos y sin la oportunidad de conocer y controvertir los cargos por los cuales estaban siendo deportados</w:t>
      </w:r>
      <w:r w:rsidR="008B7FAE" w:rsidRPr="00A10EEE">
        <w:t>”</w:t>
      </w:r>
      <w:r w:rsidRPr="00A10EEE">
        <w:rPr>
          <w:rStyle w:val="FootnoteReference"/>
        </w:rPr>
        <w:footnoteReference w:id="44"/>
      </w:r>
      <w:r w:rsidRPr="00A10EEE">
        <w:t xml:space="preserve">. </w:t>
      </w:r>
    </w:p>
    <w:p w14:paraId="74B795DC" w14:textId="77777777" w:rsidR="00C245FE" w:rsidRPr="00A10EEE" w:rsidRDefault="00C245FE" w:rsidP="00D81C50">
      <w:pPr>
        <w:pStyle w:val="parrafos"/>
        <w:numPr>
          <w:ilvl w:val="0"/>
          <w:numId w:val="0"/>
        </w:numPr>
      </w:pPr>
    </w:p>
    <w:p w14:paraId="41FD12FB" w14:textId="77777777" w:rsidR="00C245FE" w:rsidRPr="00422BA0" w:rsidRDefault="00C245FE" w:rsidP="00B16D62">
      <w:pPr>
        <w:pStyle w:val="parrafos"/>
        <w:ind w:left="0" w:firstLine="0"/>
        <w:rPr>
          <w:rFonts w:cs="Tahoma"/>
          <w:color w:val="000000"/>
          <w:lang w:val="es-CO"/>
        </w:rPr>
      </w:pPr>
      <w:r w:rsidRPr="00422BA0">
        <w:rPr>
          <w:lang w:val="es-CO"/>
        </w:rPr>
        <w:t xml:space="preserve">En relación con la motivación de la decisión, </w:t>
      </w:r>
      <w:r w:rsidR="00B95F19" w:rsidRPr="00422BA0">
        <w:rPr>
          <w:lang w:val="es-CO"/>
        </w:rPr>
        <w:t xml:space="preserve">que surge </w:t>
      </w:r>
      <w:r w:rsidRPr="00422BA0">
        <w:rPr>
          <w:lang w:val="es-CO"/>
        </w:rPr>
        <w:t xml:space="preserve">del 8.1 de la Convención, se destaca que en casos de expulsión de extranjeros, la jurisprudencia de </w:t>
      </w:r>
      <w:r w:rsidRPr="00422BA0">
        <w:rPr>
          <w:rFonts w:cs="Tahoma"/>
          <w:color w:val="000000"/>
          <w:lang w:val="es-CO"/>
        </w:rPr>
        <w:t>la Corte Interamericana ha llamado la atención sobre la obligación de los Estados de adelantar procedimientos individuales que evalúen las condiciones específicas de quien es sometido al proceso, que se analice su situación en el país al que será deportado y que la decisión no se soporte en un criterio de discriminación</w:t>
      </w:r>
      <w:r w:rsidRPr="00422BA0">
        <w:rPr>
          <w:rStyle w:val="FootnoteReference"/>
          <w:rFonts w:cs="Tahoma"/>
          <w:color w:val="000000"/>
          <w:lang w:val="es-CO"/>
        </w:rPr>
        <w:footnoteReference w:id="45"/>
      </w:r>
      <w:r w:rsidRPr="00422BA0">
        <w:rPr>
          <w:rFonts w:cs="Tahoma"/>
          <w:color w:val="000000"/>
          <w:lang w:val="es-CO"/>
        </w:rPr>
        <w:t xml:space="preserve">. </w:t>
      </w:r>
    </w:p>
    <w:p w14:paraId="24CDFCFA" w14:textId="77777777" w:rsidR="00C245FE" w:rsidRPr="00A10EEE" w:rsidRDefault="00C245FE" w:rsidP="00D81C50">
      <w:pPr>
        <w:pStyle w:val="parrafos"/>
        <w:numPr>
          <w:ilvl w:val="0"/>
          <w:numId w:val="0"/>
        </w:numPr>
      </w:pPr>
    </w:p>
    <w:p w14:paraId="0D6EDBD7" w14:textId="77777777" w:rsidR="00C20C06" w:rsidRPr="00A10EEE" w:rsidRDefault="00F67E1A" w:rsidP="00D81C50">
      <w:pPr>
        <w:pStyle w:val="parrafos"/>
        <w:ind w:left="0" w:firstLine="0"/>
      </w:pPr>
      <w:r w:rsidRPr="00A10EEE">
        <w:t xml:space="preserve">La Comisión observa que el cumplimiento de garantías como las indicadas son especialmente relevantes al momento de analizar si como resultado de la expulsión se produciría una afectación a los derechos de la persona extranjera. </w:t>
      </w:r>
      <w:r w:rsidR="00381E16" w:rsidRPr="00A10EEE">
        <w:t>L</w:t>
      </w:r>
      <w:r w:rsidR="006A3FD3" w:rsidRPr="00A10EEE">
        <w:t>a Comisión observa que el Comité de Derechos Humanos de las Naciones Unidas ha interpretado el artículo 13</w:t>
      </w:r>
      <w:r w:rsidR="00C20C06" w:rsidRPr="00A10EEE">
        <w:rPr>
          <w:rStyle w:val="FootnoteReference"/>
        </w:rPr>
        <w:footnoteReference w:id="46"/>
      </w:r>
      <w:r w:rsidR="006A3FD3" w:rsidRPr="00A10EEE">
        <w:t xml:space="preserve"> del Pacto Internacional de Derechos Civiles y Políticos que contiene una provisión muy similar al artículo 22.6 de la Convención Americana, </w:t>
      </w:r>
      <w:r w:rsidR="0020582B" w:rsidRPr="00A10EEE">
        <w:t>indicando que la</w:t>
      </w:r>
      <w:r w:rsidR="00C20C06" w:rsidRPr="00A10EEE">
        <w:t xml:space="preserve"> noción de apego a la ley, debe traducirse en un objetivo claro de evitar expulsiones que tengan un carácter arbitrario</w:t>
      </w:r>
      <w:r w:rsidR="00C20C06" w:rsidRPr="00A10EEE">
        <w:rPr>
          <w:rStyle w:val="FootnoteReference"/>
        </w:rPr>
        <w:footnoteReference w:id="47"/>
      </w:r>
      <w:r w:rsidR="00C20C06" w:rsidRPr="00A10EEE">
        <w:t xml:space="preserve">, de </w:t>
      </w:r>
      <w:r w:rsidR="00501B2D" w:rsidRPr="00A10EEE">
        <w:t>tal forma que dicha protección</w:t>
      </w:r>
      <w:r w:rsidR="00C20C06" w:rsidRPr="00A10EEE">
        <w:t xml:space="preserve"> “otorga a cada extranjero el derecho a que se adopte una decisión en su propio caso […]”</w:t>
      </w:r>
      <w:r w:rsidR="00C20C06" w:rsidRPr="00A10EEE">
        <w:rPr>
          <w:rStyle w:val="FootnoteReference"/>
        </w:rPr>
        <w:footnoteReference w:id="48"/>
      </w:r>
      <w:r w:rsidR="00C20C06" w:rsidRPr="00A10EEE">
        <w:t xml:space="preserve">. </w:t>
      </w:r>
      <w:r w:rsidR="00501B2D" w:rsidRPr="00A10EEE">
        <w:t>E</w:t>
      </w:r>
      <w:r w:rsidR="00C20C06" w:rsidRPr="00A10EEE">
        <w:t>l Comité ha recordado que cuando un extranjero se encuentra dentro de un Estado, si bien no hay un derecho a residir en él</w:t>
      </w:r>
      <w:r w:rsidR="001C3B8D" w:rsidRPr="00A10EEE">
        <w:t xml:space="preserve">, puede acogerse al Pacto en determinadas circunstancias en que sus derechos puedan ser vulnerados, por ejemplo, cuando se “plantean </w:t>
      </w:r>
      <w:r w:rsidR="00C20C06" w:rsidRPr="00A10EEE">
        <w:t>consideraciones de no discriminación, de prohibición de trato inhuman</w:t>
      </w:r>
      <w:r w:rsidR="001C3B8D" w:rsidRPr="00A10EEE">
        <w:t xml:space="preserve">o y de respeto de la vida de la </w:t>
      </w:r>
      <w:r w:rsidR="00C20C06" w:rsidRPr="00A10EEE">
        <w:t>familia</w:t>
      </w:r>
      <w:r w:rsidR="001C3B8D" w:rsidRPr="00A10EEE">
        <w:t>”</w:t>
      </w:r>
      <w:r w:rsidR="001C3B8D" w:rsidRPr="00A10EEE">
        <w:rPr>
          <w:rStyle w:val="FootnoteReference"/>
        </w:rPr>
        <w:t xml:space="preserve"> </w:t>
      </w:r>
      <w:r w:rsidR="001C3B8D" w:rsidRPr="00A10EEE">
        <w:rPr>
          <w:rStyle w:val="FootnoteReference"/>
        </w:rPr>
        <w:footnoteReference w:id="49"/>
      </w:r>
      <w:r w:rsidR="00C20C06" w:rsidRPr="00A10EEE">
        <w:t>.</w:t>
      </w:r>
    </w:p>
    <w:p w14:paraId="70F4727C" w14:textId="77777777" w:rsidR="00671809" w:rsidRPr="00A10EEE" w:rsidRDefault="00671809" w:rsidP="00225359">
      <w:pPr>
        <w:ind w:left="720"/>
      </w:pPr>
    </w:p>
    <w:p w14:paraId="6CD905C4" w14:textId="77777777" w:rsidR="00671809" w:rsidRPr="00A10EEE" w:rsidRDefault="00671809" w:rsidP="00D81C50">
      <w:pPr>
        <w:pStyle w:val="parrafos"/>
        <w:ind w:left="0" w:firstLine="0"/>
      </w:pPr>
      <w:r w:rsidRPr="00A10EEE">
        <w:t>Al respecto, la Comisión ha indicado que</w:t>
      </w:r>
      <w:r w:rsidR="00624C20">
        <w:t>,</w:t>
      </w:r>
      <w:r w:rsidRPr="00A10EEE">
        <w:t xml:space="preserve"> aunque el artículo 22.6 de la Convención</w:t>
      </w:r>
      <w:r w:rsidRPr="00A10EEE">
        <w:rPr>
          <w:rFonts w:cs="Tahoma"/>
          <w:color w:val="000000"/>
          <w:lang w:val="es-CO"/>
        </w:rPr>
        <w:t xml:space="preserve"> se refiere literalmente a las garantías para la expulsión de un extranjero “que se halle legalmente” en el territorio, si la finalidad del proceso es controvertir dicha legalidad y ordenar su expulsión, las mismas garantías resultan aplicables. Así, coincide con la opinión del Comité de Derechos Humanos que ha sostenido que si bien el artículo 13 del Pacto Internacional de Derechos Civiles y Políticos establece las garantías que debe reunir el proceso de expulsión de un extranjero “</w:t>
      </w:r>
      <w:r w:rsidRPr="00A10EEE">
        <w:rPr>
          <w:lang w:val="es-CO"/>
        </w:rPr>
        <w:t xml:space="preserve">que se halle legalmente”, tales prerrogativas se deben aplicar también cuando </w:t>
      </w:r>
      <w:r w:rsidRPr="00A10EEE">
        <w:rPr>
          <w:rFonts w:cs="Tahoma"/>
          <w:color w:val="000000"/>
          <w:lang w:val="es-CO"/>
        </w:rPr>
        <w:t>el procedimiento de expulsión controvierte la legalidad de la permanencia de una persona</w:t>
      </w:r>
      <w:r w:rsidRPr="00A10EEE">
        <w:rPr>
          <w:rStyle w:val="FootnoteReference"/>
          <w:rFonts w:cs="Tahoma"/>
          <w:color w:val="000000"/>
          <w:lang w:val="es-CO"/>
        </w:rPr>
        <w:footnoteReference w:id="50"/>
      </w:r>
      <w:r w:rsidRPr="00A10EEE">
        <w:rPr>
          <w:rFonts w:cs="Tahoma"/>
          <w:color w:val="000000"/>
          <w:lang w:val="es-CO"/>
        </w:rPr>
        <w:t>.</w:t>
      </w:r>
    </w:p>
    <w:p w14:paraId="5CBF20D2" w14:textId="77777777" w:rsidR="00501B2D" w:rsidRPr="00A10EEE" w:rsidRDefault="00501B2D" w:rsidP="00225359">
      <w:pPr>
        <w:ind w:left="720"/>
      </w:pPr>
    </w:p>
    <w:p w14:paraId="2B5AF26E" w14:textId="77777777" w:rsidR="00EA32B0" w:rsidRPr="00A10EEE" w:rsidRDefault="00501B2D" w:rsidP="00D81C50">
      <w:pPr>
        <w:pStyle w:val="parrafos"/>
        <w:ind w:left="0" w:firstLine="0"/>
      </w:pPr>
      <w:r w:rsidRPr="00A10EEE">
        <w:t xml:space="preserve">De manera específica al conocer sobre casos en los cuales se han revocado visados, el Comité </w:t>
      </w:r>
      <w:r w:rsidR="00CD6BCC" w:rsidRPr="00A10EEE">
        <w:t xml:space="preserve">ha analizado si tales decisiones han constituido injerencias arbitrarias a los derechos de las personas extranjeras. </w:t>
      </w:r>
      <w:r w:rsidR="00F67E1A" w:rsidRPr="00A10EEE">
        <w:t xml:space="preserve">La relación entre las garantías </w:t>
      </w:r>
      <w:r w:rsidR="00381E16" w:rsidRPr="00A10EEE">
        <w:t xml:space="preserve">que debe observar el procedimiento han sido relevantes para determinar si las autoridades han realizado una valoración como la indicada. En el caso </w:t>
      </w:r>
      <w:r w:rsidR="00C245FE" w:rsidRPr="00A10EEE">
        <w:rPr>
          <w:i/>
          <w:lang w:val="es-US"/>
        </w:rPr>
        <w:t>Mansour Leghaei y otros vs. Australia</w:t>
      </w:r>
      <w:r w:rsidR="00381E16" w:rsidRPr="00A10EEE">
        <w:t>, el Comité notó que “nunca se comunicaron formalmente al autor las razones por las que se negaba el visado solicitado, lo que dio lugar a la obligación de abandonar el país, sino que solo se le explicó de modo general que suponía una amenaza para la seguridad nacional según evaluaciones de seguridad de las que ni tan siquiera recibió un resumen”. Asimismo, indicó que salvo la afirmación general de que se hizo por</w:t>
      </w:r>
      <w:r w:rsidR="006F3F02" w:rsidRPr="00A10EEE">
        <w:t xml:space="preserve"> </w:t>
      </w:r>
      <w:r w:rsidR="00381E16" w:rsidRPr="00A10EEE">
        <w:t>"razones imperiosas de seguridad nacional”” […]  el procedimiento en el Estado parte careció de las debidas garantías procesales. Por lo tanto, el Estado parte no ha dado al autor una justificación adecuada y objetiva de la injerencia en su vida familiar de larga data”</w:t>
      </w:r>
      <w:r w:rsidR="00381E16" w:rsidRPr="00A10EEE">
        <w:rPr>
          <w:rStyle w:val="FootnoteReference"/>
        </w:rPr>
        <w:footnoteReference w:id="51"/>
      </w:r>
      <w:r w:rsidR="00381E16" w:rsidRPr="00A10EEE">
        <w:t>.</w:t>
      </w:r>
      <w:r w:rsidR="006F3F02" w:rsidRPr="00A10EEE">
        <w:t xml:space="preserve"> </w:t>
      </w:r>
    </w:p>
    <w:p w14:paraId="5B132D24" w14:textId="77777777" w:rsidR="00EA32B0" w:rsidRPr="00A10EEE" w:rsidRDefault="00EA32B0" w:rsidP="00225359">
      <w:pPr>
        <w:ind w:left="720"/>
      </w:pPr>
    </w:p>
    <w:p w14:paraId="09B7AD5A" w14:textId="77777777" w:rsidR="00C245FE" w:rsidRPr="00A10EEE" w:rsidRDefault="006F3F02" w:rsidP="00D81C50">
      <w:pPr>
        <w:pStyle w:val="parrafos"/>
        <w:ind w:left="0" w:firstLine="0"/>
      </w:pPr>
      <w:r w:rsidRPr="00A10EEE">
        <w:t xml:space="preserve">De similar forma en el caso </w:t>
      </w:r>
      <w:r w:rsidRPr="00A10EEE">
        <w:rPr>
          <w:i/>
        </w:rPr>
        <w:t xml:space="preserve">Ahani vs. Canada, </w:t>
      </w:r>
      <w:r w:rsidRPr="00A10EEE">
        <w:t>el Comité analizó el alcance del artículo 13 del Pacto, y señaló que “constituyó un incumplimiento de la obligación prevista en el artículo 13 de permitir que el autor exponga las razones que lo asistan en contra de su expulsión teniendo en cuenta el caso administrativo planteado por las autoridades contra él, y someta las correspondientes comunicaciones completas a revisión ante la autoridad competente,</w:t>
      </w:r>
      <w:r w:rsidR="00C245FE" w:rsidRPr="00A10EEE">
        <w:t xml:space="preserve"> </w:t>
      </w:r>
      <w:r w:rsidRPr="00A10EEE">
        <w:t xml:space="preserve">lo que implica la posibilidad de hacer observaciones sobre la </w:t>
      </w:r>
      <w:r w:rsidR="00C245FE" w:rsidRPr="00A10EEE">
        <w:t>documentación</w:t>
      </w:r>
      <w:r w:rsidRPr="00A10EEE">
        <w:t xml:space="preserve"> presentada por esta</w:t>
      </w:r>
      <w:r w:rsidR="00C245FE" w:rsidRPr="00A10EEE">
        <w:t xml:space="preserve"> última”.  Finalmente, </w:t>
      </w:r>
      <w:r w:rsidR="00CD6BCC" w:rsidRPr="00A10EEE">
        <w:t xml:space="preserve"> </w:t>
      </w:r>
      <w:r w:rsidR="00C245FE" w:rsidRPr="00A10EEE">
        <w:t xml:space="preserve">la Comisión observa que </w:t>
      </w:r>
      <w:r w:rsidR="00CD6BCC" w:rsidRPr="00A10EEE">
        <w:t xml:space="preserve">en el caso </w:t>
      </w:r>
      <w:r w:rsidR="00CD6BCC" w:rsidRPr="00A10EEE">
        <w:rPr>
          <w:i/>
        </w:rPr>
        <w:t xml:space="preserve"> M.G.C vs. Australia,</w:t>
      </w:r>
      <w:r w:rsidR="00CD6BCC" w:rsidRPr="00A10EEE">
        <w:t xml:space="preserve">  el Comité </w:t>
      </w:r>
      <w:r w:rsidRPr="00A10EEE">
        <w:t xml:space="preserve">tras verificar que las autoridades competentes pudieron analizar la situación personal del demandante,  </w:t>
      </w:r>
      <w:r w:rsidR="00CD6BCC" w:rsidRPr="00A10EEE">
        <w:t>concluyó “que la decisión del Estado parte de cancelar el visado del autor se basó en motivos objetivos y razonables, a saber, los antecedentes penales graves del autor, y que sus circunstancias familiares se tuvieron en cuenta”</w:t>
      </w:r>
      <w:r w:rsidR="00CD6BCC" w:rsidRPr="00A10EEE">
        <w:rPr>
          <w:rStyle w:val="FootnoteReference"/>
        </w:rPr>
        <w:footnoteReference w:id="52"/>
      </w:r>
      <w:r w:rsidR="00CD6BCC" w:rsidRPr="00A10EEE">
        <w:t xml:space="preserve"> .</w:t>
      </w:r>
    </w:p>
    <w:p w14:paraId="6681FF0E" w14:textId="77777777" w:rsidR="001C3B8D" w:rsidRPr="00A10EEE" w:rsidRDefault="001C3B8D" w:rsidP="00D81C50"/>
    <w:p w14:paraId="2422A01E" w14:textId="77777777" w:rsidR="00B27F0C" w:rsidRPr="00A10EEE" w:rsidRDefault="00F80A26" w:rsidP="00D81C50">
      <w:pPr>
        <w:pStyle w:val="parrafos"/>
        <w:ind w:left="0" w:firstLine="0"/>
      </w:pPr>
      <w:r w:rsidRPr="00A10EEE">
        <w:t>Por su parte</w:t>
      </w:r>
      <w:r w:rsidR="001C3B8D" w:rsidRPr="00A10EEE">
        <w:t xml:space="preserve">, la Corte Europea de Derechos Humanos ha conocido de una serie de casos </w:t>
      </w:r>
      <w:r w:rsidR="0057105D" w:rsidRPr="00A10EEE">
        <w:t xml:space="preserve">relacionados con procesos de expulsión </w:t>
      </w:r>
      <w:r w:rsidR="001C3B8D" w:rsidRPr="00A10EEE">
        <w:t xml:space="preserve">de personas que se encontraban residiendo regularmente en el Estado </w:t>
      </w:r>
      <w:r w:rsidR="0020582B" w:rsidRPr="00A10EEE">
        <w:t xml:space="preserve">y ha reconocido que si bien no corresponde sustituir la evaluación que pueda ser realizada por las autoridades nacionales en tales procesos, </w:t>
      </w:r>
      <w:r w:rsidR="0057105D" w:rsidRPr="00A10EEE">
        <w:t>una decisión que no sea motivada o analice de manera superficial la proporcionalidad de los derechos en juego, resultaría violatoria de los derechos humanos de la persona en cuestión. La Corte Europea se ha pronunciado, por ejemplo, en casos relacionados con la revocatoria de un permiso de residencia sobre la base de información no divulgada</w:t>
      </w:r>
      <w:r w:rsidR="0057105D" w:rsidRPr="00A10EEE">
        <w:rPr>
          <w:rStyle w:val="FootnoteReference"/>
        </w:rPr>
        <w:footnoteReference w:id="53"/>
      </w:r>
      <w:r w:rsidR="0057105D" w:rsidRPr="00A10EEE">
        <w:t xml:space="preserve">, o bien, </w:t>
      </w:r>
      <w:r w:rsidR="009C0924" w:rsidRPr="00A10EEE">
        <w:t xml:space="preserve">como resultado de </w:t>
      </w:r>
      <w:r w:rsidR="00C245FE" w:rsidRPr="00A10EEE">
        <w:t>la condena por un proceso penal. En este último tipo de casos, l</w:t>
      </w:r>
      <w:r w:rsidR="009C0924" w:rsidRPr="00A10EEE">
        <w:t>a Corte Europea ha desarrollado una serie de aspectos a evaluar para analizar la proporcionalidad de la decisión</w:t>
      </w:r>
      <w:r w:rsidR="00B27F0C" w:rsidRPr="00A10EEE">
        <w:t xml:space="preserve"> </w:t>
      </w:r>
      <w:r w:rsidR="00C459CB" w:rsidRPr="00A10EEE">
        <w:t>en aras de identificar s</w:t>
      </w:r>
      <w:r w:rsidR="00671809" w:rsidRPr="00A10EEE">
        <w:t>i</w:t>
      </w:r>
      <w:r w:rsidR="00C459CB" w:rsidRPr="00A10EEE">
        <w:t xml:space="preserve"> no constituye una interferencia arbitraria al artículo 8 del Convenio, que protege la vida privada y familiar</w:t>
      </w:r>
      <w:r w:rsidR="00C459CB" w:rsidRPr="00A10EEE">
        <w:rPr>
          <w:rStyle w:val="FootnoteReference"/>
        </w:rPr>
        <w:footnoteReference w:id="54"/>
      </w:r>
      <w:r w:rsidR="00C459CB" w:rsidRPr="00A10EEE">
        <w:t>.</w:t>
      </w:r>
    </w:p>
    <w:p w14:paraId="5F65652E" w14:textId="77777777" w:rsidR="00143452" w:rsidRPr="00A10EEE" w:rsidRDefault="00143452" w:rsidP="00D81C50">
      <w:pPr>
        <w:pStyle w:val="parrafos"/>
        <w:numPr>
          <w:ilvl w:val="0"/>
          <w:numId w:val="0"/>
        </w:numPr>
      </w:pPr>
    </w:p>
    <w:p w14:paraId="4FE77E16" w14:textId="77777777" w:rsidR="00D676F5" w:rsidRPr="00A10EEE" w:rsidRDefault="00AB2DE7" w:rsidP="00D81C50">
      <w:pPr>
        <w:pStyle w:val="parrafos"/>
        <w:ind w:left="0" w:firstLine="0"/>
      </w:pPr>
      <w:r w:rsidRPr="00A10EEE">
        <w:t xml:space="preserve">Ahora bien, </w:t>
      </w:r>
      <w:r w:rsidR="00F066D0" w:rsidRPr="00A10EEE">
        <w:t xml:space="preserve">la jurisprudencia del sistema interamericano </w:t>
      </w:r>
      <w:r w:rsidR="00B12F22" w:rsidRPr="00A10EEE">
        <w:t xml:space="preserve">si bien no se ha pronunciado específicamente en su sistema de casos en relación con procesos de revocatoria de visas que terminen en una expulsión, </w:t>
      </w:r>
      <w:r w:rsidR="00F066D0" w:rsidRPr="00A10EEE">
        <w:t xml:space="preserve">ha reconocido que en los procesos de control migratorio el derecho internacional ha impuesto ciertos límites que imponen por un lado, el apego estricto a las garantías </w:t>
      </w:r>
      <w:r w:rsidR="00624C20">
        <w:t>procesales</w:t>
      </w:r>
      <w:r w:rsidR="00F066D0" w:rsidRPr="00A10EEE">
        <w:t xml:space="preserve"> y, además, el respecto a la dignidad humana</w:t>
      </w:r>
      <w:r w:rsidR="00F066D0" w:rsidRPr="00A10EEE">
        <w:rPr>
          <w:vertAlign w:val="superscript"/>
        </w:rPr>
        <w:footnoteReference w:id="55"/>
      </w:r>
      <w:r w:rsidR="00F066D0" w:rsidRPr="00A10EEE">
        <w:t>. En este sentido, como también sobre el impacto sustantivo que tuvo el proceso en otros derechos protegidos por la Convención</w:t>
      </w:r>
      <w:r w:rsidR="00F066D0" w:rsidRPr="00A10EEE">
        <w:rPr>
          <w:vertAlign w:val="superscript"/>
        </w:rPr>
        <w:footnoteReference w:id="56"/>
      </w:r>
      <w:r w:rsidR="00F066D0" w:rsidRPr="00A10EEE">
        <w:t>.</w:t>
      </w:r>
      <w:r w:rsidR="00D676F5" w:rsidRPr="00A10EEE">
        <w:t xml:space="preserve"> </w:t>
      </w:r>
      <w:r w:rsidR="00D676F5" w:rsidRPr="00A10EEE">
        <w:rPr>
          <w:rFonts w:cs="Tahoma"/>
          <w:color w:val="000000"/>
          <w:lang w:val="es-CO"/>
        </w:rPr>
        <w:t xml:space="preserve">En casos en relación con procesos migratorios que pueden resultar en la separación de </w:t>
      </w:r>
      <w:r w:rsidR="00D676F5" w:rsidRPr="00A10EEE">
        <w:rPr>
          <w:rFonts w:cs="Tahoma"/>
          <w:color w:val="000000"/>
          <w:lang w:val="es-CO"/>
        </w:rPr>
        <w:lastRenderedPageBreak/>
        <w:t>una familia, la Corte ha dicho que “</w:t>
      </w:r>
      <w:r w:rsidR="00D676F5" w:rsidRPr="00A10EEE">
        <w:rPr>
          <w:rFonts w:eastAsia="Times New Roman"/>
          <w:lang w:val="es-CO"/>
        </w:rPr>
        <w:t>los Estados tienen la facultad de elaborar y ejecutar sus propias políticas de inmigración, incluyendo el control del ingreso, residencia y expulsión de extranjeros. Sin embargo, cuando un Estado adopta una decisión que involucra alguna limitación al ejercicio de cualquier derecho de una niña o niño, debe tomar en cuenta su interés superior y ajustarse rigurosamente a las disposiciones que rigen esta materia”</w:t>
      </w:r>
      <w:r w:rsidR="00D676F5" w:rsidRPr="00A10EEE">
        <w:rPr>
          <w:rStyle w:val="FootnoteReference"/>
          <w:rFonts w:eastAsia="Times New Roman"/>
          <w:lang w:val="es-CO"/>
        </w:rPr>
        <w:footnoteReference w:id="57"/>
      </w:r>
      <w:r w:rsidR="00D676F5" w:rsidRPr="00A10EEE">
        <w:rPr>
          <w:rFonts w:eastAsia="Times New Roman"/>
          <w:lang w:val="es-CO"/>
        </w:rPr>
        <w:t xml:space="preserve">. Asimismo, en circunstancias en las que </w:t>
      </w:r>
      <w:r w:rsidR="00D676F5" w:rsidRPr="00A10EEE">
        <w:rPr>
          <w:rFonts w:cs="Tahoma"/>
          <w:color w:val="000000"/>
          <w:lang w:val="es-CO"/>
        </w:rPr>
        <w:t>las personas migrantes que están inmersas en procesos de deportación tienen familia en el país que pretende deportarlas, la CIDH ha destacado que las autoridades deben tomar en consideración el impacto de dichas decisiones a la luz del principio del interés superior de los niños y las niñas</w:t>
      </w:r>
      <w:r w:rsidR="00D676F5" w:rsidRPr="00A10EEE">
        <w:rPr>
          <w:rFonts w:eastAsia="Times New Roman"/>
        </w:rPr>
        <w:t>.</w:t>
      </w:r>
    </w:p>
    <w:p w14:paraId="7EDCECCD" w14:textId="77777777" w:rsidR="00D676F5" w:rsidRPr="00A10EEE" w:rsidRDefault="00D676F5" w:rsidP="00D81C50">
      <w:pPr>
        <w:pStyle w:val="parrafos"/>
        <w:numPr>
          <w:ilvl w:val="0"/>
          <w:numId w:val="0"/>
        </w:numPr>
      </w:pPr>
    </w:p>
    <w:p w14:paraId="7C757A5E" w14:textId="77777777" w:rsidR="00D676F5" w:rsidRPr="00A10EEE" w:rsidRDefault="00D676F5" w:rsidP="00D81C50">
      <w:pPr>
        <w:pStyle w:val="parrafos"/>
        <w:ind w:left="0" w:firstLine="0"/>
      </w:pPr>
      <w:r w:rsidRPr="00A10EEE">
        <w:t xml:space="preserve">Con </w:t>
      </w:r>
      <w:r w:rsidR="007B64AF" w:rsidRPr="00A10EEE">
        <w:t>todo anterior</w:t>
      </w:r>
      <w:r w:rsidRPr="00A10EEE">
        <w:t xml:space="preserve">, la Comisión entiende que tratándose de personas extranjeras que se encuentran con un </w:t>
      </w:r>
      <w:r w:rsidR="00671809" w:rsidRPr="00A10EEE">
        <w:t>e</w:t>
      </w:r>
      <w:r w:rsidRPr="00A10EEE">
        <w:t xml:space="preserve">status </w:t>
      </w:r>
      <w:r w:rsidRPr="00C46471">
        <w:t>regular en un Estado, la Convención exige a los Estados una serie de obligaciones a observar en el ámbito de los procesos que puedan derivar</w:t>
      </w:r>
      <w:r w:rsidR="00B8149F" w:rsidRPr="00C46471">
        <w:t xml:space="preserve"> en controvertir dicho estatus y</w:t>
      </w:r>
      <w:r w:rsidR="00CE0098" w:rsidRPr="00C46471">
        <w:t xml:space="preserve"> en la consecuente</w:t>
      </w:r>
      <w:r w:rsidRPr="00C46471">
        <w:t xml:space="preserve"> expulsión</w:t>
      </w:r>
      <w:r w:rsidR="00CE0098" w:rsidRPr="00C46471">
        <w:t>,</w:t>
      </w:r>
      <w:r w:rsidR="00624C20" w:rsidRPr="00C46471">
        <w:t xml:space="preserve"> según lo dispuesto en el artículo 22</w:t>
      </w:r>
      <w:r w:rsidR="00B8149F" w:rsidRPr="00C46471">
        <w:t xml:space="preserve">. Estos requisitos </w:t>
      </w:r>
      <w:r w:rsidR="00624C20" w:rsidRPr="00C46471">
        <w:t>en una dimensión procesal</w:t>
      </w:r>
      <w:r w:rsidR="00B8149F" w:rsidRPr="00C46471">
        <w:t>, se traducen en</w:t>
      </w:r>
      <w:r w:rsidR="00624C20" w:rsidRPr="00C46471">
        <w:t xml:space="preserve"> la aplicación</w:t>
      </w:r>
      <w:r w:rsidR="00CE0098" w:rsidRPr="00C46471">
        <w:t xml:space="preserve"> </w:t>
      </w:r>
      <w:r w:rsidR="0080332F" w:rsidRPr="00C46471">
        <w:t>de las</w:t>
      </w:r>
      <w:r w:rsidR="004E4B3F" w:rsidRPr="00C46471">
        <w:t xml:space="preserve"> debidas </w:t>
      </w:r>
      <w:r w:rsidR="00624C20" w:rsidRPr="00C46471">
        <w:t>garantías previstas en el artículo 8 de la Convención</w:t>
      </w:r>
      <w:r w:rsidR="00B8149F" w:rsidRPr="00C46471">
        <w:t xml:space="preserve">, y, asimismo, </w:t>
      </w:r>
      <w:r w:rsidR="00624C20" w:rsidRPr="00C46471">
        <w:t xml:space="preserve">en una dimensión más sustantiva, </w:t>
      </w:r>
      <w:r w:rsidR="00B8149F" w:rsidRPr="00C46471">
        <w:t xml:space="preserve">en posibilitar mediante una motivación conocer </w:t>
      </w:r>
      <w:r w:rsidR="00624C20" w:rsidRPr="00C46471">
        <w:t xml:space="preserve">las </w:t>
      </w:r>
      <w:r w:rsidR="00B8149F" w:rsidRPr="00C46471">
        <w:t xml:space="preserve">razones de la revocatoria y, de ser el caso, un análisis de </w:t>
      </w:r>
      <w:r w:rsidRPr="00C46471">
        <w:t>la situación que guardarían los derechos de la persona ext</w:t>
      </w:r>
      <w:r w:rsidR="00B8149F" w:rsidRPr="00C46471">
        <w:t>ranjera que pudieran ser afectados en caso de ser expulsado</w:t>
      </w:r>
      <w:r w:rsidR="006502E7" w:rsidRPr="00C46471">
        <w:t xml:space="preserve">. </w:t>
      </w:r>
      <w:r w:rsidR="00B8149F" w:rsidRPr="00C46471">
        <w:t>Para ello, la Comisión también considera necesario que los Estados ofrezcan un recurso adecuado y efectivo para analizar tales cuestiones, conforme lo establecido en el artículo 25 de la Convención Americana.</w:t>
      </w:r>
    </w:p>
    <w:p w14:paraId="41E458C4" w14:textId="77777777" w:rsidR="00A47966" w:rsidRPr="00B8149F" w:rsidRDefault="00A47966" w:rsidP="00D81C50">
      <w:pPr>
        <w:rPr>
          <w:rFonts w:asciiTheme="majorHAnsi" w:hAnsiTheme="majorHAnsi"/>
          <w:sz w:val="20"/>
          <w:szCs w:val="20"/>
          <w:lang w:val="es-VE"/>
        </w:rPr>
      </w:pPr>
    </w:p>
    <w:p w14:paraId="702E3157" w14:textId="77777777" w:rsidR="00252DDB" w:rsidRPr="00A10EEE" w:rsidRDefault="00A47966" w:rsidP="00D81C50">
      <w:pPr>
        <w:pStyle w:val="Heading3"/>
        <w:jc w:val="both"/>
        <w:rPr>
          <w:szCs w:val="20"/>
          <w:lang w:val="es-ES_tradnl"/>
        </w:rPr>
      </w:pPr>
      <w:bookmarkStart w:id="15" w:name="_Toc39489217"/>
      <w:r w:rsidRPr="00A10EEE">
        <w:rPr>
          <w:szCs w:val="20"/>
          <w:lang w:val="es-ES_tradnl"/>
        </w:rPr>
        <w:t>Análisis del caso concreto</w:t>
      </w:r>
      <w:bookmarkEnd w:id="15"/>
      <w:r w:rsidR="003B7945" w:rsidRPr="00A10EEE">
        <w:rPr>
          <w:szCs w:val="20"/>
          <w:lang w:val="es-ES_tradnl"/>
        </w:rPr>
        <w:t xml:space="preserve"> </w:t>
      </w:r>
    </w:p>
    <w:p w14:paraId="3727C427" w14:textId="77777777" w:rsidR="00844EE6" w:rsidRPr="00A10EEE" w:rsidRDefault="00844EE6" w:rsidP="00D81C50">
      <w:pPr>
        <w:pStyle w:val="parrafos"/>
        <w:numPr>
          <w:ilvl w:val="0"/>
          <w:numId w:val="0"/>
        </w:numPr>
        <w:tabs>
          <w:tab w:val="clear" w:pos="360"/>
        </w:tabs>
      </w:pPr>
    </w:p>
    <w:p w14:paraId="0B9CD53A" w14:textId="77777777" w:rsidR="00D81C50" w:rsidRPr="00A10EEE" w:rsidRDefault="00451485" w:rsidP="00D81C50">
      <w:pPr>
        <w:pStyle w:val="parrafos"/>
        <w:ind w:left="0" w:firstLine="0"/>
      </w:pPr>
      <w:r w:rsidRPr="00A10EEE">
        <w:t>De manera introductoria, l</w:t>
      </w:r>
      <w:r w:rsidR="00076A47" w:rsidRPr="00A10EEE">
        <w:t>a Comisión considera pertinente aclarar</w:t>
      </w:r>
      <w:r w:rsidR="00117752" w:rsidRPr="00A10EEE">
        <w:t xml:space="preserve"> </w:t>
      </w:r>
      <w:r w:rsidRPr="00A10EEE">
        <w:t xml:space="preserve">la presunta víctima </w:t>
      </w:r>
      <w:r w:rsidR="00E84994">
        <w:t>estuvo involucrado en</w:t>
      </w:r>
      <w:r w:rsidRPr="00A10EEE">
        <w:t xml:space="preserve"> </w:t>
      </w:r>
      <w:r w:rsidR="00096421" w:rsidRPr="00A10EEE">
        <w:t>dos procesos</w:t>
      </w:r>
      <w:r w:rsidR="00843076" w:rsidRPr="00A10EEE">
        <w:t xml:space="preserve"> </w:t>
      </w:r>
      <w:r w:rsidR="00EA32B0" w:rsidRPr="00A10EEE">
        <w:t>de forma sucesiva</w:t>
      </w:r>
      <w:r w:rsidR="00117752" w:rsidRPr="00A10EEE">
        <w:t xml:space="preserve">: </w:t>
      </w:r>
      <w:r w:rsidR="00F7088F" w:rsidRPr="00A10EEE">
        <w:t>e</w:t>
      </w:r>
      <w:r w:rsidR="00EA32B0" w:rsidRPr="00A10EEE">
        <w:t xml:space="preserve">l </w:t>
      </w:r>
      <w:r w:rsidR="00117752" w:rsidRPr="00A10EEE">
        <w:t>proceso de revocatoria administrativa de la visa de inmigrante VI y la acción penal de deportación</w:t>
      </w:r>
      <w:r w:rsidR="006F5FDB" w:rsidRPr="00A10EEE">
        <w:t>, ést</w:t>
      </w:r>
      <w:r w:rsidR="00E84994">
        <w:t>e</w:t>
      </w:r>
      <w:r w:rsidR="006F5FDB" w:rsidRPr="00A10EEE">
        <w:t xml:space="preserve"> últim</w:t>
      </w:r>
      <w:r w:rsidR="00E84994">
        <w:t>o</w:t>
      </w:r>
      <w:r w:rsidR="006F5FDB" w:rsidRPr="00A10EEE">
        <w:t xml:space="preserve"> que finalmente no se materializó</w:t>
      </w:r>
      <w:r w:rsidR="00117752" w:rsidRPr="00A10EEE">
        <w:t xml:space="preserve">. </w:t>
      </w:r>
      <w:r w:rsidRPr="00A10EEE">
        <w:t xml:space="preserve">La Comisión resalta que </w:t>
      </w:r>
      <w:r w:rsidR="00EA32B0" w:rsidRPr="00A10EEE">
        <w:t xml:space="preserve">cada uno de </w:t>
      </w:r>
      <w:r w:rsidRPr="00A10EEE">
        <w:t>estos procesos</w:t>
      </w:r>
      <w:r w:rsidR="00EA32B0" w:rsidRPr="00A10EEE">
        <w:t xml:space="preserve"> </w:t>
      </w:r>
      <w:r w:rsidR="006A6626" w:rsidRPr="00A10EEE">
        <w:t>tenía características propias</w:t>
      </w:r>
      <w:r w:rsidR="00117752" w:rsidRPr="00A10EEE">
        <w:t>: i) el primero decidió sobre la revocatoria de visa y el segundo sobre la deportación; ii) fueron conducidos por autoridades distintas, el Consejo Consultivo de Política Criminal y el Intendente de Policía, respectivamente;</w:t>
      </w:r>
      <w:r w:rsidRPr="00A10EEE">
        <w:t xml:space="preserve"> y</w:t>
      </w:r>
      <w:r w:rsidR="00117752" w:rsidRPr="00A10EEE">
        <w:t xml:space="preserve"> iii) sus decisiones generaban actos estatales diferentes, </w:t>
      </w:r>
      <w:r w:rsidR="00306442" w:rsidRPr="00A10EEE">
        <w:t>el primero consistente en</w:t>
      </w:r>
      <w:r w:rsidR="00117752" w:rsidRPr="00A10EEE">
        <w:t xml:space="preserve"> una resolución administrativa</w:t>
      </w:r>
      <w:r w:rsidR="00EA32B0" w:rsidRPr="00A10EEE">
        <w:t xml:space="preserve"> que </w:t>
      </w:r>
      <w:r w:rsidR="006A6626" w:rsidRPr="00A10EEE">
        <w:t>terminó en</w:t>
      </w:r>
      <w:r w:rsidR="00076A47" w:rsidRPr="00A10EEE">
        <w:t xml:space="preserve"> la revocación de su visa </w:t>
      </w:r>
      <w:r w:rsidR="00EA32B0" w:rsidRPr="00A10EEE">
        <w:t xml:space="preserve">y, </w:t>
      </w:r>
      <w:r w:rsidR="00117752" w:rsidRPr="00A10EEE">
        <w:t>el segundo,</w:t>
      </w:r>
      <w:r w:rsidR="006A6626" w:rsidRPr="00A10EEE">
        <w:t xml:space="preserve"> se trataba de un proceso tendiente a la deportación</w:t>
      </w:r>
      <w:r w:rsidR="00076A47" w:rsidRPr="00A10EEE">
        <w:t xml:space="preserve">. </w:t>
      </w:r>
    </w:p>
    <w:p w14:paraId="1AACC95F" w14:textId="77777777" w:rsidR="00D81C50" w:rsidRPr="00A10EEE" w:rsidRDefault="00D81C50" w:rsidP="00D81C50">
      <w:pPr>
        <w:pStyle w:val="parrafos"/>
        <w:numPr>
          <w:ilvl w:val="0"/>
          <w:numId w:val="0"/>
        </w:numPr>
      </w:pPr>
    </w:p>
    <w:p w14:paraId="71B5F6EF" w14:textId="77777777" w:rsidR="000B0498" w:rsidRDefault="00D81C50" w:rsidP="00D81C50">
      <w:pPr>
        <w:pStyle w:val="parrafos"/>
        <w:ind w:left="0" w:firstLine="0"/>
      </w:pPr>
      <w:r w:rsidRPr="00A10EEE">
        <w:t>La Comisión nota que e</w:t>
      </w:r>
      <w:r w:rsidR="00451485" w:rsidRPr="00A10EEE">
        <w:t xml:space="preserve">n las circunstancias específicas de la presunta víctima </w:t>
      </w:r>
      <w:r w:rsidR="006F5FDB" w:rsidRPr="00A10EEE">
        <w:t>-quien</w:t>
      </w:r>
      <w:r w:rsidR="00451485" w:rsidRPr="00A10EEE">
        <w:t xml:space="preserve"> gozaba de una condición d</w:t>
      </w:r>
      <w:r w:rsidR="006F5FDB" w:rsidRPr="00A10EEE">
        <w:t>e migrante regular en el Estado-</w:t>
      </w:r>
      <w:r w:rsidR="00451485" w:rsidRPr="00A10EEE">
        <w:t xml:space="preserve"> el acto que terminó por revocar su visa tenía efectos jurídicos propios, pues </w:t>
      </w:r>
      <w:r w:rsidR="00A10EEE">
        <w:t>se encontraba dirigido a analizar la licitud de la presunta víctima en el país, y podría terminar por revocarle la visa</w:t>
      </w:r>
      <w:r w:rsidR="00E84994">
        <w:t xml:space="preserve"> y,</w:t>
      </w:r>
      <w:r w:rsidR="00451485" w:rsidRPr="00A10EEE">
        <w:t xml:space="preserve"> por lo tanto, debía abandonar el país, si no se encontrase en otro supuesto que lo hic</w:t>
      </w:r>
      <w:r w:rsidR="00A10EEE">
        <w:t>iera elegible para continuar en</w:t>
      </w:r>
      <w:r w:rsidR="00451485" w:rsidRPr="00A10EEE">
        <w:t xml:space="preserve"> él</w:t>
      </w:r>
      <w:r w:rsidR="00A10EEE">
        <w:t xml:space="preserve">. Asimismo, </w:t>
      </w:r>
      <w:r w:rsidR="002F385D">
        <w:t xml:space="preserve">determinada la situación </w:t>
      </w:r>
      <w:r w:rsidR="00A10EEE">
        <w:t xml:space="preserve">con la revocación se daba </w:t>
      </w:r>
      <w:r w:rsidR="00451485" w:rsidRPr="00A10EEE">
        <w:t>lugar a</w:t>
      </w:r>
      <w:r w:rsidR="006F5FDB" w:rsidRPr="00A10EEE">
        <w:t xml:space="preserve">l segundo proceso </w:t>
      </w:r>
      <w:r w:rsidR="00451485" w:rsidRPr="00A10EEE">
        <w:t>que podría concluir con su deportación</w:t>
      </w:r>
      <w:r w:rsidR="006F5FDB" w:rsidRPr="00A10EEE">
        <w:t xml:space="preserve"> y expulsión</w:t>
      </w:r>
      <w:r w:rsidR="00451485" w:rsidRPr="00A10EEE">
        <w:t xml:space="preserve">. </w:t>
      </w:r>
    </w:p>
    <w:p w14:paraId="6CCF1C38" w14:textId="77777777" w:rsidR="00117752" w:rsidRPr="00A10EEE" w:rsidRDefault="00117752" w:rsidP="00D81C50">
      <w:pPr>
        <w:pStyle w:val="parrafos"/>
        <w:numPr>
          <w:ilvl w:val="0"/>
          <w:numId w:val="0"/>
        </w:numPr>
      </w:pPr>
    </w:p>
    <w:p w14:paraId="607A71AD" w14:textId="77777777" w:rsidR="00264C12" w:rsidRPr="00A10EEE" w:rsidRDefault="00A815DF" w:rsidP="00D81C50">
      <w:pPr>
        <w:pStyle w:val="parrafos"/>
        <w:ind w:left="0" w:firstLine="0"/>
      </w:pPr>
      <w:r w:rsidRPr="00A10EEE">
        <w:t>En el presente caso, la Comisión observa que la decisión</w:t>
      </w:r>
      <w:r w:rsidR="00844EE6" w:rsidRPr="00A10EEE">
        <w:t xml:space="preserve"> del Consejo Consultivo de Política Criminal, según el acta del </w:t>
      </w:r>
      <w:r w:rsidR="00844EE6" w:rsidRPr="00A10EEE">
        <w:rPr>
          <w:rFonts w:eastAsia="Times New Roman" w:cs="Arial"/>
          <w:bCs/>
          <w:iCs/>
        </w:rPr>
        <w:t>22 de noviembre de 2001, consideró que la conducta de Elías Gattass Sahih era impropia y atentaba contra la paz y tranquilidad familiar y por ende el orden social y comunitario, por lo que ordenó “revocar la visa de inmigrante categoría VI, que tiene el señor Elías Gatas Sahih de nacionalidad libanesa y oficiar a la Policía de Migración para que lo ponga a órdenes del Intendente de Policía y se lleva a cabo el proceso de deportación”</w:t>
      </w:r>
      <w:r w:rsidR="00844EE6" w:rsidRPr="00A10EEE">
        <w:rPr>
          <w:vertAlign w:val="superscript"/>
        </w:rPr>
        <w:footnoteReference w:id="58"/>
      </w:r>
      <w:r w:rsidR="00844EE6" w:rsidRPr="00A10EEE">
        <w:rPr>
          <w:rFonts w:eastAsia="Times New Roman" w:cs="Arial"/>
          <w:bCs/>
          <w:iCs/>
        </w:rPr>
        <w:t>.</w:t>
      </w:r>
      <w:r w:rsidR="00844EE6" w:rsidRPr="00A10EEE">
        <w:t xml:space="preserve"> </w:t>
      </w:r>
    </w:p>
    <w:p w14:paraId="5467D1E3" w14:textId="77777777" w:rsidR="00264C12" w:rsidRPr="00A10EEE" w:rsidRDefault="00264C12" w:rsidP="00D81C50"/>
    <w:p w14:paraId="2DEBDBB7" w14:textId="77777777" w:rsidR="006A6626" w:rsidRPr="00C46471" w:rsidRDefault="00844EE6" w:rsidP="00D81C50">
      <w:pPr>
        <w:pStyle w:val="parrafos"/>
        <w:ind w:left="0" w:firstLine="0"/>
      </w:pPr>
      <w:r w:rsidRPr="00A10EEE">
        <w:t>La CIDH no deja de notar la alta gravedad de las denuncias sobre de violencia intrafamiliar y falsa documentación de la señora Leila Carvajal Erker</w:t>
      </w:r>
      <w:r w:rsidR="006F5FDB" w:rsidRPr="00A10EEE">
        <w:t xml:space="preserve"> y reconoce como fines que pueden ser permisibles el proteger la paz o salvaguardar los derechos de las personas</w:t>
      </w:r>
      <w:r w:rsidRPr="00A10EEE">
        <w:t xml:space="preserve">. </w:t>
      </w:r>
      <w:r w:rsidR="00264C12" w:rsidRPr="00A10EEE">
        <w:t>Sin perjuicio de ello, la Comisión</w:t>
      </w:r>
      <w:r w:rsidRPr="00A10EEE">
        <w:t xml:space="preserve"> </w:t>
      </w:r>
      <w:r w:rsidR="00A815DF" w:rsidRPr="00A10EEE">
        <w:t xml:space="preserve">recuerda que los Estados deben asegurar que los procesos que pueden afectar el estatus jurídico de las personas migrantes que se encuentren en un Estado, además de ser apegados a la ley, no deben ser arbitrarios y por ello, deben de observar también </w:t>
      </w:r>
      <w:r w:rsidR="00A815DF" w:rsidRPr="00C46471">
        <w:t xml:space="preserve">las </w:t>
      </w:r>
      <w:r w:rsidR="001431B2" w:rsidRPr="00C46471">
        <w:t xml:space="preserve">debidas </w:t>
      </w:r>
      <w:r w:rsidR="00A815DF" w:rsidRPr="00C46471">
        <w:t xml:space="preserve">garantías </w:t>
      </w:r>
      <w:r w:rsidR="00096421" w:rsidRPr="00C46471">
        <w:t>y considerar las circunstancias específicas de la persona extranjera</w:t>
      </w:r>
      <w:r w:rsidR="00A10EEE" w:rsidRPr="00C46471">
        <w:t xml:space="preserve"> que </w:t>
      </w:r>
      <w:r w:rsidR="00A10EEE" w:rsidRPr="00C46471">
        <w:lastRenderedPageBreak/>
        <w:t>puede llegar a ser expulsado</w:t>
      </w:r>
      <w:r w:rsidR="00096421" w:rsidRPr="00C46471">
        <w:t xml:space="preserve">, en particular </w:t>
      </w:r>
      <w:r w:rsidR="00A10EEE" w:rsidRPr="00C46471">
        <w:t>para asegurar que no sufran</w:t>
      </w:r>
      <w:r w:rsidR="00096421" w:rsidRPr="00C46471">
        <w:t xml:space="preserve"> injerencias desproporcionadas a sus derechos</w:t>
      </w:r>
      <w:r w:rsidR="00A815DF" w:rsidRPr="00C46471">
        <w:t>.</w:t>
      </w:r>
    </w:p>
    <w:p w14:paraId="4C58C4AF" w14:textId="77777777" w:rsidR="006A6626" w:rsidRPr="00C46471" w:rsidRDefault="006A6626" w:rsidP="00D81C50">
      <w:pPr>
        <w:pStyle w:val="parrafos"/>
        <w:numPr>
          <w:ilvl w:val="0"/>
          <w:numId w:val="0"/>
        </w:numPr>
        <w:tabs>
          <w:tab w:val="clear" w:pos="360"/>
        </w:tabs>
        <w:rPr>
          <w:rFonts w:cs="Tahoma"/>
          <w:color w:val="000000"/>
          <w:lang w:val="es-CO"/>
        </w:rPr>
      </w:pPr>
    </w:p>
    <w:p w14:paraId="047E592D" w14:textId="77777777" w:rsidR="000B0498" w:rsidRPr="00C46471" w:rsidRDefault="006A6626" w:rsidP="001D1A27">
      <w:pPr>
        <w:pStyle w:val="parrafos"/>
        <w:ind w:left="0" w:firstLine="0"/>
        <w:rPr>
          <w:lang w:val="es-CO"/>
        </w:rPr>
      </w:pPr>
      <w:r w:rsidRPr="00C46471">
        <w:rPr>
          <w:lang w:val="es-CO"/>
        </w:rPr>
        <w:t xml:space="preserve">En el caso concreto, la posibilidad de revocar la </w:t>
      </w:r>
      <w:r w:rsidR="00096421" w:rsidRPr="00C46471">
        <w:rPr>
          <w:lang w:val="es-CO"/>
        </w:rPr>
        <w:t xml:space="preserve">visa </w:t>
      </w:r>
      <w:r w:rsidRPr="00C46471">
        <w:rPr>
          <w:lang w:val="es-CO"/>
        </w:rPr>
        <w:t>efectivamente se encuentra en el artículo 7 de la Ley de Migración, que otorga discrecionalidad a la Función Ejecutiva, y por su intermedio, al Consejo Consultivo para decidi</w:t>
      </w:r>
      <w:r w:rsidR="00306442" w:rsidRPr="00C46471">
        <w:rPr>
          <w:lang w:val="es-CO"/>
        </w:rPr>
        <w:t>r sobre la revocatoria de visas. E</w:t>
      </w:r>
      <w:r w:rsidRPr="00C46471">
        <w:rPr>
          <w:lang w:val="es-CO"/>
        </w:rPr>
        <w:t>fectivamente</w:t>
      </w:r>
      <w:r w:rsidR="00306442" w:rsidRPr="00C46471">
        <w:rPr>
          <w:lang w:val="es-CO"/>
        </w:rPr>
        <w:t>,</w:t>
      </w:r>
      <w:r w:rsidRPr="00C46471">
        <w:rPr>
          <w:lang w:val="es-CO"/>
        </w:rPr>
        <w:t xml:space="preserve"> en el proceso del señor Sahih dicho fundamento jurídico fue utilizado para validar el procedimiento por parte del Juez de Amparo</w:t>
      </w:r>
      <w:r w:rsidR="000B0498" w:rsidRPr="00C46471">
        <w:rPr>
          <w:lang w:val="es-CO"/>
        </w:rPr>
        <w:t>, que se fundamentó en dicha fa</w:t>
      </w:r>
      <w:r w:rsidR="001431B2" w:rsidRPr="00C46471">
        <w:rPr>
          <w:lang w:val="es-CO"/>
        </w:rPr>
        <w:t>cultad legal para validar la ac</w:t>
      </w:r>
      <w:r w:rsidR="000B0498" w:rsidRPr="00C46471">
        <w:rPr>
          <w:lang w:val="es-CO"/>
        </w:rPr>
        <w:t>t</w:t>
      </w:r>
      <w:r w:rsidR="001431B2" w:rsidRPr="00C46471">
        <w:rPr>
          <w:lang w:val="es-CO"/>
        </w:rPr>
        <w:t>u</w:t>
      </w:r>
      <w:r w:rsidR="000B0498" w:rsidRPr="00C46471">
        <w:rPr>
          <w:lang w:val="es-CO"/>
        </w:rPr>
        <w:t>ación del Consejo Consultivo sin ind</w:t>
      </w:r>
      <w:r w:rsidR="00AF40E9" w:rsidRPr="00C46471">
        <w:rPr>
          <w:lang w:val="es-CO"/>
        </w:rPr>
        <w:t>a</w:t>
      </w:r>
      <w:r w:rsidR="000B0498" w:rsidRPr="00C46471">
        <w:rPr>
          <w:lang w:val="es-CO"/>
        </w:rPr>
        <w:t>gar e</w:t>
      </w:r>
      <w:r w:rsidR="001431B2" w:rsidRPr="00C46471">
        <w:rPr>
          <w:lang w:val="es-CO"/>
        </w:rPr>
        <w:t>n la motivación de su decisión, la cual se produjo además</w:t>
      </w:r>
      <w:r w:rsidR="000B0498" w:rsidRPr="00C46471">
        <w:rPr>
          <w:lang w:val="es-CO"/>
        </w:rPr>
        <w:t xml:space="preserve"> en </w:t>
      </w:r>
      <w:r w:rsidR="001431B2" w:rsidRPr="00C46471">
        <w:rPr>
          <w:lang w:val="es-CO"/>
        </w:rPr>
        <w:t xml:space="preserve"> </w:t>
      </w:r>
      <w:r w:rsidR="000B0498" w:rsidRPr="00C46471">
        <w:rPr>
          <w:lang w:val="es-CO"/>
        </w:rPr>
        <w:t>ausencia de conocimiento del señor Gattas sobre un proceso de revocatoria de su visa</w:t>
      </w:r>
      <w:r w:rsidRPr="00C46471">
        <w:rPr>
          <w:lang w:val="es-CO"/>
        </w:rPr>
        <w:t xml:space="preserve">. </w:t>
      </w:r>
    </w:p>
    <w:p w14:paraId="7E2FC087" w14:textId="77777777" w:rsidR="000B0498" w:rsidRDefault="000B0498" w:rsidP="00563BDB">
      <w:pPr>
        <w:pStyle w:val="ListParagraph"/>
      </w:pPr>
    </w:p>
    <w:p w14:paraId="08F9E931" w14:textId="77777777" w:rsidR="006A6626" w:rsidRPr="00A10EEE" w:rsidRDefault="00A815DF" w:rsidP="001D1A27">
      <w:pPr>
        <w:pStyle w:val="parrafos"/>
        <w:ind w:left="0" w:firstLine="0"/>
        <w:rPr>
          <w:lang w:val="es-CO"/>
        </w:rPr>
      </w:pPr>
      <w:r w:rsidRPr="00A10EEE">
        <w:rPr>
          <w:lang w:val="es-CO"/>
        </w:rPr>
        <w:t>La Comisión observa que la</w:t>
      </w:r>
      <w:r w:rsidR="006A6626" w:rsidRPr="00A10EEE">
        <w:t xml:space="preserve"> parte peticionaria </w:t>
      </w:r>
      <w:r w:rsidRPr="00A10EEE">
        <w:t>ha cuestionado</w:t>
      </w:r>
      <w:r w:rsidR="006A6626" w:rsidRPr="00A10EEE">
        <w:t xml:space="preserve"> que el artículo 7 de la Ley de Extranjería no cumple con el requisito de legalidad porque la referida Ley fue emitida por un Decreto del Ejecutivo y no por un órgano democráticamente elegido, no obstante, la Comisión considera que las circunstancias especiales que rodearon la promulgación del Decreto Supremo y Ley no son el objeto esencial de discusión en el caso concreto.</w:t>
      </w:r>
      <w:r w:rsidR="006A6626" w:rsidRPr="00A10EEE">
        <w:rPr>
          <w:lang w:val="es-CO"/>
        </w:rPr>
        <w:t xml:space="preserve"> </w:t>
      </w:r>
      <w:r w:rsidRPr="00A10EEE">
        <w:rPr>
          <w:lang w:val="es-CO"/>
        </w:rPr>
        <w:t>La Comisión</w:t>
      </w:r>
      <w:r w:rsidR="006A6626" w:rsidRPr="00A10EEE">
        <w:rPr>
          <w:lang w:val="es-CO"/>
        </w:rPr>
        <w:t xml:space="preserve"> encuentra</w:t>
      </w:r>
      <w:r w:rsidRPr="00A10EEE">
        <w:rPr>
          <w:lang w:val="es-CO"/>
        </w:rPr>
        <w:t xml:space="preserve"> como suficiente constatar</w:t>
      </w:r>
      <w:r w:rsidR="006A6626" w:rsidRPr="00A10EEE">
        <w:rPr>
          <w:lang w:val="es-CO"/>
        </w:rPr>
        <w:t xml:space="preserve"> que la facultad discreciona</w:t>
      </w:r>
      <w:r w:rsidR="0080332F">
        <w:rPr>
          <w:lang w:val="es-CO"/>
        </w:rPr>
        <w:t>l del Consejo Consultivo resultó</w:t>
      </w:r>
      <w:r w:rsidR="006A6626" w:rsidRPr="00A10EEE">
        <w:rPr>
          <w:lang w:val="es-CO"/>
        </w:rPr>
        <w:t xml:space="preserve"> problemática para que </w:t>
      </w:r>
      <w:r w:rsidR="00CE0098">
        <w:rPr>
          <w:lang w:val="es-CO"/>
        </w:rPr>
        <w:t>exist</w:t>
      </w:r>
      <w:r w:rsidR="0080332F">
        <w:rPr>
          <w:lang w:val="es-CO"/>
        </w:rPr>
        <w:t>ier</w:t>
      </w:r>
      <w:r w:rsidR="00CE0098">
        <w:rPr>
          <w:lang w:val="es-CO"/>
        </w:rPr>
        <w:t xml:space="preserve">a la </w:t>
      </w:r>
      <w:r w:rsidR="001431B2">
        <w:rPr>
          <w:lang w:val="es-CO"/>
        </w:rPr>
        <w:t>previsibilidad necesaria</w:t>
      </w:r>
      <w:r w:rsidR="0080332F">
        <w:rPr>
          <w:lang w:val="es-CO"/>
        </w:rPr>
        <w:t xml:space="preserve"> para que la</w:t>
      </w:r>
      <w:r w:rsidR="006A6626" w:rsidRPr="00A10EEE">
        <w:rPr>
          <w:lang w:val="es-CO"/>
        </w:rPr>
        <w:t xml:space="preserve"> p</w:t>
      </w:r>
      <w:r w:rsidR="0080332F">
        <w:rPr>
          <w:lang w:val="es-CO"/>
        </w:rPr>
        <w:t xml:space="preserve">resunta víctima conociera cuándo se le </w:t>
      </w:r>
      <w:r w:rsidR="006A6626" w:rsidRPr="00A10EEE">
        <w:rPr>
          <w:lang w:val="es-CO"/>
        </w:rPr>
        <w:t>podría ser revocada su visa</w:t>
      </w:r>
      <w:r w:rsidRPr="00A10EEE">
        <w:rPr>
          <w:lang w:val="es-CO"/>
        </w:rPr>
        <w:t xml:space="preserve">, en particular, </w:t>
      </w:r>
      <w:r w:rsidR="0080332F">
        <w:rPr>
          <w:lang w:val="es-CO"/>
        </w:rPr>
        <w:t>teniendo en cuenta que</w:t>
      </w:r>
      <w:r w:rsidR="004C4DBD" w:rsidRPr="00A10EEE">
        <w:rPr>
          <w:lang w:val="es-CO"/>
        </w:rPr>
        <w:t xml:space="preserve"> no </w:t>
      </w:r>
      <w:r w:rsidR="00096421" w:rsidRPr="00A10EEE">
        <w:rPr>
          <w:lang w:val="es-CO"/>
        </w:rPr>
        <w:t>contó</w:t>
      </w:r>
      <w:r w:rsidRPr="00A10EEE">
        <w:rPr>
          <w:lang w:val="es-CO"/>
        </w:rPr>
        <w:t xml:space="preserve"> con oportunidad alguna </w:t>
      </w:r>
      <w:r w:rsidR="00306442" w:rsidRPr="00A10EEE">
        <w:rPr>
          <w:lang w:val="es-CO"/>
        </w:rPr>
        <w:t>de que pudiera</w:t>
      </w:r>
      <w:r w:rsidRPr="00A10EEE">
        <w:rPr>
          <w:lang w:val="es-CO"/>
        </w:rPr>
        <w:t xml:space="preserve"> </w:t>
      </w:r>
      <w:r w:rsidR="00096421" w:rsidRPr="00A10EEE">
        <w:rPr>
          <w:lang w:val="es-CO"/>
        </w:rPr>
        <w:t xml:space="preserve">si quiera enterarse del proceso, </w:t>
      </w:r>
      <w:r w:rsidRPr="00A10EEE">
        <w:rPr>
          <w:lang w:val="es-CO"/>
        </w:rPr>
        <w:t>exponer sus argumentos o cuestionar las razones que podrían llevar a la revocación de la visa</w:t>
      </w:r>
      <w:r w:rsidR="006A6626" w:rsidRPr="00A10EEE">
        <w:rPr>
          <w:lang w:val="es-CO"/>
        </w:rPr>
        <w:t xml:space="preserve">. </w:t>
      </w:r>
    </w:p>
    <w:p w14:paraId="7673B0DF" w14:textId="77777777" w:rsidR="004C4DBD" w:rsidRPr="00A10EEE" w:rsidRDefault="004C4DBD" w:rsidP="004C4DBD">
      <w:pPr>
        <w:pStyle w:val="parrafos"/>
        <w:numPr>
          <w:ilvl w:val="0"/>
          <w:numId w:val="0"/>
        </w:numPr>
      </w:pPr>
    </w:p>
    <w:p w14:paraId="4F55646E" w14:textId="77777777" w:rsidR="006A6626" w:rsidRPr="00A10EEE" w:rsidRDefault="006A6626" w:rsidP="00D81C50">
      <w:pPr>
        <w:pStyle w:val="parrafos"/>
        <w:ind w:left="0" w:firstLine="0"/>
      </w:pPr>
      <w:r w:rsidRPr="00A10EEE">
        <w:rPr>
          <w:rFonts w:eastAsia="Times New Roman" w:cs="Arial"/>
          <w:bCs/>
          <w:iCs/>
        </w:rPr>
        <w:t>Como se ha indicado, los procesos migratorios que podrían llevar a decisiones de expulsión de un extranjero deben cumplir con las garantías procesales, pues de conformidad con el artículo 22.6 de la Convención</w:t>
      </w:r>
      <w:r w:rsidR="00843076" w:rsidRPr="00A10EEE">
        <w:rPr>
          <w:rFonts w:eastAsia="Times New Roman" w:cs="Arial"/>
          <w:bCs/>
          <w:iCs/>
        </w:rPr>
        <w:t>,</w:t>
      </w:r>
      <w:r w:rsidRPr="00A10EEE">
        <w:rPr>
          <w:rFonts w:eastAsia="Times New Roman" w:cs="Arial"/>
          <w:bCs/>
          <w:iCs/>
        </w:rPr>
        <w:t xml:space="preserve"> </w:t>
      </w:r>
      <w:r w:rsidRPr="00A10EEE">
        <w:rPr>
          <w:rFonts w:cs="Tahoma"/>
          <w:color w:val="000000"/>
          <w:lang w:val="es-CO"/>
        </w:rPr>
        <w:t xml:space="preserve">aunque el citado artículo se refiere literalmente a las garantías para la expulsión de un extranjero “que se halle legalmente” en el territorio, </w:t>
      </w:r>
      <w:r w:rsidR="004C4DBD" w:rsidRPr="00A10EEE">
        <w:rPr>
          <w:rFonts w:cs="Tahoma"/>
          <w:color w:val="000000"/>
          <w:lang w:val="es-CO"/>
        </w:rPr>
        <w:t>el</w:t>
      </w:r>
      <w:r w:rsidRPr="00A10EEE">
        <w:rPr>
          <w:rFonts w:cs="Tahoma"/>
          <w:color w:val="000000"/>
          <w:lang w:val="es-CO"/>
        </w:rPr>
        <w:t xml:space="preserve"> proceso</w:t>
      </w:r>
      <w:r w:rsidR="004C4DBD" w:rsidRPr="00A10EEE">
        <w:rPr>
          <w:rFonts w:cs="Tahoma"/>
          <w:color w:val="000000"/>
          <w:lang w:val="es-CO"/>
        </w:rPr>
        <w:t xml:space="preserve"> de revocatoria tendría por objeto</w:t>
      </w:r>
      <w:r w:rsidRPr="00A10EEE">
        <w:rPr>
          <w:rFonts w:cs="Tahoma"/>
          <w:color w:val="000000"/>
          <w:lang w:val="es-CO"/>
        </w:rPr>
        <w:t xml:space="preserve"> controvertir dicha legalidad y ordenar su expulsión.</w:t>
      </w:r>
      <w:r w:rsidRPr="00A10EEE">
        <w:rPr>
          <w:lang w:val="es-CO"/>
        </w:rPr>
        <w:t xml:space="preserve"> </w:t>
      </w:r>
      <w:r w:rsidR="00A815DF" w:rsidRPr="00A10EEE">
        <w:rPr>
          <w:lang w:val="es-CO"/>
        </w:rPr>
        <w:t>Igualmente</w:t>
      </w:r>
      <w:r w:rsidRPr="00A10EEE">
        <w:rPr>
          <w:lang w:val="es-CO"/>
        </w:rPr>
        <w:t xml:space="preserve">, la Comisión destaca que dichas garantías </w:t>
      </w:r>
      <w:r w:rsidRPr="00A10EEE">
        <w:rPr>
          <w:rFonts w:eastAsia="Times New Roman" w:cs="Arial"/>
          <w:bCs/>
          <w:iCs/>
        </w:rPr>
        <w:t>permiten analizar el impacto en los derechos del procesado para evitar que existan injerencias arbitrarias el disfrute de sus derechos.</w:t>
      </w:r>
    </w:p>
    <w:p w14:paraId="19FAAEE6" w14:textId="77777777" w:rsidR="00A815DF" w:rsidRPr="00A10EEE" w:rsidRDefault="00A815DF" w:rsidP="00225359">
      <w:pPr>
        <w:ind w:left="720"/>
      </w:pPr>
    </w:p>
    <w:p w14:paraId="4114665A" w14:textId="77777777" w:rsidR="004C4DBD" w:rsidRPr="00A10EEE" w:rsidRDefault="00A815DF" w:rsidP="004C4DBD">
      <w:pPr>
        <w:pStyle w:val="parrafos"/>
        <w:ind w:left="0" w:firstLine="0"/>
      </w:pPr>
      <w:r w:rsidRPr="00A10EEE">
        <w:t>La Comisión encuentra que el proceso administrativo de revocatoria de visa de inmigrante se desarrolló sin conocimiento del señor Elías Gattass Sahih. Inició con una solicitud presentada por su cónyuge, que nunca fue notificada, ni enviada formalmente al señor Sahih. No se le puso en conocimiento su c</w:t>
      </w:r>
      <w:r w:rsidR="001431B2">
        <w:t>ontenido, ni su existencia misma.</w:t>
      </w:r>
      <w:r w:rsidRPr="00A10EEE">
        <w:t xml:space="preserve"> Tampoco se le comunicó que el Consejo Consultivo de Política Migratoria estaba considerando revocar su visa de inmigrante VI. Únicamente tuvo conocimiento de la decisión que se produjo como conclusión del proceso administrativo. </w:t>
      </w:r>
      <w:r w:rsidR="004C4DBD" w:rsidRPr="00A10EEE">
        <w:rPr>
          <w:rFonts w:eastAsia="Times New Roman" w:cs="Arial"/>
          <w:bCs/>
          <w:iCs/>
        </w:rPr>
        <w:t xml:space="preserve">La Comisión observa asimismo </w:t>
      </w:r>
      <w:r w:rsidR="002F385D" w:rsidRPr="00A10EEE">
        <w:rPr>
          <w:rFonts w:eastAsia="Times New Roman" w:cs="Arial"/>
          <w:bCs/>
          <w:iCs/>
        </w:rPr>
        <w:t>que,</w:t>
      </w:r>
      <w:r w:rsidR="004C4DBD" w:rsidRPr="00A10EEE">
        <w:rPr>
          <w:rFonts w:eastAsia="Times New Roman" w:cs="Arial"/>
          <w:bCs/>
          <w:iCs/>
        </w:rPr>
        <w:t xml:space="preserve"> al no existir tales oportunidades, no se valoraron las circunstancias específicas del señor </w:t>
      </w:r>
      <w:r w:rsidR="00F80A26" w:rsidRPr="00A10EEE">
        <w:rPr>
          <w:rFonts w:eastAsia="Times New Roman" w:cs="Arial"/>
          <w:bCs/>
          <w:iCs/>
        </w:rPr>
        <w:t>Gattas Sahih</w:t>
      </w:r>
      <w:r w:rsidR="004C4DBD" w:rsidRPr="00A10EEE">
        <w:rPr>
          <w:rFonts w:eastAsia="Times New Roman" w:cs="Arial"/>
          <w:bCs/>
          <w:iCs/>
        </w:rPr>
        <w:t xml:space="preserve">, </w:t>
      </w:r>
      <w:r w:rsidR="004C4DBD" w:rsidRPr="00A10EEE">
        <w:t>teniendo en cuenta por ejemplo, que hace varios años vivía en Ecuador y tenía una hija en territorio ecuatoriano de sólo dos años, a la cual le debía alimentos.</w:t>
      </w:r>
      <w:r w:rsidR="00356254">
        <w:t xml:space="preserve"> </w:t>
      </w:r>
    </w:p>
    <w:p w14:paraId="46A75865" w14:textId="77777777" w:rsidR="004C4DBD" w:rsidRPr="00A10EEE" w:rsidRDefault="004C4DBD" w:rsidP="004C4DBD">
      <w:pPr>
        <w:pStyle w:val="parrafos"/>
        <w:numPr>
          <w:ilvl w:val="0"/>
          <w:numId w:val="0"/>
        </w:numPr>
      </w:pPr>
    </w:p>
    <w:p w14:paraId="1CF70265" w14:textId="77777777" w:rsidR="00A815DF" w:rsidRPr="00A10EEE" w:rsidRDefault="00A815DF" w:rsidP="009C1564">
      <w:pPr>
        <w:pStyle w:val="parrafos"/>
        <w:ind w:left="0" w:firstLine="0"/>
      </w:pPr>
      <w:r w:rsidRPr="00A10EEE">
        <w:t xml:space="preserve">En relación con el argumento estatal que indica que a través del proceso de deportación aspectos como los indicados podrían ser adecuadamente valorados, la </w:t>
      </w:r>
      <w:r w:rsidR="00306442" w:rsidRPr="00A10EEE">
        <w:t xml:space="preserve">Comisión </w:t>
      </w:r>
      <w:r w:rsidRPr="00A10EEE">
        <w:t xml:space="preserve">observa que en el marco del proceso de deportación estaba prevista una audiencia pública en la que el procesado tenía la oportunidad de exponer pruebas y controvertir las decisiones. La CIDH considera que si bien ello está previsto en la Ley como efectivamente señala el Estado, dicha etapa procesal corresponde </w:t>
      </w:r>
      <w:r w:rsidR="009C1564" w:rsidRPr="00A10EEE">
        <w:t>el proceso tenía el fin d</w:t>
      </w:r>
      <w:r w:rsidRPr="00A10EEE">
        <w:t xml:space="preserve">e deportación </w:t>
      </w:r>
      <w:r w:rsidR="009C1564" w:rsidRPr="00A10EEE">
        <w:t xml:space="preserve">y era </w:t>
      </w:r>
      <w:r w:rsidRPr="00A10EEE">
        <w:t>tramitado por una autoridad diferente al Consejo Consultivo que revocó la visa de inmigrante</w:t>
      </w:r>
      <w:r w:rsidR="009C1564" w:rsidRPr="00A10EEE">
        <w:t>, la cual tenía efectos jurídicos propios, co</w:t>
      </w:r>
      <w:r w:rsidRPr="00A10EEE">
        <w:t xml:space="preserve">nllevando la necesidad de abandonar el país o ser deportado.  En ese sentido, no encuentra la Comisión que la posibilidad de defensa ante el Intendente que conoce de la acción de deportación sea una oportunidad de defensa efectiva de los cargos contra el migrante que se presentan ante el Consejo Consultivo de Política Criminal. </w:t>
      </w:r>
    </w:p>
    <w:p w14:paraId="4B239F27" w14:textId="77777777" w:rsidR="00844EE6" w:rsidRPr="00A10EEE" w:rsidRDefault="00844EE6" w:rsidP="00D81C50">
      <w:pPr>
        <w:pStyle w:val="parrafos"/>
        <w:numPr>
          <w:ilvl w:val="0"/>
          <w:numId w:val="0"/>
        </w:numPr>
        <w:rPr>
          <w:rFonts w:eastAsia="Times New Roman"/>
        </w:rPr>
      </w:pPr>
    </w:p>
    <w:p w14:paraId="309D796E" w14:textId="77777777" w:rsidR="00807F46" w:rsidRPr="00C46471" w:rsidRDefault="00844EE6" w:rsidP="00096421">
      <w:pPr>
        <w:pStyle w:val="parrafos"/>
        <w:ind w:left="0" w:firstLine="0"/>
      </w:pPr>
      <w:r w:rsidRPr="00A10EEE">
        <w:t xml:space="preserve">Además, la Comisión observa que los recursos judiciales interpuestos en el caso concreto no fueron efectivos para hacer cesar las violaciones al debido proceso ocurridas en el marco del proceso de revocatoria de visa porque los jueces de amparo que conocieron de dichas alegaciones validaron el trámite </w:t>
      </w:r>
      <w:r w:rsidR="00306442" w:rsidRPr="00A10EEE">
        <w:t>porque estaba</w:t>
      </w:r>
      <w:r w:rsidRPr="00A10EEE">
        <w:t xml:space="preserve"> ajustado a la Ley. </w:t>
      </w:r>
      <w:r w:rsidR="00CF63A3" w:rsidRPr="00A10EEE">
        <w:t>Si bien inicialmente el Juez de Amparo ordenó la suspensión de</w:t>
      </w:r>
      <w:r w:rsidR="00252189" w:rsidRPr="00A10EEE">
        <w:t xml:space="preserve">l acto de revocatoria de visa de inmigrante y posteriores, lo que </w:t>
      </w:r>
      <w:r w:rsidR="00252189" w:rsidRPr="00C46471">
        <w:t xml:space="preserve">llevó incluso a la puesta en libertad del señor Sahih, en su decisión final, el </w:t>
      </w:r>
      <w:r w:rsidR="00252189" w:rsidRPr="00C46471">
        <w:lastRenderedPageBreak/>
        <w:t xml:space="preserve">Juez no ordenó la protección de ningún derecho del señor Sahih porque consideró ajustado a la ley el procedimiento llevado a cabo por las autoridades ecuatorianas. </w:t>
      </w:r>
      <w:r w:rsidR="00AF40E9" w:rsidRPr="00C46471">
        <w:t>En ese sentido, observa la Comisión</w:t>
      </w:r>
      <w:r w:rsidR="001431B2" w:rsidRPr="00C46471">
        <w:t xml:space="preserve"> que el Juez de Amparo no se pro</w:t>
      </w:r>
      <w:r w:rsidR="00AF40E9" w:rsidRPr="00C46471">
        <w:t xml:space="preserve">nunció sobre la motivación de la decisión del Consejo Consultivo, ni sobre las garantías reclamadas por el señor Gattass para ser oído en el proceso y conocer las acusaciones en su contra que derivaron en la revocatoria de su visa. </w:t>
      </w:r>
    </w:p>
    <w:p w14:paraId="244837C5" w14:textId="77777777" w:rsidR="00096421" w:rsidRPr="00A10EEE" w:rsidRDefault="00096421" w:rsidP="00D81C50">
      <w:pPr>
        <w:pStyle w:val="parrafos"/>
        <w:numPr>
          <w:ilvl w:val="0"/>
          <w:numId w:val="0"/>
        </w:numPr>
        <w:rPr>
          <w:rFonts w:eastAsia="Times New Roman"/>
        </w:rPr>
      </w:pPr>
    </w:p>
    <w:p w14:paraId="01904CFF" w14:textId="77777777" w:rsidR="00844EE6" w:rsidRPr="00A10EEE" w:rsidRDefault="00844EE6" w:rsidP="00D81C50">
      <w:pPr>
        <w:pStyle w:val="parrafos"/>
        <w:ind w:left="0" w:firstLine="0"/>
        <w:rPr>
          <w:lang w:val="es-CO"/>
        </w:rPr>
      </w:pPr>
      <w:r w:rsidRPr="00A10EEE">
        <w:rPr>
          <w:rFonts w:eastAsia="Times New Roman"/>
        </w:rPr>
        <w:t xml:space="preserve">En conclusión, se observa que la actuación del Consejo Consultivo de Política Criminal que ordenó revocar la visa de inmigrante VI del señor Elías Gattass Sahih no respetó </w:t>
      </w:r>
      <w:r w:rsidR="00C53659" w:rsidRPr="00A10EEE">
        <w:rPr>
          <w:rFonts w:eastAsia="Times New Roman"/>
        </w:rPr>
        <w:t>las garantías que debían de observarse en este tipo de procesos, de tal forma que no se realizó un mínimo análisis de su situación individual y la manera en que sus derechos podrían ser afectados mediante la revocatoria de la visa y l</w:t>
      </w:r>
      <w:r w:rsidR="00807F46">
        <w:rPr>
          <w:rFonts w:eastAsia="Times New Roman"/>
        </w:rPr>
        <w:t xml:space="preserve">os efectos que ello podría tener, como una eventual </w:t>
      </w:r>
      <w:r w:rsidR="00C53659" w:rsidRPr="00A10EEE">
        <w:rPr>
          <w:rFonts w:eastAsia="Times New Roman"/>
        </w:rPr>
        <w:t xml:space="preserve">expulsión. Asimismo, </w:t>
      </w:r>
      <w:r w:rsidR="00C53659" w:rsidRPr="00A10EEE">
        <w:t>el señor Sahih no contó con un recurso efectivo que proteg</w:t>
      </w:r>
      <w:r w:rsidR="004C4DBD" w:rsidRPr="00A10EEE">
        <w:t>iera sus derechos, al convalidar</w:t>
      </w:r>
      <w:r w:rsidR="00C53659" w:rsidRPr="00A10EEE">
        <w:t xml:space="preserve"> el carácter discrecional del Consejo para tomar estas decisiones en ausencia de la observancia de los aspectos antes indicados. Por lo tanto, </w:t>
      </w:r>
      <w:r w:rsidR="00C53659" w:rsidRPr="00A10EEE">
        <w:rPr>
          <w:rFonts w:eastAsia="Times New Roman"/>
        </w:rPr>
        <w:t>la Comisión concluye que el Estado violó los artículos 8</w:t>
      </w:r>
      <w:r w:rsidR="0055013C">
        <w:rPr>
          <w:rFonts w:eastAsia="Times New Roman"/>
        </w:rPr>
        <w:t>.1</w:t>
      </w:r>
      <w:r w:rsidR="00C53659" w:rsidRPr="00A10EEE">
        <w:rPr>
          <w:rFonts w:eastAsia="Times New Roman"/>
        </w:rPr>
        <w:t xml:space="preserve">, </w:t>
      </w:r>
      <w:r w:rsidR="00602386" w:rsidRPr="00A10EEE">
        <w:rPr>
          <w:rFonts w:eastAsia="Times New Roman"/>
        </w:rPr>
        <w:t xml:space="preserve"> </w:t>
      </w:r>
      <w:r w:rsidR="00C53659" w:rsidRPr="00A10EEE">
        <w:rPr>
          <w:rFonts w:eastAsia="Times New Roman"/>
        </w:rPr>
        <w:t>22.1, 22.3, 22.6 y 25 de la Convención Americana en relación con los artículos 1 y 2 del mismo instrumento.</w:t>
      </w:r>
    </w:p>
    <w:p w14:paraId="17E6909B" w14:textId="77777777" w:rsidR="008B4867" w:rsidRPr="00A10EEE" w:rsidRDefault="008B4867" w:rsidP="00D81C50">
      <w:pPr>
        <w:pStyle w:val="parrafos"/>
        <w:numPr>
          <w:ilvl w:val="0"/>
          <w:numId w:val="0"/>
        </w:numPr>
      </w:pPr>
    </w:p>
    <w:p w14:paraId="0346461B" w14:textId="77777777" w:rsidR="00AA384A" w:rsidRPr="00A10EEE" w:rsidRDefault="00AA384A" w:rsidP="00845DB1">
      <w:pPr>
        <w:pStyle w:val="Heading2"/>
        <w:numPr>
          <w:ilvl w:val="0"/>
          <w:numId w:val="59"/>
        </w:numPr>
      </w:pPr>
      <w:bookmarkStart w:id="16" w:name="_Toc39489218"/>
      <w:r w:rsidRPr="00A10EEE">
        <w:t>Derecho a la libertad personal y garantías procesales como la notificación consular (artículos 7</w:t>
      </w:r>
      <w:r w:rsidRPr="00A10EEE">
        <w:rPr>
          <w:rStyle w:val="FootnoteReference"/>
        </w:rPr>
        <w:footnoteReference w:id="59"/>
      </w:r>
      <w:r w:rsidRPr="00A10EEE">
        <w:t xml:space="preserve"> </w:t>
      </w:r>
      <w:r w:rsidR="009A6983" w:rsidRPr="00A10EEE">
        <w:t xml:space="preserve">y </w:t>
      </w:r>
      <w:r w:rsidR="009F08E2" w:rsidRPr="00A10EEE">
        <w:t>8</w:t>
      </w:r>
      <w:r w:rsidRPr="00A10EEE">
        <w:t xml:space="preserve"> de la Convención) en el marco de los procesos administrativos de revocación de visas y la acción penal de deportación.</w:t>
      </w:r>
      <w:bookmarkEnd w:id="16"/>
    </w:p>
    <w:p w14:paraId="39FC36D7" w14:textId="77777777" w:rsidR="00B56145" w:rsidRPr="00A10EEE" w:rsidRDefault="00B56145" w:rsidP="00D81C50">
      <w:pPr>
        <w:rPr>
          <w:rFonts w:asciiTheme="majorHAnsi" w:hAnsiTheme="majorHAnsi"/>
          <w:sz w:val="20"/>
          <w:szCs w:val="20"/>
        </w:rPr>
      </w:pPr>
    </w:p>
    <w:p w14:paraId="1BD09AB5" w14:textId="77777777" w:rsidR="00B56145" w:rsidRPr="00A10EEE" w:rsidRDefault="00B56145" w:rsidP="00845DB1">
      <w:pPr>
        <w:pStyle w:val="Heading3"/>
        <w:numPr>
          <w:ilvl w:val="0"/>
          <w:numId w:val="60"/>
        </w:numPr>
        <w:jc w:val="both"/>
        <w:rPr>
          <w:szCs w:val="20"/>
          <w:lang w:val="es-US"/>
        </w:rPr>
      </w:pPr>
      <w:bookmarkStart w:id="17" w:name="_Toc39489219"/>
      <w:r w:rsidRPr="00A10EEE">
        <w:rPr>
          <w:szCs w:val="20"/>
          <w:lang w:val="es-US"/>
        </w:rPr>
        <w:t>Consideraciones generales sobre libertad personal</w:t>
      </w:r>
      <w:r w:rsidR="005118A4" w:rsidRPr="00A10EEE">
        <w:rPr>
          <w:szCs w:val="20"/>
          <w:lang w:val="es-US"/>
        </w:rPr>
        <w:t xml:space="preserve"> </w:t>
      </w:r>
      <w:r w:rsidRPr="00A10EEE">
        <w:rPr>
          <w:szCs w:val="20"/>
          <w:lang w:val="es-US"/>
        </w:rPr>
        <w:t xml:space="preserve">en procesos </w:t>
      </w:r>
      <w:r w:rsidR="005118A4" w:rsidRPr="00A10EEE">
        <w:rPr>
          <w:szCs w:val="20"/>
          <w:lang w:val="es-US"/>
        </w:rPr>
        <w:t>contra migrantes (artículo 7 de la Convención Americana)</w:t>
      </w:r>
      <w:r w:rsidR="005226CD" w:rsidRPr="00A10EEE">
        <w:rPr>
          <w:szCs w:val="20"/>
          <w:lang w:val="es-US"/>
        </w:rPr>
        <w:t xml:space="preserve"> y asistencia consular (artículo 8 de la Convención)</w:t>
      </w:r>
      <w:r w:rsidRPr="00A10EEE">
        <w:rPr>
          <w:szCs w:val="20"/>
          <w:lang w:val="es-US"/>
        </w:rPr>
        <w:t>.</w:t>
      </w:r>
      <w:bookmarkEnd w:id="17"/>
    </w:p>
    <w:p w14:paraId="2CCBD438" w14:textId="77777777" w:rsidR="00006896" w:rsidRPr="00A10EEE" w:rsidRDefault="00006896" w:rsidP="00D81C50">
      <w:pPr>
        <w:tabs>
          <w:tab w:val="left" w:pos="720"/>
          <w:tab w:val="left" w:pos="1440"/>
        </w:tabs>
        <w:jc w:val="both"/>
        <w:rPr>
          <w:rFonts w:asciiTheme="majorHAnsi" w:hAnsiTheme="majorHAnsi"/>
          <w:sz w:val="20"/>
          <w:szCs w:val="20"/>
        </w:rPr>
      </w:pPr>
    </w:p>
    <w:p w14:paraId="2299203E" w14:textId="77777777" w:rsidR="007D1F49" w:rsidRPr="00A10EEE" w:rsidRDefault="00AB6298" w:rsidP="00D81C50">
      <w:pPr>
        <w:pStyle w:val="parrafos"/>
        <w:ind w:left="0" w:firstLine="0"/>
        <w:rPr>
          <w:b/>
        </w:rPr>
      </w:pPr>
      <w:r w:rsidRPr="00A10EEE">
        <w:t xml:space="preserve">La Comisión ha enfatizado que los migrantes en condiciones irregulares no son criminales y que “la violación de leyes migratorias nunca puede ser </w:t>
      </w:r>
      <w:r w:rsidRPr="00A10EEE">
        <w:rPr>
          <w:i/>
        </w:rPr>
        <w:t xml:space="preserve">per se </w:t>
      </w:r>
      <w:r w:rsidRPr="00A10EEE">
        <w:t>equiparable a la violación de las leyes penales, como para que la primera respuesta que den los Estados frente a la migración irregular sea la detención”</w:t>
      </w:r>
      <w:r w:rsidRPr="00A10EEE">
        <w:rPr>
          <w:rStyle w:val="FootnoteReference"/>
          <w:lang w:val="es-CO"/>
        </w:rPr>
        <w:footnoteReference w:id="60"/>
      </w:r>
      <w:r w:rsidRPr="00A10EEE">
        <w:t xml:space="preserve">. La Corte IDH ha </w:t>
      </w:r>
      <w:r w:rsidRPr="00A10EEE">
        <w:rPr>
          <w:color w:val="000000"/>
        </w:rPr>
        <w:t>señalado</w:t>
      </w:r>
      <w:r w:rsidRPr="00A10EEE">
        <w:t xml:space="preserve"> que las detenciones por incumplir las leyes migratorias no pueden tener fines punitivos y únicamente son respetuosas de la Convención si son necesarias y proporcionadas en relación con el fin legítimo de controlar la permanencia de personas extranjeras en el Estado y garantizar su comparecencia en el proceso de deportación</w:t>
      </w:r>
      <w:r w:rsidRPr="00A10EEE">
        <w:rPr>
          <w:rStyle w:val="FootnoteReference"/>
          <w:lang w:val="es-CO"/>
        </w:rPr>
        <w:footnoteReference w:id="61"/>
      </w:r>
      <w:r w:rsidRPr="00A10EEE">
        <w:t xml:space="preserve">. </w:t>
      </w:r>
    </w:p>
    <w:p w14:paraId="6776B154" w14:textId="77777777" w:rsidR="007D1F49" w:rsidRPr="00A10EEE" w:rsidRDefault="007D1F49" w:rsidP="00D81C50">
      <w:pPr>
        <w:pStyle w:val="parrafos"/>
        <w:numPr>
          <w:ilvl w:val="0"/>
          <w:numId w:val="0"/>
        </w:numPr>
        <w:rPr>
          <w:lang w:val="es-CO"/>
        </w:rPr>
      </w:pPr>
    </w:p>
    <w:p w14:paraId="4F7DD64E" w14:textId="77777777" w:rsidR="0040372E" w:rsidRPr="00A10EEE" w:rsidRDefault="0040372E" w:rsidP="00D81C50">
      <w:pPr>
        <w:pStyle w:val="parrafos"/>
        <w:ind w:left="0" w:firstLine="0"/>
        <w:rPr>
          <w:b/>
        </w:rPr>
      </w:pPr>
      <w:r w:rsidRPr="00A10EEE">
        <w:rPr>
          <w:lang w:val="es-CO"/>
        </w:rPr>
        <w:t xml:space="preserve">De </w:t>
      </w:r>
      <w:r w:rsidRPr="00A10EEE">
        <w:rPr>
          <w:color w:val="000000"/>
          <w:lang w:val="es-CO"/>
        </w:rPr>
        <w:t>acuerdo</w:t>
      </w:r>
      <w:r w:rsidRPr="00A10EEE">
        <w:rPr>
          <w:lang w:val="es-CO"/>
        </w:rPr>
        <w:t xml:space="preserve"> con el </w:t>
      </w:r>
      <w:r w:rsidRPr="00A10EEE">
        <w:rPr>
          <w:i/>
          <w:iCs/>
          <w:lang w:val="es-CO"/>
        </w:rPr>
        <w:t xml:space="preserve">Informe </w:t>
      </w:r>
      <w:r w:rsidRPr="00A10EEE">
        <w:rPr>
          <w:i/>
          <w:lang w:val="es-CO"/>
        </w:rPr>
        <w:t>Movilidad Humana</w:t>
      </w:r>
      <w:r w:rsidRPr="00A10EEE">
        <w:rPr>
          <w:lang w:val="es-CO"/>
        </w:rPr>
        <w:t>, los parámetros fijados por los órganos del sistema interamericano sobre detención migratoria son los siguientes:</w:t>
      </w:r>
    </w:p>
    <w:p w14:paraId="299352AB" w14:textId="77777777" w:rsidR="0040372E" w:rsidRPr="00A10EEE" w:rsidRDefault="0040372E" w:rsidP="00D81C50">
      <w:pPr>
        <w:pStyle w:val="parrafos"/>
        <w:numPr>
          <w:ilvl w:val="0"/>
          <w:numId w:val="0"/>
        </w:numPr>
        <w:ind w:left="360"/>
        <w:rPr>
          <w:lang w:val="es-CO"/>
        </w:rPr>
      </w:pPr>
    </w:p>
    <w:p w14:paraId="13D725EB" w14:textId="77777777" w:rsidR="0040372E" w:rsidRPr="00F71A46" w:rsidRDefault="0055013C" w:rsidP="00F71A46">
      <w:pPr>
        <w:ind w:left="567" w:right="571"/>
        <w:jc w:val="both"/>
        <w:rPr>
          <w:rFonts w:asciiTheme="majorHAnsi" w:hAnsiTheme="majorHAnsi"/>
          <w:sz w:val="18"/>
          <w:szCs w:val="18"/>
        </w:rPr>
      </w:pPr>
      <w:r w:rsidRPr="00F71A46">
        <w:rPr>
          <w:rFonts w:asciiTheme="majorHAnsi" w:hAnsiTheme="majorHAnsi"/>
          <w:sz w:val="18"/>
          <w:szCs w:val="18"/>
        </w:rPr>
        <w:t>“</w:t>
      </w:r>
      <w:r w:rsidR="0040372E" w:rsidRPr="00F71A46">
        <w:rPr>
          <w:rFonts w:asciiTheme="majorHAnsi" w:hAnsiTheme="majorHAnsi"/>
          <w:sz w:val="18"/>
          <w:szCs w:val="18"/>
        </w:rPr>
        <w:t xml:space="preserve">i) [L]a detención migratoria debe ser la excepción y no la regla; ii) el hecho de que un migrante se encuentre en situación irregular no constituye per se razón suficiente para decretar la detención migratoria de una persona, bajo la presunción de que esta no cumplirá con los fines legítimos del proceso; iii) los fines legítimos y permisibles de la detención migratoria deben tener carácter procesal, tales como asegurar la comparecencia del migrante al procedimiento de determinación de su situación migratoria o para garantizar la aplicación de una orden de deportación; iv) aun cuando hubiera fines procesales, se requiere que la detención migratoria sea absolutamente necesaria y proporcional, en el sentido de que no existan otros medios menos gravosos para lograr el fin procesal que se persigue y que no se afecte desproporcionadamente la libertad personal; v) todos los aspectos anteriores requieren una motivación </w:t>
      </w:r>
      <w:r w:rsidR="0040372E" w:rsidRPr="00F71A46">
        <w:rPr>
          <w:rFonts w:asciiTheme="majorHAnsi" w:hAnsiTheme="majorHAnsi"/>
          <w:sz w:val="18"/>
          <w:szCs w:val="18"/>
        </w:rPr>
        <w:lastRenderedPageBreak/>
        <w:t>individualizada que no puede tener como sustento presunciones; vi) la detención migratoria debe decretarse por el menor tiempo que proceda para cumplir el fin procesal, lo que a su vez implica una revisión periódica de los elementos que dieron lugar a la detención; y vii) el mantenimiento de la detención migratoria por un plazo irrazonable hace que la detención devenga en arbitraria</w:t>
      </w:r>
      <w:r w:rsidRPr="00F71A46">
        <w:rPr>
          <w:rFonts w:asciiTheme="majorHAnsi" w:hAnsiTheme="majorHAnsi"/>
          <w:sz w:val="18"/>
          <w:szCs w:val="18"/>
        </w:rPr>
        <w:t>”</w:t>
      </w:r>
      <w:r w:rsidR="0040372E" w:rsidRPr="00F71A46">
        <w:rPr>
          <w:rFonts w:asciiTheme="majorHAnsi" w:hAnsiTheme="majorHAnsi"/>
          <w:sz w:val="18"/>
          <w:szCs w:val="18"/>
          <w:vertAlign w:val="superscript"/>
        </w:rPr>
        <w:footnoteReference w:id="62"/>
      </w:r>
      <w:r w:rsidR="0040372E" w:rsidRPr="00F71A46">
        <w:rPr>
          <w:rFonts w:asciiTheme="majorHAnsi" w:hAnsiTheme="majorHAnsi"/>
          <w:sz w:val="18"/>
          <w:szCs w:val="18"/>
        </w:rPr>
        <w:t xml:space="preserve">. </w:t>
      </w:r>
    </w:p>
    <w:p w14:paraId="3FD659E6" w14:textId="77777777" w:rsidR="0040372E" w:rsidRPr="00A10EEE" w:rsidRDefault="0040372E" w:rsidP="00D81C50">
      <w:pPr>
        <w:pStyle w:val="parrafos"/>
        <w:numPr>
          <w:ilvl w:val="0"/>
          <w:numId w:val="0"/>
        </w:numPr>
        <w:ind w:left="360"/>
        <w:rPr>
          <w:lang w:val="es-CO"/>
        </w:rPr>
      </w:pPr>
    </w:p>
    <w:p w14:paraId="1D43A8DE" w14:textId="77777777" w:rsidR="007C71E1" w:rsidRPr="00563BDB" w:rsidRDefault="0040372E" w:rsidP="00D81C50">
      <w:pPr>
        <w:pStyle w:val="parrafos"/>
        <w:ind w:left="0" w:firstLine="0"/>
        <w:rPr>
          <w:color w:val="548DD4" w:themeColor="text2" w:themeTint="99"/>
        </w:rPr>
      </w:pPr>
      <w:r w:rsidRPr="00A10EEE">
        <w:t xml:space="preserve">A partir de ello la CIDH ha considerado que los procesos migratorios deben, </w:t>
      </w:r>
      <w:r w:rsidRPr="00A10EEE">
        <w:rPr>
          <w:i/>
        </w:rPr>
        <w:t>inter alia</w:t>
      </w:r>
      <w:r w:rsidRPr="00A10EEE">
        <w:t xml:space="preserve">, contar con las siguientes </w:t>
      </w:r>
      <w:r w:rsidR="00642261" w:rsidRPr="00A10EEE">
        <w:t>garantías procesales mínimas, como el d</w:t>
      </w:r>
      <w:r w:rsidRPr="00A10EEE">
        <w:t>erecho a recibir una comunicación previa y detallada del procedimiento para la determinación de su situación jurídica</w:t>
      </w:r>
      <w:r w:rsidR="006A4802" w:rsidRPr="00A10EEE">
        <w:t xml:space="preserve">. </w:t>
      </w:r>
    </w:p>
    <w:p w14:paraId="47B21E18" w14:textId="77777777" w:rsidR="00563BDB" w:rsidRPr="00563BDB" w:rsidRDefault="00563BDB" w:rsidP="00563BDB">
      <w:pPr>
        <w:pStyle w:val="parrafos"/>
        <w:numPr>
          <w:ilvl w:val="0"/>
          <w:numId w:val="0"/>
        </w:numPr>
        <w:rPr>
          <w:color w:val="548DD4" w:themeColor="text2" w:themeTint="99"/>
        </w:rPr>
      </w:pPr>
    </w:p>
    <w:p w14:paraId="17396992" w14:textId="77777777" w:rsidR="00563BDB" w:rsidRPr="00C46471" w:rsidRDefault="00563BDB" w:rsidP="00D81C50">
      <w:pPr>
        <w:pStyle w:val="parrafos"/>
        <w:ind w:left="0" w:firstLine="0"/>
      </w:pPr>
      <w:r w:rsidRPr="00C46471">
        <w:t xml:space="preserve">Igualmente, a través de su Resolución 04 de 2019, la CIDH adoptó los </w:t>
      </w:r>
      <w:r w:rsidRPr="00C46471">
        <w:rPr>
          <w:i/>
          <w:iCs/>
        </w:rPr>
        <w:t>Principios Interamericanos sobre Derechos Humanos de todas las personas migrantes, refugiadas, apátridas y las víctimas de la trata de personas</w:t>
      </w:r>
      <w:r w:rsidRPr="00C46471">
        <w:t>, de los cuales se destacan los Principios 68 y 69, que en sus apartados relevantes para el caso concreto señalan:</w:t>
      </w:r>
    </w:p>
    <w:p w14:paraId="1093BA44" w14:textId="77777777" w:rsidR="00563BDB" w:rsidRPr="00C46471" w:rsidRDefault="00563BDB" w:rsidP="00563BDB">
      <w:pPr>
        <w:pStyle w:val="ListParagraph"/>
      </w:pPr>
    </w:p>
    <w:p w14:paraId="0E5D8D56" w14:textId="77777777" w:rsidR="00B8126D" w:rsidRPr="00C46471" w:rsidRDefault="00B8126D" w:rsidP="00563BDB">
      <w:pPr>
        <w:pStyle w:val="ListParagraph"/>
        <w:ind w:left="567"/>
        <w:rPr>
          <w:rFonts w:ascii="Cambria" w:hAnsi="Cambria"/>
          <w:sz w:val="18"/>
          <w:szCs w:val="18"/>
        </w:rPr>
      </w:pPr>
      <w:r w:rsidRPr="00C46471">
        <w:rPr>
          <w:rFonts w:ascii="Cambria" w:hAnsi="Cambria"/>
          <w:sz w:val="18"/>
          <w:szCs w:val="18"/>
        </w:rPr>
        <w:t>“</w:t>
      </w:r>
      <w:r w:rsidR="00563BDB" w:rsidRPr="00C46471">
        <w:rPr>
          <w:rFonts w:ascii="Cambria" w:hAnsi="Cambria"/>
          <w:sz w:val="18"/>
          <w:szCs w:val="18"/>
        </w:rPr>
        <w:t>Principio 68. […]Los Estados deben garantizar que la detención se utilice únicamente de conformidad con lo autorizado por la ley y solo cuando se determine ser necesaria, razonable en todas las circunstancias y proporcional a un propósito legítimo. La detención se efectuará solamente como medida de último recurso y no deberá durar más del tiempo que requieran las circunstancias</w:t>
      </w:r>
      <w:r w:rsidRPr="00C46471">
        <w:rPr>
          <w:rFonts w:ascii="Cambria" w:hAnsi="Cambria"/>
          <w:sz w:val="18"/>
          <w:szCs w:val="18"/>
        </w:rPr>
        <w:t>”</w:t>
      </w:r>
      <w:r w:rsidR="00563BDB" w:rsidRPr="00C46471">
        <w:rPr>
          <w:rFonts w:ascii="Cambria" w:hAnsi="Cambria"/>
          <w:sz w:val="18"/>
          <w:szCs w:val="18"/>
        </w:rPr>
        <w:t>.</w:t>
      </w:r>
    </w:p>
    <w:p w14:paraId="3603CC6C" w14:textId="77777777" w:rsidR="00B8126D" w:rsidRPr="00C46471" w:rsidRDefault="00B8126D" w:rsidP="00563BDB">
      <w:pPr>
        <w:pStyle w:val="ListParagraph"/>
        <w:ind w:left="567"/>
        <w:rPr>
          <w:rFonts w:ascii="Cambria" w:hAnsi="Cambria"/>
          <w:sz w:val="16"/>
          <w:szCs w:val="16"/>
        </w:rPr>
      </w:pPr>
    </w:p>
    <w:p w14:paraId="4AC61D35" w14:textId="77777777" w:rsidR="00563BDB" w:rsidRPr="00C46471" w:rsidRDefault="00B8126D" w:rsidP="00B8126D">
      <w:pPr>
        <w:ind w:left="567" w:right="571"/>
        <w:jc w:val="both"/>
        <w:rPr>
          <w:rFonts w:ascii="Cambria" w:eastAsia="Times New Roman" w:hAnsi="Cambria"/>
          <w:sz w:val="18"/>
          <w:szCs w:val="18"/>
        </w:rPr>
      </w:pPr>
      <w:r w:rsidRPr="00C46471">
        <w:rPr>
          <w:rFonts w:ascii="Cambria" w:eastAsia="Times New Roman" w:hAnsi="Cambria"/>
          <w:sz w:val="18"/>
          <w:szCs w:val="18"/>
        </w:rPr>
        <w:t>“Principio 69: Criterios de necesidad, adecuación, razonabilidad y proporcionalidad en detenciones La detención debe ser una medida de último recurso. Deben explorarse todas las alternativas a la detención.</w:t>
      </w:r>
      <w:r w:rsidRPr="00C46471">
        <w:rPr>
          <w:rFonts w:ascii="Cambria" w:hAnsi="Cambria"/>
          <w:sz w:val="18"/>
          <w:szCs w:val="18"/>
        </w:rPr>
        <w:t xml:space="preserve"> Si se recurre a la detención migratoria, dicha acción debe ser lícita y usada exclusivamente como medida cautelar y temporal para asegurar el cumplimiento de procedimientos de repatriación, deportación, expulsión o extradición […]”. </w:t>
      </w:r>
      <w:r w:rsidR="00563BDB" w:rsidRPr="00C46471">
        <w:rPr>
          <w:rFonts w:ascii="Cambria" w:hAnsi="Cambria"/>
          <w:sz w:val="18"/>
          <w:szCs w:val="18"/>
        </w:rPr>
        <w:t xml:space="preserve"> </w:t>
      </w:r>
    </w:p>
    <w:p w14:paraId="2D5B4928" w14:textId="77777777" w:rsidR="007C71E1" w:rsidRPr="00C46471" w:rsidRDefault="007C71E1" w:rsidP="00D81C50">
      <w:pPr>
        <w:pStyle w:val="parrafos"/>
        <w:numPr>
          <w:ilvl w:val="0"/>
          <w:numId w:val="0"/>
        </w:numPr>
        <w:rPr>
          <w:color w:val="548DD4" w:themeColor="text2" w:themeTint="99"/>
        </w:rPr>
      </w:pPr>
    </w:p>
    <w:p w14:paraId="22124146" w14:textId="77777777" w:rsidR="006F5FF2" w:rsidRPr="00A10EEE" w:rsidRDefault="006F5FF2" w:rsidP="00D81C50">
      <w:pPr>
        <w:pStyle w:val="parrafos"/>
        <w:ind w:left="0" w:firstLine="0"/>
        <w:rPr>
          <w:color w:val="548DD4" w:themeColor="text2" w:themeTint="99"/>
        </w:rPr>
      </w:pPr>
      <w:r w:rsidRPr="00C46471">
        <w:t xml:space="preserve">Igualmente, la Corte ha señalado que las órdenes de detención de migrantes irregulares deben </w:t>
      </w:r>
      <w:r w:rsidR="002D3E47" w:rsidRPr="00C46471">
        <w:t xml:space="preserve">motivarse suficientemente so pena de ser contrarias a la Convención Americana. </w:t>
      </w:r>
      <w:r w:rsidR="00487515" w:rsidRPr="00C46471">
        <w:t>Así por ejemplo, en el c</w:t>
      </w:r>
      <w:r w:rsidR="00487515" w:rsidRPr="00A10EEE">
        <w:t xml:space="preserve">itado caso </w:t>
      </w:r>
      <w:r w:rsidR="00487515" w:rsidRPr="00A10EEE">
        <w:rPr>
          <w:i/>
        </w:rPr>
        <w:t>Vélez Loor</w:t>
      </w:r>
      <w:r w:rsidR="00487515" w:rsidRPr="00A10EEE">
        <w:t>, la Corte encontró que la detenció</w:t>
      </w:r>
      <w:r w:rsidR="003E7272" w:rsidRPr="00A10EEE">
        <w:t xml:space="preserve">n del peticionario era </w:t>
      </w:r>
      <w:r w:rsidR="00423CEB" w:rsidRPr="00A10EEE">
        <w:t xml:space="preserve">arbitraria y </w:t>
      </w:r>
      <w:r w:rsidR="003E7272" w:rsidRPr="00A10EEE">
        <w:t>contraria al artículo 7.3 de la Convención porque “</w:t>
      </w:r>
      <w:r w:rsidR="003E7272" w:rsidRPr="00A10EEE">
        <w:rPr>
          <w:rFonts w:eastAsia="Times New Roman"/>
        </w:rPr>
        <w:t>no contenía los fundamentos que acreditaran y motivaran su necesidad, de acuerdo a los hechos del caso y las circunstancias particulares del señor Vélez Loor. Por el contrario, pareciera que la orden de detención de personas migrantes en situación irregular procedía de manera automática tras la aprehensión inicial, sin consideración de las circunstancias individualizadas”</w:t>
      </w:r>
      <w:r w:rsidR="00E802E1" w:rsidRPr="00A10EEE">
        <w:rPr>
          <w:rStyle w:val="FootnoteReference"/>
          <w:rFonts w:eastAsia="Times New Roman"/>
        </w:rPr>
        <w:footnoteReference w:id="63"/>
      </w:r>
      <w:r w:rsidR="003E7272" w:rsidRPr="00A10EEE">
        <w:rPr>
          <w:rFonts w:eastAsia="Times New Roman"/>
        </w:rPr>
        <w:t xml:space="preserve">. </w:t>
      </w:r>
    </w:p>
    <w:p w14:paraId="315EE7AF" w14:textId="77777777" w:rsidR="007D1F49" w:rsidRPr="00A10EEE" w:rsidRDefault="007D1F49" w:rsidP="00D81C50">
      <w:pPr>
        <w:pStyle w:val="parrafos"/>
        <w:numPr>
          <w:ilvl w:val="0"/>
          <w:numId w:val="0"/>
        </w:numPr>
      </w:pPr>
    </w:p>
    <w:p w14:paraId="20EAE278" w14:textId="77777777" w:rsidR="00E87582" w:rsidRPr="00A10EEE" w:rsidRDefault="006C6E3A" w:rsidP="00D81C50">
      <w:pPr>
        <w:pStyle w:val="parrafos"/>
        <w:ind w:left="0" w:firstLine="0"/>
        <w:rPr>
          <w:color w:val="548DD4" w:themeColor="text2" w:themeTint="99"/>
        </w:rPr>
      </w:pPr>
      <w:r w:rsidRPr="00A10EEE">
        <w:t xml:space="preserve">En relación con la asistencia consular, en su </w:t>
      </w:r>
      <w:r w:rsidRPr="00A10EEE">
        <w:rPr>
          <w:i/>
        </w:rPr>
        <w:t>Opinión Consultiva OC-16/99</w:t>
      </w:r>
      <w:r w:rsidRPr="00A10EEE">
        <w:t>, relativa al derecho a la información sobre la asistencia consular en el marco de las garantías del debido proceso legal</w:t>
      </w:r>
      <w:r w:rsidRPr="00A10EEE">
        <w:rPr>
          <w:rStyle w:val="FootnoteReference"/>
          <w:rFonts w:eastAsia="Times New Roman"/>
        </w:rPr>
        <w:footnoteReference w:id="64"/>
      </w:r>
      <w:r w:rsidRPr="00A10EEE">
        <w:t xml:space="preserve">.  </w:t>
      </w:r>
      <w:r w:rsidR="00163738" w:rsidRPr="00A10EEE">
        <w:rPr>
          <w:rFonts w:eastAsia="Times New Roman"/>
        </w:rPr>
        <w:t>L</w:t>
      </w:r>
      <w:r w:rsidRPr="00A10EEE">
        <w:rPr>
          <w:rFonts w:eastAsia="Times New Roman"/>
        </w:rPr>
        <w:t>a Comisión ha sostenido que la notificación consular debe darse en el momento en que el migrante es privado de su libertad y, en todo caso, antes de que rinda su primera declaración ante la autoridad</w:t>
      </w:r>
      <w:r w:rsidRPr="00A10EEE">
        <w:rPr>
          <w:rStyle w:val="FootnoteReference"/>
          <w:rFonts w:eastAsia="Times New Roman"/>
        </w:rPr>
        <w:footnoteReference w:id="65"/>
      </w:r>
      <w:r w:rsidRPr="00A10EEE">
        <w:rPr>
          <w:rFonts w:eastAsia="Times New Roman"/>
        </w:rPr>
        <w:t>. La comunicación consular a los migrantes debe darse sin dilación, de manera que puedan disponer de una defensa eficaz</w:t>
      </w:r>
      <w:r w:rsidRPr="00A10EEE">
        <w:rPr>
          <w:rStyle w:val="FootnoteReference"/>
          <w:rFonts w:eastAsia="Times New Roman"/>
        </w:rPr>
        <w:footnoteReference w:id="66"/>
      </w:r>
      <w:r w:rsidRPr="00A10EEE">
        <w:rPr>
          <w:rFonts w:eastAsia="Times New Roman"/>
        </w:rPr>
        <w:t>.</w:t>
      </w:r>
      <w:r w:rsidR="003414C2" w:rsidRPr="00A10EEE">
        <w:rPr>
          <w:rFonts w:eastAsia="Times New Roman"/>
        </w:rPr>
        <w:t xml:space="preserve"> Asimismo, se destaca que la Corte IDH ha señalado que “</w:t>
      </w:r>
      <w:r w:rsidR="00F542FF" w:rsidRPr="00A10EEE">
        <w:rPr>
          <w:rFonts w:eastAsia="Times New Roman"/>
        </w:rPr>
        <w:t>[p]</w:t>
      </w:r>
      <w:r w:rsidR="003414C2" w:rsidRPr="00A10EEE">
        <w:rPr>
          <w:rFonts w:eastAsia="Times New Roman"/>
        </w:rPr>
        <w:t>ara prevenir detenciones arbitrarias, la Corte reitera la importancia de que la persona detenida sea notificada de su derecho de establecer contacto con una tercera persona, tal como el funcionario consular, para informarle que se halla bajo custodia del Estado, lo cual debe realizarse en conjunto con sus obligaciones bajo el artículo 7.4 de la Convención</w:t>
      </w:r>
      <w:r w:rsidR="00E717B7" w:rsidRPr="00A10EEE">
        <w:rPr>
          <w:rFonts w:eastAsia="Times New Roman"/>
        </w:rPr>
        <w:t>”</w:t>
      </w:r>
      <w:r w:rsidR="00E717B7" w:rsidRPr="00A10EEE">
        <w:rPr>
          <w:rStyle w:val="FootnoteReference"/>
          <w:rFonts w:eastAsia="Times New Roman"/>
        </w:rPr>
        <w:footnoteReference w:id="67"/>
      </w:r>
      <w:r w:rsidR="00E717B7" w:rsidRPr="00A10EEE">
        <w:rPr>
          <w:rFonts w:eastAsia="Times New Roman"/>
        </w:rPr>
        <w:t xml:space="preserve">. </w:t>
      </w:r>
    </w:p>
    <w:p w14:paraId="6DFECA6A" w14:textId="77777777" w:rsidR="00E87582" w:rsidRPr="00A10EEE" w:rsidRDefault="00E87582" w:rsidP="00D81C50">
      <w:pPr>
        <w:pStyle w:val="parrafos"/>
        <w:numPr>
          <w:ilvl w:val="0"/>
          <w:numId w:val="0"/>
        </w:numPr>
        <w:rPr>
          <w:rFonts w:eastAsia="Times New Roman"/>
        </w:rPr>
      </w:pPr>
    </w:p>
    <w:p w14:paraId="62A846E2" w14:textId="77777777" w:rsidR="00D904A8" w:rsidRPr="00A10EEE" w:rsidRDefault="00D904A8" w:rsidP="00D81C50">
      <w:pPr>
        <w:pStyle w:val="parrafos"/>
        <w:ind w:left="0" w:firstLine="0"/>
        <w:rPr>
          <w:color w:val="548DD4" w:themeColor="text2" w:themeTint="99"/>
        </w:rPr>
      </w:pPr>
      <w:r w:rsidRPr="00A10EEE">
        <w:rPr>
          <w:rFonts w:eastAsia="Times New Roman"/>
        </w:rPr>
        <w:t>La Corte tambié</w:t>
      </w:r>
      <w:r w:rsidR="007C7129" w:rsidRPr="00A10EEE">
        <w:rPr>
          <w:rFonts w:eastAsia="Times New Roman"/>
        </w:rPr>
        <w:t xml:space="preserve">n ha indicado que el derecho del extranjero a solicitar ayudar a su consulado es un componente de las </w:t>
      </w:r>
      <w:r w:rsidR="00E87582" w:rsidRPr="00A10EEE">
        <w:rPr>
          <w:rFonts w:eastAsia="Times New Roman"/>
        </w:rPr>
        <w:t>garantías</w:t>
      </w:r>
      <w:r w:rsidR="007C7129" w:rsidRPr="00A10EEE">
        <w:rPr>
          <w:rFonts w:eastAsia="Times New Roman"/>
        </w:rPr>
        <w:t xml:space="preserve"> mínimas para preparar la defensa. En el caso Vélez Loor la Corte señaló “</w:t>
      </w:r>
      <w:r w:rsidRPr="00A10EEE">
        <w:rPr>
          <w:rFonts w:eastAsia="Times New Roman"/>
        </w:rPr>
        <w:t>la Corte ha destacado varios actos relacionados con la defensa en los que el có</w:t>
      </w:r>
      <w:r w:rsidR="00E87582" w:rsidRPr="00A10EEE">
        <w:rPr>
          <w:rFonts w:eastAsia="Times New Roman"/>
        </w:rPr>
        <w:t xml:space="preserve">nsul puede asistir al detenido </w:t>
      </w:r>
      <w:r w:rsidRPr="00A10EEE">
        <w:rPr>
          <w:rFonts w:eastAsia="Times New Roman"/>
        </w:rPr>
        <w:t xml:space="preserve">y su importancia para garantizar el cumplimiento del derecho </w:t>
      </w:r>
      <w:r w:rsidR="003A2516" w:rsidRPr="00A10EEE">
        <w:rPr>
          <w:rFonts w:eastAsia="Times New Roman"/>
        </w:rPr>
        <w:t>a ―ser asistido por un defenso</w:t>
      </w:r>
      <w:r w:rsidRPr="00A10EEE">
        <w:rPr>
          <w:rFonts w:eastAsia="Times New Roman"/>
        </w:rPr>
        <w:t xml:space="preserve"> bajo el artículo 8.2.d) </w:t>
      </w:r>
      <w:r w:rsidRPr="00A10EEE">
        <w:rPr>
          <w:rFonts w:eastAsia="Times New Roman"/>
        </w:rPr>
        <w:lastRenderedPageBreak/>
        <w:t>de la Convención. De modo tal que ―[l]a inobservancia u obstrucción de[l] derecho [del detenido] a la información afe</w:t>
      </w:r>
      <w:r w:rsidR="00E87582" w:rsidRPr="00A10EEE">
        <w:rPr>
          <w:rFonts w:eastAsia="Times New Roman"/>
        </w:rPr>
        <w:t>cta las garantías judiciales</w:t>
      </w:r>
      <w:r w:rsidRPr="00A10EEE">
        <w:rPr>
          <w:rFonts w:eastAsia="Times New Roman"/>
        </w:rPr>
        <w:t xml:space="preserve">, y puede resultar </w:t>
      </w:r>
      <w:r w:rsidR="00E87582" w:rsidRPr="00A10EEE">
        <w:rPr>
          <w:rFonts w:eastAsia="Times New Roman"/>
        </w:rPr>
        <w:t>en una violación de las mismas”</w:t>
      </w:r>
      <w:r w:rsidR="00E87582" w:rsidRPr="00A10EEE">
        <w:rPr>
          <w:rStyle w:val="FootnoteReference"/>
          <w:rFonts w:eastAsia="Times New Roman"/>
        </w:rPr>
        <w:footnoteReference w:id="68"/>
      </w:r>
      <w:r w:rsidR="00E87582" w:rsidRPr="00A10EEE">
        <w:rPr>
          <w:rFonts w:eastAsia="Times New Roman"/>
        </w:rPr>
        <w:t xml:space="preserve">. </w:t>
      </w:r>
    </w:p>
    <w:p w14:paraId="6CB42809" w14:textId="77777777" w:rsidR="00F84BAA" w:rsidRPr="00A10EEE" w:rsidRDefault="00F84BAA" w:rsidP="00D81C50">
      <w:pPr>
        <w:pStyle w:val="parrafos"/>
        <w:numPr>
          <w:ilvl w:val="0"/>
          <w:numId w:val="0"/>
        </w:numPr>
      </w:pPr>
    </w:p>
    <w:p w14:paraId="5670DC9A" w14:textId="77777777" w:rsidR="00F84BAA" w:rsidRPr="00A10EEE" w:rsidRDefault="00F84BAA" w:rsidP="00845DB1">
      <w:pPr>
        <w:pStyle w:val="Heading3"/>
        <w:numPr>
          <w:ilvl w:val="0"/>
          <w:numId w:val="60"/>
        </w:numPr>
        <w:rPr>
          <w:szCs w:val="20"/>
          <w:lang w:val="es-US"/>
        </w:rPr>
      </w:pPr>
      <w:bookmarkStart w:id="18" w:name="_Toc39489220"/>
      <w:r w:rsidRPr="00A10EEE">
        <w:rPr>
          <w:szCs w:val="20"/>
          <w:lang w:val="es-US"/>
        </w:rPr>
        <w:t>Análisis de la detención en el caso concreto</w:t>
      </w:r>
      <w:bookmarkEnd w:id="18"/>
    </w:p>
    <w:p w14:paraId="42CBD92F" w14:textId="77777777" w:rsidR="00130536" w:rsidRPr="00A10EEE" w:rsidRDefault="00130536" w:rsidP="00D81C50">
      <w:pPr>
        <w:pStyle w:val="parrafos"/>
        <w:numPr>
          <w:ilvl w:val="0"/>
          <w:numId w:val="0"/>
        </w:numPr>
        <w:tabs>
          <w:tab w:val="clear" w:pos="360"/>
        </w:tabs>
        <w:rPr>
          <w:color w:val="548DD4" w:themeColor="text2" w:themeTint="99"/>
        </w:rPr>
      </w:pPr>
    </w:p>
    <w:p w14:paraId="2157C6BA" w14:textId="77777777" w:rsidR="009E100F" w:rsidRPr="00A10EEE" w:rsidRDefault="00B26FF7" w:rsidP="00D81C50">
      <w:pPr>
        <w:pStyle w:val="parrafos"/>
        <w:ind w:left="0" w:firstLine="0"/>
        <w:rPr>
          <w:rFonts w:eastAsia="Times New Roman" w:cs="Arial"/>
          <w:bCs/>
          <w:iCs/>
        </w:rPr>
      </w:pPr>
      <w:r w:rsidRPr="00A10EEE">
        <w:rPr>
          <w:rFonts w:eastAsia="Times New Roman"/>
        </w:rPr>
        <w:t>En el caso co</w:t>
      </w:r>
      <w:r w:rsidR="008D34EB" w:rsidRPr="00A10EEE">
        <w:rPr>
          <w:rFonts w:eastAsia="Times New Roman"/>
        </w:rPr>
        <w:t>n</w:t>
      </w:r>
      <w:r w:rsidRPr="00A10EEE">
        <w:rPr>
          <w:rFonts w:eastAsia="Times New Roman"/>
        </w:rPr>
        <w:t>c</w:t>
      </w:r>
      <w:r w:rsidR="008D34EB" w:rsidRPr="00A10EEE">
        <w:rPr>
          <w:rFonts w:eastAsia="Times New Roman"/>
        </w:rPr>
        <w:t>reto, la Comisión observa que la detención del señor Sahih se</w:t>
      </w:r>
      <w:r w:rsidRPr="00A10EEE">
        <w:rPr>
          <w:rFonts w:eastAsia="Times New Roman"/>
        </w:rPr>
        <w:t xml:space="preserve"> produjo</w:t>
      </w:r>
      <w:r w:rsidR="008E7BC1" w:rsidRPr="00A10EEE">
        <w:rPr>
          <w:rFonts w:eastAsia="Times New Roman"/>
        </w:rPr>
        <w:t xml:space="preserve"> </w:t>
      </w:r>
      <w:r w:rsidR="00020DBD" w:rsidRPr="00A10EEE">
        <w:rPr>
          <w:rFonts w:eastAsia="Times New Roman"/>
        </w:rPr>
        <w:t>como consecuencia de la decisión del Consejo Consultuvo de Política Criminal que revocó su</w:t>
      </w:r>
      <w:r w:rsidR="00025C94" w:rsidRPr="00A10EEE">
        <w:rPr>
          <w:rFonts w:eastAsia="Times New Roman"/>
        </w:rPr>
        <w:t xml:space="preserve"> visa de inmigrante, que ordenó “</w:t>
      </w:r>
      <w:r w:rsidR="00025C94" w:rsidRPr="00A10EEE">
        <w:rPr>
          <w:rFonts w:eastAsia="Times New Roman" w:cs="Arial"/>
          <w:bCs/>
          <w:iCs/>
        </w:rPr>
        <w:t>oficiar a la Policía de Migración para que lo ponga a órdenes del Intendente de Policía y se lleva a cabo el proceso de deportación”</w:t>
      </w:r>
      <w:r w:rsidR="00025C94" w:rsidRPr="00A10EEE">
        <w:rPr>
          <w:vertAlign w:val="superscript"/>
        </w:rPr>
        <w:footnoteReference w:id="69"/>
      </w:r>
      <w:r w:rsidR="001C6BDA" w:rsidRPr="00A10EEE">
        <w:rPr>
          <w:rFonts w:eastAsia="Times New Roman" w:cs="Arial"/>
          <w:bCs/>
          <w:iCs/>
        </w:rPr>
        <w:t>, por lo cual el 3 de diciembre de 2001 fue aprehendido y el 6 de diciembre del mismo año se d</w:t>
      </w:r>
      <w:r w:rsidR="002458D7" w:rsidRPr="00A10EEE">
        <w:rPr>
          <w:rFonts w:eastAsia="Times New Roman" w:cs="Arial"/>
          <w:bCs/>
          <w:iCs/>
        </w:rPr>
        <w:t>ictó acción penal de deportación y fijó fecha de audiencia para el día siguiente</w:t>
      </w:r>
      <w:r w:rsidR="001C6BDA" w:rsidRPr="00A10EEE">
        <w:rPr>
          <w:rFonts w:eastAsia="Times New Roman" w:cs="Arial"/>
          <w:bCs/>
          <w:iCs/>
        </w:rPr>
        <w:t xml:space="preserve">. </w:t>
      </w:r>
    </w:p>
    <w:p w14:paraId="3F6FA191" w14:textId="77777777" w:rsidR="009E100F" w:rsidRPr="00A10EEE" w:rsidRDefault="009E100F" w:rsidP="00D81C50">
      <w:pPr>
        <w:pStyle w:val="parrafos"/>
        <w:numPr>
          <w:ilvl w:val="0"/>
          <w:numId w:val="0"/>
        </w:numPr>
        <w:rPr>
          <w:rFonts w:eastAsia="Times New Roman" w:cs="Arial"/>
          <w:bCs/>
          <w:iCs/>
        </w:rPr>
      </w:pPr>
    </w:p>
    <w:p w14:paraId="389602E8" w14:textId="77777777" w:rsidR="00613471" w:rsidRPr="00C46471" w:rsidRDefault="000D4E54" w:rsidP="00D81C50">
      <w:pPr>
        <w:pStyle w:val="parrafos"/>
        <w:ind w:left="0" w:firstLine="0"/>
        <w:rPr>
          <w:rFonts w:eastAsia="Times New Roman" w:cs="Arial"/>
          <w:bCs/>
          <w:iCs/>
        </w:rPr>
      </w:pPr>
      <w:r w:rsidRPr="00A10EEE">
        <w:rPr>
          <w:rFonts w:eastAsia="Times New Roman"/>
        </w:rPr>
        <w:t>Al respecto, la CIDH encuentra que</w:t>
      </w:r>
      <w:r w:rsidR="002458D7" w:rsidRPr="00A10EEE">
        <w:rPr>
          <w:rFonts w:eastAsia="Times New Roman"/>
        </w:rPr>
        <w:t xml:space="preserve"> la detención del señor Sahih ocurrió como </w:t>
      </w:r>
      <w:r w:rsidR="009F2E83" w:rsidRPr="00A10EEE">
        <w:rPr>
          <w:rFonts w:eastAsia="Times New Roman"/>
        </w:rPr>
        <w:t>de f</w:t>
      </w:r>
      <w:r w:rsidR="002458D7" w:rsidRPr="00A10EEE">
        <w:rPr>
          <w:rFonts w:eastAsia="Times New Roman"/>
        </w:rPr>
        <w:t>o</w:t>
      </w:r>
      <w:r w:rsidR="009F2E83" w:rsidRPr="00A10EEE">
        <w:rPr>
          <w:rFonts w:eastAsia="Times New Roman"/>
        </w:rPr>
        <w:t>r</w:t>
      </w:r>
      <w:r w:rsidR="002458D7" w:rsidRPr="00A10EEE">
        <w:rPr>
          <w:rFonts w:eastAsia="Times New Roman"/>
        </w:rPr>
        <w:t xml:space="preserve">ma automática como consecuencia de la </w:t>
      </w:r>
      <w:r w:rsidR="009F2E83" w:rsidRPr="00A10EEE">
        <w:rPr>
          <w:rFonts w:eastAsia="Times New Roman"/>
        </w:rPr>
        <w:t>revoca</w:t>
      </w:r>
      <w:r w:rsidR="009F2E83" w:rsidRPr="00C46471">
        <w:rPr>
          <w:rFonts w:eastAsia="Times New Roman"/>
        </w:rPr>
        <w:t xml:space="preserve">toria de su visa. </w:t>
      </w:r>
      <w:r w:rsidR="002458D7" w:rsidRPr="00C46471">
        <w:rPr>
          <w:rFonts w:eastAsia="Times New Roman"/>
        </w:rPr>
        <w:t xml:space="preserve">En las actas y oficios </w:t>
      </w:r>
      <w:r w:rsidR="00920B29" w:rsidRPr="00C46471">
        <w:rPr>
          <w:rFonts w:eastAsia="Times New Roman"/>
        </w:rPr>
        <w:t xml:space="preserve">del Consejo Consultivo de Política Criminal que ordena </w:t>
      </w:r>
      <w:r w:rsidR="00A6133B" w:rsidRPr="00C46471">
        <w:rPr>
          <w:rFonts w:eastAsia="Times New Roman"/>
        </w:rPr>
        <w:t xml:space="preserve">a la Policía de Migración </w:t>
      </w:r>
      <w:r w:rsidR="00920B29" w:rsidRPr="00C46471">
        <w:rPr>
          <w:rFonts w:eastAsia="Times New Roman"/>
        </w:rPr>
        <w:t xml:space="preserve">que se le “ponga a órdenes </w:t>
      </w:r>
      <w:r w:rsidR="00A6133B" w:rsidRPr="00C46471">
        <w:rPr>
          <w:rFonts w:eastAsia="Times New Roman"/>
        </w:rPr>
        <w:t xml:space="preserve">del Intendente de Policía” </w:t>
      </w:r>
      <w:r w:rsidR="002458D7" w:rsidRPr="00C46471">
        <w:rPr>
          <w:rFonts w:eastAsia="Times New Roman"/>
        </w:rPr>
        <w:t>no se observa alguna valora</w:t>
      </w:r>
      <w:r w:rsidR="009F2E83" w:rsidRPr="00C46471">
        <w:rPr>
          <w:rFonts w:eastAsia="Times New Roman"/>
        </w:rPr>
        <w:t xml:space="preserve">ción particular del caso que </w:t>
      </w:r>
      <w:r w:rsidR="00AB43A8" w:rsidRPr="00C46471">
        <w:rPr>
          <w:rFonts w:eastAsia="Times New Roman"/>
        </w:rPr>
        <w:t>ponderara la</w:t>
      </w:r>
      <w:r w:rsidR="009F2E83" w:rsidRPr="00C46471">
        <w:rPr>
          <w:rFonts w:eastAsia="Times New Roman"/>
        </w:rPr>
        <w:t xml:space="preserve"> afectación del derecho a </w:t>
      </w:r>
      <w:r w:rsidR="001637D5" w:rsidRPr="00C46471">
        <w:rPr>
          <w:rFonts w:eastAsia="Times New Roman"/>
        </w:rPr>
        <w:t>la libertad personal</w:t>
      </w:r>
      <w:r w:rsidR="00A6133B" w:rsidRPr="00C46471">
        <w:rPr>
          <w:rFonts w:eastAsia="Times New Roman"/>
        </w:rPr>
        <w:t xml:space="preserve"> con los eventuales fines –tampoco determinados- que persiguiera la medida</w:t>
      </w:r>
      <w:r w:rsidR="00B8126D" w:rsidRPr="00C46471">
        <w:rPr>
          <w:rFonts w:eastAsia="Times New Roman"/>
        </w:rPr>
        <w:t xml:space="preserve"> de detención, no hubo entonces una consideración sobre la necesidad de la medida, ni de su proporcionalidad</w:t>
      </w:r>
      <w:r w:rsidR="001637D5" w:rsidRPr="00C46471">
        <w:rPr>
          <w:rFonts w:eastAsia="Times New Roman"/>
        </w:rPr>
        <w:t>.</w:t>
      </w:r>
      <w:r w:rsidR="00B8126D" w:rsidRPr="00C46471">
        <w:rPr>
          <w:rFonts w:eastAsia="Times New Roman"/>
        </w:rPr>
        <w:t xml:space="preserve"> No hubo una valoración de la medida en el caso cocnreto. </w:t>
      </w:r>
      <w:r w:rsidR="001637D5" w:rsidRPr="00C46471">
        <w:rPr>
          <w:rFonts w:eastAsia="Times New Roman"/>
        </w:rPr>
        <w:t xml:space="preserve"> </w:t>
      </w:r>
      <w:r w:rsidR="009E100F" w:rsidRPr="00C46471">
        <w:rPr>
          <w:rFonts w:eastAsia="Times New Roman"/>
        </w:rPr>
        <w:t xml:space="preserve">Igualmente, encuentra la Comisión que en el momento de la detención no había iniciado </w:t>
      </w:r>
      <w:r w:rsidR="009915E2" w:rsidRPr="00C46471">
        <w:rPr>
          <w:rFonts w:eastAsia="Times New Roman"/>
        </w:rPr>
        <w:t>la acción de deportación, ello</w:t>
      </w:r>
      <w:r w:rsidR="009E100F" w:rsidRPr="00C46471">
        <w:rPr>
          <w:rFonts w:eastAsia="Times New Roman"/>
        </w:rPr>
        <w:t xml:space="preserve"> ocurrió después de la detención, sólo estaba en firme la decisión del Consejo Consultivo de Política Criminal. </w:t>
      </w:r>
      <w:r w:rsidR="00E229CF" w:rsidRPr="00C46471">
        <w:rPr>
          <w:rFonts w:eastAsia="Times New Roman"/>
        </w:rPr>
        <w:t>Las autoridades involucradas no hicieron ninguna consideración sobre la necesidad de la medida para adelantar el  proceso de deportación, incluso antes de que éste empezara.</w:t>
      </w:r>
    </w:p>
    <w:p w14:paraId="6DFA3FD7" w14:textId="77777777" w:rsidR="00613471" w:rsidRPr="00C46471" w:rsidRDefault="00613471" w:rsidP="00D81C50">
      <w:pPr>
        <w:pStyle w:val="parrafos"/>
        <w:numPr>
          <w:ilvl w:val="0"/>
          <w:numId w:val="0"/>
        </w:numPr>
        <w:rPr>
          <w:rFonts w:eastAsia="Times New Roman"/>
        </w:rPr>
      </w:pPr>
    </w:p>
    <w:p w14:paraId="347018D6" w14:textId="77777777" w:rsidR="008D5C71" w:rsidRPr="00A10EEE" w:rsidRDefault="00D54849" w:rsidP="00D81C50">
      <w:pPr>
        <w:pStyle w:val="parrafos"/>
        <w:ind w:left="0" w:firstLine="0"/>
        <w:rPr>
          <w:rFonts w:eastAsia="Times New Roman"/>
        </w:rPr>
      </w:pPr>
      <w:r w:rsidRPr="00C46471">
        <w:rPr>
          <w:rFonts w:eastAsia="Times New Roman"/>
        </w:rPr>
        <w:t xml:space="preserve">En el caso concreto, encuentra la CIDH que la aprehensión del señor </w:t>
      </w:r>
      <w:r w:rsidR="008D5C71" w:rsidRPr="00C46471">
        <w:rPr>
          <w:rFonts w:eastAsia="Times New Roman"/>
        </w:rPr>
        <w:t>es contraria a</w:t>
      </w:r>
      <w:r w:rsidR="00A1259A" w:rsidRPr="00C46471">
        <w:rPr>
          <w:rFonts w:eastAsia="Times New Roman"/>
        </w:rPr>
        <w:t xml:space="preserve">l artículo 7.3 de la Convención y a los </w:t>
      </w:r>
      <w:r w:rsidR="008D5C71" w:rsidRPr="00C46471">
        <w:rPr>
          <w:rFonts w:eastAsia="Times New Roman"/>
        </w:rPr>
        <w:t>estándares interamericanos sobre detención migratoria</w:t>
      </w:r>
      <w:r w:rsidR="0061787D" w:rsidRPr="00C46471">
        <w:rPr>
          <w:rFonts w:eastAsia="Times New Roman"/>
        </w:rPr>
        <w:t xml:space="preserve"> porque no fue motivada de forma suficiente</w:t>
      </w:r>
      <w:r w:rsidR="00B8126D" w:rsidRPr="00C46471">
        <w:rPr>
          <w:rFonts w:eastAsia="Times New Roman"/>
        </w:rPr>
        <w:t>, no fue una decisión que surgiera de una consideración de la necesidad y proporcionalidad de la medida en el caso concreto</w:t>
      </w:r>
      <w:r w:rsidR="0007387B" w:rsidRPr="00C46471">
        <w:rPr>
          <w:rFonts w:eastAsia="Times New Roman"/>
        </w:rPr>
        <w:t xml:space="preserve">. </w:t>
      </w:r>
      <w:r w:rsidR="0061787D" w:rsidRPr="00C46471">
        <w:rPr>
          <w:rFonts w:eastAsia="Times New Roman"/>
        </w:rPr>
        <w:t>La s</w:t>
      </w:r>
      <w:r w:rsidR="0065294D" w:rsidRPr="00C46471">
        <w:rPr>
          <w:rFonts w:eastAsia="Times New Roman"/>
        </w:rPr>
        <w:t>o</w:t>
      </w:r>
      <w:r w:rsidR="0061787D" w:rsidRPr="00C46471">
        <w:rPr>
          <w:rFonts w:eastAsia="Times New Roman"/>
        </w:rPr>
        <w:t>la enunciación</w:t>
      </w:r>
      <w:r w:rsidR="0061787D" w:rsidRPr="00A10EEE">
        <w:rPr>
          <w:rFonts w:eastAsia="Times New Roman"/>
        </w:rPr>
        <w:t xml:space="preserve"> de normas, resoluciones previas que ordenaban la aprehensión, o la decisión de r</w:t>
      </w:r>
      <w:r w:rsidR="00A1259A" w:rsidRPr="00A10EEE">
        <w:rPr>
          <w:rFonts w:eastAsia="Times New Roman"/>
        </w:rPr>
        <w:t>e</w:t>
      </w:r>
      <w:r w:rsidR="0061787D" w:rsidRPr="00A10EEE">
        <w:rPr>
          <w:rFonts w:eastAsia="Times New Roman"/>
        </w:rPr>
        <w:t>vocatoria de visa de inmigrante no se tornan en una justificación suficiente para decidir la detención del migrante, de conformidad con la jurisprudencia del sistema.</w:t>
      </w:r>
      <w:r w:rsidR="0007387B" w:rsidRPr="00A10EEE">
        <w:rPr>
          <w:rFonts w:eastAsia="Times New Roman"/>
        </w:rPr>
        <w:t xml:space="preserve"> </w:t>
      </w:r>
    </w:p>
    <w:p w14:paraId="4B759BCA" w14:textId="77777777" w:rsidR="00613471" w:rsidRPr="00A10EEE" w:rsidRDefault="00613471" w:rsidP="00D81C50">
      <w:pPr>
        <w:pStyle w:val="parrafos"/>
        <w:numPr>
          <w:ilvl w:val="0"/>
          <w:numId w:val="0"/>
        </w:numPr>
        <w:rPr>
          <w:rFonts w:eastAsia="Times New Roman"/>
        </w:rPr>
      </w:pPr>
    </w:p>
    <w:p w14:paraId="79E66A3F" w14:textId="77777777" w:rsidR="00AA0548" w:rsidRPr="00A10EEE" w:rsidRDefault="001C6298" w:rsidP="00D81C50">
      <w:pPr>
        <w:pStyle w:val="parrafos"/>
        <w:ind w:left="0" w:firstLine="0"/>
        <w:rPr>
          <w:rFonts w:eastAsia="Times New Roman"/>
        </w:rPr>
      </w:pPr>
      <w:r w:rsidRPr="00A10EEE">
        <w:rPr>
          <w:rFonts w:eastAsia="Times New Roman" w:cs="Tahoma"/>
          <w:color w:val="000000"/>
        </w:rPr>
        <w:t>Sobre</w:t>
      </w:r>
      <w:r w:rsidR="00613471" w:rsidRPr="00A10EEE">
        <w:rPr>
          <w:rFonts w:eastAsia="Times New Roman" w:cs="Tahoma"/>
          <w:color w:val="000000"/>
        </w:rPr>
        <w:t xml:space="preserve"> la información </w:t>
      </w:r>
      <w:r w:rsidRPr="00A10EEE">
        <w:rPr>
          <w:rFonts w:eastAsia="Times New Roman" w:cs="Tahoma"/>
          <w:color w:val="000000"/>
        </w:rPr>
        <w:t>que debía recibir el señor Sahih en relación con</w:t>
      </w:r>
      <w:r w:rsidR="00613471" w:rsidRPr="00A10EEE">
        <w:rPr>
          <w:rFonts w:eastAsia="Times New Roman" w:cs="Tahoma"/>
          <w:color w:val="000000"/>
        </w:rPr>
        <w:t xml:space="preserve"> las causales de la detención, la Comisión observa que </w:t>
      </w:r>
      <w:r w:rsidR="00737A26" w:rsidRPr="00A10EEE">
        <w:rPr>
          <w:rFonts w:eastAsia="Times New Roman" w:cs="Tahoma"/>
          <w:color w:val="000000"/>
        </w:rPr>
        <w:t xml:space="preserve">los agentes de Policía pusieron en conocimiento del señor Sahih las razones esgrimidas por las autoridades para ordenar su detención. La ausencia de motivación suficiente de estas razones conlleva la ya señalada violación del artículo 7 en sus numerales 1 y 3. </w:t>
      </w:r>
      <w:r w:rsidR="00023A64" w:rsidRPr="00A10EEE">
        <w:rPr>
          <w:rFonts w:eastAsia="Times New Roman"/>
        </w:rPr>
        <w:t xml:space="preserve">Ahora bien, del artículo 7.4 de la Convención también se desprende </w:t>
      </w:r>
      <w:r w:rsidR="00AA0548" w:rsidRPr="00A10EEE">
        <w:rPr>
          <w:rFonts w:eastAsia="Times New Roman"/>
        </w:rPr>
        <w:t xml:space="preserve">que los detenidos extranjeros reciban infromación sobre su derecho de acceso a la asistencia consular. </w:t>
      </w:r>
    </w:p>
    <w:p w14:paraId="1786F93C" w14:textId="77777777" w:rsidR="00AA0548" w:rsidRPr="00A10EEE" w:rsidRDefault="00AA0548" w:rsidP="00D81C50">
      <w:pPr>
        <w:pStyle w:val="parrafos"/>
        <w:numPr>
          <w:ilvl w:val="0"/>
          <w:numId w:val="0"/>
        </w:numPr>
        <w:rPr>
          <w:rFonts w:eastAsia="Times New Roman"/>
        </w:rPr>
      </w:pPr>
    </w:p>
    <w:p w14:paraId="30144080" w14:textId="77777777" w:rsidR="002540CB" w:rsidRPr="00C46471" w:rsidRDefault="00AA0548" w:rsidP="00D81C50">
      <w:pPr>
        <w:pStyle w:val="parrafos"/>
        <w:ind w:left="0" w:firstLine="0"/>
        <w:rPr>
          <w:rFonts w:eastAsia="Times New Roman"/>
        </w:rPr>
      </w:pPr>
      <w:r w:rsidRPr="00A10EEE">
        <w:rPr>
          <w:rFonts w:eastAsia="Times New Roman"/>
        </w:rPr>
        <w:t xml:space="preserve">En el caso concreto no se </w:t>
      </w:r>
      <w:r w:rsidR="00E717B7" w:rsidRPr="00A10EEE">
        <w:rPr>
          <w:rFonts w:eastAsia="Times New Roman"/>
        </w:rPr>
        <w:t>observa que el</w:t>
      </w:r>
      <w:r w:rsidR="00D84858" w:rsidRPr="00A10EEE">
        <w:rPr>
          <w:rFonts w:eastAsia="Times New Roman"/>
        </w:rPr>
        <w:t xml:space="preserve"> señor Sahih haya recibido infor</w:t>
      </w:r>
      <w:r w:rsidR="00E717B7" w:rsidRPr="00A10EEE">
        <w:rPr>
          <w:rFonts w:eastAsia="Times New Roman"/>
        </w:rPr>
        <w:t xml:space="preserve">mación sobre su derecho de acceder a asistencia consular. </w:t>
      </w:r>
      <w:r w:rsidR="00EB284C" w:rsidRPr="00A10EEE">
        <w:rPr>
          <w:rFonts w:eastAsia="Times New Roman"/>
        </w:rPr>
        <w:t xml:space="preserve">Del expediente, tampoco se desprende elemento probatorio que indique el consulado del Líbano fue notificado de la detención. </w:t>
      </w:r>
      <w:r w:rsidR="00434158" w:rsidRPr="00A10EEE">
        <w:rPr>
          <w:rFonts w:eastAsia="Times New Roman"/>
        </w:rPr>
        <w:t xml:space="preserve">Únicamente </w:t>
      </w:r>
      <w:r w:rsidR="00987E51" w:rsidRPr="00A10EEE">
        <w:rPr>
          <w:rFonts w:eastAsia="Times New Roman"/>
        </w:rPr>
        <w:t xml:space="preserve">consta un escrito del </w:t>
      </w:r>
      <w:r w:rsidR="002540CB" w:rsidRPr="00A10EEE">
        <w:rPr>
          <w:rFonts w:eastAsia="Times New Roman"/>
        </w:rPr>
        <w:t xml:space="preserve">7 de diciembre de 2001, del </w:t>
      </w:r>
      <w:r w:rsidR="00987E51" w:rsidRPr="00A10EEE">
        <w:rPr>
          <w:rFonts w:eastAsia="Times New Roman"/>
        </w:rPr>
        <w:t xml:space="preserve">cónsul del Líbano </w:t>
      </w:r>
      <w:r w:rsidR="002540CB" w:rsidRPr="00A10EEE">
        <w:rPr>
          <w:rFonts w:eastAsia="Times New Roman"/>
        </w:rPr>
        <w:t xml:space="preserve">al Defensor Adjunto del Litoral y Galápagos, manifestando </w:t>
      </w:r>
      <w:r w:rsidR="00F575CB" w:rsidRPr="00A10EEE">
        <w:rPr>
          <w:rFonts w:eastAsia="Times New Roman"/>
        </w:rPr>
        <w:t>que “ha llegado a [su] conocimiento</w:t>
      </w:r>
      <w:r w:rsidR="006B0CE6" w:rsidRPr="00A10EEE">
        <w:rPr>
          <w:rFonts w:eastAsia="Times New Roman"/>
        </w:rPr>
        <w:t xml:space="preserve"> </w:t>
      </w:r>
      <w:r w:rsidR="00972D2B" w:rsidRPr="00A10EEE">
        <w:rPr>
          <w:rFonts w:eastAsia="Times New Roman"/>
        </w:rPr>
        <w:t>que el ci</w:t>
      </w:r>
      <w:r w:rsidR="00972D2B" w:rsidRPr="00C46471">
        <w:rPr>
          <w:rFonts w:eastAsia="Times New Roman"/>
        </w:rPr>
        <w:t>udadano Elías Ghattass AlSahih […] se encuentra arbitrariamente detenido en la Penitenciaria del Litoral</w:t>
      </w:r>
      <w:r w:rsidR="00F575CB" w:rsidRPr="00C46471">
        <w:rPr>
          <w:rFonts w:eastAsia="Times New Roman"/>
        </w:rPr>
        <w:t>”</w:t>
      </w:r>
      <w:r w:rsidR="002540CB" w:rsidRPr="00C46471">
        <w:rPr>
          <w:rFonts w:eastAsia="Times New Roman"/>
        </w:rPr>
        <w:t>.</w:t>
      </w:r>
      <w:r w:rsidR="00CC15F6" w:rsidRPr="00C46471">
        <w:rPr>
          <w:rFonts w:eastAsia="Times New Roman"/>
        </w:rPr>
        <w:t xml:space="preserve"> Si</w:t>
      </w:r>
      <w:r w:rsidR="001717AA" w:rsidRPr="00C46471">
        <w:rPr>
          <w:rFonts w:eastAsia="Times New Roman"/>
        </w:rPr>
        <w:t xml:space="preserve"> bien en el mismo se indica </w:t>
      </w:r>
      <w:r w:rsidR="00C976D6" w:rsidRPr="00C46471">
        <w:rPr>
          <w:rFonts w:eastAsia="Times New Roman"/>
        </w:rPr>
        <w:t>que el cónsul tuvo conocimiento de la detención, no se señala que ha</w:t>
      </w:r>
      <w:r w:rsidR="00E91AB8" w:rsidRPr="00C46471">
        <w:rPr>
          <w:rFonts w:eastAsia="Times New Roman"/>
        </w:rPr>
        <w:t>ya sido por información oficial</w:t>
      </w:r>
      <w:r w:rsidR="00C976D6" w:rsidRPr="00C46471">
        <w:rPr>
          <w:rFonts w:eastAsia="Times New Roman"/>
        </w:rPr>
        <w:t xml:space="preserve">. </w:t>
      </w:r>
    </w:p>
    <w:p w14:paraId="13FB2FD7" w14:textId="77777777" w:rsidR="006C6E3A" w:rsidRPr="00C46471" w:rsidRDefault="006C6E3A" w:rsidP="00D81C50">
      <w:pPr>
        <w:pStyle w:val="parrafos"/>
        <w:numPr>
          <w:ilvl w:val="0"/>
          <w:numId w:val="0"/>
        </w:numPr>
        <w:rPr>
          <w:rFonts w:eastAsia="Times New Roman"/>
        </w:rPr>
      </w:pPr>
    </w:p>
    <w:p w14:paraId="26670D92" w14:textId="77777777" w:rsidR="0097538C" w:rsidRPr="00F71A46" w:rsidRDefault="006C6E3A" w:rsidP="00D81C50">
      <w:pPr>
        <w:pStyle w:val="parrafos"/>
        <w:ind w:left="0" w:firstLine="0"/>
        <w:rPr>
          <w:rFonts w:eastAsia="Times New Roman"/>
        </w:rPr>
      </w:pPr>
      <w:r w:rsidRPr="00C46471">
        <w:rPr>
          <w:rFonts w:eastAsia="Times New Roman"/>
        </w:rPr>
        <w:t>Por todo lo anterior, la Comisión encuentra que se configuró una violación al artículo 7</w:t>
      </w:r>
      <w:r w:rsidR="00EB284C" w:rsidRPr="00C46471">
        <w:rPr>
          <w:rFonts w:eastAsia="Times New Roman"/>
        </w:rPr>
        <w:t>.4</w:t>
      </w:r>
      <w:r w:rsidRPr="00C46471">
        <w:rPr>
          <w:rFonts w:eastAsia="Times New Roman"/>
        </w:rPr>
        <w:t xml:space="preserve"> de la Convenci</w:t>
      </w:r>
      <w:r w:rsidR="00EB284C" w:rsidRPr="00C46471">
        <w:rPr>
          <w:rFonts w:eastAsia="Times New Roman"/>
        </w:rPr>
        <w:t xml:space="preserve">ón Americana en relación con el derecho a acceder a la asistencia consular en la </w:t>
      </w:r>
      <w:r w:rsidRPr="00C46471">
        <w:rPr>
          <w:rFonts w:eastAsia="Times New Roman"/>
        </w:rPr>
        <w:t>detención</w:t>
      </w:r>
      <w:r w:rsidR="00D57A26" w:rsidRPr="00C46471">
        <w:rPr>
          <w:rFonts w:eastAsia="Times New Roman"/>
        </w:rPr>
        <w:t>, que a asu vez generó una violación a su derecho a la defensa por lo que implica una violación también al artículo 8</w:t>
      </w:r>
      <w:r w:rsidR="0055013C" w:rsidRPr="00C46471">
        <w:rPr>
          <w:rFonts w:eastAsia="Times New Roman"/>
        </w:rPr>
        <w:t xml:space="preserve"> </w:t>
      </w:r>
      <w:r w:rsidR="00D57A26" w:rsidRPr="00C46471">
        <w:rPr>
          <w:rFonts w:eastAsia="Times New Roman"/>
        </w:rPr>
        <w:t>de la Convención</w:t>
      </w:r>
      <w:r w:rsidR="00EB284C" w:rsidRPr="00C46471">
        <w:rPr>
          <w:rFonts w:eastAsia="Times New Roman"/>
        </w:rPr>
        <w:t xml:space="preserve">. </w:t>
      </w:r>
      <w:r w:rsidR="00AE0015" w:rsidRPr="00C46471">
        <w:rPr>
          <w:lang w:val="es-CO"/>
        </w:rPr>
        <w:t xml:space="preserve"> </w:t>
      </w:r>
    </w:p>
    <w:p w14:paraId="5A8051EF" w14:textId="77777777" w:rsidR="00F71A46" w:rsidRPr="00C46471" w:rsidRDefault="00F71A46" w:rsidP="00F3645F">
      <w:pPr>
        <w:pStyle w:val="parrafos"/>
        <w:numPr>
          <w:ilvl w:val="0"/>
          <w:numId w:val="0"/>
        </w:numPr>
        <w:rPr>
          <w:rFonts w:eastAsia="Times New Roman"/>
        </w:rPr>
      </w:pPr>
    </w:p>
    <w:p w14:paraId="07D42B00" w14:textId="77777777" w:rsidR="007B60D0" w:rsidRPr="00A10EEE" w:rsidRDefault="007B60D0" w:rsidP="00D81C50">
      <w:pPr>
        <w:tabs>
          <w:tab w:val="left" w:pos="360"/>
        </w:tabs>
        <w:jc w:val="both"/>
        <w:rPr>
          <w:rFonts w:asciiTheme="majorHAnsi" w:hAnsiTheme="majorHAnsi"/>
          <w:sz w:val="20"/>
          <w:szCs w:val="20"/>
          <w:lang w:val="es-CL"/>
        </w:rPr>
      </w:pPr>
    </w:p>
    <w:p w14:paraId="71824510" w14:textId="77777777" w:rsidR="007B60D0" w:rsidRPr="00B8126D" w:rsidRDefault="007B60D0" w:rsidP="00B8126D">
      <w:pPr>
        <w:pStyle w:val="Heading1"/>
      </w:pPr>
      <w:bookmarkStart w:id="19" w:name="_Toc39489221"/>
      <w:r w:rsidRPr="00B8126D">
        <w:t>CONCLUSIONES Y RECOMENDACIONES</w:t>
      </w:r>
      <w:bookmarkEnd w:id="19"/>
      <w:r w:rsidRPr="00B8126D">
        <w:t xml:space="preserve"> </w:t>
      </w:r>
    </w:p>
    <w:p w14:paraId="2DA05B25" w14:textId="77777777" w:rsidR="007B60D0" w:rsidRPr="00A10EEE" w:rsidRDefault="007B60D0" w:rsidP="00D81C50">
      <w:pPr>
        <w:tabs>
          <w:tab w:val="left" w:pos="360"/>
        </w:tabs>
        <w:suppressAutoHyphens/>
        <w:rPr>
          <w:rFonts w:asciiTheme="majorHAnsi" w:hAnsiTheme="majorHAnsi"/>
          <w:b/>
          <w:sz w:val="20"/>
          <w:szCs w:val="20"/>
        </w:rPr>
      </w:pPr>
    </w:p>
    <w:p w14:paraId="7BD5564E" w14:textId="77777777" w:rsidR="00096421" w:rsidRPr="00A10EEE" w:rsidRDefault="005B6744" w:rsidP="00096421">
      <w:pPr>
        <w:pStyle w:val="parrafos"/>
        <w:ind w:left="0" w:firstLine="0"/>
        <w:rPr>
          <w:lang w:val="es-CL"/>
        </w:rPr>
      </w:pPr>
      <w:r w:rsidRPr="00A10EEE">
        <w:rPr>
          <w:lang w:val="es-CL"/>
        </w:rPr>
        <w:lastRenderedPageBreak/>
        <w:t>La Comisión concluye que el Estado de Ecuador es responsable por la violación de los derechos a la libertad personal, a las garantías procesales y a la protección judicial  es</w:t>
      </w:r>
      <w:r w:rsidR="00AB43A8">
        <w:rPr>
          <w:lang w:val="es-CL"/>
        </w:rPr>
        <w:t>tablecidos en los artículos 7,</w:t>
      </w:r>
      <w:r w:rsidR="00602386" w:rsidRPr="00A10EEE">
        <w:rPr>
          <w:lang w:val="es-CL"/>
        </w:rPr>
        <w:t xml:space="preserve"> </w:t>
      </w:r>
      <w:r w:rsidR="008F2A2C" w:rsidRPr="00A10EEE">
        <w:rPr>
          <w:lang w:val="es-CL"/>
        </w:rPr>
        <w:t xml:space="preserve">22 </w:t>
      </w:r>
      <w:r w:rsidRPr="00A10EEE">
        <w:rPr>
          <w:lang w:val="es-CL"/>
        </w:rPr>
        <w:t xml:space="preserve">y 25 de la Convención </w:t>
      </w:r>
      <w:r w:rsidRPr="00A10EEE">
        <w:t>Americana</w:t>
      </w:r>
      <w:r w:rsidRPr="00A10EEE">
        <w:rPr>
          <w:lang w:val="es-CL"/>
        </w:rPr>
        <w:t>, en relación con las obligaciónes establecidas en los articulos 1.1 y 2 del mismo instrumento, en per</w:t>
      </w:r>
      <w:r w:rsidR="00096421" w:rsidRPr="00A10EEE">
        <w:rPr>
          <w:lang w:val="es-CL"/>
        </w:rPr>
        <w:t>juicio de Elías Gattass Sahih</w:t>
      </w:r>
      <w:r w:rsidR="00096421" w:rsidRPr="00A10EEE">
        <w:rPr>
          <w:lang w:val="es-CO"/>
        </w:rPr>
        <w:t xml:space="preserve">. </w:t>
      </w:r>
    </w:p>
    <w:p w14:paraId="425CF38F" w14:textId="77777777" w:rsidR="00096421" w:rsidRPr="00A10EEE" w:rsidRDefault="00096421" w:rsidP="00D81C50">
      <w:pPr>
        <w:tabs>
          <w:tab w:val="left" w:pos="360"/>
        </w:tabs>
        <w:ind w:left="630"/>
        <w:jc w:val="both"/>
        <w:rPr>
          <w:rFonts w:asciiTheme="majorHAnsi" w:hAnsiTheme="majorHAnsi"/>
          <w:sz w:val="20"/>
          <w:szCs w:val="20"/>
          <w:lang w:val="es-VE"/>
        </w:rPr>
      </w:pPr>
    </w:p>
    <w:p w14:paraId="02F88D4B" w14:textId="77777777" w:rsidR="007B60D0" w:rsidRPr="00A10EEE" w:rsidRDefault="007B60D0" w:rsidP="00D81C50">
      <w:pPr>
        <w:pStyle w:val="parrafos"/>
      </w:pPr>
      <w:r w:rsidRPr="00A10EEE">
        <w:t xml:space="preserve">En </w:t>
      </w:r>
      <w:r w:rsidRPr="00A10EEE">
        <w:rPr>
          <w:lang w:val="es-ES"/>
        </w:rPr>
        <w:t>virtud</w:t>
      </w:r>
      <w:r w:rsidRPr="00A10EEE">
        <w:t xml:space="preserve"> de las anteriores conclusiones</w:t>
      </w:r>
    </w:p>
    <w:p w14:paraId="14512FA5" w14:textId="77777777" w:rsidR="007B60D0" w:rsidRPr="00A10EEE" w:rsidRDefault="007B60D0" w:rsidP="00D81C50">
      <w:pPr>
        <w:tabs>
          <w:tab w:val="left" w:pos="360"/>
        </w:tabs>
        <w:suppressAutoHyphens/>
        <w:jc w:val="both"/>
        <w:rPr>
          <w:rFonts w:asciiTheme="majorHAnsi" w:hAnsiTheme="majorHAnsi"/>
          <w:sz w:val="20"/>
          <w:szCs w:val="20"/>
        </w:rPr>
      </w:pPr>
    </w:p>
    <w:p w14:paraId="099D85AB" w14:textId="77777777" w:rsidR="007B60D0" w:rsidRPr="00A10EEE" w:rsidRDefault="007B60D0" w:rsidP="00D81C50">
      <w:pPr>
        <w:tabs>
          <w:tab w:val="left" w:pos="360"/>
        </w:tabs>
        <w:jc w:val="both"/>
        <w:rPr>
          <w:rFonts w:asciiTheme="majorHAnsi" w:hAnsiTheme="majorHAnsi"/>
          <w:b/>
          <w:color w:val="000000" w:themeColor="text1"/>
          <w:sz w:val="20"/>
          <w:szCs w:val="20"/>
        </w:rPr>
      </w:pPr>
      <w:r w:rsidRPr="00A10EEE">
        <w:rPr>
          <w:rFonts w:asciiTheme="majorHAnsi" w:hAnsiTheme="majorHAnsi"/>
          <w:b/>
          <w:color w:val="000000" w:themeColor="text1"/>
          <w:sz w:val="20"/>
          <w:szCs w:val="20"/>
        </w:rPr>
        <w:t>LA COMISIÓN INTERAMERICANA DE DERECHOS HUMANOS, RECOMIENDA AL ESTADO DE ECUADOR,</w:t>
      </w:r>
    </w:p>
    <w:p w14:paraId="7B1DA87D" w14:textId="77777777" w:rsidR="007B60D0" w:rsidRPr="00A10EEE" w:rsidRDefault="007B60D0" w:rsidP="00D81C50">
      <w:pPr>
        <w:tabs>
          <w:tab w:val="left" w:pos="360"/>
        </w:tabs>
        <w:rPr>
          <w:rFonts w:asciiTheme="majorHAnsi" w:hAnsiTheme="majorHAnsi"/>
          <w:sz w:val="20"/>
          <w:szCs w:val="20"/>
          <w:lang w:val="es-VE"/>
        </w:rPr>
      </w:pPr>
    </w:p>
    <w:p w14:paraId="3BD5CC88" w14:textId="77777777" w:rsidR="005B6744" w:rsidRPr="000A6FD6" w:rsidRDefault="007B60D0" w:rsidP="00845DB1">
      <w:pPr>
        <w:pStyle w:val="parrafos"/>
        <w:numPr>
          <w:ilvl w:val="0"/>
          <w:numId w:val="56"/>
        </w:numPr>
        <w:tabs>
          <w:tab w:val="clear" w:pos="360"/>
        </w:tabs>
        <w:ind w:left="709"/>
        <w:rPr>
          <w:bdr w:val="none" w:sz="0" w:space="0" w:color="auto"/>
        </w:rPr>
      </w:pPr>
      <w:r w:rsidRPr="00A10EEE">
        <w:rPr>
          <w:bdr w:val="none" w:sz="0" w:space="0" w:color="auto"/>
        </w:rPr>
        <w:t xml:space="preserve">Reparar </w:t>
      </w:r>
      <w:r w:rsidRPr="000A6FD6">
        <w:rPr>
          <w:bdr w:val="none" w:sz="0" w:space="0" w:color="auto"/>
        </w:rPr>
        <w:t>integralmente las violaciones de derechos humanos declaradas en el presente informe tanto en el aspecto material como inmaterial</w:t>
      </w:r>
      <w:r w:rsidR="00AF625C" w:rsidRPr="000A6FD6">
        <w:rPr>
          <w:bdr w:val="none" w:sz="0" w:space="0" w:color="auto"/>
        </w:rPr>
        <w:t>, en función de las violaciones incurridas</w:t>
      </w:r>
      <w:r w:rsidRPr="000A6FD6">
        <w:rPr>
          <w:bdr w:val="none" w:sz="0" w:space="0" w:color="auto"/>
        </w:rPr>
        <w:t xml:space="preserve">. El Estado deberá adoptar las medidas de compensación económica y satisfacción. </w:t>
      </w:r>
    </w:p>
    <w:p w14:paraId="14144078" w14:textId="77777777" w:rsidR="00912A3C" w:rsidRPr="000A6FD6" w:rsidRDefault="00912A3C" w:rsidP="00D81C50">
      <w:pPr>
        <w:pStyle w:val="parrafos"/>
        <w:numPr>
          <w:ilvl w:val="0"/>
          <w:numId w:val="0"/>
        </w:numPr>
        <w:tabs>
          <w:tab w:val="clear" w:pos="360"/>
        </w:tabs>
        <w:rPr>
          <w:bdr w:val="none" w:sz="0" w:space="0" w:color="auto"/>
        </w:rPr>
      </w:pPr>
    </w:p>
    <w:p w14:paraId="67FA04DF" w14:textId="77777777" w:rsidR="007B60D0" w:rsidRDefault="00A10EEE" w:rsidP="00845DB1">
      <w:pPr>
        <w:pStyle w:val="parrafos"/>
        <w:numPr>
          <w:ilvl w:val="0"/>
          <w:numId w:val="56"/>
        </w:numPr>
        <w:tabs>
          <w:tab w:val="clear" w:pos="360"/>
        </w:tabs>
        <w:ind w:left="709"/>
        <w:rPr>
          <w:bdr w:val="none" w:sz="0" w:space="0" w:color="auto"/>
        </w:rPr>
      </w:pPr>
      <w:r w:rsidRPr="000A6FD6">
        <w:rPr>
          <w:bdr w:val="none" w:sz="0" w:space="0" w:color="auto"/>
        </w:rPr>
        <w:t xml:space="preserve">Adoptar las medidas de carácter legislativo, administrativo o de cualquier índole para asegurar que los procesos de revocatoria de visa que deriven en la expulsión de una persona de su territorio sean conducidos de conformidad con los estándares interamericanos </w:t>
      </w:r>
      <w:r w:rsidR="00AF625C" w:rsidRPr="000A6FD6">
        <w:rPr>
          <w:bdr w:val="none" w:sz="0" w:space="0" w:color="auto"/>
        </w:rPr>
        <w:t xml:space="preserve">sobre </w:t>
      </w:r>
      <w:r w:rsidR="000C4B5D">
        <w:rPr>
          <w:bdr w:val="none" w:sz="0" w:space="0" w:color="auto"/>
        </w:rPr>
        <w:t xml:space="preserve">las garantías aplicables </w:t>
      </w:r>
      <w:r w:rsidR="00AF625C" w:rsidRPr="000A6FD6">
        <w:rPr>
          <w:bdr w:val="none" w:sz="0" w:space="0" w:color="auto"/>
        </w:rPr>
        <w:t>en estos procedimientos</w:t>
      </w:r>
      <w:r w:rsidR="00F30947" w:rsidRPr="000A6FD6">
        <w:rPr>
          <w:bdr w:val="none" w:sz="0" w:space="0" w:color="auto"/>
        </w:rPr>
        <w:t>.</w:t>
      </w:r>
    </w:p>
    <w:p w14:paraId="7D99D193" w14:textId="77777777" w:rsidR="006E59D1" w:rsidRDefault="006E59D1" w:rsidP="006E59D1">
      <w:pPr>
        <w:pStyle w:val="ListParagraph"/>
        <w:rPr>
          <w:bdr w:val="none" w:sz="0" w:space="0" w:color="auto"/>
        </w:rPr>
      </w:pPr>
    </w:p>
    <w:p w14:paraId="1109EA31" w14:textId="77777777" w:rsidR="006E59D1" w:rsidRDefault="006E59D1" w:rsidP="006E59D1">
      <w:pPr>
        <w:ind w:firstLine="360"/>
        <w:jc w:val="both"/>
        <w:rPr>
          <w:rFonts w:ascii="Cambria" w:hAnsi="Cambria"/>
          <w:spacing w:val="-2"/>
          <w:sz w:val="20"/>
          <w:szCs w:val="20"/>
          <w:lang w:val="es-CL"/>
        </w:rPr>
      </w:pPr>
      <w:r>
        <w:rPr>
          <w:rFonts w:ascii="Cambria" w:hAnsi="Cambria"/>
          <w:spacing w:val="-2"/>
          <w:sz w:val="20"/>
          <w:szCs w:val="20"/>
          <w:lang w:val="es-CL"/>
        </w:rPr>
        <w:t>Aprobado por la Comisión Interamericana de Derechos Humanos a los 14 días del mes de julio de 2020.  (Firmado):</w:t>
      </w:r>
      <w:r w:rsidRPr="00E02D8D">
        <w:rPr>
          <w:rFonts w:ascii="Cambria" w:hAnsi="Cambria"/>
          <w:spacing w:val="-2"/>
          <w:sz w:val="20"/>
          <w:szCs w:val="20"/>
          <w:lang w:val="es-CL"/>
        </w:rPr>
        <w:t xml:space="preserve"> </w:t>
      </w:r>
      <w:r>
        <w:rPr>
          <w:rFonts w:ascii="Cambria" w:hAnsi="Cambria"/>
          <w:spacing w:val="-2"/>
          <w:sz w:val="20"/>
          <w:szCs w:val="20"/>
          <w:lang w:val="es-CL"/>
        </w:rPr>
        <w:t xml:space="preserve">Joel Hernández García, Presidente; Antonia Urrejola Noguera, Primera Vicepresidenta; </w:t>
      </w:r>
      <w:r w:rsidRPr="00E02D8D">
        <w:rPr>
          <w:rFonts w:ascii="Cambria" w:hAnsi="Cambria"/>
          <w:spacing w:val="-2"/>
          <w:sz w:val="20"/>
          <w:lang w:val="es-US"/>
        </w:rPr>
        <w:t>Flávia Piovesan</w:t>
      </w:r>
      <w:r>
        <w:rPr>
          <w:rFonts w:ascii="Cambria" w:hAnsi="Cambria"/>
          <w:spacing w:val="-2"/>
          <w:sz w:val="20"/>
          <w:lang w:val="es-US"/>
        </w:rPr>
        <w:t>,</w:t>
      </w:r>
      <w:r>
        <w:rPr>
          <w:rFonts w:ascii="Cambria" w:hAnsi="Cambria"/>
          <w:spacing w:val="-2"/>
          <w:sz w:val="20"/>
          <w:szCs w:val="20"/>
          <w:lang w:val="es-CL"/>
        </w:rPr>
        <w:t xml:space="preserve"> Segunda Vicepresidenta; Margarette May Macaulay, Esmeralda Arosemena de Troitiño, </w:t>
      </w:r>
      <w:r w:rsidRPr="00E02D8D">
        <w:rPr>
          <w:rFonts w:ascii="Cambria" w:hAnsi="Cambria"/>
          <w:spacing w:val="-2"/>
          <w:sz w:val="20"/>
          <w:lang w:val="es-US"/>
        </w:rPr>
        <w:t>Julissa Mantilla Falcón</w:t>
      </w:r>
      <w:r>
        <w:rPr>
          <w:rFonts w:ascii="Cambria" w:hAnsi="Cambria"/>
          <w:spacing w:val="-2"/>
          <w:sz w:val="20"/>
          <w:lang w:val="es-US"/>
        </w:rPr>
        <w:t xml:space="preserve"> y Edgar Stuardo Ralón Orellana,</w:t>
      </w:r>
      <w:r>
        <w:rPr>
          <w:rFonts w:ascii="Cambria" w:hAnsi="Cambria"/>
          <w:spacing w:val="-2"/>
          <w:sz w:val="20"/>
          <w:szCs w:val="20"/>
          <w:lang w:val="es-CL"/>
        </w:rPr>
        <w:t xml:space="preserve"> Miembros de la Comisión.</w:t>
      </w:r>
      <w:r>
        <w:rPr>
          <w:rFonts w:ascii="Cambria" w:hAnsi="Cambria"/>
          <w:sz w:val="20"/>
          <w:szCs w:val="20"/>
          <w:lang w:val="es-CL"/>
        </w:rPr>
        <w:t xml:space="preserve"> </w:t>
      </w:r>
    </w:p>
    <w:p w14:paraId="446A21F5" w14:textId="77777777" w:rsidR="006E59D1" w:rsidRDefault="006E59D1" w:rsidP="006E59D1">
      <w:pPr>
        <w:ind w:firstLine="360"/>
        <w:jc w:val="both"/>
        <w:rPr>
          <w:rFonts w:ascii="Cambria" w:hAnsi="Cambria"/>
          <w:spacing w:val="-2"/>
          <w:sz w:val="20"/>
          <w:szCs w:val="20"/>
          <w:lang w:val="es-CL"/>
        </w:rPr>
      </w:pPr>
    </w:p>
    <w:p w14:paraId="36A58AC6" w14:textId="77777777" w:rsidR="006E59D1" w:rsidRDefault="006E59D1" w:rsidP="006E59D1">
      <w:pPr>
        <w:ind w:firstLine="360"/>
        <w:jc w:val="both"/>
        <w:rPr>
          <w:rFonts w:ascii="Cambria" w:hAnsi="Cambria"/>
          <w:sz w:val="20"/>
          <w:szCs w:val="20"/>
          <w:lang w:val="es-CL"/>
        </w:rPr>
      </w:pPr>
      <w:r>
        <w:rPr>
          <w:rFonts w:ascii="Cambria" w:hAnsi="Cambria"/>
          <w:sz w:val="20"/>
          <w:szCs w:val="20"/>
          <w:lang w:val="es-CL"/>
        </w:rPr>
        <w:t xml:space="preserve">La que suscribe, </w:t>
      </w:r>
      <w:r>
        <w:rPr>
          <w:rFonts w:ascii="Cambria" w:hAnsi="Cambria" w:cs="Arial"/>
          <w:sz w:val="20"/>
          <w:szCs w:val="20"/>
          <w:lang w:val="es-PE"/>
        </w:rPr>
        <w:t>Marisol Blanchard</w:t>
      </w:r>
      <w:r>
        <w:rPr>
          <w:rFonts w:ascii="Cambria" w:hAnsi="Cambria"/>
          <w:sz w:val="20"/>
          <w:szCs w:val="20"/>
          <w:lang w:val="es-CL"/>
        </w:rPr>
        <w:t>, Secretaria Ejecutiva Adjunta, de conformidad con el artículo 49 del Reglamento de la Comisión, certifica que es copia fiel del original depositado en los archivos de la Secretaría de la CIDH.</w:t>
      </w:r>
    </w:p>
    <w:p w14:paraId="07C98E72" w14:textId="77777777" w:rsidR="006E59D1" w:rsidRDefault="006E59D1" w:rsidP="006E59D1">
      <w:pPr>
        <w:jc w:val="center"/>
        <w:rPr>
          <w:rFonts w:ascii="Cambria" w:hAnsi="Cambria"/>
          <w:sz w:val="20"/>
          <w:szCs w:val="20"/>
        </w:rPr>
      </w:pPr>
      <w:r>
        <w:rPr>
          <w:rFonts w:ascii="Cambria" w:hAnsi="Cambria"/>
          <w:sz w:val="20"/>
          <w:szCs w:val="20"/>
          <w:lang w:val="es-CL"/>
        </w:rPr>
        <w:t xml:space="preserve">     </w:t>
      </w:r>
      <w:r>
        <w:rPr>
          <w:rFonts w:cs="Calibri"/>
          <w:noProof/>
          <w:lang w:val="en-US" w:eastAsia="en-US"/>
        </w:rPr>
        <w:drawing>
          <wp:inline distT="0" distB="0" distL="0" distR="0" wp14:anchorId="388C693B" wp14:editId="7DADBEBE">
            <wp:extent cx="1257300" cy="742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57300" cy="742950"/>
                    </a:xfrm>
                    <a:prstGeom prst="rect">
                      <a:avLst/>
                    </a:prstGeom>
                    <a:noFill/>
                    <a:ln>
                      <a:noFill/>
                    </a:ln>
                  </pic:spPr>
                </pic:pic>
              </a:graphicData>
            </a:graphic>
          </wp:inline>
        </w:drawing>
      </w:r>
    </w:p>
    <w:p w14:paraId="5A6A6DF3" w14:textId="77777777" w:rsidR="006E59D1" w:rsidRPr="000426AA" w:rsidRDefault="006E59D1" w:rsidP="006E59D1">
      <w:pPr>
        <w:tabs>
          <w:tab w:val="left" w:pos="810"/>
        </w:tabs>
        <w:suppressAutoHyphens/>
        <w:jc w:val="center"/>
        <w:rPr>
          <w:rFonts w:ascii="Cambria" w:hAnsi="Cambria" w:cs="Calibri"/>
          <w:i/>
          <w:sz w:val="20"/>
          <w:szCs w:val="20"/>
          <w:lang w:val="pt-BR"/>
        </w:rPr>
      </w:pPr>
      <w:r w:rsidRPr="000426AA">
        <w:rPr>
          <w:rFonts w:ascii="Cambria" w:hAnsi="Cambria" w:cs="Calibri"/>
          <w:sz w:val="20"/>
          <w:szCs w:val="20"/>
          <w:lang w:val="pt-BR"/>
        </w:rPr>
        <w:t>Marisol Blanchard</w:t>
      </w:r>
    </w:p>
    <w:p w14:paraId="4008E881" w14:textId="77777777" w:rsidR="006E59D1" w:rsidRPr="000426AA" w:rsidRDefault="006E59D1" w:rsidP="006E59D1">
      <w:pPr>
        <w:tabs>
          <w:tab w:val="left" w:pos="810"/>
        </w:tabs>
        <w:suppressAutoHyphens/>
        <w:jc w:val="center"/>
        <w:rPr>
          <w:rFonts w:ascii="Cambria" w:hAnsi="Cambria" w:cs="Calibri"/>
          <w:sz w:val="20"/>
          <w:szCs w:val="20"/>
          <w:lang w:val="pt-BR"/>
        </w:rPr>
      </w:pPr>
      <w:r w:rsidRPr="000426AA">
        <w:rPr>
          <w:rFonts w:ascii="Cambria" w:hAnsi="Cambria" w:cs="Calibri"/>
          <w:sz w:val="20"/>
          <w:szCs w:val="20"/>
          <w:lang w:val="pt-BR"/>
        </w:rPr>
        <w:t>Secretaria Ejecutiva Adjunt</w:t>
      </w:r>
      <w:r>
        <w:rPr>
          <w:rFonts w:ascii="Cambria" w:hAnsi="Cambria" w:cs="Calibri"/>
          <w:sz w:val="20"/>
          <w:szCs w:val="20"/>
          <w:lang w:val="pt-BR"/>
        </w:rPr>
        <w:t>a</w:t>
      </w:r>
    </w:p>
    <w:p w14:paraId="30CC85EA" w14:textId="77777777" w:rsidR="006E59D1" w:rsidRPr="000A6FD6" w:rsidRDefault="006E59D1" w:rsidP="006E59D1">
      <w:pPr>
        <w:pStyle w:val="parrafos"/>
        <w:numPr>
          <w:ilvl w:val="0"/>
          <w:numId w:val="0"/>
        </w:numPr>
        <w:tabs>
          <w:tab w:val="clear" w:pos="360"/>
        </w:tabs>
        <w:ind w:left="360" w:hanging="360"/>
        <w:rPr>
          <w:bdr w:val="none" w:sz="0" w:space="0" w:color="auto"/>
        </w:rPr>
      </w:pPr>
    </w:p>
    <w:sectPr w:rsidR="006E59D1" w:rsidRPr="000A6FD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A0A22" w14:textId="77777777" w:rsidR="004F1D71" w:rsidRDefault="004F1D71">
      <w:r>
        <w:separator/>
      </w:r>
    </w:p>
  </w:endnote>
  <w:endnote w:type="continuationSeparator" w:id="0">
    <w:p w14:paraId="624FB686" w14:textId="77777777" w:rsidR="004F1D71" w:rsidRDefault="004F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645BDF52" w14:textId="77777777" w:rsidR="00C6400A" w:rsidRPr="00934A2C" w:rsidRDefault="00C6400A">
        <w:pPr>
          <w:pStyle w:val="Footer"/>
          <w:jc w:val="center"/>
          <w:rPr>
            <w:sz w:val="16"/>
            <w:szCs w:val="22"/>
          </w:rPr>
        </w:pPr>
        <w:r w:rsidRPr="00934A2C">
          <w:rPr>
            <w:sz w:val="16"/>
            <w:szCs w:val="22"/>
          </w:rPr>
          <w:fldChar w:fldCharType="begin"/>
        </w:r>
        <w:r w:rsidRPr="00934A2C">
          <w:rPr>
            <w:sz w:val="16"/>
            <w:szCs w:val="22"/>
          </w:rPr>
          <w:instrText xml:space="preserve"> </w:instrText>
        </w:r>
        <w:r>
          <w:rPr>
            <w:sz w:val="16"/>
            <w:szCs w:val="22"/>
          </w:rPr>
          <w:instrText>PAGE</w:instrText>
        </w:r>
        <w:r w:rsidRPr="00934A2C">
          <w:rPr>
            <w:sz w:val="16"/>
            <w:szCs w:val="22"/>
          </w:rPr>
          <w:instrText xml:space="preserve">   \* MERGEFORMAT </w:instrText>
        </w:r>
        <w:r w:rsidRPr="00934A2C">
          <w:rPr>
            <w:sz w:val="16"/>
            <w:szCs w:val="22"/>
          </w:rPr>
          <w:fldChar w:fldCharType="separate"/>
        </w:r>
        <w:r w:rsidR="00047EC9">
          <w:rPr>
            <w:noProof/>
            <w:sz w:val="16"/>
            <w:szCs w:val="22"/>
          </w:rPr>
          <w:t>19</w:t>
        </w:r>
        <w:r w:rsidRPr="00934A2C">
          <w:rPr>
            <w:noProof/>
            <w:sz w:val="16"/>
            <w:szCs w:val="22"/>
          </w:rPr>
          <w:fldChar w:fldCharType="end"/>
        </w:r>
      </w:p>
    </w:sdtContent>
  </w:sdt>
  <w:p w14:paraId="33934B02" w14:textId="77777777" w:rsidR="00C6400A" w:rsidRDefault="00C640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0024" w14:textId="77777777" w:rsidR="00C6400A" w:rsidRPr="00934A2C" w:rsidRDefault="00C6400A">
    <w:pPr>
      <w:pStyle w:val="Footer"/>
      <w:jc w:val="center"/>
      <w:rPr>
        <w:sz w:val="16"/>
        <w:szCs w:val="22"/>
      </w:rPr>
    </w:pPr>
  </w:p>
  <w:p w14:paraId="694B1422" w14:textId="77777777" w:rsidR="00C6400A" w:rsidRDefault="00C64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B75B7" w14:textId="77777777" w:rsidR="004F1D71" w:rsidRPr="000F35ED" w:rsidRDefault="004F1D7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210BB4C" w14:textId="77777777" w:rsidR="004F1D71" w:rsidRPr="000F35ED" w:rsidRDefault="004F1D71" w:rsidP="000F35ED">
      <w:pPr>
        <w:rPr>
          <w:rFonts w:asciiTheme="majorHAnsi" w:hAnsiTheme="majorHAnsi"/>
          <w:sz w:val="16"/>
          <w:szCs w:val="16"/>
        </w:rPr>
      </w:pPr>
      <w:r w:rsidRPr="000F35ED">
        <w:rPr>
          <w:rFonts w:asciiTheme="majorHAnsi" w:hAnsiTheme="majorHAnsi"/>
          <w:sz w:val="16"/>
          <w:szCs w:val="16"/>
        </w:rPr>
        <w:separator/>
      </w:r>
    </w:p>
    <w:p w14:paraId="06EE3DFC" w14:textId="77777777" w:rsidR="004F1D71" w:rsidRPr="000F35ED" w:rsidRDefault="004F1D7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2D30474" w14:textId="77777777" w:rsidR="004F1D71" w:rsidRPr="000F35ED" w:rsidRDefault="004F1D7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8E8F015" w14:textId="77777777" w:rsidR="00C6400A" w:rsidRPr="00A10EEE" w:rsidRDefault="00C6400A">
      <w:pPr>
        <w:pStyle w:val="FootnoteText"/>
        <w:rPr>
          <w:color w:val="000000" w:themeColor="text1"/>
          <w:lang w:val="es-ES"/>
        </w:rPr>
      </w:pPr>
      <w:r w:rsidRPr="00A10EEE">
        <w:rPr>
          <w:rStyle w:val="FootnoteReference"/>
          <w:color w:val="000000" w:themeColor="text1"/>
        </w:rPr>
        <w:footnoteRef/>
      </w:r>
      <w:r w:rsidRPr="00A10EEE">
        <w:rPr>
          <w:color w:val="000000" w:themeColor="text1"/>
          <w:lang w:val="es-US"/>
        </w:rPr>
        <w:t xml:space="preserve"> CIDH. Informe No. 09/05. Petición 1-03. Admisibilidad. Elías Gattass Sahih. Ecuador</w:t>
      </w:r>
      <w:r w:rsidRPr="00A10EEE">
        <w:rPr>
          <w:color w:val="000000" w:themeColor="text1"/>
          <w:lang w:val="es-ES"/>
        </w:rPr>
        <w:t xml:space="preserve">. 23 de febrero de 2005. La Comisión declaró admisible la petición en relación con los artículos 1.1, 2, 7, 8, 22 y 25 de la Convención Americana. </w:t>
      </w:r>
    </w:p>
  </w:footnote>
  <w:footnote w:id="3">
    <w:p w14:paraId="5B4F2F64" w14:textId="77777777" w:rsidR="00C6400A" w:rsidRPr="003F1717" w:rsidRDefault="00C6400A">
      <w:pPr>
        <w:pStyle w:val="FootnoteText"/>
        <w:rPr>
          <w:rFonts w:ascii="Cambria" w:hAnsi="Cambria"/>
          <w:lang w:val="es-ES"/>
        </w:rPr>
      </w:pPr>
      <w:r w:rsidRPr="003F1717">
        <w:rPr>
          <w:rStyle w:val="FootnoteReference"/>
        </w:rPr>
        <w:footnoteRef/>
      </w:r>
      <w:r w:rsidRPr="003F1717">
        <w:rPr>
          <w:lang w:val="es-US"/>
        </w:rPr>
        <w:t xml:space="preserve"> </w:t>
      </w:r>
      <w:r w:rsidRPr="003F1717">
        <w:rPr>
          <w:rFonts w:ascii="Cambria" w:hAnsi="Cambria"/>
          <w:b/>
          <w:bCs/>
          <w:lang w:val="es-ES"/>
        </w:rPr>
        <w:t>Anexo 1</w:t>
      </w:r>
      <w:r w:rsidRPr="003F1717">
        <w:rPr>
          <w:rFonts w:ascii="Cambria" w:hAnsi="Cambria"/>
          <w:lang w:val="es-ES"/>
        </w:rPr>
        <w:t xml:space="preserve">. Registro de Inmigrantes de la Dirección General de Extranjería de 24 de octubre de 2001. Anexo 2 de la comunicación del Estado de 7 de junio de 2016. </w:t>
      </w:r>
    </w:p>
  </w:footnote>
  <w:footnote w:id="4">
    <w:p w14:paraId="07DA0066" w14:textId="77777777" w:rsidR="00C6400A" w:rsidRPr="003F1717" w:rsidRDefault="00C6400A">
      <w:pPr>
        <w:pStyle w:val="FootnoteText"/>
        <w:rPr>
          <w:rFonts w:ascii="Cambria" w:hAnsi="Cambria"/>
          <w:lang w:val="es-ES"/>
        </w:rPr>
      </w:pPr>
      <w:r w:rsidRPr="003F1717">
        <w:rPr>
          <w:rStyle w:val="FootnoteReference"/>
        </w:rPr>
        <w:footnoteRef/>
      </w:r>
      <w:r w:rsidRPr="003F1717">
        <w:rPr>
          <w:lang w:val="es-US"/>
        </w:rPr>
        <w:t xml:space="preserve"> </w:t>
      </w:r>
      <w:r w:rsidRPr="003F1717">
        <w:rPr>
          <w:rFonts w:ascii="Cambria" w:hAnsi="Cambria"/>
          <w:b/>
          <w:bCs/>
          <w:lang w:val="es-ES"/>
        </w:rPr>
        <w:t>Anexo 2.</w:t>
      </w:r>
      <w:r w:rsidRPr="003F1717">
        <w:rPr>
          <w:rFonts w:ascii="Cambria" w:hAnsi="Cambria"/>
          <w:lang w:val="es-ES"/>
        </w:rPr>
        <w:t xml:space="preserve"> Denuncia de Leila Juliana Carvajal a la Comisaría de la Mujer y la Familia del Guayas, 10 de julio de 2001. Anexo 3 de la comunicación del Estado de 7 de junio de 2016</w:t>
      </w:r>
      <w:r w:rsidRPr="003F1717">
        <w:rPr>
          <w:lang w:val="es-ES"/>
        </w:rPr>
        <w:t xml:space="preserve">. </w:t>
      </w:r>
    </w:p>
  </w:footnote>
  <w:footnote w:id="5">
    <w:p w14:paraId="514E0034" w14:textId="77777777" w:rsidR="00C6400A" w:rsidRPr="003F1717" w:rsidRDefault="00C6400A">
      <w:pPr>
        <w:pStyle w:val="FootnoteText"/>
        <w:rPr>
          <w:rFonts w:ascii="Cambria" w:hAnsi="Cambria"/>
          <w:lang w:val="es-ES"/>
        </w:rPr>
      </w:pPr>
      <w:r w:rsidRPr="003F1717">
        <w:rPr>
          <w:rStyle w:val="FootnoteReference"/>
        </w:rPr>
        <w:footnoteRef/>
      </w:r>
      <w:r w:rsidRPr="003F1717">
        <w:rPr>
          <w:lang w:val="es-US"/>
        </w:rPr>
        <w:t xml:space="preserve"> </w:t>
      </w:r>
      <w:r w:rsidRPr="003F1717">
        <w:rPr>
          <w:rFonts w:ascii="Cambria" w:hAnsi="Cambria"/>
          <w:b/>
          <w:bCs/>
          <w:lang w:val="es-ES"/>
        </w:rPr>
        <w:t>Anexo 3.</w:t>
      </w:r>
      <w:r w:rsidRPr="003F1717">
        <w:rPr>
          <w:rFonts w:ascii="Cambria" w:hAnsi="Cambria"/>
          <w:lang w:val="es-ES"/>
        </w:rPr>
        <w:t xml:space="preserve"> Providencia de la Comisaría Séptima de la Mujer y la Familia del Guayas, 10 de julio de 2001. Anexo 4 de la comunicación del Estado de 7 de junio de 2016.</w:t>
      </w:r>
    </w:p>
  </w:footnote>
  <w:footnote w:id="6">
    <w:p w14:paraId="386A98BE" w14:textId="77777777" w:rsidR="00C6400A" w:rsidRPr="003F1717" w:rsidRDefault="00C6400A">
      <w:pPr>
        <w:pStyle w:val="FootnoteText"/>
        <w:rPr>
          <w:rFonts w:ascii="Cambria" w:hAnsi="Cambria"/>
          <w:lang w:val="es-ES"/>
        </w:rPr>
      </w:pPr>
      <w:r w:rsidRPr="003F1717">
        <w:rPr>
          <w:rStyle w:val="FootnoteReference"/>
        </w:rPr>
        <w:footnoteRef/>
      </w:r>
      <w:r w:rsidRPr="003F1717">
        <w:rPr>
          <w:lang w:val="es-US"/>
        </w:rPr>
        <w:t xml:space="preserve"> </w:t>
      </w:r>
      <w:r w:rsidRPr="003F1717">
        <w:rPr>
          <w:rFonts w:ascii="Cambria" w:hAnsi="Cambria"/>
          <w:b/>
          <w:bCs/>
          <w:lang w:val="es-ES"/>
        </w:rPr>
        <w:t>Anexo 4.</w:t>
      </w:r>
      <w:r w:rsidRPr="003F1717">
        <w:rPr>
          <w:rFonts w:ascii="Cambria" w:hAnsi="Cambria"/>
          <w:lang w:val="es-ES"/>
        </w:rPr>
        <w:t xml:space="preserve"> Resolución del Consejo Consultivo de Política Migratoria de 22 de noviembre de 2001. Anexo  5 de la comunicación del Estado de 7 de junio de 2016. </w:t>
      </w:r>
    </w:p>
  </w:footnote>
  <w:footnote w:id="7">
    <w:p w14:paraId="6C72804C" w14:textId="77777777" w:rsidR="00C6400A" w:rsidRPr="003F1717" w:rsidRDefault="00C6400A">
      <w:pPr>
        <w:pStyle w:val="FootnoteText"/>
        <w:rPr>
          <w:rFonts w:ascii="Cambria" w:hAnsi="Cambria"/>
          <w:lang w:val="es-ES"/>
        </w:rPr>
      </w:pPr>
      <w:r w:rsidRPr="003F1717">
        <w:rPr>
          <w:rStyle w:val="FootnoteReference"/>
        </w:rPr>
        <w:footnoteRef/>
      </w:r>
      <w:r w:rsidRPr="003F1717">
        <w:rPr>
          <w:lang w:val="es-US"/>
        </w:rPr>
        <w:t xml:space="preserve"> </w:t>
      </w:r>
      <w:r w:rsidRPr="003F1717">
        <w:rPr>
          <w:rFonts w:ascii="Cambria" w:hAnsi="Cambria"/>
          <w:b/>
          <w:bCs/>
          <w:lang w:val="es-ES"/>
        </w:rPr>
        <w:t>Anexo 5.</w:t>
      </w:r>
      <w:r w:rsidRPr="003F1717">
        <w:rPr>
          <w:rFonts w:ascii="Cambria" w:hAnsi="Cambria"/>
          <w:lang w:val="es-ES"/>
        </w:rPr>
        <w:t xml:space="preserve"> Oficio del Ministerio de Gobierno No. 0001775 de 28 de noviembre de 2001. Anexo 6 de la comunicación del Estado de 7 de junio de 2016. </w:t>
      </w:r>
    </w:p>
  </w:footnote>
  <w:footnote w:id="8">
    <w:p w14:paraId="7FB0C430" w14:textId="77777777" w:rsidR="00C6400A" w:rsidRPr="003F1717" w:rsidRDefault="00C6400A">
      <w:pPr>
        <w:pStyle w:val="FootnoteText"/>
        <w:rPr>
          <w:rFonts w:ascii="Cambria" w:hAnsi="Cambria"/>
          <w:lang w:val="es-ES"/>
        </w:rPr>
      </w:pPr>
      <w:r w:rsidRPr="003F1717">
        <w:rPr>
          <w:rStyle w:val="FootnoteReference"/>
        </w:rPr>
        <w:footnoteRef/>
      </w:r>
      <w:r w:rsidRPr="003F1717">
        <w:rPr>
          <w:lang w:val="es-US"/>
        </w:rPr>
        <w:t xml:space="preserve"> </w:t>
      </w:r>
      <w:r w:rsidRPr="003F1717">
        <w:rPr>
          <w:rFonts w:ascii="Cambria" w:hAnsi="Cambria"/>
          <w:b/>
          <w:bCs/>
          <w:lang w:val="es-ES"/>
        </w:rPr>
        <w:t>Anexo 6.</w:t>
      </w:r>
      <w:r w:rsidRPr="003F1717">
        <w:rPr>
          <w:rFonts w:ascii="Cambria" w:hAnsi="Cambria"/>
          <w:lang w:val="es-ES"/>
        </w:rPr>
        <w:t xml:space="preserve"> Oficio de la Intendencia General de Policía del Guayas de 3 de diciembre de 2001. Anexo 8 de la comunicación del Estado de 7 de junio de 2016.</w:t>
      </w:r>
    </w:p>
  </w:footnote>
  <w:footnote w:id="9">
    <w:p w14:paraId="3B636AE3" w14:textId="77777777" w:rsidR="00C6400A" w:rsidRPr="003F1717" w:rsidRDefault="00C6400A" w:rsidP="00E81005">
      <w:pPr>
        <w:pStyle w:val="FootnoteText"/>
        <w:rPr>
          <w:rFonts w:ascii="Cambria" w:hAnsi="Cambria"/>
          <w:lang w:val="es-ES"/>
        </w:rPr>
      </w:pPr>
      <w:r w:rsidRPr="003F1717">
        <w:rPr>
          <w:rStyle w:val="FootnoteReference"/>
        </w:rPr>
        <w:footnoteRef/>
      </w:r>
      <w:r w:rsidRPr="003F1717">
        <w:rPr>
          <w:lang w:val="es-US"/>
        </w:rPr>
        <w:t xml:space="preserve"> </w:t>
      </w:r>
      <w:r w:rsidRPr="003F1717">
        <w:rPr>
          <w:rFonts w:ascii="Cambria" w:hAnsi="Cambria"/>
          <w:b/>
          <w:bCs/>
          <w:lang w:val="es-ES"/>
        </w:rPr>
        <w:t>Anexo 7.</w:t>
      </w:r>
      <w:r w:rsidRPr="003F1717">
        <w:rPr>
          <w:rFonts w:ascii="Cambria" w:hAnsi="Cambria"/>
          <w:lang w:val="es-ES"/>
        </w:rPr>
        <w:t xml:space="preserve"> Parte Policial de la Jefatura Provincial de Migración del Guayas de 5 de diciembre de 2001. Anexo 7 de la comunicación del Estado de 7 de junio de 2016.</w:t>
      </w:r>
    </w:p>
  </w:footnote>
  <w:footnote w:id="10">
    <w:p w14:paraId="70084D45" w14:textId="77777777" w:rsidR="00C6400A" w:rsidRPr="003F1717" w:rsidRDefault="00C6400A">
      <w:pPr>
        <w:pStyle w:val="FootnoteText"/>
        <w:rPr>
          <w:rFonts w:ascii="Cambria" w:hAnsi="Cambria"/>
          <w:lang w:val="es-ES"/>
        </w:rPr>
      </w:pPr>
      <w:r w:rsidRPr="003F1717">
        <w:rPr>
          <w:rStyle w:val="FootnoteReference"/>
        </w:rPr>
        <w:footnoteRef/>
      </w:r>
      <w:r w:rsidRPr="003F1717">
        <w:rPr>
          <w:lang w:val="es-US"/>
        </w:rPr>
        <w:t xml:space="preserve"> </w:t>
      </w:r>
      <w:r w:rsidRPr="003F1717">
        <w:rPr>
          <w:rFonts w:ascii="Cambria" w:hAnsi="Cambria"/>
          <w:b/>
          <w:bCs/>
          <w:lang w:val="es-ES"/>
        </w:rPr>
        <w:t>Anexo 8.</w:t>
      </w:r>
      <w:r w:rsidRPr="003F1717">
        <w:rPr>
          <w:rFonts w:ascii="Cambria" w:hAnsi="Cambria"/>
          <w:lang w:val="es-ES"/>
        </w:rPr>
        <w:t xml:space="preserve"> Providencia de la Intendencia General de Policía del Guayas en el proceso de deportación, de 6 de diciembre de 2001. Anexo 10 de la comunicación del Estado de 7 de junio de 2016</w:t>
      </w:r>
      <w:r w:rsidRPr="003F1717">
        <w:rPr>
          <w:lang w:val="es-ES"/>
        </w:rPr>
        <w:t>.</w:t>
      </w:r>
    </w:p>
  </w:footnote>
  <w:footnote w:id="11">
    <w:p w14:paraId="098942DC" w14:textId="77777777" w:rsidR="00C6400A" w:rsidRPr="003F1717" w:rsidRDefault="00C6400A">
      <w:pPr>
        <w:pStyle w:val="FootnoteText"/>
        <w:rPr>
          <w:rFonts w:ascii="Cambria" w:hAnsi="Cambria"/>
          <w:lang w:val="es-ES"/>
        </w:rPr>
      </w:pPr>
      <w:r w:rsidRPr="003F1717">
        <w:rPr>
          <w:rStyle w:val="FootnoteReference"/>
        </w:rPr>
        <w:footnoteRef/>
      </w:r>
      <w:r w:rsidRPr="003F1717">
        <w:rPr>
          <w:lang w:val="es-US"/>
        </w:rPr>
        <w:t xml:space="preserve"> </w:t>
      </w:r>
      <w:r w:rsidRPr="003F1717">
        <w:rPr>
          <w:rFonts w:ascii="Cambria" w:hAnsi="Cambria"/>
          <w:b/>
          <w:bCs/>
          <w:lang w:val="es-ES"/>
        </w:rPr>
        <w:t>Anexo 9.</w:t>
      </w:r>
      <w:r w:rsidRPr="003F1717">
        <w:rPr>
          <w:rFonts w:ascii="Cambria" w:hAnsi="Cambria"/>
          <w:lang w:val="es-ES"/>
        </w:rPr>
        <w:t xml:space="preserve"> Constancia del Secretario de la Intendencia General de Policía del Guayas. Folio 7 del Anexo 1 (acción penal de deportación) a la comunicación del peticionario del 26 de diciembre de 2002. </w:t>
      </w:r>
    </w:p>
  </w:footnote>
  <w:footnote w:id="12">
    <w:p w14:paraId="71D6AFE3" w14:textId="77777777" w:rsidR="00C6400A" w:rsidRPr="003F1717" w:rsidRDefault="00C6400A">
      <w:pPr>
        <w:pStyle w:val="FootnoteText"/>
        <w:rPr>
          <w:rFonts w:ascii="Cambria" w:hAnsi="Cambria"/>
          <w:lang w:val="es-ES"/>
        </w:rPr>
      </w:pPr>
      <w:r w:rsidRPr="003F1717">
        <w:rPr>
          <w:rStyle w:val="FootnoteReference"/>
        </w:rPr>
        <w:footnoteRef/>
      </w:r>
      <w:r w:rsidRPr="003F1717">
        <w:rPr>
          <w:lang w:val="es-US"/>
        </w:rPr>
        <w:t xml:space="preserve"> </w:t>
      </w:r>
      <w:r w:rsidRPr="003F1717">
        <w:rPr>
          <w:rFonts w:ascii="Cambria" w:hAnsi="Cambria"/>
          <w:b/>
          <w:bCs/>
          <w:lang w:val="es-ES"/>
        </w:rPr>
        <w:t>Anexo 10.</w:t>
      </w:r>
      <w:r w:rsidRPr="003F1717">
        <w:rPr>
          <w:rFonts w:ascii="Cambria" w:hAnsi="Cambria"/>
          <w:lang w:val="es-ES"/>
        </w:rPr>
        <w:t xml:space="preserve"> Carta del cónsul de Líbano al Defensor Adjunto del Litoral y Galápagos de 7 de diciembre de 2001. Anexo No. 3 a la comunicación del peticionario del 26 de diciembre de 2002.</w:t>
      </w:r>
    </w:p>
  </w:footnote>
  <w:footnote w:id="13">
    <w:p w14:paraId="5426799F" w14:textId="77777777" w:rsidR="00C6400A" w:rsidRPr="003F1717" w:rsidRDefault="00C6400A" w:rsidP="00435F70">
      <w:pPr>
        <w:pStyle w:val="FootnoteText"/>
        <w:rPr>
          <w:rFonts w:ascii="Cambria" w:hAnsi="Cambria"/>
          <w:lang w:val="es-ES"/>
        </w:rPr>
      </w:pPr>
      <w:r w:rsidRPr="003F1717">
        <w:rPr>
          <w:rStyle w:val="FootnoteReference"/>
        </w:rPr>
        <w:footnoteRef/>
      </w:r>
      <w:r w:rsidRPr="003F1717">
        <w:rPr>
          <w:lang w:val="es-US"/>
        </w:rPr>
        <w:t xml:space="preserve"> </w:t>
      </w:r>
      <w:r w:rsidRPr="003F1717">
        <w:rPr>
          <w:rFonts w:ascii="Cambria" w:hAnsi="Cambria"/>
          <w:b/>
          <w:bCs/>
          <w:lang w:val="es-ES"/>
        </w:rPr>
        <w:t>Anexo 11.</w:t>
      </w:r>
      <w:r w:rsidRPr="003F1717">
        <w:rPr>
          <w:rFonts w:ascii="Cambria" w:hAnsi="Cambria"/>
          <w:lang w:val="es-ES"/>
        </w:rPr>
        <w:t xml:space="preserve"> Carta del Defensor Adjunto Segundo del Litoral y Galápagos al Intendente General de Policía del Guayas, de 7 de diciembre de 2001. Anexo No. 1 (acción penal de deportación) a la comunicación del peticionario del 26 de diciembre de 2002.</w:t>
      </w:r>
    </w:p>
  </w:footnote>
  <w:footnote w:id="14">
    <w:p w14:paraId="6314A0CD" w14:textId="77777777" w:rsidR="00C6400A" w:rsidRPr="003F1717" w:rsidRDefault="00C6400A">
      <w:pPr>
        <w:pStyle w:val="FootnoteText"/>
        <w:rPr>
          <w:lang w:val="es-ES"/>
        </w:rPr>
      </w:pPr>
      <w:r w:rsidRPr="003F1717">
        <w:rPr>
          <w:rStyle w:val="FootnoteReference"/>
        </w:rPr>
        <w:footnoteRef/>
      </w:r>
      <w:r w:rsidRPr="003F1717">
        <w:rPr>
          <w:lang w:val="es-US"/>
        </w:rPr>
        <w:t xml:space="preserve"> </w:t>
      </w:r>
      <w:r w:rsidRPr="003F1717">
        <w:rPr>
          <w:b/>
          <w:bCs/>
          <w:lang w:val="es-ES"/>
        </w:rPr>
        <w:t>Anexo 12.</w:t>
      </w:r>
      <w:r w:rsidRPr="003F1717">
        <w:rPr>
          <w:lang w:val="es-ES"/>
        </w:rPr>
        <w:t xml:space="preserve"> Solicitud del defensor de Elias Gattass Sahih al Intendente General de Policía Del Guayas. Folio 11 del Anexo 1 (acción penal de deportación) a la comunicación del peticionario del 26 de diciembre de 2002.</w:t>
      </w:r>
    </w:p>
  </w:footnote>
  <w:footnote w:id="15">
    <w:p w14:paraId="2969C2B9" w14:textId="77777777" w:rsidR="00C6400A" w:rsidRPr="003F1717" w:rsidRDefault="00C6400A">
      <w:pPr>
        <w:pStyle w:val="FootnoteText"/>
        <w:rPr>
          <w:rFonts w:ascii="Cambria" w:hAnsi="Cambria"/>
          <w:lang w:val="es-ES"/>
        </w:rPr>
      </w:pPr>
      <w:r w:rsidRPr="003F1717">
        <w:rPr>
          <w:rStyle w:val="FootnoteReference"/>
        </w:rPr>
        <w:footnoteRef/>
      </w:r>
      <w:r w:rsidRPr="003F1717">
        <w:rPr>
          <w:lang w:val="es-US"/>
        </w:rPr>
        <w:t xml:space="preserve"> </w:t>
      </w:r>
      <w:r w:rsidRPr="003F1717">
        <w:rPr>
          <w:rFonts w:ascii="Cambria" w:hAnsi="Cambria"/>
          <w:b/>
          <w:bCs/>
          <w:lang w:val="es-ES"/>
        </w:rPr>
        <w:t>Anexo 13.</w:t>
      </w:r>
      <w:r w:rsidRPr="003F1717">
        <w:rPr>
          <w:rFonts w:ascii="Cambria" w:hAnsi="Cambria"/>
          <w:lang w:val="es-ES"/>
        </w:rPr>
        <w:t xml:space="preserve"> Recurso de Amparo Constitucional del 9 de diciembre de 2001. Anexo 11 de la comunicación del Estado de 7 de junio de 2016.</w:t>
      </w:r>
    </w:p>
  </w:footnote>
  <w:footnote w:id="16">
    <w:p w14:paraId="595FFC69" w14:textId="77777777" w:rsidR="00C6400A" w:rsidRPr="003F1717" w:rsidRDefault="00C6400A">
      <w:pPr>
        <w:pStyle w:val="FootnoteText"/>
        <w:rPr>
          <w:rFonts w:ascii="Cambria" w:hAnsi="Cambria"/>
          <w:lang w:val="es-ES"/>
        </w:rPr>
      </w:pPr>
      <w:r w:rsidRPr="003F1717">
        <w:rPr>
          <w:rStyle w:val="FootnoteReference"/>
        </w:rPr>
        <w:footnoteRef/>
      </w:r>
      <w:r w:rsidRPr="003F1717">
        <w:rPr>
          <w:lang w:val="es-US"/>
        </w:rPr>
        <w:t xml:space="preserve"> </w:t>
      </w:r>
      <w:r w:rsidR="003F1717" w:rsidRPr="003F1717">
        <w:rPr>
          <w:rFonts w:ascii="Cambria" w:hAnsi="Cambria"/>
          <w:b/>
          <w:bCs/>
          <w:lang w:val="es-ES"/>
        </w:rPr>
        <w:t>Anexo 14.</w:t>
      </w:r>
      <w:r w:rsidR="003F1717" w:rsidRPr="003F1717">
        <w:rPr>
          <w:rFonts w:ascii="Cambria" w:hAnsi="Cambria"/>
          <w:lang w:val="es-ES"/>
        </w:rPr>
        <w:t xml:space="preserve"> Providencia de 9 de diciembre de 2001 en el recurso de amparo constitucional. Anexo 12 de la comunicación del Estado de 7 de junio de 2016.</w:t>
      </w:r>
    </w:p>
  </w:footnote>
  <w:footnote w:id="17">
    <w:p w14:paraId="526333BE" w14:textId="77777777" w:rsidR="00C6400A" w:rsidRPr="003F1717" w:rsidRDefault="00C6400A">
      <w:pPr>
        <w:pStyle w:val="FootnoteText"/>
        <w:rPr>
          <w:rFonts w:ascii="Cambria" w:hAnsi="Cambria"/>
          <w:lang w:val="es-ES"/>
        </w:rPr>
      </w:pPr>
      <w:r w:rsidRPr="003F1717">
        <w:rPr>
          <w:rStyle w:val="FootnoteReference"/>
        </w:rPr>
        <w:footnoteRef/>
      </w:r>
      <w:r w:rsidRPr="003F1717">
        <w:rPr>
          <w:lang w:val="es-US"/>
        </w:rPr>
        <w:t xml:space="preserve"> </w:t>
      </w:r>
      <w:r w:rsidR="003F1717" w:rsidRPr="003F1717">
        <w:rPr>
          <w:rFonts w:ascii="Cambria" w:hAnsi="Cambria"/>
          <w:b/>
          <w:bCs/>
          <w:lang w:val="es-ES"/>
        </w:rPr>
        <w:t>Anexo 15.</w:t>
      </w:r>
      <w:r w:rsidR="003F1717" w:rsidRPr="003F1717">
        <w:rPr>
          <w:rFonts w:ascii="Cambria" w:hAnsi="Cambria"/>
          <w:lang w:val="es-ES"/>
        </w:rPr>
        <w:t xml:space="preserve"> Audiencia en proceso de deportación, 10 de diciembre de 2001. Anexo 20 de la comunicación del Estado de 7 de junio de 2016.</w:t>
      </w:r>
    </w:p>
  </w:footnote>
  <w:footnote w:id="18">
    <w:p w14:paraId="42C4D392" w14:textId="77777777" w:rsidR="00C6400A" w:rsidRPr="003F1717" w:rsidRDefault="00C6400A" w:rsidP="006144B1">
      <w:pPr>
        <w:pStyle w:val="FootnoteText"/>
        <w:rPr>
          <w:rFonts w:ascii="Cambria" w:hAnsi="Cambria"/>
          <w:lang w:val="es-ES"/>
        </w:rPr>
      </w:pPr>
      <w:r w:rsidRPr="003F1717">
        <w:rPr>
          <w:rStyle w:val="FootnoteReference"/>
        </w:rPr>
        <w:footnoteRef/>
      </w:r>
      <w:r w:rsidRPr="003F1717">
        <w:rPr>
          <w:lang w:val="es-US"/>
        </w:rPr>
        <w:t xml:space="preserve"> </w:t>
      </w:r>
      <w:r w:rsidR="003F1717" w:rsidRPr="003F1717">
        <w:rPr>
          <w:rFonts w:ascii="Cambria" w:hAnsi="Cambria"/>
          <w:b/>
          <w:bCs/>
          <w:lang w:val="es-ES"/>
        </w:rPr>
        <w:t>Anexo 16.</w:t>
      </w:r>
      <w:r w:rsidR="003F1717" w:rsidRPr="003F1717">
        <w:rPr>
          <w:rFonts w:ascii="Cambria" w:hAnsi="Cambria"/>
          <w:lang w:val="es-ES"/>
        </w:rPr>
        <w:t xml:space="preserve"> Providencial del Intendente General de Policía del Guayas en el proceso de deportación, de 10 de diciembre de 2001. Anexo 13 de la comunicación del Estado de 7 de junio de 2016.</w:t>
      </w:r>
    </w:p>
  </w:footnote>
  <w:footnote w:id="19">
    <w:p w14:paraId="13F54FD3" w14:textId="77777777" w:rsidR="00C6400A" w:rsidRPr="003F1717" w:rsidRDefault="00C6400A">
      <w:pPr>
        <w:pStyle w:val="FootnoteText"/>
        <w:rPr>
          <w:rFonts w:ascii="Cambria" w:hAnsi="Cambria"/>
          <w:lang w:val="es-ES"/>
        </w:rPr>
      </w:pPr>
      <w:r w:rsidRPr="003F1717">
        <w:rPr>
          <w:rStyle w:val="FootnoteReference"/>
        </w:rPr>
        <w:footnoteRef/>
      </w:r>
      <w:r w:rsidR="003F1717" w:rsidRPr="003F1717">
        <w:rPr>
          <w:lang w:val="es-US"/>
        </w:rPr>
        <w:t xml:space="preserve"> </w:t>
      </w:r>
      <w:r w:rsidR="003F1717" w:rsidRPr="003F1717">
        <w:rPr>
          <w:rFonts w:ascii="Cambria" w:hAnsi="Cambria"/>
          <w:b/>
          <w:bCs/>
          <w:lang w:val="es-ES"/>
        </w:rPr>
        <w:t>Anexo 17.</w:t>
      </w:r>
      <w:r w:rsidR="003F1717" w:rsidRPr="003F1717">
        <w:rPr>
          <w:rFonts w:ascii="Cambria" w:hAnsi="Cambria"/>
          <w:lang w:val="es-ES"/>
        </w:rPr>
        <w:t xml:space="preserve"> Oficio del Ministerio del Interior, de 25 de abril de 2016. Anexo 17 de la comunicación del Estado de 7 de junio de 2016.</w:t>
      </w:r>
    </w:p>
  </w:footnote>
  <w:footnote w:id="20">
    <w:p w14:paraId="45040594" w14:textId="77777777" w:rsidR="00C6400A" w:rsidRPr="003F1717" w:rsidRDefault="00C6400A" w:rsidP="006144B1">
      <w:pPr>
        <w:pStyle w:val="FootnoteText"/>
        <w:rPr>
          <w:rFonts w:ascii="Cambria" w:hAnsi="Cambria"/>
          <w:lang w:val="es-ES"/>
        </w:rPr>
      </w:pPr>
      <w:r w:rsidRPr="003F1717">
        <w:rPr>
          <w:rStyle w:val="FootnoteReference"/>
        </w:rPr>
        <w:footnoteRef/>
      </w:r>
      <w:r w:rsidRPr="003F1717">
        <w:rPr>
          <w:lang w:val="es-US"/>
        </w:rPr>
        <w:t xml:space="preserve"> </w:t>
      </w:r>
      <w:r w:rsidR="003F1717" w:rsidRPr="003F1717">
        <w:rPr>
          <w:rFonts w:ascii="Cambria" w:hAnsi="Cambria"/>
          <w:b/>
          <w:bCs/>
          <w:lang w:val="es-ES"/>
        </w:rPr>
        <w:t>Anexo 18.</w:t>
      </w:r>
      <w:r w:rsidR="003F1717" w:rsidRPr="003F1717">
        <w:rPr>
          <w:rFonts w:ascii="Cambria" w:hAnsi="Cambria"/>
          <w:lang w:val="es-ES"/>
        </w:rPr>
        <w:t xml:space="preserve"> Decisión del Juzgado Vigésimo de lo Penal del Guayas de 22 de enero de 2002. Anexo 15 de la comunicación del Estado de 7 de junio de 2016.</w:t>
      </w:r>
    </w:p>
  </w:footnote>
  <w:footnote w:id="21">
    <w:p w14:paraId="4656D3E2" w14:textId="77777777" w:rsidR="00C6400A" w:rsidRPr="003F1717" w:rsidRDefault="00C6400A">
      <w:pPr>
        <w:pStyle w:val="FootnoteText"/>
        <w:rPr>
          <w:rFonts w:ascii="Cambria" w:hAnsi="Cambria"/>
          <w:lang w:val="es-ES"/>
        </w:rPr>
      </w:pPr>
      <w:r w:rsidRPr="003F1717">
        <w:rPr>
          <w:rStyle w:val="FootnoteReference"/>
        </w:rPr>
        <w:footnoteRef/>
      </w:r>
      <w:r w:rsidRPr="003F1717">
        <w:rPr>
          <w:lang w:val="es-US"/>
        </w:rPr>
        <w:t xml:space="preserve"> </w:t>
      </w:r>
      <w:r w:rsidR="003F1717" w:rsidRPr="003F1717">
        <w:rPr>
          <w:rFonts w:ascii="Cambria" w:hAnsi="Cambria"/>
          <w:b/>
          <w:bCs/>
          <w:lang w:val="es-ES"/>
        </w:rPr>
        <w:t>Anexo 18.</w:t>
      </w:r>
      <w:r w:rsidR="003F1717" w:rsidRPr="003F1717">
        <w:rPr>
          <w:rFonts w:ascii="Cambria" w:hAnsi="Cambria"/>
          <w:lang w:val="es-ES"/>
        </w:rPr>
        <w:t xml:space="preserve"> Decisión del Juzgado Vigésimo de lo Penal del Guayas de 22 de enero de 2002. Anexo 15 de la comunicación del Estado de 7 de junio de 2016.</w:t>
      </w:r>
    </w:p>
  </w:footnote>
  <w:footnote w:id="22">
    <w:p w14:paraId="0C0B6C22" w14:textId="77777777" w:rsidR="00C6400A" w:rsidRPr="003F1717" w:rsidRDefault="00C6400A">
      <w:pPr>
        <w:pStyle w:val="FootnoteText"/>
        <w:rPr>
          <w:rFonts w:ascii="Cambria" w:hAnsi="Cambria"/>
          <w:lang w:val="es-ES"/>
        </w:rPr>
      </w:pPr>
      <w:r w:rsidRPr="003F1717">
        <w:rPr>
          <w:rStyle w:val="FootnoteReference"/>
        </w:rPr>
        <w:footnoteRef/>
      </w:r>
      <w:r w:rsidRPr="003F1717">
        <w:rPr>
          <w:lang w:val="es-US"/>
        </w:rPr>
        <w:t xml:space="preserve"> </w:t>
      </w:r>
      <w:r w:rsidR="003F1717" w:rsidRPr="003F1717">
        <w:rPr>
          <w:rFonts w:ascii="Cambria" w:hAnsi="Cambria"/>
          <w:b/>
          <w:bCs/>
          <w:lang w:val="es-ES"/>
        </w:rPr>
        <w:t>Anexo 19.</w:t>
      </w:r>
      <w:r w:rsidR="003F1717" w:rsidRPr="003F1717">
        <w:rPr>
          <w:rFonts w:ascii="Cambria" w:hAnsi="Cambria"/>
          <w:lang w:val="es-ES"/>
        </w:rPr>
        <w:t xml:space="preserve"> Decisión del Tribunal Constitucional de 7 de junio de 2002. Anexo 16 de la comunicación del Estado de 7 de junio de 2016.</w:t>
      </w:r>
    </w:p>
  </w:footnote>
  <w:footnote w:id="23">
    <w:p w14:paraId="2D3FFE76" w14:textId="77777777" w:rsidR="00C6400A" w:rsidRPr="003F1717" w:rsidRDefault="00C6400A">
      <w:pPr>
        <w:pStyle w:val="FootnoteText"/>
        <w:rPr>
          <w:lang w:val="es-ES"/>
        </w:rPr>
      </w:pPr>
      <w:r w:rsidRPr="003F1717">
        <w:rPr>
          <w:rStyle w:val="FootnoteReference"/>
        </w:rPr>
        <w:footnoteRef/>
      </w:r>
      <w:r w:rsidRPr="003F1717">
        <w:rPr>
          <w:lang w:val="es-US"/>
        </w:rPr>
        <w:t xml:space="preserve"> </w:t>
      </w:r>
      <w:r w:rsidRPr="003F1717">
        <w:rPr>
          <w:lang w:val="es-ES"/>
        </w:rPr>
        <w:t xml:space="preserve">Comunicación del peticionario de 12 de julio de 2017. </w:t>
      </w:r>
    </w:p>
  </w:footnote>
  <w:footnote w:id="24">
    <w:p w14:paraId="0B11D1DB" w14:textId="77777777" w:rsidR="00C6400A" w:rsidRPr="003F1717" w:rsidRDefault="00C6400A">
      <w:pPr>
        <w:pStyle w:val="FootnoteText"/>
        <w:rPr>
          <w:rFonts w:ascii="Cambria" w:hAnsi="Cambria"/>
          <w:lang w:val="es-ES"/>
        </w:rPr>
      </w:pPr>
      <w:r w:rsidRPr="003F1717">
        <w:rPr>
          <w:rStyle w:val="FootnoteReference"/>
        </w:rPr>
        <w:footnoteRef/>
      </w:r>
      <w:r w:rsidRPr="003F1717">
        <w:rPr>
          <w:lang w:val="es-US"/>
        </w:rPr>
        <w:t xml:space="preserve"> </w:t>
      </w:r>
      <w:r w:rsidR="003F1717" w:rsidRPr="003F1717">
        <w:rPr>
          <w:rFonts w:ascii="Cambria" w:hAnsi="Cambria"/>
          <w:b/>
          <w:bCs/>
          <w:lang w:val="es-ES"/>
        </w:rPr>
        <w:t>Anexo 20.</w:t>
      </w:r>
      <w:r w:rsidR="003F1717" w:rsidRPr="003F1717">
        <w:rPr>
          <w:rFonts w:ascii="Cambria" w:hAnsi="Cambria"/>
          <w:lang w:val="es-ES"/>
        </w:rPr>
        <w:t xml:space="preserve"> </w:t>
      </w:r>
      <w:r w:rsidR="003F1717" w:rsidRPr="003F1717">
        <w:rPr>
          <w:rFonts w:ascii="Cambria" w:eastAsia="Times New Roman" w:hAnsi="Cambria" w:cs="Arial"/>
          <w:bCs/>
          <w:iCs/>
          <w:lang w:val="es-ES"/>
        </w:rPr>
        <w:t xml:space="preserve">Denuncia por la desaparición ante la Directora Nacional de DINAPEN, de 16 de marzo de 2016. </w:t>
      </w:r>
      <w:r w:rsidR="003F1717" w:rsidRPr="003F1717">
        <w:rPr>
          <w:rFonts w:ascii="Cambria" w:hAnsi="Cambria"/>
          <w:lang w:val="es-ES"/>
        </w:rPr>
        <w:t>Anexo a comunicación del peticionario de 12 de julio de 2017.</w:t>
      </w:r>
    </w:p>
  </w:footnote>
  <w:footnote w:id="25">
    <w:p w14:paraId="45AC81FE" w14:textId="77777777" w:rsidR="00C6400A" w:rsidRPr="003F1717" w:rsidRDefault="00C6400A">
      <w:pPr>
        <w:pStyle w:val="FootnoteText"/>
        <w:rPr>
          <w:rFonts w:ascii="Cambria" w:hAnsi="Cambria"/>
          <w:lang w:val="es-ES"/>
        </w:rPr>
      </w:pPr>
      <w:r w:rsidRPr="003F1717">
        <w:rPr>
          <w:rStyle w:val="FootnoteReference"/>
        </w:rPr>
        <w:footnoteRef/>
      </w:r>
      <w:r w:rsidRPr="003F1717">
        <w:rPr>
          <w:lang w:val="es-US"/>
        </w:rPr>
        <w:t xml:space="preserve"> </w:t>
      </w:r>
      <w:r w:rsidR="003F1717" w:rsidRPr="003F1717">
        <w:rPr>
          <w:rFonts w:ascii="Cambria" w:hAnsi="Cambria"/>
          <w:b/>
          <w:bCs/>
          <w:lang w:val="es-ES"/>
        </w:rPr>
        <w:t>Anexo 21.</w:t>
      </w:r>
      <w:r w:rsidR="003F1717" w:rsidRPr="003F1717">
        <w:rPr>
          <w:rFonts w:ascii="Cambria" w:hAnsi="Cambria"/>
          <w:lang w:val="es-ES"/>
        </w:rPr>
        <w:t xml:space="preserve"> </w:t>
      </w:r>
      <w:r w:rsidR="003F1717" w:rsidRPr="003F1717">
        <w:rPr>
          <w:rFonts w:ascii="Cambria" w:eastAsia="Times New Roman" w:hAnsi="Cambria" w:cs="Arial"/>
          <w:bCs/>
          <w:iCs/>
          <w:lang w:val="es-ES"/>
        </w:rPr>
        <w:t xml:space="preserve">Boletín de Prensa del Centro de Atención y Defensa al Niño Perdido, 12 de diciembre de 2001. </w:t>
      </w:r>
      <w:r w:rsidR="003F1717" w:rsidRPr="003F1717">
        <w:rPr>
          <w:rFonts w:ascii="Cambria" w:hAnsi="Cambria"/>
          <w:lang w:val="es-ES"/>
        </w:rPr>
        <w:t>Anexo a comunicación del peticionario de 12 de julio de 2017.</w:t>
      </w:r>
    </w:p>
  </w:footnote>
  <w:footnote w:id="26">
    <w:p w14:paraId="0603D966" w14:textId="77777777" w:rsidR="00C6400A" w:rsidRPr="003F1717" w:rsidRDefault="00C6400A">
      <w:pPr>
        <w:pStyle w:val="FootnoteText"/>
        <w:rPr>
          <w:rFonts w:ascii="Cambria" w:hAnsi="Cambria"/>
          <w:lang w:val="es-ES"/>
        </w:rPr>
      </w:pPr>
      <w:r w:rsidRPr="003F1717">
        <w:rPr>
          <w:rStyle w:val="FootnoteReference"/>
        </w:rPr>
        <w:footnoteRef/>
      </w:r>
      <w:r w:rsidRPr="003F1717">
        <w:rPr>
          <w:lang w:val="es-US"/>
        </w:rPr>
        <w:t xml:space="preserve"> </w:t>
      </w:r>
      <w:r w:rsidR="003F1717" w:rsidRPr="003F1717">
        <w:rPr>
          <w:rFonts w:ascii="Cambria" w:hAnsi="Cambria"/>
          <w:b/>
          <w:bCs/>
          <w:lang w:val="es-ES"/>
        </w:rPr>
        <w:t xml:space="preserve">Anexo </w:t>
      </w:r>
      <w:r w:rsidR="00422BA0">
        <w:rPr>
          <w:rFonts w:ascii="Cambria" w:hAnsi="Cambria"/>
          <w:b/>
          <w:bCs/>
          <w:lang w:val="es-ES"/>
        </w:rPr>
        <w:t>17</w:t>
      </w:r>
      <w:r w:rsidR="003F1717" w:rsidRPr="003F1717">
        <w:rPr>
          <w:rFonts w:ascii="Cambria" w:hAnsi="Cambria"/>
          <w:b/>
          <w:bCs/>
          <w:lang w:val="es-ES"/>
        </w:rPr>
        <w:t>.</w:t>
      </w:r>
      <w:r w:rsidR="003F1717" w:rsidRPr="003F1717">
        <w:rPr>
          <w:rFonts w:ascii="Cambria" w:hAnsi="Cambria"/>
          <w:lang w:val="es-ES"/>
        </w:rPr>
        <w:t xml:space="preserve"> Oficio del Ministerio del Interior, de 25 de abril de 2016.  Anexo 17 de la comunicación del Estado de 7 de junio de 2016. </w:t>
      </w:r>
    </w:p>
  </w:footnote>
  <w:footnote w:id="27">
    <w:p w14:paraId="5CB7D5A6" w14:textId="77777777" w:rsidR="00C6400A" w:rsidRPr="003F1717" w:rsidRDefault="00C6400A">
      <w:pPr>
        <w:pStyle w:val="FootnoteText"/>
        <w:rPr>
          <w:rFonts w:ascii="Cambria" w:hAnsi="Cambria"/>
          <w:sz w:val="20"/>
          <w:szCs w:val="20"/>
          <w:lang w:val="es-ES"/>
        </w:rPr>
      </w:pPr>
      <w:r w:rsidRPr="003F1717">
        <w:rPr>
          <w:rStyle w:val="FootnoteReference"/>
        </w:rPr>
        <w:footnoteRef/>
      </w:r>
      <w:r w:rsidRPr="003F1717">
        <w:rPr>
          <w:lang w:val="es-US"/>
        </w:rPr>
        <w:t xml:space="preserve"> </w:t>
      </w:r>
      <w:r w:rsidR="003F1717" w:rsidRPr="003F1717">
        <w:rPr>
          <w:rFonts w:ascii="Cambria" w:hAnsi="Cambria"/>
          <w:b/>
          <w:bCs/>
          <w:lang w:val="es-ES"/>
        </w:rPr>
        <w:t>Anexo 2</w:t>
      </w:r>
      <w:r w:rsidR="00422BA0">
        <w:rPr>
          <w:rFonts w:ascii="Cambria" w:hAnsi="Cambria"/>
          <w:b/>
          <w:bCs/>
          <w:lang w:val="es-ES"/>
        </w:rPr>
        <w:t>2</w:t>
      </w:r>
      <w:r w:rsidR="003F1717" w:rsidRPr="003F1717">
        <w:rPr>
          <w:rFonts w:ascii="Cambria" w:hAnsi="Cambria"/>
          <w:b/>
          <w:bCs/>
          <w:lang w:val="es-ES"/>
        </w:rPr>
        <w:t>.</w:t>
      </w:r>
      <w:r w:rsidR="003F1717" w:rsidRPr="003F1717">
        <w:rPr>
          <w:rFonts w:ascii="Cambria" w:hAnsi="Cambria"/>
          <w:lang w:val="es-ES"/>
        </w:rPr>
        <w:t xml:space="preserve"> Informe de la Dirección General de Registro Civil, Identificación y Cedulación del Ecuador de Elías Gattass Sahih, 1 de agosto de 2016. Anexo 5 de la comunicación del Estado de 12 de octubre de 2016. </w:t>
      </w:r>
    </w:p>
  </w:footnote>
  <w:footnote w:id="28">
    <w:p w14:paraId="138C38F8" w14:textId="77777777" w:rsidR="00C6400A" w:rsidRPr="00A10EEE" w:rsidRDefault="00C6400A" w:rsidP="00530E14">
      <w:pPr>
        <w:pStyle w:val="parrafos"/>
        <w:numPr>
          <w:ilvl w:val="0"/>
          <w:numId w:val="0"/>
        </w:numPr>
        <w:rPr>
          <w:rFonts w:eastAsia="Times New Roman" w:cs="Arial"/>
          <w:bCs/>
          <w:iCs/>
          <w:sz w:val="16"/>
          <w:szCs w:val="16"/>
        </w:rPr>
      </w:pPr>
      <w:r w:rsidRPr="00A10EEE">
        <w:rPr>
          <w:rStyle w:val="FootnoteReference"/>
          <w:sz w:val="16"/>
          <w:szCs w:val="16"/>
        </w:rPr>
        <w:footnoteRef/>
      </w:r>
      <w:r w:rsidRPr="00A10EEE">
        <w:rPr>
          <w:sz w:val="16"/>
          <w:szCs w:val="16"/>
        </w:rPr>
        <w:t xml:space="preserve"> </w:t>
      </w:r>
      <w:r w:rsidRPr="00A10EEE">
        <w:rPr>
          <w:rFonts w:eastAsia="Times New Roman"/>
          <w:sz w:val="16"/>
          <w:szCs w:val="16"/>
          <w:lang w:val="es-ES_tradnl"/>
        </w:rPr>
        <w:t xml:space="preserve">Algunos artículos de Ley fueron modificados con Registro Oficial No. 374 de 23 de julio de 2001. En relación con el Consejo Consultivo de Política Migratoria, el artículo 1 modificó el artículo 7 en el sentido del artículo  citado. Luego contenido en el artículo 4 de la Ley de Extranjería codificada, de </w:t>
      </w:r>
      <w:r w:rsidRPr="00A10EEE">
        <w:rPr>
          <w:rFonts w:eastAsia="Times New Roman" w:cs="Arial"/>
          <w:bCs/>
          <w:iCs/>
          <w:sz w:val="16"/>
          <w:szCs w:val="16"/>
        </w:rPr>
        <w:t>4 de noviembre de 2004.</w:t>
      </w:r>
    </w:p>
  </w:footnote>
  <w:footnote w:id="29">
    <w:p w14:paraId="057238A5" w14:textId="77777777" w:rsidR="00C6400A" w:rsidRPr="00A10EEE" w:rsidRDefault="00C6400A">
      <w:pPr>
        <w:pStyle w:val="FootnoteText"/>
        <w:rPr>
          <w:lang w:val="es-ES"/>
        </w:rPr>
      </w:pPr>
      <w:r w:rsidRPr="00A10EEE">
        <w:rPr>
          <w:rStyle w:val="FootnoteReference"/>
          <w:lang w:val="es-ES_tradnl"/>
        </w:rPr>
        <w:footnoteRef/>
      </w:r>
      <w:r w:rsidRPr="00A10EEE">
        <w:rPr>
          <w:lang w:val="es-ES_tradnl"/>
        </w:rPr>
        <w:t xml:space="preserve"> </w:t>
      </w:r>
      <w:r w:rsidRPr="00A10EEE">
        <w:rPr>
          <w:rFonts w:eastAsia="Times New Roman"/>
          <w:lang w:val="es-ES_tradnl"/>
        </w:rPr>
        <w:t>Algunos artículos de Ley fueron modificados con Registro Oficial No. 374 de 23 de julio de 2001. En relación con el Consejo Consultivo  de Política Migratoria, el artículo 3 modificó el artículo 8 en el sentido del artículo  citado.</w:t>
      </w:r>
    </w:p>
  </w:footnote>
  <w:footnote w:id="30">
    <w:p w14:paraId="09F3CE6A" w14:textId="77777777" w:rsidR="00C6400A" w:rsidRPr="00A10EEE" w:rsidRDefault="00C6400A" w:rsidP="00A13C72">
      <w:pPr>
        <w:ind w:right="4"/>
        <w:jc w:val="both"/>
        <w:rPr>
          <w:rFonts w:asciiTheme="majorHAnsi" w:eastAsia="Times New Roman" w:hAnsiTheme="majorHAnsi"/>
          <w:sz w:val="16"/>
          <w:szCs w:val="16"/>
        </w:rPr>
      </w:pPr>
      <w:r w:rsidRPr="00A10EEE">
        <w:rPr>
          <w:rStyle w:val="FootnoteReference"/>
          <w:rFonts w:asciiTheme="majorHAnsi" w:hAnsiTheme="majorHAnsi"/>
          <w:sz w:val="16"/>
          <w:szCs w:val="16"/>
        </w:rPr>
        <w:footnoteRef/>
      </w:r>
      <w:r w:rsidRPr="00A10EEE">
        <w:rPr>
          <w:rFonts w:asciiTheme="majorHAnsi" w:hAnsiTheme="majorHAnsi"/>
          <w:sz w:val="16"/>
          <w:szCs w:val="16"/>
        </w:rPr>
        <w:t xml:space="preserve"> </w:t>
      </w:r>
      <w:r w:rsidRPr="00A10EEE">
        <w:rPr>
          <w:rFonts w:asciiTheme="majorHAnsi" w:hAnsiTheme="majorHAnsi"/>
          <w:sz w:val="16"/>
          <w:szCs w:val="16"/>
          <w:lang w:val="es-ES"/>
        </w:rPr>
        <w:t>El artículo 30 de la Ley de Migración indicaba: “</w:t>
      </w:r>
      <w:r w:rsidRPr="00A10EEE">
        <w:rPr>
          <w:rFonts w:asciiTheme="majorHAnsi" w:eastAsia="Times New Roman" w:hAnsiTheme="majorHAnsi"/>
          <w:sz w:val="16"/>
          <w:szCs w:val="16"/>
        </w:rPr>
        <w:t>El fallo del Intendente General de Policía que disponga la orden de deportación contra un extranjero no será susceptible de recurso administrativo o judicial y deberá ser ejecutado por los agentes de policía en la forma, condiciones y plazo establecidos”.</w:t>
      </w:r>
      <w:r w:rsidRPr="00A10EEE">
        <w:rPr>
          <w:rFonts w:asciiTheme="majorHAnsi" w:hAnsiTheme="majorHAnsi"/>
          <w:sz w:val="16"/>
          <w:szCs w:val="16"/>
          <w:lang w:val="es-ES"/>
        </w:rPr>
        <w:t xml:space="preserve"> </w:t>
      </w:r>
    </w:p>
  </w:footnote>
  <w:footnote w:id="31">
    <w:p w14:paraId="69425C06" w14:textId="77777777" w:rsidR="00C6400A" w:rsidRPr="00A10EEE" w:rsidRDefault="00C6400A" w:rsidP="00A13C72">
      <w:pPr>
        <w:jc w:val="both"/>
        <w:rPr>
          <w:rFonts w:ascii="Cambria" w:eastAsia="Times New Roman" w:hAnsi="Cambria"/>
          <w:sz w:val="16"/>
          <w:szCs w:val="16"/>
        </w:rPr>
      </w:pPr>
      <w:r w:rsidRPr="00A10EEE">
        <w:rPr>
          <w:rStyle w:val="FootnoteReference"/>
          <w:rFonts w:ascii="Cambria" w:hAnsi="Cambria"/>
          <w:sz w:val="16"/>
          <w:szCs w:val="16"/>
        </w:rPr>
        <w:footnoteRef/>
      </w:r>
      <w:r w:rsidRPr="00A10EEE">
        <w:rPr>
          <w:rFonts w:ascii="Cambria" w:hAnsi="Cambria"/>
          <w:sz w:val="16"/>
          <w:szCs w:val="16"/>
        </w:rPr>
        <w:t xml:space="preserve"> </w:t>
      </w:r>
      <w:r w:rsidRPr="00A10EEE">
        <w:rPr>
          <w:rFonts w:ascii="Cambria" w:hAnsi="Cambria"/>
          <w:sz w:val="16"/>
          <w:szCs w:val="16"/>
          <w:lang w:val="es-ES"/>
        </w:rPr>
        <w:t>El artículo 30 de la Ley de Migración codificada en 2005 señala: “</w:t>
      </w:r>
      <w:r w:rsidRPr="00A10EEE">
        <w:rPr>
          <w:rFonts w:ascii="Cambria" w:eastAsia="Times New Roman" w:hAnsi="Cambria"/>
          <w:sz w:val="16"/>
          <w:szCs w:val="16"/>
        </w:rPr>
        <w:t>La resolución que disponga la orden de deportación, será susceptible de impugnación ante el órgano competente de la Función Judicial. Ejecutoriada la resolución, será ejecutada por los agentes de policía en la forma, condiciones y plazo establecidos.”</w:t>
      </w:r>
    </w:p>
  </w:footnote>
  <w:footnote w:id="32">
    <w:p w14:paraId="31D12FC4" w14:textId="77777777" w:rsidR="00C6400A" w:rsidRPr="00A10EEE" w:rsidRDefault="00C6400A">
      <w:pPr>
        <w:pStyle w:val="FootnoteText"/>
        <w:rPr>
          <w:lang w:val="es-ES"/>
        </w:rPr>
      </w:pPr>
      <w:r w:rsidRPr="00A10EEE">
        <w:rPr>
          <w:rStyle w:val="FootnoteReference"/>
        </w:rPr>
        <w:footnoteRef/>
      </w:r>
      <w:r w:rsidRPr="00A10EEE">
        <w:rPr>
          <w:lang w:val="es-US"/>
        </w:rPr>
        <w:t xml:space="preserve"> </w:t>
      </w:r>
      <w:r w:rsidRPr="00A10EEE">
        <w:rPr>
          <w:lang w:val="es-ES"/>
        </w:rPr>
        <w:t xml:space="preserve">El amicus curiae fue presentado por María Paz Jervis Pastor, Gabriel Ocampo Miño y el director Alejandro Ponce Villacís. </w:t>
      </w:r>
    </w:p>
  </w:footnote>
  <w:footnote w:id="33">
    <w:p w14:paraId="41224706" w14:textId="77777777" w:rsidR="00C6400A" w:rsidRPr="00A10EEE" w:rsidRDefault="00C6400A" w:rsidP="0065297D">
      <w:pPr>
        <w:pStyle w:val="FootnoteText"/>
        <w:rPr>
          <w:lang w:val="es-ES"/>
        </w:rPr>
      </w:pPr>
      <w:r w:rsidRPr="00A10EEE">
        <w:rPr>
          <w:rStyle w:val="FootnoteReference"/>
        </w:rPr>
        <w:footnoteRef/>
      </w:r>
      <w:r w:rsidRPr="00A10EEE">
        <w:rPr>
          <w:lang w:val="es-US"/>
        </w:rPr>
        <w:t xml:space="preserve"> </w:t>
      </w:r>
      <w:r w:rsidRPr="00A10EEE">
        <w:rPr>
          <w:lang w:val="es-CO"/>
        </w:rPr>
        <w:t xml:space="preserve">El artículo 8 de la Convención Americana sobre Derechos Humanos establece, en lo pertinente: </w:t>
      </w:r>
      <w:r>
        <w:rPr>
          <w:lang w:val="es-CO"/>
        </w:rPr>
        <w:t>“</w:t>
      </w:r>
      <w:r w:rsidRPr="00A10EEE">
        <w:rPr>
          <w:rFonts w:cs="Tahoma"/>
          <w:lang w:val="es-CO"/>
        </w:rPr>
        <w:t>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r>
        <w:rPr>
          <w:rFonts w:cs="Tahoma"/>
          <w:lang w:val="es-CO"/>
        </w:rPr>
        <w:t>”</w:t>
      </w:r>
      <w:r w:rsidRPr="00A10EEE">
        <w:rPr>
          <w:rFonts w:cs="Tahoma"/>
          <w:lang w:val="es-CO"/>
        </w:rPr>
        <w:t>.</w:t>
      </w:r>
    </w:p>
  </w:footnote>
  <w:footnote w:id="34">
    <w:p w14:paraId="5B0B7C55" w14:textId="77777777" w:rsidR="00C6400A" w:rsidRPr="00A10EEE" w:rsidRDefault="00C6400A">
      <w:pPr>
        <w:pStyle w:val="FootnoteText"/>
        <w:rPr>
          <w:lang w:val="es-ES"/>
        </w:rPr>
      </w:pPr>
      <w:r w:rsidRPr="00A10EEE">
        <w:rPr>
          <w:rStyle w:val="FootnoteReference"/>
        </w:rPr>
        <w:footnoteRef/>
      </w:r>
      <w:r w:rsidRPr="00A10EEE">
        <w:rPr>
          <w:lang w:val="es-US"/>
        </w:rPr>
        <w:t xml:space="preserve"> </w:t>
      </w:r>
      <w:r w:rsidRPr="00A10EEE">
        <w:rPr>
          <w:lang w:val="es-ES"/>
        </w:rPr>
        <w:t>El inciso 1ro del  artículo 25 de la Convención Americana indica: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35">
    <w:p w14:paraId="62ADA9D6" w14:textId="77777777" w:rsidR="00C6400A" w:rsidRPr="00A10EEE" w:rsidRDefault="00C6400A" w:rsidP="00A40137">
      <w:pPr>
        <w:pStyle w:val="NormalWeb"/>
        <w:spacing w:before="0" w:beforeAutospacing="0" w:after="0" w:afterAutospacing="0"/>
        <w:ind w:right="4"/>
        <w:jc w:val="both"/>
        <w:rPr>
          <w:rFonts w:asciiTheme="majorHAnsi" w:hAnsiTheme="majorHAnsi" w:cs="Tahoma"/>
          <w:color w:val="000000"/>
          <w:sz w:val="16"/>
          <w:szCs w:val="16"/>
        </w:rPr>
      </w:pPr>
      <w:r w:rsidRPr="00A10EEE">
        <w:rPr>
          <w:rStyle w:val="FootnoteReference"/>
          <w:sz w:val="16"/>
          <w:szCs w:val="16"/>
        </w:rPr>
        <w:footnoteRef/>
      </w:r>
      <w:r w:rsidRPr="00A10EEE">
        <w:rPr>
          <w:sz w:val="16"/>
          <w:szCs w:val="16"/>
        </w:rPr>
        <w:t xml:space="preserve"> </w:t>
      </w:r>
      <w:r w:rsidRPr="00A10EEE">
        <w:rPr>
          <w:sz w:val="16"/>
          <w:szCs w:val="16"/>
          <w:lang w:val="es-ES"/>
        </w:rPr>
        <w:t>El artículo 22.3 de la Convención Americana señala “</w:t>
      </w:r>
      <w:r w:rsidRPr="00A10EEE">
        <w:rPr>
          <w:rFonts w:asciiTheme="majorHAnsi" w:hAnsiTheme="majorHAnsi" w:cs="Tahoma"/>
          <w:color w:val="000000"/>
          <w:sz w:val="16"/>
          <w:szCs w:val="16"/>
        </w:rPr>
        <w:t>3. El ejercicio de los derechos anteriores no puede ser restringido sino en virtud de una ley, en la medida indisp</w:t>
      </w:r>
      <w:r w:rsidRPr="00A10EEE">
        <w:rPr>
          <w:rFonts w:ascii="Cambria" w:hAnsi="Cambria" w:cs="Tahoma"/>
          <w:color w:val="000000"/>
          <w:sz w:val="16"/>
          <w:szCs w:val="16"/>
        </w:rPr>
        <w:t>ensable en una sociedad democrática, para prevenir infracciones penales o para proteger la seguridad nacional, la seguridad o el orden públicos, la moral o la salud públicas o los derechos y libertades de los demás”. Igualmente, el numeral 22.6 de la Convención establece que: “E</w:t>
      </w:r>
      <w:r w:rsidRPr="00A10EEE">
        <w:rPr>
          <w:rFonts w:ascii="Cambria" w:hAnsi="Cambria"/>
          <w:sz w:val="16"/>
          <w:szCs w:val="16"/>
        </w:rPr>
        <w:t>l extranjero que se halle legalmente en el territorio de un Estado parte en la presente Convención, solo podrá́ ser expulsado de él en cumplimiento de una decisión adoptada conforme a la ley”.</w:t>
      </w:r>
    </w:p>
  </w:footnote>
  <w:footnote w:id="36">
    <w:p w14:paraId="3B59523B" w14:textId="77777777" w:rsidR="00C6400A" w:rsidRPr="00A10EEE" w:rsidRDefault="00C6400A" w:rsidP="00A026C0">
      <w:pPr>
        <w:jc w:val="both"/>
        <w:rPr>
          <w:rFonts w:asciiTheme="majorHAnsi" w:eastAsia="Times New Roman" w:hAnsiTheme="majorHAnsi"/>
          <w:sz w:val="16"/>
          <w:szCs w:val="16"/>
        </w:rPr>
      </w:pPr>
      <w:r w:rsidRPr="00A10EEE">
        <w:rPr>
          <w:rStyle w:val="FootnoteReference"/>
          <w:rFonts w:asciiTheme="majorHAnsi" w:hAnsiTheme="majorHAnsi"/>
          <w:sz w:val="16"/>
          <w:szCs w:val="16"/>
        </w:rPr>
        <w:footnoteRef/>
      </w:r>
      <w:r w:rsidRPr="00A10EEE">
        <w:rPr>
          <w:rFonts w:asciiTheme="majorHAnsi" w:hAnsiTheme="majorHAnsi"/>
          <w:sz w:val="16"/>
          <w:szCs w:val="16"/>
        </w:rPr>
        <w:t xml:space="preserve"> El artículo 1.1 de la Convención Americana señala: “</w:t>
      </w:r>
      <w:r w:rsidRPr="00A10EEE">
        <w:rPr>
          <w:rFonts w:asciiTheme="majorHAnsi" w:eastAsia="Times New Roman" w:hAnsiTheme="majorHAnsi" w:cs="Tahoma"/>
          <w:color w:val="000000"/>
          <w:sz w:val="16"/>
          <w:szCs w:val="16"/>
        </w:rPr>
        <w:t>1.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footnote>
  <w:footnote w:id="37">
    <w:p w14:paraId="6CB472F4" w14:textId="77777777" w:rsidR="00C6400A" w:rsidRPr="00A10EEE" w:rsidRDefault="00C6400A" w:rsidP="00575E22">
      <w:pPr>
        <w:jc w:val="both"/>
        <w:rPr>
          <w:rFonts w:asciiTheme="majorHAnsi" w:eastAsia="Times New Roman" w:hAnsiTheme="majorHAnsi"/>
          <w:sz w:val="16"/>
          <w:szCs w:val="16"/>
        </w:rPr>
      </w:pPr>
      <w:r w:rsidRPr="00A10EEE">
        <w:rPr>
          <w:rStyle w:val="FootnoteReference"/>
          <w:rFonts w:asciiTheme="majorHAnsi" w:hAnsiTheme="majorHAnsi"/>
          <w:sz w:val="16"/>
          <w:szCs w:val="16"/>
        </w:rPr>
        <w:footnoteRef/>
      </w:r>
      <w:r w:rsidRPr="00A10EEE">
        <w:rPr>
          <w:rFonts w:asciiTheme="majorHAnsi" w:hAnsiTheme="majorHAnsi"/>
          <w:sz w:val="16"/>
          <w:szCs w:val="16"/>
        </w:rPr>
        <w:t xml:space="preserve"> </w:t>
      </w:r>
      <w:r w:rsidRPr="00A10EEE">
        <w:rPr>
          <w:rFonts w:asciiTheme="majorHAnsi" w:hAnsiTheme="majorHAnsi"/>
          <w:sz w:val="16"/>
          <w:szCs w:val="16"/>
          <w:lang w:val="es-ES"/>
        </w:rPr>
        <w:t>El artículo 2 de la Convención Americana señala: “</w:t>
      </w:r>
      <w:r w:rsidRPr="00A10EEE">
        <w:rPr>
          <w:rFonts w:asciiTheme="majorHAnsi" w:eastAsia="Times New Roman" w:hAnsiTheme="majorHAnsi" w:cs="Tahoma"/>
          <w:color w:val="000000"/>
          <w:sz w:val="16"/>
          <w:szCs w:val="16"/>
        </w:rPr>
        <w:t> Si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r>
    </w:p>
  </w:footnote>
  <w:footnote w:id="38">
    <w:p w14:paraId="61AAEC74" w14:textId="77777777" w:rsidR="00C6400A" w:rsidRPr="00A10EEE" w:rsidRDefault="00C6400A">
      <w:pPr>
        <w:pStyle w:val="FootnoteText"/>
        <w:rPr>
          <w:lang w:val="es-US"/>
        </w:rPr>
      </w:pPr>
      <w:r w:rsidRPr="00A10EEE">
        <w:rPr>
          <w:rStyle w:val="FootnoteReference"/>
        </w:rPr>
        <w:footnoteRef/>
      </w:r>
      <w:r w:rsidRPr="00A10EEE">
        <w:rPr>
          <w:lang w:val="es-US"/>
        </w:rPr>
        <w:t xml:space="preserve">  Comté de Derechos Humanos, Naciones Unidas, </w:t>
      </w:r>
      <w:r w:rsidRPr="00A10EEE">
        <w:rPr>
          <w:i/>
          <w:lang w:val="es-US"/>
        </w:rPr>
        <w:t xml:space="preserve">Observación General 15. La situación de los extranjeros con arreglo al Pacto, </w:t>
      </w:r>
      <w:r w:rsidRPr="00A10EEE">
        <w:rPr>
          <w:lang w:val="es-US"/>
        </w:rPr>
        <w:t>27 período de sesiones, 1986, párr. 5.</w:t>
      </w:r>
    </w:p>
  </w:footnote>
  <w:footnote w:id="39">
    <w:p w14:paraId="753E1B0B" w14:textId="77777777" w:rsidR="00C6400A" w:rsidRPr="004E7CDC" w:rsidRDefault="00C6400A" w:rsidP="004E7CDC">
      <w:pPr>
        <w:pStyle w:val="FootnoteText"/>
        <w:rPr>
          <w:lang w:val="es-US"/>
        </w:rPr>
      </w:pPr>
      <w:r>
        <w:rPr>
          <w:rStyle w:val="FootnoteReference"/>
        </w:rPr>
        <w:footnoteRef/>
      </w:r>
      <w:r w:rsidRPr="004E7CDC">
        <w:rPr>
          <w:lang w:val="pt-BR"/>
        </w:rPr>
        <w:t xml:space="preserve"> CorteIDH, Caso Colindres Schonenberg Vs. </w:t>
      </w:r>
      <w:r w:rsidRPr="004E7CDC">
        <w:rPr>
          <w:lang w:val="es-US"/>
        </w:rPr>
        <w:t>El Salvador, Vs. El Salvador</w:t>
      </w:r>
      <w:r>
        <w:rPr>
          <w:lang w:val="es-US"/>
        </w:rPr>
        <w:t xml:space="preserve">. Fondo, Reparaciones y Costas. </w:t>
      </w:r>
      <w:r w:rsidRPr="004E7CDC">
        <w:rPr>
          <w:lang w:val="es-US"/>
        </w:rPr>
        <w:t xml:space="preserve">Sentencia de 4 de febrero de 2019. Serie C No. 373, </w:t>
      </w:r>
      <w:r>
        <w:rPr>
          <w:lang w:val="es-US"/>
        </w:rPr>
        <w:t xml:space="preserve">párr.  </w:t>
      </w:r>
      <w:r w:rsidRPr="004E7CDC">
        <w:rPr>
          <w:lang w:val="es-US"/>
        </w:rPr>
        <w:t>65</w:t>
      </w:r>
      <w:r>
        <w:rPr>
          <w:lang w:val="es-US"/>
        </w:rPr>
        <w:t xml:space="preserve">, </w:t>
      </w:r>
      <w:r w:rsidRPr="004E7CDC">
        <w:rPr>
          <w:lang w:val="es-US"/>
        </w:rPr>
        <w:t>Corte IDH. Caso Rico Vs. Argentina. Excepción Preliminar y Fondo. Sentencia de 2 de sept</w:t>
      </w:r>
      <w:r>
        <w:rPr>
          <w:lang w:val="es-US"/>
        </w:rPr>
        <w:t>iembre de 2019. Serie C No. 383, párr. 49.</w:t>
      </w:r>
    </w:p>
  </w:footnote>
  <w:footnote w:id="40">
    <w:p w14:paraId="6AA06D54" w14:textId="77777777" w:rsidR="00C6400A" w:rsidRPr="0046645F" w:rsidRDefault="00C6400A">
      <w:pPr>
        <w:pStyle w:val="FootnoteText"/>
        <w:rPr>
          <w:lang w:val="es-ES"/>
        </w:rPr>
      </w:pPr>
      <w:r>
        <w:rPr>
          <w:rStyle w:val="FootnoteReference"/>
        </w:rPr>
        <w:footnoteRef/>
      </w:r>
      <w:r w:rsidRPr="001431B2">
        <w:rPr>
          <w:lang w:val="es-US"/>
        </w:rPr>
        <w:t xml:space="preserve"> </w:t>
      </w:r>
      <w:r>
        <w:rPr>
          <w:lang w:val="es-ES"/>
        </w:rPr>
        <w:t xml:space="preserve">CIDH, </w:t>
      </w:r>
      <w:hyperlink r:id="rId1" w:history="1">
        <w:r w:rsidRPr="0046645F">
          <w:rPr>
            <w:rStyle w:val="Hyperlink"/>
            <w:lang w:val="es-ES_tradnl"/>
          </w:rPr>
          <w:t>Principios Interamericanos sobre Derechos Humanos de todas las personas migrantes, refugiadas, apátridas y las víctimas de la trata de personas</w:t>
        </w:r>
      </w:hyperlink>
      <w:r w:rsidRPr="0046645F">
        <w:rPr>
          <w:lang w:val="es-ES_tradnl"/>
        </w:rPr>
        <w:t>, 7 de diciembre de 2019.</w:t>
      </w:r>
      <w:r w:rsidRPr="001431B2">
        <w:rPr>
          <w:lang w:val="es-US"/>
        </w:rPr>
        <w:t xml:space="preserve"> </w:t>
      </w:r>
    </w:p>
  </w:footnote>
  <w:footnote w:id="41">
    <w:p w14:paraId="278F24EE" w14:textId="77777777" w:rsidR="00C6400A" w:rsidRPr="00A10EEE" w:rsidRDefault="00C6400A" w:rsidP="00C245FE">
      <w:pPr>
        <w:pStyle w:val="FootnoteText"/>
        <w:rPr>
          <w:lang w:val="es-ES"/>
        </w:rPr>
      </w:pPr>
      <w:r w:rsidRPr="00A10EEE">
        <w:rPr>
          <w:rStyle w:val="FootnoteReference"/>
        </w:rPr>
        <w:footnoteRef/>
      </w:r>
      <w:r w:rsidRPr="00A10EEE">
        <w:rPr>
          <w:lang w:val="es-ES_tradnl"/>
        </w:rPr>
        <w:t xml:space="preserve"> </w:t>
      </w:r>
      <w:r w:rsidRPr="00A10EEE">
        <w:rPr>
          <w:lang w:val="es-CO"/>
        </w:rPr>
        <w:t>Corte IDH, Caso de Personas Dominicanas y Haitianas expulsadas Vs. República Dominicana. Sentencia de 28 de agosto de 2014. Serie C No. 282, párr. 356.</w:t>
      </w:r>
    </w:p>
  </w:footnote>
  <w:footnote w:id="42">
    <w:p w14:paraId="39888A24" w14:textId="77777777" w:rsidR="00C6400A" w:rsidRPr="00A10EEE" w:rsidRDefault="00C6400A" w:rsidP="00E8126B">
      <w:pPr>
        <w:pStyle w:val="FootnoteText"/>
        <w:rPr>
          <w:lang w:val="es-US"/>
        </w:rPr>
      </w:pPr>
      <w:r w:rsidRPr="00A10EEE">
        <w:rPr>
          <w:rStyle w:val="FootnoteReference"/>
          <w:rFonts w:eastAsia="MS Mincho"/>
        </w:rPr>
        <w:footnoteRef/>
      </w:r>
      <w:r w:rsidRPr="00A10EEE">
        <w:rPr>
          <w:lang w:val="es-US"/>
        </w:rPr>
        <w:t xml:space="preserve"> Grupo de Trabajo sobre la Detención Arbitraria, </w:t>
      </w:r>
      <w:r w:rsidRPr="00A10EEE">
        <w:rPr>
          <w:i/>
          <w:lang w:val="es-US"/>
        </w:rPr>
        <w:t>Conclusiones y Recomendaciones</w:t>
      </w:r>
      <w:r w:rsidRPr="00A10EEE">
        <w:rPr>
          <w:lang w:val="es-US"/>
        </w:rPr>
        <w:t>, E/CN.4/2004/3, 15 de diciembre de 2003, párr. 86.</w:t>
      </w:r>
    </w:p>
  </w:footnote>
  <w:footnote w:id="43">
    <w:p w14:paraId="46284C16" w14:textId="77777777" w:rsidR="00C6400A" w:rsidRPr="00A10EEE" w:rsidRDefault="00C6400A" w:rsidP="00E8126B">
      <w:pPr>
        <w:pStyle w:val="FootnoteText"/>
        <w:rPr>
          <w:rFonts w:ascii="Calibri" w:hAnsi="Calibri"/>
          <w:sz w:val="18"/>
          <w:szCs w:val="18"/>
          <w:lang w:val="es-US"/>
        </w:rPr>
      </w:pPr>
      <w:r w:rsidRPr="00A10EEE">
        <w:rPr>
          <w:rStyle w:val="FootnoteReference"/>
        </w:rPr>
        <w:footnoteRef/>
      </w:r>
      <w:r w:rsidRPr="00A10EEE">
        <w:rPr>
          <w:lang w:val="es-US"/>
        </w:rPr>
        <w:t xml:space="preserve"> </w:t>
      </w:r>
      <w:r w:rsidRPr="00A10EEE">
        <w:rPr>
          <w:rFonts w:cs="Times-Roman"/>
          <w:lang w:val="es-US" w:bidi="en-US"/>
        </w:rPr>
        <w:t xml:space="preserve">Para mayor información véase, entre otros, Comisión Africana de Derechos Humanos y de los Pueblos, Comunicación 313/05 – </w:t>
      </w:r>
      <w:r w:rsidRPr="00A10EEE">
        <w:rPr>
          <w:rFonts w:cs="Times-Roman"/>
          <w:i/>
          <w:iCs/>
          <w:lang w:val="es-US" w:bidi="en-US"/>
        </w:rPr>
        <w:t>Kenneth Good vs. República de Botswana</w:t>
      </w:r>
      <w:r w:rsidRPr="00A10EEE">
        <w:rPr>
          <w:rFonts w:cs="Times-Roman"/>
          <w:lang w:val="es-US" w:bidi="en-US"/>
        </w:rPr>
        <w:t xml:space="preserve">, 47va Sesión ordinaria, 12 al 26 de mayo de 2010,  párrs. 160-180; y Comisión Africana de Derechos Humanos y de los Pueblos, Comunicaciones 27/89, 46/91, 49/91, 99/93 - </w:t>
      </w:r>
      <w:r w:rsidRPr="00A10EEE">
        <w:rPr>
          <w:rFonts w:cs="Times-Roman"/>
          <w:i/>
          <w:iCs/>
          <w:lang w:val="es-US" w:bidi="en-US"/>
        </w:rPr>
        <w:t>Organisation Mondiale Contre La Torture and Association Internationale des juristes Democrates), Commission Internationale des Juristes (C.I.J), Union Interafricaine des Droits de l'Homme vs. Ruanda</w:t>
      </w:r>
      <w:r w:rsidRPr="00A10EEE">
        <w:rPr>
          <w:rFonts w:cs="Times-Roman"/>
          <w:lang w:val="es-US" w:bidi="en-US"/>
        </w:rPr>
        <w:t>, 20va Sesión ordinaria, Octubre de 1996, p. 4</w:t>
      </w:r>
    </w:p>
  </w:footnote>
  <w:footnote w:id="44">
    <w:p w14:paraId="12FBCD00" w14:textId="77777777" w:rsidR="00C6400A" w:rsidRPr="001431B2" w:rsidRDefault="00C6400A" w:rsidP="00C245FE">
      <w:pPr>
        <w:pStyle w:val="FootnoteText"/>
        <w:rPr>
          <w:lang w:val="es-CO"/>
        </w:rPr>
      </w:pPr>
      <w:r w:rsidRPr="00A10EEE">
        <w:rPr>
          <w:rStyle w:val="FootnoteReference"/>
        </w:rPr>
        <w:footnoteRef/>
      </w:r>
      <w:r w:rsidRPr="00A10EEE">
        <w:rPr>
          <w:lang w:val="es-US"/>
        </w:rPr>
        <w:t xml:space="preserve"> </w:t>
      </w:r>
      <w:r w:rsidRPr="00A10EEE">
        <w:rPr>
          <w:lang w:val="es-CO"/>
        </w:rPr>
        <w:t xml:space="preserve">CIDH, Movilidad Humana, Estándares Americanos. </w:t>
      </w:r>
      <w:r w:rsidRPr="001431B2">
        <w:rPr>
          <w:lang w:val="es-CO"/>
        </w:rPr>
        <w:t>2015. Párr. 302.</w:t>
      </w:r>
    </w:p>
  </w:footnote>
  <w:footnote w:id="45">
    <w:p w14:paraId="60F426C8" w14:textId="77777777" w:rsidR="00C6400A" w:rsidRPr="00A10EEE" w:rsidRDefault="00C6400A" w:rsidP="00C245FE">
      <w:pPr>
        <w:pStyle w:val="FootnoteText"/>
        <w:tabs>
          <w:tab w:val="left" w:pos="0"/>
        </w:tabs>
        <w:rPr>
          <w:lang w:val="es-CO"/>
        </w:rPr>
      </w:pPr>
      <w:r w:rsidRPr="00A10EEE">
        <w:rPr>
          <w:rStyle w:val="FootnoteReference"/>
        </w:rPr>
        <w:footnoteRef/>
      </w:r>
      <w:r w:rsidRPr="00A10EEE">
        <w:rPr>
          <w:lang w:val="es-CO"/>
        </w:rPr>
        <w:t xml:space="preserve"> Corte IDH, Caso de Personas Dominicanas y Haitianas expulsadas Vs. República Dominicana. Sentencia de 28 de agosto de 2014. Serie C No. 282, párr. 389.</w:t>
      </w:r>
    </w:p>
  </w:footnote>
  <w:footnote w:id="46">
    <w:p w14:paraId="11809FD3" w14:textId="77777777" w:rsidR="00C6400A" w:rsidRPr="00A10EEE" w:rsidRDefault="00C6400A">
      <w:pPr>
        <w:pStyle w:val="FootnoteText"/>
        <w:rPr>
          <w:lang w:val="es-US"/>
        </w:rPr>
      </w:pPr>
      <w:r w:rsidRPr="00A10EEE">
        <w:rPr>
          <w:rStyle w:val="FootnoteReference"/>
        </w:rPr>
        <w:footnoteRef/>
      </w:r>
      <w:r w:rsidRPr="00A10EEE">
        <w:rPr>
          <w:lang w:val="es-US"/>
        </w:rPr>
        <w:t xml:space="preserve"> “El extranjero que se halle legalmente en el territorio de un Estado Parte en el presente Pacto sólo podrá ser expulsado de él en cumplimiento de una decisión adoptada conforme a la ley; y, a menos que razones imperiosas de seguridad nacional se opongan a ello, se permitirá a tal extranjero exponer las razones que lo asistan en contra de su expulsión, así como someter su caso a revisión ante la autoridad competente o bien ante la persona o personas designadas especialmente por dicha autoridad competente, y hacerse representar con tal fin ante ellas”.</w:t>
      </w:r>
    </w:p>
  </w:footnote>
  <w:footnote w:id="47">
    <w:p w14:paraId="0E801AFA" w14:textId="77777777" w:rsidR="00C6400A" w:rsidRPr="00A10EEE" w:rsidRDefault="00C6400A" w:rsidP="00B7198A">
      <w:pPr>
        <w:pStyle w:val="FootnoteText"/>
        <w:rPr>
          <w:lang w:val="es-US"/>
        </w:rPr>
      </w:pPr>
      <w:r w:rsidRPr="00A10EEE">
        <w:rPr>
          <w:rStyle w:val="FootnoteReference"/>
        </w:rPr>
        <w:footnoteRef/>
      </w:r>
      <w:r w:rsidRPr="00A10EEE">
        <w:rPr>
          <w:lang w:val="es-US"/>
        </w:rPr>
        <w:t xml:space="preserve">  Comité de Derechos Humanos, Naciones Unidas, </w:t>
      </w:r>
      <w:r w:rsidRPr="00A10EEE">
        <w:rPr>
          <w:i/>
          <w:lang w:val="es-US"/>
        </w:rPr>
        <w:t xml:space="preserve">Observación General 15. La situación de los extranjeros con arreglo al Pacto, </w:t>
      </w:r>
      <w:r w:rsidRPr="00A10EEE">
        <w:rPr>
          <w:lang w:val="es-US"/>
        </w:rPr>
        <w:t>27 período de sesiones, 1986, párr. 10.</w:t>
      </w:r>
    </w:p>
  </w:footnote>
  <w:footnote w:id="48">
    <w:p w14:paraId="63979A92" w14:textId="77777777" w:rsidR="00C6400A" w:rsidRPr="00A10EEE" w:rsidRDefault="00C6400A" w:rsidP="00B7198A">
      <w:pPr>
        <w:pStyle w:val="FootnoteText"/>
        <w:rPr>
          <w:lang w:val="es-US"/>
        </w:rPr>
      </w:pPr>
      <w:r w:rsidRPr="00A10EEE">
        <w:rPr>
          <w:rStyle w:val="FootnoteReference"/>
        </w:rPr>
        <w:footnoteRef/>
      </w:r>
      <w:r w:rsidRPr="00A10EEE">
        <w:rPr>
          <w:lang w:val="es-US"/>
        </w:rPr>
        <w:t xml:space="preserve">  Comité de Derechos Humanos, Naciones Unidas, </w:t>
      </w:r>
      <w:r w:rsidRPr="00A10EEE">
        <w:rPr>
          <w:i/>
          <w:lang w:val="es-US"/>
        </w:rPr>
        <w:t xml:space="preserve">Observación General 15. La situación de los extranjeros con arreglo al Pacto, </w:t>
      </w:r>
      <w:r w:rsidRPr="00A10EEE">
        <w:rPr>
          <w:lang w:val="es-US"/>
        </w:rPr>
        <w:t>27 período de sesiones, 1986, párr. 10.</w:t>
      </w:r>
    </w:p>
  </w:footnote>
  <w:footnote w:id="49">
    <w:p w14:paraId="4A11C441" w14:textId="77777777" w:rsidR="00C6400A" w:rsidRPr="00A10EEE" w:rsidRDefault="00C6400A" w:rsidP="00B7198A">
      <w:pPr>
        <w:pStyle w:val="FootnoteText"/>
        <w:rPr>
          <w:lang w:val="es-US"/>
        </w:rPr>
      </w:pPr>
      <w:r w:rsidRPr="00A10EEE">
        <w:rPr>
          <w:rStyle w:val="FootnoteReference"/>
        </w:rPr>
        <w:footnoteRef/>
      </w:r>
      <w:r w:rsidRPr="00A10EEE">
        <w:rPr>
          <w:lang w:val="es-US"/>
        </w:rPr>
        <w:t xml:space="preserve">  Comité de Derechos Humanos, Naciones Unidas, </w:t>
      </w:r>
      <w:r w:rsidRPr="00A10EEE">
        <w:rPr>
          <w:i/>
          <w:lang w:val="es-US"/>
        </w:rPr>
        <w:t xml:space="preserve">Observación General 15. La situación de los extranjeros con arreglo al Pacto, </w:t>
      </w:r>
      <w:r w:rsidRPr="00A10EEE">
        <w:rPr>
          <w:lang w:val="es-US"/>
        </w:rPr>
        <w:t>27 período de sesiones, 1986, párr. 5.</w:t>
      </w:r>
    </w:p>
  </w:footnote>
  <w:footnote w:id="50">
    <w:p w14:paraId="26A2DD10" w14:textId="77777777" w:rsidR="00C6400A" w:rsidRPr="00A10EEE" w:rsidRDefault="00C6400A" w:rsidP="00671809">
      <w:pPr>
        <w:tabs>
          <w:tab w:val="left" w:pos="0"/>
        </w:tabs>
        <w:jc w:val="both"/>
        <w:rPr>
          <w:rFonts w:asciiTheme="majorHAnsi" w:hAnsiTheme="majorHAnsi"/>
          <w:sz w:val="16"/>
          <w:szCs w:val="16"/>
          <w:lang w:val="es-CO"/>
        </w:rPr>
      </w:pPr>
      <w:r w:rsidRPr="00A10EEE">
        <w:rPr>
          <w:rFonts w:asciiTheme="majorHAnsi" w:hAnsiTheme="majorHAnsi"/>
          <w:sz w:val="16"/>
          <w:szCs w:val="16"/>
          <w:vertAlign w:val="superscript"/>
        </w:rPr>
        <w:footnoteRef/>
      </w:r>
      <w:r w:rsidRPr="00A10EEE">
        <w:rPr>
          <w:rFonts w:asciiTheme="majorHAnsi" w:hAnsiTheme="majorHAnsi"/>
          <w:sz w:val="16"/>
          <w:szCs w:val="16"/>
          <w:vertAlign w:val="superscript"/>
          <w:lang w:val="es-CO"/>
        </w:rPr>
        <w:t xml:space="preserve"> </w:t>
      </w:r>
      <w:r w:rsidRPr="00A10EEE">
        <w:rPr>
          <w:rFonts w:asciiTheme="majorHAnsi" w:hAnsiTheme="majorHAnsi"/>
          <w:sz w:val="16"/>
          <w:szCs w:val="16"/>
          <w:lang w:val="es-CO"/>
        </w:rPr>
        <w:t xml:space="preserve">Comité de Derechos Humanos. </w:t>
      </w:r>
      <w:r w:rsidRPr="00A10EEE">
        <w:rPr>
          <w:rFonts w:asciiTheme="majorHAnsi" w:hAnsiTheme="majorHAnsi"/>
          <w:i/>
          <w:sz w:val="16"/>
          <w:szCs w:val="16"/>
          <w:lang w:val="es-CO"/>
        </w:rPr>
        <w:t xml:space="preserve">Observación General No. 15 relativa a la situación de los extranjeros con arreglo al Pacto Internacional de Derechos Civiles y Políticos. </w:t>
      </w:r>
      <w:r w:rsidRPr="00A10EEE">
        <w:rPr>
          <w:rFonts w:asciiTheme="majorHAnsi" w:hAnsiTheme="majorHAnsi"/>
          <w:sz w:val="16"/>
          <w:szCs w:val="16"/>
          <w:lang w:val="es-CO"/>
        </w:rPr>
        <w:t>Aprobada en el 27 período de sesiones, 1986, párr. 9.</w:t>
      </w:r>
    </w:p>
  </w:footnote>
  <w:footnote w:id="51">
    <w:p w14:paraId="5107746C" w14:textId="77777777" w:rsidR="00C6400A" w:rsidRPr="00A10EEE" w:rsidRDefault="00C6400A" w:rsidP="00381E16">
      <w:pPr>
        <w:pStyle w:val="FootnoteText"/>
        <w:rPr>
          <w:lang w:val="es-US"/>
        </w:rPr>
      </w:pPr>
      <w:r w:rsidRPr="00A10EEE">
        <w:rPr>
          <w:rStyle w:val="FootnoteReference"/>
        </w:rPr>
        <w:footnoteRef/>
      </w:r>
      <w:r w:rsidRPr="00A10EEE">
        <w:rPr>
          <w:lang w:val="es-US"/>
        </w:rPr>
        <w:t xml:space="preserve"> Comité de Derechos Humanos, Naciones Unidas, Mansour Leghaei y otros vs. Australia, Comunicación Nº 1937/2010, Dictamen aprobado por el Comité en su 113er período de sesiones (16 de marzo a 2 de abril de 2015), párr.. 10.5</w:t>
      </w:r>
    </w:p>
  </w:footnote>
  <w:footnote w:id="52">
    <w:p w14:paraId="260A2342" w14:textId="77777777" w:rsidR="00C6400A" w:rsidRPr="00A10EEE" w:rsidRDefault="00C6400A" w:rsidP="00CD6BCC">
      <w:pPr>
        <w:pStyle w:val="FootnoteText"/>
        <w:rPr>
          <w:lang w:val="es-US"/>
        </w:rPr>
      </w:pPr>
      <w:r w:rsidRPr="00A10EEE">
        <w:rPr>
          <w:rStyle w:val="FootnoteReference"/>
        </w:rPr>
        <w:footnoteRef/>
      </w:r>
      <w:r w:rsidRPr="00A10EEE">
        <w:rPr>
          <w:lang w:val="es-US"/>
        </w:rPr>
        <w:t xml:space="preserve"> Comité de Derechos Humanos, Naciones Unidas, Comunicación Nº 1875/2009, M.G.C. vs. Australia, Dictamen aprobado por el Comité en su 113er período de sesiones (16 de marzo a 2 de abril de 2015), párr. 11.9</w:t>
      </w:r>
    </w:p>
  </w:footnote>
  <w:footnote w:id="53">
    <w:p w14:paraId="6DF77483" w14:textId="77777777" w:rsidR="00C6400A" w:rsidRPr="00A10EEE" w:rsidRDefault="00C6400A">
      <w:pPr>
        <w:pStyle w:val="FootnoteText"/>
        <w:rPr>
          <w:lang w:val="es-US"/>
        </w:rPr>
      </w:pPr>
      <w:r w:rsidRPr="00A10EEE">
        <w:rPr>
          <w:rStyle w:val="FootnoteReference"/>
        </w:rPr>
        <w:footnoteRef/>
      </w:r>
      <w:r w:rsidRPr="00A10EEE">
        <w:rPr>
          <w:lang w:val="es-US"/>
        </w:rPr>
        <w:t xml:space="preserve"> ECHR, Case of Gaspar vs. Russia, 12 de junio de 2018.</w:t>
      </w:r>
    </w:p>
  </w:footnote>
  <w:footnote w:id="54">
    <w:p w14:paraId="493DC81D" w14:textId="77777777" w:rsidR="00C6400A" w:rsidRPr="00A10EEE" w:rsidRDefault="00C6400A" w:rsidP="00C459CB">
      <w:pPr>
        <w:pStyle w:val="FootnoteText"/>
        <w:rPr>
          <w:lang w:val="es-US"/>
        </w:rPr>
      </w:pPr>
      <w:r w:rsidRPr="00A10EEE">
        <w:rPr>
          <w:rStyle w:val="FootnoteReference"/>
        </w:rPr>
        <w:footnoteRef/>
      </w:r>
      <w:r w:rsidRPr="00A10EEE">
        <w:rPr>
          <w:lang w:val="es-US"/>
        </w:rPr>
        <w:t xml:space="preserve"> En particular los siguientes: la naturaleza de la ofensa cometida, la duración de la estadía del solicitante en el país del cual debe ser expulsado; el tiempo transcurrido desde que se cometió el delito y la conducta del solicitante durante ese período;  las nacionalidades de las diversas personas interesadas;  la situación familiar del solicitante, como la duración del matrimonio y otros factores que expresan la efectividad de la vida familiar de una pareja; si el cónyuge conocía el delito en el momento en que entabló una relación familiar;  si hay hijos del matrimonio y, de ser así, su edad; y la gravedad de las dificultades que el cónyuge puede encontrar en el país al que debe expulsar al solicitante; el interés superior y el bienestar de los niños, en particular la gravedad de las dificultades que los niños del solicitante pueden encontrar en el país al que debe ser expulsado; y la solidez de los lazos sociales, culturales y familiares con el país anfitrión y con el país de destino. Ver a ese respecto, ECHR, Case of Üner vs. Netherlands, 18 de octubre de 2006. </w:t>
      </w:r>
    </w:p>
  </w:footnote>
  <w:footnote w:id="55">
    <w:p w14:paraId="6232EA8F" w14:textId="77777777" w:rsidR="00C6400A" w:rsidRPr="00A10EEE" w:rsidRDefault="00C6400A" w:rsidP="009532E9">
      <w:pPr>
        <w:pStyle w:val="FootnoteText"/>
        <w:rPr>
          <w:rFonts w:ascii="Cambria" w:hAnsi="Cambria"/>
          <w:lang w:val="es-US"/>
        </w:rPr>
      </w:pPr>
      <w:r w:rsidRPr="00A10EEE">
        <w:rPr>
          <w:rStyle w:val="FootnoteReference"/>
          <w:rFonts w:ascii="Cambria" w:hAnsi="Cambria"/>
        </w:rPr>
        <w:footnoteRef/>
      </w:r>
      <w:r w:rsidRPr="00A10EEE">
        <w:rPr>
          <w:rFonts w:ascii="Cambria" w:hAnsi="Cambria"/>
          <w:lang w:val="es-ES_tradnl"/>
        </w:rPr>
        <w:t xml:space="preserve"> Corte I.D.H., </w:t>
      </w:r>
      <w:r w:rsidRPr="00A10EEE">
        <w:rPr>
          <w:rFonts w:ascii="Cambria" w:hAnsi="Cambria"/>
          <w:bCs/>
          <w:i/>
          <w:lang w:val="es-ES_tradnl"/>
        </w:rPr>
        <w:t xml:space="preserve">Caso Vélez Loor Vs. </w:t>
      </w:r>
      <w:r w:rsidRPr="00A10EEE">
        <w:rPr>
          <w:rFonts w:ascii="Cambria" w:hAnsi="Cambria"/>
          <w:bCs/>
          <w:i/>
          <w:lang w:val="es-US"/>
        </w:rPr>
        <w:t>Panamá</w:t>
      </w:r>
      <w:r w:rsidRPr="00A10EEE">
        <w:rPr>
          <w:rFonts w:ascii="Cambria" w:hAnsi="Cambria"/>
          <w:bCs/>
          <w:lang w:val="es-US"/>
        </w:rPr>
        <w:t xml:space="preserve">. </w:t>
      </w:r>
      <w:r w:rsidRPr="00A10EEE">
        <w:rPr>
          <w:rFonts w:ascii="Cambria" w:hAnsi="Cambria"/>
          <w:lang w:val="es-US"/>
        </w:rPr>
        <w:t xml:space="preserve">Excepciones Preliminares, Fondo, Reparaciones y Costas. Sentencia de 23 de noviembre de 2010. Serie C No. 218. Párr. 160. </w:t>
      </w:r>
    </w:p>
  </w:footnote>
  <w:footnote w:id="56">
    <w:p w14:paraId="565D4A9D" w14:textId="77777777" w:rsidR="00C6400A" w:rsidRPr="00A10EEE" w:rsidRDefault="00C6400A" w:rsidP="009532E9">
      <w:pPr>
        <w:pStyle w:val="FootnoteText"/>
        <w:rPr>
          <w:rFonts w:ascii="Calibri" w:hAnsi="Calibri"/>
          <w:sz w:val="18"/>
          <w:szCs w:val="18"/>
          <w:lang w:val="es-US"/>
        </w:rPr>
      </w:pPr>
      <w:r w:rsidRPr="00A10EEE">
        <w:rPr>
          <w:rStyle w:val="FootnoteReference"/>
          <w:rFonts w:ascii="Cambria" w:hAnsi="Cambria"/>
        </w:rPr>
        <w:footnoteRef/>
      </w:r>
      <w:r w:rsidRPr="00A10EEE">
        <w:rPr>
          <w:rFonts w:ascii="Cambria" w:hAnsi="Cambria"/>
          <w:lang w:val="es-US"/>
        </w:rPr>
        <w:t xml:space="preserve"> Corte I.D.H., </w:t>
      </w:r>
      <w:r w:rsidRPr="00A10EEE">
        <w:rPr>
          <w:rFonts w:ascii="Cambria" w:hAnsi="Cambria"/>
          <w:bCs/>
          <w:i/>
          <w:lang w:val="es-US"/>
        </w:rPr>
        <w:t>Caso Vélez Loor Vs. Panamá</w:t>
      </w:r>
      <w:r w:rsidRPr="00A10EEE">
        <w:rPr>
          <w:rFonts w:ascii="Cambria" w:hAnsi="Cambria"/>
          <w:bCs/>
          <w:lang w:val="es-US"/>
        </w:rPr>
        <w:t xml:space="preserve">. </w:t>
      </w:r>
      <w:r w:rsidRPr="00A10EEE">
        <w:rPr>
          <w:rFonts w:ascii="Cambria" w:hAnsi="Cambria"/>
          <w:lang w:val="es-US"/>
        </w:rPr>
        <w:t>Excepciones Preliminares, Fondo, Reparaciones y Costas. Sentencia de 23 de noviembre de 2010. Serie C No. 218. Párr. 101.</w:t>
      </w:r>
      <w:r w:rsidRPr="00A10EEE">
        <w:rPr>
          <w:rFonts w:ascii="Calibri" w:hAnsi="Calibri"/>
          <w:sz w:val="18"/>
          <w:szCs w:val="18"/>
          <w:lang w:val="es-US"/>
        </w:rPr>
        <w:t xml:space="preserve"> </w:t>
      </w:r>
    </w:p>
  </w:footnote>
  <w:footnote w:id="57">
    <w:p w14:paraId="54043AA2" w14:textId="77777777" w:rsidR="00C6400A" w:rsidRPr="00A10EEE" w:rsidRDefault="00C6400A" w:rsidP="00D676F5">
      <w:pPr>
        <w:pStyle w:val="FootnoteText"/>
        <w:rPr>
          <w:lang w:val="es-ES"/>
        </w:rPr>
      </w:pPr>
      <w:r w:rsidRPr="00A10EEE">
        <w:rPr>
          <w:rStyle w:val="FootnoteReference"/>
        </w:rPr>
        <w:footnoteRef/>
      </w:r>
      <w:r w:rsidRPr="00A10EEE">
        <w:rPr>
          <w:lang w:val="es-CO"/>
        </w:rPr>
        <w:t xml:space="preserve"> Corte IDH, Caso de Personas Dominicanas y Haitianas expulsadas Vs. República Dominicana. Sentencia de 28 de agosto de 2014. Serie C No. 282, párr. 416.</w:t>
      </w:r>
    </w:p>
  </w:footnote>
  <w:footnote w:id="58">
    <w:p w14:paraId="414A2B46" w14:textId="77777777" w:rsidR="00C6400A" w:rsidRPr="003F1717" w:rsidRDefault="00C6400A" w:rsidP="00844EE6">
      <w:pPr>
        <w:pStyle w:val="FootnoteText"/>
        <w:rPr>
          <w:rFonts w:ascii="Cambria" w:hAnsi="Cambria"/>
          <w:lang w:val="es-ES"/>
        </w:rPr>
      </w:pPr>
      <w:r w:rsidRPr="003F1717">
        <w:rPr>
          <w:rStyle w:val="FootnoteReference"/>
        </w:rPr>
        <w:footnoteRef/>
      </w:r>
      <w:r w:rsidRPr="003F1717">
        <w:rPr>
          <w:lang w:val="es-CO"/>
        </w:rPr>
        <w:t xml:space="preserve"> </w:t>
      </w:r>
      <w:r w:rsidR="003F1717" w:rsidRPr="003F1717">
        <w:rPr>
          <w:rFonts w:ascii="Cambria" w:hAnsi="Cambria"/>
          <w:b/>
          <w:bCs/>
          <w:lang w:val="es-ES"/>
        </w:rPr>
        <w:t>Anexo 4.</w:t>
      </w:r>
      <w:r w:rsidR="003F1717" w:rsidRPr="003F1717">
        <w:rPr>
          <w:rFonts w:ascii="Cambria" w:hAnsi="Cambria"/>
          <w:lang w:val="es-ES"/>
        </w:rPr>
        <w:t xml:space="preserve"> Resolución del Consejo Consultivo de Política Migratoria de 22 de noviembre de 2001. Anexo  5 de la comunicación del Estado de 7 de junio de 2016. </w:t>
      </w:r>
    </w:p>
  </w:footnote>
  <w:footnote w:id="59">
    <w:p w14:paraId="556AEEC6" w14:textId="77777777" w:rsidR="00C6400A" w:rsidRPr="00A10EEE" w:rsidRDefault="00C6400A" w:rsidP="00AA384A">
      <w:pPr>
        <w:pStyle w:val="NormalWeb"/>
        <w:spacing w:before="0" w:beforeAutospacing="0" w:after="0" w:afterAutospacing="0"/>
        <w:ind w:right="74"/>
        <w:jc w:val="both"/>
        <w:rPr>
          <w:rFonts w:asciiTheme="majorHAnsi" w:hAnsiTheme="majorHAnsi" w:cs="Tahoma"/>
          <w:color w:val="000000"/>
          <w:sz w:val="16"/>
          <w:szCs w:val="16"/>
        </w:rPr>
      </w:pPr>
      <w:r w:rsidRPr="00A10EEE">
        <w:rPr>
          <w:rStyle w:val="FootnoteReference"/>
          <w:rFonts w:asciiTheme="majorHAnsi" w:hAnsiTheme="majorHAnsi"/>
          <w:sz w:val="16"/>
          <w:szCs w:val="16"/>
        </w:rPr>
        <w:footnoteRef/>
      </w:r>
      <w:r w:rsidRPr="00A10EEE">
        <w:rPr>
          <w:rFonts w:asciiTheme="majorHAnsi" w:hAnsiTheme="majorHAnsi"/>
          <w:sz w:val="16"/>
          <w:szCs w:val="16"/>
        </w:rPr>
        <w:t xml:space="preserve"> </w:t>
      </w:r>
      <w:r w:rsidRPr="00A10EEE">
        <w:rPr>
          <w:rFonts w:asciiTheme="majorHAnsi" w:hAnsiTheme="majorHAnsi"/>
          <w:sz w:val="16"/>
          <w:szCs w:val="16"/>
          <w:lang w:val="es-ES"/>
        </w:rPr>
        <w:t>El artículo 7 de la Convención señala: “</w:t>
      </w:r>
      <w:r w:rsidRPr="00A10EEE">
        <w:rPr>
          <w:rFonts w:asciiTheme="majorHAnsi" w:hAnsiTheme="majorHAnsi" w:cs="Tahoma"/>
          <w:color w:val="000000"/>
          <w:sz w:val="16"/>
          <w:szCs w:val="16"/>
        </w:rPr>
        <w:t> 1. Toda persona tiene derecho a la libertad y a la seguridad personales.// 2. Nadie puede ser privado de su libertad física, salvo por las causas y en las condiciones fijadas de antemano por las Constituciones Políticas de los Estados Partes o por las leyes dictadas conforme a ellas.// 3. Nadie puede ser sometido a detención o encarcelamiento arbitrarios.// 4. Toda persona detenida o retenida debe ser informada de las razones de su detención y notificada, sin demora, del cargo o cargos formulados contra ella.// 5. 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en el juicio.// 6. Toda persona privada de libertad tiene derecho a recurrir ante un juez o tribunal competente, a fin de que éste decida, sin demora, sobre la legalidad de su arresto o detención y ordene su libertad si el arresto o la detención fueran ilegales.  En los Estados Partes cuyas leyes prevén que toda persona que se viera amenazada de ser privada de su libertad tiene derecho a recurrir a un juez o tribunal competente a fin de que éste decida sobre la legalidad de tal amenaza, dicho recurso no puede ser restringido ni abolido.  Los recursos podrán interponerse por sí o por otra persona.// 7. Nadie será detenido por deudas.  Este principio no limita los mandatos de autoridad judicial competente dictados por incumplimientos de deberes alimentarios.”</w:t>
      </w:r>
    </w:p>
  </w:footnote>
  <w:footnote w:id="60">
    <w:p w14:paraId="025713AD" w14:textId="77777777" w:rsidR="00C6400A" w:rsidRPr="00A10EEE" w:rsidRDefault="00C6400A" w:rsidP="00AB6298">
      <w:pPr>
        <w:pStyle w:val="FootnoteText"/>
        <w:tabs>
          <w:tab w:val="left" w:pos="0"/>
        </w:tabs>
        <w:rPr>
          <w:lang w:val="pt-BR"/>
        </w:rPr>
      </w:pPr>
      <w:r w:rsidRPr="00A10EEE">
        <w:rPr>
          <w:rStyle w:val="FootnoteReference"/>
        </w:rPr>
        <w:footnoteRef/>
      </w:r>
      <w:r w:rsidRPr="00A10EEE">
        <w:rPr>
          <w:lang w:val="es-CO"/>
        </w:rPr>
        <w:t xml:space="preserve"> CIDH, Movilidad Humana Estándares Americanos, 2015. </w:t>
      </w:r>
      <w:r w:rsidRPr="00A10EEE">
        <w:rPr>
          <w:lang w:val="pt-BR"/>
        </w:rPr>
        <w:t>Párrs. 381-382.</w:t>
      </w:r>
    </w:p>
  </w:footnote>
  <w:footnote w:id="61">
    <w:p w14:paraId="619A7CFB" w14:textId="77777777" w:rsidR="00C6400A" w:rsidRPr="00A10EEE" w:rsidRDefault="00C6400A" w:rsidP="00AB6298">
      <w:pPr>
        <w:pStyle w:val="FootnoteText"/>
        <w:tabs>
          <w:tab w:val="left" w:pos="0"/>
        </w:tabs>
        <w:rPr>
          <w:lang w:val="es-CO"/>
        </w:rPr>
      </w:pPr>
      <w:r w:rsidRPr="00A10EEE">
        <w:rPr>
          <w:rStyle w:val="FootnoteReference"/>
        </w:rPr>
        <w:footnoteRef/>
      </w:r>
      <w:r w:rsidRPr="00A10EEE">
        <w:rPr>
          <w:lang w:val="pt-BR"/>
        </w:rPr>
        <w:t xml:space="preserve"> </w:t>
      </w:r>
      <w:r w:rsidRPr="00A10EEE">
        <w:rPr>
          <w:rFonts w:eastAsia="Times New Roman"/>
          <w:lang w:val="pt-BR"/>
        </w:rPr>
        <w:t xml:space="preserve">Corte IDH. Caso Vélez Loor Vs. </w:t>
      </w:r>
      <w:r w:rsidRPr="00A10EEE">
        <w:rPr>
          <w:rFonts w:eastAsia="Times New Roman"/>
          <w:lang w:val="es-US"/>
        </w:rPr>
        <w:t xml:space="preserve">Panamá., Excepciones Preliminares, Fondo, Reparaciones y Costas. Sentencia de 23 de noviembre de 2010. Serie C No. </w:t>
      </w:r>
      <w:r w:rsidRPr="00A10EEE">
        <w:rPr>
          <w:lang w:val="es-CO"/>
        </w:rPr>
        <w:t xml:space="preserve">Párr. 169-171. </w:t>
      </w:r>
    </w:p>
  </w:footnote>
  <w:footnote w:id="62">
    <w:p w14:paraId="7EB99EAC" w14:textId="77777777" w:rsidR="00C6400A" w:rsidRPr="00A10EEE" w:rsidRDefault="00C6400A" w:rsidP="0040372E">
      <w:pPr>
        <w:pStyle w:val="FootnoteText"/>
        <w:tabs>
          <w:tab w:val="left" w:pos="0"/>
        </w:tabs>
        <w:rPr>
          <w:lang w:val="pt-BR"/>
        </w:rPr>
      </w:pPr>
      <w:r w:rsidRPr="00A10EEE">
        <w:rPr>
          <w:rStyle w:val="FootnoteReference"/>
        </w:rPr>
        <w:footnoteRef/>
      </w:r>
      <w:r w:rsidRPr="00A10EEE">
        <w:rPr>
          <w:lang w:val="es-CO"/>
        </w:rPr>
        <w:t xml:space="preserve"> CIDH, Movilidad Humana, Estándares Americanos. </w:t>
      </w:r>
      <w:r w:rsidRPr="00A10EEE">
        <w:rPr>
          <w:lang w:val="pt-BR"/>
        </w:rPr>
        <w:t>2015. Párr. 405.</w:t>
      </w:r>
    </w:p>
  </w:footnote>
  <w:footnote w:id="63">
    <w:p w14:paraId="32091622" w14:textId="77777777" w:rsidR="00C6400A" w:rsidRPr="00A10EEE" w:rsidRDefault="00C6400A">
      <w:pPr>
        <w:pStyle w:val="FootnoteText"/>
        <w:rPr>
          <w:lang w:val="es-ES"/>
        </w:rPr>
      </w:pPr>
      <w:r w:rsidRPr="00A10EEE">
        <w:rPr>
          <w:rStyle w:val="FootnoteReference"/>
        </w:rPr>
        <w:footnoteRef/>
      </w:r>
      <w:r w:rsidRPr="00A10EEE">
        <w:rPr>
          <w:lang w:val="pt-BR"/>
        </w:rPr>
        <w:t xml:space="preserve"> </w:t>
      </w:r>
      <w:r w:rsidRPr="00A10EEE">
        <w:rPr>
          <w:rFonts w:eastAsia="Times New Roman"/>
          <w:lang w:val="pt-BR"/>
        </w:rPr>
        <w:t xml:space="preserve">Corte IDH. Caso Vélez Loor Vs. </w:t>
      </w:r>
      <w:r w:rsidRPr="00A10EEE">
        <w:rPr>
          <w:rFonts w:eastAsia="Times New Roman"/>
          <w:lang w:val="es-US"/>
        </w:rPr>
        <w:t xml:space="preserve">Panamá., Excepciones Preliminares, Fondo, Reparaciones y Costas. Sentencia de 23 de noviembre de 2010. Serie C No. </w:t>
      </w:r>
      <w:r w:rsidRPr="00A10EEE">
        <w:rPr>
          <w:lang w:val="es-CO"/>
        </w:rPr>
        <w:t>Párr. 118.</w:t>
      </w:r>
    </w:p>
  </w:footnote>
  <w:footnote w:id="64">
    <w:p w14:paraId="21A2F4B0" w14:textId="77777777" w:rsidR="00C6400A" w:rsidRPr="00A10EEE" w:rsidRDefault="00C6400A" w:rsidP="006C6E3A">
      <w:pPr>
        <w:jc w:val="both"/>
        <w:rPr>
          <w:rFonts w:asciiTheme="majorHAnsi" w:eastAsia="Times New Roman" w:hAnsiTheme="majorHAnsi"/>
          <w:sz w:val="16"/>
          <w:szCs w:val="16"/>
        </w:rPr>
      </w:pPr>
      <w:r w:rsidRPr="00A10EEE">
        <w:rPr>
          <w:rStyle w:val="FootnoteReference"/>
          <w:rFonts w:asciiTheme="majorHAnsi" w:hAnsiTheme="majorHAnsi"/>
          <w:sz w:val="16"/>
          <w:szCs w:val="16"/>
        </w:rPr>
        <w:footnoteRef/>
      </w:r>
      <w:r w:rsidRPr="00A10EEE">
        <w:rPr>
          <w:rFonts w:asciiTheme="majorHAnsi" w:hAnsiTheme="majorHAnsi"/>
          <w:sz w:val="16"/>
          <w:szCs w:val="16"/>
        </w:rPr>
        <w:t xml:space="preserve"> </w:t>
      </w:r>
      <w:r w:rsidRPr="00A10EEE">
        <w:rPr>
          <w:rFonts w:asciiTheme="majorHAnsi" w:eastAsia="Times New Roman" w:hAnsiTheme="majorHAnsi"/>
          <w:sz w:val="16"/>
          <w:szCs w:val="16"/>
        </w:rPr>
        <w:t>Corte IDH. El Derecho a la Información sobre la Asistencia Consular en el Marco de las Garantías del Debido Proceso Legal. Opinión Consultiva OC-16/99 de 1 de octubre de 1999. Serie A No. 16, párr. 5.</w:t>
      </w:r>
    </w:p>
  </w:footnote>
  <w:footnote w:id="65">
    <w:p w14:paraId="0391D1B8" w14:textId="77777777" w:rsidR="00C6400A" w:rsidRPr="00A10EEE" w:rsidRDefault="00C6400A" w:rsidP="006C6E3A">
      <w:pPr>
        <w:jc w:val="both"/>
        <w:rPr>
          <w:rFonts w:asciiTheme="majorHAnsi" w:eastAsia="Times New Roman" w:hAnsiTheme="majorHAnsi"/>
          <w:sz w:val="16"/>
          <w:szCs w:val="16"/>
        </w:rPr>
      </w:pPr>
      <w:r w:rsidRPr="00A10EEE">
        <w:rPr>
          <w:rStyle w:val="FootnoteReference"/>
          <w:rFonts w:asciiTheme="majorHAnsi" w:hAnsiTheme="majorHAnsi"/>
          <w:sz w:val="16"/>
          <w:szCs w:val="16"/>
        </w:rPr>
        <w:footnoteRef/>
      </w:r>
      <w:r w:rsidRPr="00A10EEE">
        <w:rPr>
          <w:rFonts w:asciiTheme="majorHAnsi" w:hAnsiTheme="majorHAnsi"/>
          <w:sz w:val="16"/>
          <w:szCs w:val="16"/>
        </w:rPr>
        <w:t xml:space="preserve"> </w:t>
      </w:r>
      <w:r w:rsidRPr="00A10EEE">
        <w:rPr>
          <w:rFonts w:asciiTheme="majorHAnsi" w:eastAsia="Times New Roman" w:hAnsiTheme="majorHAnsi"/>
          <w:sz w:val="16"/>
          <w:szCs w:val="16"/>
        </w:rPr>
        <w:t>Corte IDH. El Derecho a la Información sobre la Asistencia Consular en el Marco de las Garantías del Debido Proceso Legal. Opinión Consultiva OC-16/99 de 1 de octubre de 1999. Serie A No. 16, párr. 106</w:t>
      </w:r>
    </w:p>
  </w:footnote>
  <w:footnote w:id="66">
    <w:p w14:paraId="0C2721CA" w14:textId="77777777" w:rsidR="00C6400A" w:rsidRPr="00A10EEE" w:rsidRDefault="00C6400A" w:rsidP="006C6E3A">
      <w:pPr>
        <w:pStyle w:val="FootnoteText"/>
        <w:rPr>
          <w:lang w:val="pt-BR"/>
        </w:rPr>
      </w:pPr>
      <w:r w:rsidRPr="00A10EEE">
        <w:rPr>
          <w:rStyle w:val="FootnoteReference"/>
        </w:rPr>
        <w:footnoteRef/>
      </w:r>
      <w:r w:rsidRPr="00A10EEE">
        <w:rPr>
          <w:lang w:val="es-US"/>
        </w:rPr>
        <w:t xml:space="preserve"> </w:t>
      </w:r>
      <w:r w:rsidRPr="00A10EEE">
        <w:rPr>
          <w:lang w:val="es-CO"/>
        </w:rPr>
        <w:t xml:space="preserve">CIDH, Movilidad Humana Estándares Americanos, 2015. </w:t>
      </w:r>
      <w:r w:rsidRPr="00A10EEE">
        <w:rPr>
          <w:lang w:val="pt-BR"/>
        </w:rPr>
        <w:t>Párrs. 330.</w:t>
      </w:r>
    </w:p>
  </w:footnote>
  <w:footnote w:id="67">
    <w:p w14:paraId="544800B9" w14:textId="77777777" w:rsidR="00C6400A" w:rsidRPr="00A10EEE" w:rsidRDefault="00C6400A">
      <w:pPr>
        <w:pStyle w:val="FootnoteText"/>
        <w:rPr>
          <w:lang w:val="es-ES"/>
        </w:rPr>
      </w:pPr>
      <w:r w:rsidRPr="00A10EEE">
        <w:rPr>
          <w:rStyle w:val="FootnoteReference"/>
        </w:rPr>
        <w:footnoteRef/>
      </w:r>
      <w:r w:rsidRPr="00A10EEE">
        <w:rPr>
          <w:lang w:val="pt-BR"/>
        </w:rPr>
        <w:t xml:space="preserve"> </w:t>
      </w:r>
      <w:r w:rsidRPr="00A10EEE">
        <w:rPr>
          <w:rFonts w:eastAsia="Times New Roman"/>
          <w:lang w:val="pt-BR"/>
        </w:rPr>
        <w:t xml:space="preserve">Corte IDH. Caso Vélez Loor Vs. </w:t>
      </w:r>
      <w:r w:rsidRPr="00A10EEE">
        <w:rPr>
          <w:rFonts w:eastAsia="Times New Roman"/>
          <w:lang w:val="es-US"/>
        </w:rPr>
        <w:t xml:space="preserve">Panamá., Excepciones Preliminares, Fondo, Reparaciones y Costas. Sentencia de 23 de noviembre de 2010. Serie C No. </w:t>
      </w:r>
      <w:r w:rsidRPr="00A10EEE">
        <w:rPr>
          <w:lang w:val="es-CO"/>
        </w:rPr>
        <w:t>Párr. 154.</w:t>
      </w:r>
    </w:p>
  </w:footnote>
  <w:footnote w:id="68">
    <w:p w14:paraId="695097D7" w14:textId="77777777" w:rsidR="00C6400A" w:rsidRPr="00A10EEE" w:rsidRDefault="00C6400A">
      <w:pPr>
        <w:pStyle w:val="FootnoteText"/>
        <w:rPr>
          <w:lang w:val="es-ES"/>
        </w:rPr>
      </w:pPr>
      <w:r w:rsidRPr="00A10EEE">
        <w:rPr>
          <w:rStyle w:val="FootnoteReference"/>
        </w:rPr>
        <w:footnoteRef/>
      </w:r>
      <w:r w:rsidRPr="00A10EEE">
        <w:rPr>
          <w:lang w:val="pt-BR"/>
        </w:rPr>
        <w:t xml:space="preserve"> </w:t>
      </w:r>
      <w:r w:rsidRPr="00A10EEE">
        <w:rPr>
          <w:rFonts w:eastAsia="Times New Roman"/>
          <w:lang w:val="pt-BR"/>
        </w:rPr>
        <w:t xml:space="preserve">Corte IDH. Caso Vélez Loor Vs. </w:t>
      </w:r>
      <w:r w:rsidRPr="00A10EEE">
        <w:rPr>
          <w:rFonts w:eastAsia="Times New Roman"/>
          <w:lang w:val="es-US"/>
        </w:rPr>
        <w:t xml:space="preserve">Panamá., Excepciones Preliminares, Fondo, Reparaciones y Costas. Sentencia de 23 de noviembre de 2010. Serie C No. </w:t>
      </w:r>
      <w:r w:rsidRPr="00A10EEE">
        <w:rPr>
          <w:lang w:val="es-CO"/>
        </w:rPr>
        <w:t>Párr. 157.</w:t>
      </w:r>
    </w:p>
  </w:footnote>
  <w:footnote w:id="69">
    <w:p w14:paraId="53DDFCC1" w14:textId="77777777" w:rsidR="00C6400A" w:rsidRPr="003F1717" w:rsidRDefault="00C6400A" w:rsidP="00025C94">
      <w:pPr>
        <w:pStyle w:val="FootnoteText"/>
        <w:rPr>
          <w:rFonts w:ascii="Cambria" w:hAnsi="Cambria"/>
          <w:lang w:val="es-ES"/>
        </w:rPr>
      </w:pPr>
      <w:r w:rsidRPr="003F1717">
        <w:rPr>
          <w:rStyle w:val="FootnoteReference"/>
        </w:rPr>
        <w:footnoteRef/>
      </w:r>
      <w:r w:rsidRPr="003F1717">
        <w:rPr>
          <w:lang w:val="es-US"/>
        </w:rPr>
        <w:t xml:space="preserve"> </w:t>
      </w:r>
      <w:r w:rsidR="003F1717" w:rsidRPr="003F1717">
        <w:rPr>
          <w:rFonts w:ascii="Cambria" w:hAnsi="Cambria"/>
          <w:b/>
          <w:bCs/>
          <w:lang w:val="es-ES"/>
        </w:rPr>
        <w:t>Anexo 4.</w:t>
      </w:r>
      <w:r w:rsidR="003F1717" w:rsidRPr="003F1717">
        <w:rPr>
          <w:rFonts w:ascii="Cambria" w:hAnsi="Cambria"/>
          <w:lang w:val="es-ES"/>
        </w:rPr>
        <w:t xml:space="preserve"> Resolución del Consejo Consultivo de Política Migratoria de 22 de noviembre de 2001. Anexo  5 de la comunicación del Estado de 7 de junio de 2016.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A7A5D" w14:textId="77777777" w:rsidR="00C6400A" w:rsidRDefault="00C6400A" w:rsidP="00CF0CCE">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4451DE0" w14:textId="77777777" w:rsidR="00C6400A" w:rsidRDefault="00C640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C639" w14:textId="77777777" w:rsidR="00C6400A" w:rsidRDefault="00C6400A" w:rsidP="00A50FCF">
    <w:pPr>
      <w:pStyle w:val="Header"/>
      <w:tabs>
        <w:tab w:val="clear" w:pos="4320"/>
        <w:tab w:val="clear" w:pos="8640"/>
      </w:tabs>
      <w:jc w:val="center"/>
      <w:rPr>
        <w:sz w:val="22"/>
        <w:szCs w:val="22"/>
      </w:rPr>
    </w:pPr>
    <w:r>
      <w:rPr>
        <w:noProof/>
        <w:sz w:val="22"/>
        <w:szCs w:val="22"/>
      </w:rPr>
      <w:drawing>
        <wp:inline distT="0" distB="0" distL="0" distR="0" wp14:anchorId="32472A6A" wp14:editId="6F32E83E">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0ED2BD0" w14:textId="77777777" w:rsidR="00C6400A" w:rsidRPr="00EC7D62" w:rsidRDefault="00C76F21" w:rsidP="00A50FCF">
    <w:pPr>
      <w:pStyle w:val="Header"/>
      <w:tabs>
        <w:tab w:val="clear" w:pos="4320"/>
        <w:tab w:val="clear" w:pos="8640"/>
      </w:tabs>
      <w:jc w:val="center"/>
      <w:rPr>
        <w:sz w:val="22"/>
        <w:szCs w:val="22"/>
      </w:rPr>
    </w:pPr>
    <w:r>
      <w:rPr>
        <w:noProof/>
        <w:sz w:val="22"/>
        <w:szCs w:val="22"/>
        <w:bdr w:val="nil"/>
      </w:rPr>
      <w:pict w14:anchorId="0F047429">
        <v:rect id="_x0000_i1025" alt="" style="width:425.2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DFC879A4"/>
    <w:styleLink w:val="List16"/>
    <w:lvl w:ilvl="0">
      <w:start w:val="1"/>
      <w:numFmt w:val="upperLetter"/>
      <w:lvlText w:val="%1."/>
      <w:lvlJc w:val="left"/>
      <w:pPr>
        <w:ind w:left="720" w:hanging="360"/>
      </w:pPr>
      <w:rPr>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8F358B"/>
    <w:multiLevelType w:val="multilevel"/>
    <w:tmpl w:val="43907A7A"/>
    <w:lvl w:ilvl="0">
      <w:start w:val="1"/>
      <w:numFmt w:val="decimal"/>
      <w:pStyle w:val="Heading3"/>
      <w:lvlText w:val="%1."/>
      <w:lvlJc w:val="left"/>
      <w:pPr>
        <w:ind w:left="720" w:hanging="360"/>
      </w:pPr>
      <w:rPr>
        <w:rFonts w:hint="default"/>
      </w:rPr>
    </w:lvl>
    <w:lvl w:ilvl="1">
      <w:start w:val="1"/>
      <w:numFmt w:val="decimal"/>
      <w:pStyle w:val="Heading4"/>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1E22FEE"/>
    <w:multiLevelType w:val="hybridMultilevel"/>
    <w:tmpl w:val="1026E0EE"/>
    <w:lvl w:ilvl="0" w:tplc="C1E4C136">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6E5F1C"/>
    <w:multiLevelType w:val="hybridMultilevel"/>
    <w:tmpl w:val="8E142086"/>
    <w:lvl w:ilvl="0" w:tplc="0B341F68">
      <w:start w:val="1"/>
      <w:numFmt w:val="upperLetter"/>
      <w:pStyle w:val="Heading2"/>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2A0BA1"/>
    <w:multiLevelType w:val="hybridMultilevel"/>
    <w:tmpl w:val="445AA560"/>
    <w:lvl w:ilvl="0" w:tplc="FBE8B592">
      <w:start w:val="1"/>
      <w:numFmt w:val="upperRoman"/>
      <w:pStyle w:val="Heading1"/>
      <w:lvlText w:val="%1."/>
      <w:lvlJc w:val="left"/>
      <w:pPr>
        <w:ind w:left="720" w:hanging="72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2D92191"/>
    <w:multiLevelType w:val="hybridMultilevel"/>
    <w:tmpl w:val="379013CC"/>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D7D4B9D"/>
    <w:multiLevelType w:val="hybridMultilevel"/>
    <w:tmpl w:val="9C480608"/>
    <w:lvl w:ilvl="0" w:tplc="DEFA9C4E">
      <w:start w:val="1"/>
      <w:numFmt w:val="decimal"/>
      <w:pStyle w:val="parrafos"/>
      <w:lvlText w:val="%1."/>
      <w:lvlJc w:val="left"/>
      <w:pPr>
        <w:ind w:left="360" w:hanging="360"/>
      </w:pPr>
      <w:rPr>
        <w:rFonts w:ascii="Cambria" w:hAnsi="Cambria" w:hint="default"/>
        <w:b w:val="0"/>
        <w:i w:val="0"/>
        <w:color w:val="000000" w:themeColor="text1"/>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1D50C4"/>
    <w:multiLevelType w:val="hybridMultilevel"/>
    <w:tmpl w:val="1DD6E92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60" w15:restartNumberingAfterBreak="0">
    <w:nsid w:val="7F496E28"/>
    <w:multiLevelType w:val="hybridMultilevel"/>
    <w:tmpl w:val="266073AA"/>
    <w:lvl w:ilvl="0" w:tplc="22F0B834">
      <w:start w:val="1"/>
      <w:numFmt w:val="upperLetter"/>
      <w:lvlText w:val="%1."/>
      <w:lvlJc w:val="left"/>
      <w:pPr>
        <w:ind w:left="400" w:hanging="360"/>
      </w:pPr>
      <w:rPr>
        <w:rFonts w:eastAsia="Times New Roman" w:hint="default"/>
      </w:rPr>
    </w:lvl>
    <w:lvl w:ilvl="1" w:tplc="040A0019" w:tentative="1">
      <w:start w:val="1"/>
      <w:numFmt w:val="lowerLetter"/>
      <w:lvlText w:val="%2."/>
      <w:lvlJc w:val="left"/>
      <w:pPr>
        <w:ind w:left="1120" w:hanging="360"/>
      </w:pPr>
    </w:lvl>
    <w:lvl w:ilvl="2" w:tplc="040A001B" w:tentative="1">
      <w:start w:val="1"/>
      <w:numFmt w:val="lowerRoman"/>
      <w:lvlText w:val="%3."/>
      <w:lvlJc w:val="right"/>
      <w:pPr>
        <w:ind w:left="1840" w:hanging="180"/>
      </w:pPr>
    </w:lvl>
    <w:lvl w:ilvl="3" w:tplc="040A000F" w:tentative="1">
      <w:start w:val="1"/>
      <w:numFmt w:val="decimal"/>
      <w:lvlText w:val="%4."/>
      <w:lvlJc w:val="left"/>
      <w:pPr>
        <w:ind w:left="2560" w:hanging="360"/>
      </w:pPr>
    </w:lvl>
    <w:lvl w:ilvl="4" w:tplc="040A0019" w:tentative="1">
      <w:start w:val="1"/>
      <w:numFmt w:val="lowerLetter"/>
      <w:lvlText w:val="%5."/>
      <w:lvlJc w:val="left"/>
      <w:pPr>
        <w:ind w:left="3280" w:hanging="360"/>
      </w:pPr>
    </w:lvl>
    <w:lvl w:ilvl="5" w:tplc="040A001B" w:tentative="1">
      <w:start w:val="1"/>
      <w:numFmt w:val="lowerRoman"/>
      <w:lvlText w:val="%6."/>
      <w:lvlJc w:val="right"/>
      <w:pPr>
        <w:ind w:left="4000" w:hanging="180"/>
      </w:pPr>
    </w:lvl>
    <w:lvl w:ilvl="6" w:tplc="040A000F" w:tentative="1">
      <w:start w:val="1"/>
      <w:numFmt w:val="decimal"/>
      <w:lvlText w:val="%7."/>
      <w:lvlJc w:val="left"/>
      <w:pPr>
        <w:ind w:left="4720" w:hanging="360"/>
      </w:pPr>
    </w:lvl>
    <w:lvl w:ilvl="7" w:tplc="040A0019" w:tentative="1">
      <w:start w:val="1"/>
      <w:numFmt w:val="lowerLetter"/>
      <w:lvlText w:val="%8."/>
      <w:lvlJc w:val="left"/>
      <w:pPr>
        <w:ind w:left="5440" w:hanging="360"/>
      </w:pPr>
    </w:lvl>
    <w:lvl w:ilvl="8" w:tplc="040A001B" w:tentative="1">
      <w:start w:val="1"/>
      <w:numFmt w:val="lowerRoman"/>
      <w:lvlText w:val="%9."/>
      <w:lvlJc w:val="right"/>
      <w:pPr>
        <w:ind w:left="6160" w:hanging="180"/>
      </w:pPr>
    </w:lvl>
  </w:abstractNum>
  <w:num w:numId="1" w16cid:durableId="996542032">
    <w:abstractNumId w:val="4"/>
  </w:num>
  <w:num w:numId="2" w16cid:durableId="415828740">
    <w:abstractNumId w:val="6"/>
  </w:num>
  <w:num w:numId="3" w16cid:durableId="2128038488">
    <w:abstractNumId w:val="54"/>
  </w:num>
  <w:num w:numId="4" w16cid:durableId="913054508">
    <w:abstractNumId w:val="22"/>
  </w:num>
  <w:num w:numId="5" w16cid:durableId="269356335">
    <w:abstractNumId w:val="48"/>
  </w:num>
  <w:num w:numId="6" w16cid:durableId="1009218637">
    <w:abstractNumId w:val="28"/>
  </w:num>
  <w:num w:numId="7" w16cid:durableId="468135670">
    <w:abstractNumId w:val="7"/>
  </w:num>
  <w:num w:numId="8" w16cid:durableId="492065803">
    <w:abstractNumId w:val="17"/>
  </w:num>
  <w:num w:numId="9" w16cid:durableId="1544708306">
    <w:abstractNumId w:val="43"/>
  </w:num>
  <w:num w:numId="10" w16cid:durableId="950936296">
    <w:abstractNumId w:val="0"/>
  </w:num>
  <w:num w:numId="11" w16cid:durableId="1147283208">
    <w:abstractNumId w:val="37"/>
  </w:num>
  <w:num w:numId="12" w16cid:durableId="1097410813">
    <w:abstractNumId w:val="38"/>
  </w:num>
  <w:num w:numId="13" w16cid:durableId="1956599682">
    <w:abstractNumId w:val="44"/>
  </w:num>
  <w:num w:numId="14" w16cid:durableId="1165558914">
    <w:abstractNumId w:val="1"/>
  </w:num>
  <w:num w:numId="15" w16cid:durableId="987053580">
    <w:abstractNumId w:val="2"/>
  </w:num>
  <w:num w:numId="16" w16cid:durableId="1482966685">
    <w:abstractNumId w:val="8"/>
  </w:num>
  <w:num w:numId="17" w16cid:durableId="1087536758">
    <w:abstractNumId w:val="9"/>
  </w:num>
  <w:num w:numId="18" w16cid:durableId="412510695">
    <w:abstractNumId w:val="10"/>
  </w:num>
  <w:num w:numId="19" w16cid:durableId="390467483">
    <w:abstractNumId w:val="11"/>
  </w:num>
  <w:num w:numId="20" w16cid:durableId="2081713699">
    <w:abstractNumId w:val="12"/>
  </w:num>
  <w:num w:numId="21" w16cid:durableId="445543762">
    <w:abstractNumId w:val="13"/>
  </w:num>
  <w:num w:numId="22" w16cid:durableId="991719984">
    <w:abstractNumId w:val="14"/>
  </w:num>
  <w:num w:numId="23" w16cid:durableId="12583457">
    <w:abstractNumId w:val="15"/>
  </w:num>
  <w:num w:numId="24" w16cid:durableId="173960038">
    <w:abstractNumId w:val="16"/>
  </w:num>
  <w:num w:numId="25" w16cid:durableId="688684778">
    <w:abstractNumId w:val="18"/>
  </w:num>
  <w:num w:numId="26" w16cid:durableId="379400743">
    <w:abstractNumId w:val="19"/>
  </w:num>
  <w:num w:numId="27" w16cid:durableId="112404542">
    <w:abstractNumId w:val="23"/>
  </w:num>
  <w:num w:numId="28" w16cid:durableId="1747218294">
    <w:abstractNumId w:val="24"/>
  </w:num>
  <w:num w:numId="29" w16cid:durableId="1845589218">
    <w:abstractNumId w:val="25"/>
  </w:num>
  <w:num w:numId="30" w16cid:durableId="153305888">
    <w:abstractNumId w:val="27"/>
  </w:num>
  <w:num w:numId="31" w16cid:durableId="1018696792">
    <w:abstractNumId w:val="29"/>
  </w:num>
  <w:num w:numId="32" w16cid:durableId="843785161">
    <w:abstractNumId w:val="30"/>
  </w:num>
  <w:num w:numId="33" w16cid:durableId="764807876">
    <w:abstractNumId w:val="31"/>
  </w:num>
  <w:num w:numId="34" w16cid:durableId="1026252177">
    <w:abstractNumId w:val="32"/>
  </w:num>
  <w:num w:numId="35" w16cid:durableId="2067557697">
    <w:abstractNumId w:val="33"/>
  </w:num>
  <w:num w:numId="36" w16cid:durableId="585187881">
    <w:abstractNumId w:val="34"/>
  </w:num>
  <w:num w:numId="37" w16cid:durableId="1002195608">
    <w:abstractNumId w:val="35"/>
  </w:num>
  <w:num w:numId="38" w16cid:durableId="2101293719">
    <w:abstractNumId w:val="36"/>
  </w:num>
  <w:num w:numId="39" w16cid:durableId="532613751">
    <w:abstractNumId w:val="39"/>
  </w:num>
  <w:num w:numId="40" w16cid:durableId="1304773118">
    <w:abstractNumId w:val="40"/>
  </w:num>
  <w:num w:numId="41" w16cid:durableId="870190443">
    <w:abstractNumId w:val="47"/>
  </w:num>
  <w:num w:numId="42" w16cid:durableId="1265191566">
    <w:abstractNumId w:val="49"/>
  </w:num>
  <w:num w:numId="43" w16cid:durableId="640502409">
    <w:abstractNumId w:val="50"/>
  </w:num>
  <w:num w:numId="44" w16cid:durableId="1540623501">
    <w:abstractNumId w:val="52"/>
  </w:num>
  <w:num w:numId="45" w16cid:durableId="1465082647">
    <w:abstractNumId w:val="53"/>
  </w:num>
  <w:num w:numId="46" w16cid:durableId="1481262679">
    <w:abstractNumId w:val="55"/>
  </w:num>
  <w:num w:numId="47" w16cid:durableId="124200816">
    <w:abstractNumId w:val="56"/>
  </w:num>
  <w:num w:numId="48" w16cid:durableId="1691641919">
    <w:abstractNumId w:val="57"/>
  </w:num>
  <w:num w:numId="49" w16cid:durableId="678889165">
    <w:abstractNumId w:val="58"/>
  </w:num>
  <w:num w:numId="50" w16cid:durableId="521940859">
    <w:abstractNumId w:val="59"/>
  </w:num>
  <w:num w:numId="51" w16cid:durableId="371155038">
    <w:abstractNumId w:val="20"/>
  </w:num>
  <w:num w:numId="52" w16cid:durableId="669675406">
    <w:abstractNumId w:val="41"/>
  </w:num>
  <w:num w:numId="53" w16cid:durableId="1519734469">
    <w:abstractNumId w:val="45"/>
  </w:num>
  <w:num w:numId="54" w16cid:durableId="903636664">
    <w:abstractNumId w:val="26"/>
  </w:num>
  <w:num w:numId="55" w16cid:durableId="612178506">
    <w:abstractNumId w:val="46"/>
  </w:num>
  <w:num w:numId="56" w16cid:durableId="132523897">
    <w:abstractNumId w:val="46"/>
    <w:lvlOverride w:ilvl="0">
      <w:startOverride w:val="1"/>
    </w:lvlOverride>
  </w:num>
  <w:num w:numId="57" w16cid:durableId="1918588816">
    <w:abstractNumId w:val="5"/>
  </w:num>
  <w:num w:numId="58" w16cid:durableId="772936234">
    <w:abstractNumId w:val="60"/>
  </w:num>
  <w:num w:numId="59" w16cid:durableId="800927938">
    <w:abstractNumId w:val="42"/>
  </w:num>
  <w:num w:numId="60" w16cid:durableId="659698605">
    <w:abstractNumId w:val="51"/>
  </w:num>
  <w:num w:numId="61" w16cid:durableId="1101755626">
    <w:abstractNumId w:val="3"/>
  </w:num>
  <w:num w:numId="62" w16cid:durableId="376123023">
    <w:abstractNumId w:val="2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1"/>
  <w:activeWritingStyle w:appName="MSWord" w:lang="pt-BR" w:vendorID="64" w:dllVersion="6" w:nlCheck="1" w:checkStyle="0"/>
  <w:activeWritingStyle w:appName="MSWord" w:lang="es-VE" w:vendorID="64" w:dllVersion="6" w:nlCheck="1" w:checkStyle="0"/>
  <w:activeWritingStyle w:appName="MSWord" w:lang="es-US" w:vendorID="64" w:dllVersion="6" w:nlCheck="1" w:checkStyle="0"/>
  <w:activeWritingStyle w:appName="MSWord" w:lang="es-CO"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CL" w:vendorID="64" w:dllVersion="6" w:nlCheck="1" w:checkStyle="0"/>
  <w:activeWritingStyle w:appName="MSWord" w:lang="es-MX" w:vendorID="64" w:dllVersion="6" w:nlCheck="1" w:checkStyle="0"/>
  <w:activeWritingStyle w:appName="MSWord" w:lang="es-AR" w:vendorID="64" w:dllVersion="6" w:nlCheck="1" w:checkStyle="0"/>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644"/>
    <w:rsid w:val="00006032"/>
    <w:rsid w:val="00006896"/>
    <w:rsid w:val="00006E1F"/>
    <w:rsid w:val="000070D7"/>
    <w:rsid w:val="000111C5"/>
    <w:rsid w:val="00011725"/>
    <w:rsid w:val="00011813"/>
    <w:rsid w:val="0001208C"/>
    <w:rsid w:val="00014A88"/>
    <w:rsid w:val="000158FD"/>
    <w:rsid w:val="00017099"/>
    <w:rsid w:val="000173DD"/>
    <w:rsid w:val="0001788C"/>
    <w:rsid w:val="00020DBD"/>
    <w:rsid w:val="000220D5"/>
    <w:rsid w:val="00022D67"/>
    <w:rsid w:val="00023948"/>
    <w:rsid w:val="00023A64"/>
    <w:rsid w:val="00025C94"/>
    <w:rsid w:val="00027A6B"/>
    <w:rsid w:val="000301BF"/>
    <w:rsid w:val="00031277"/>
    <w:rsid w:val="00032214"/>
    <w:rsid w:val="0003237B"/>
    <w:rsid w:val="0003425C"/>
    <w:rsid w:val="00036BFD"/>
    <w:rsid w:val="0003744F"/>
    <w:rsid w:val="00040C3A"/>
    <w:rsid w:val="0004346E"/>
    <w:rsid w:val="00044112"/>
    <w:rsid w:val="00044EE8"/>
    <w:rsid w:val="00045BDF"/>
    <w:rsid w:val="00046A67"/>
    <w:rsid w:val="00047EC9"/>
    <w:rsid w:val="0005066E"/>
    <w:rsid w:val="00050928"/>
    <w:rsid w:val="00051F96"/>
    <w:rsid w:val="00053A3E"/>
    <w:rsid w:val="00054BE4"/>
    <w:rsid w:val="000561B6"/>
    <w:rsid w:val="000563F3"/>
    <w:rsid w:val="0005721F"/>
    <w:rsid w:val="00057D2A"/>
    <w:rsid w:val="00060407"/>
    <w:rsid w:val="0006565A"/>
    <w:rsid w:val="0006571F"/>
    <w:rsid w:val="00065D16"/>
    <w:rsid w:val="00067A5D"/>
    <w:rsid w:val="000716C5"/>
    <w:rsid w:val="000724DA"/>
    <w:rsid w:val="0007387B"/>
    <w:rsid w:val="00074F03"/>
    <w:rsid w:val="00075E23"/>
    <w:rsid w:val="00076310"/>
    <w:rsid w:val="00076A47"/>
    <w:rsid w:val="000806CE"/>
    <w:rsid w:val="00081B91"/>
    <w:rsid w:val="00081C17"/>
    <w:rsid w:val="00082999"/>
    <w:rsid w:val="0008458E"/>
    <w:rsid w:val="00085945"/>
    <w:rsid w:val="00086CF6"/>
    <w:rsid w:val="0008768F"/>
    <w:rsid w:val="00091934"/>
    <w:rsid w:val="0009344A"/>
    <w:rsid w:val="00096421"/>
    <w:rsid w:val="000972B0"/>
    <w:rsid w:val="00097F79"/>
    <w:rsid w:val="000A02A8"/>
    <w:rsid w:val="000A1BCA"/>
    <w:rsid w:val="000A392E"/>
    <w:rsid w:val="000A39E4"/>
    <w:rsid w:val="000A575F"/>
    <w:rsid w:val="000A576A"/>
    <w:rsid w:val="000A594B"/>
    <w:rsid w:val="000A6239"/>
    <w:rsid w:val="000A6FD6"/>
    <w:rsid w:val="000A7DE9"/>
    <w:rsid w:val="000B0498"/>
    <w:rsid w:val="000B113B"/>
    <w:rsid w:val="000B235C"/>
    <w:rsid w:val="000B49C0"/>
    <w:rsid w:val="000B679F"/>
    <w:rsid w:val="000B71D4"/>
    <w:rsid w:val="000B7F13"/>
    <w:rsid w:val="000C27DF"/>
    <w:rsid w:val="000C2B92"/>
    <w:rsid w:val="000C4B5D"/>
    <w:rsid w:val="000C57B9"/>
    <w:rsid w:val="000C5919"/>
    <w:rsid w:val="000C6307"/>
    <w:rsid w:val="000C7863"/>
    <w:rsid w:val="000D10DB"/>
    <w:rsid w:val="000D350F"/>
    <w:rsid w:val="000D4905"/>
    <w:rsid w:val="000D4E54"/>
    <w:rsid w:val="000D601C"/>
    <w:rsid w:val="000E0C8F"/>
    <w:rsid w:val="000E2093"/>
    <w:rsid w:val="000E2878"/>
    <w:rsid w:val="000E3E90"/>
    <w:rsid w:val="000E4759"/>
    <w:rsid w:val="000E48F9"/>
    <w:rsid w:val="000E5EB5"/>
    <w:rsid w:val="000E6517"/>
    <w:rsid w:val="000F1D85"/>
    <w:rsid w:val="000F24A2"/>
    <w:rsid w:val="000F35ED"/>
    <w:rsid w:val="00100341"/>
    <w:rsid w:val="00102B6A"/>
    <w:rsid w:val="00103C41"/>
    <w:rsid w:val="00104795"/>
    <w:rsid w:val="00107131"/>
    <w:rsid w:val="001072E1"/>
    <w:rsid w:val="0010736F"/>
    <w:rsid w:val="00111C80"/>
    <w:rsid w:val="0011287A"/>
    <w:rsid w:val="0011324E"/>
    <w:rsid w:val="00113A18"/>
    <w:rsid w:val="00113F73"/>
    <w:rsid w:val="00114B3F"/>
    <w:rsid w:val="00114D38"/>
    <w:rsid w:val="00116B0D"/>
    <w:rsid w:val="00117752"/>
    <w:rsid w:val="00117B49"/>
    <w:rsid w:val="001203EC"/>
    <w:rsid w:val="0012157D"/>
    <w:rsid w:val="00121714"/>
    <w:rsid w:val="00121CC2"/>
    <w:rsid w:val="00122E9D"/>
    <w:rsid w:val="00122F41"/>
    <w:rsid w:val="00123569"/>
    <w:rsid w:val="00123F50"/>
    <w:rsid w:val="00130536"/>
    <w:rsid w:val="001309B3"/>
    <w:rsid w:val="00130BCF"/>
    <w:rsid w:val="00131876"/>
    <w:rsid w:val="00131DD9"/>
    <w:rsid w:val="00132907"/>
    <w:rsid w:val="00133EE5"/>
    <w:rsid w:val="001374B0"/>
    <w:rsid w:val="0013759A"/>
    <w:rsid w:val="00137ABB"/>
    <w:rsid w:val="001412C2"/>
    <w:rsid w:val="00141979"/>
    <w:rsid w:val="00142630"/>
    <w:rsid w:val="00142B4C"/>
    <w:rsid w:val="00143109"/>
    <w:rsid w:val="001431B2"/>
    <w:rsid w:val="00143452"/>
    <w:rsid w:val="00143C31"/>
    <w:rsid w:val="00144592"/>
    <w:rsid w:val="001449BB"/>
    <w:rsid w:val="00144B8A"/>
    <w:rsid w:val="00146797"/>
    <w:rsid w:val="00146A85"/>
    <w:rsid w:val="001503A7"/>
    <w:rsid w:val="00150DB2"/>
    <w:rsid w:val="0015144E"/>
    <w:rsid w:val="00152AF4"/>
    <w:rsid w:val="001532EE"/>
    <w:rsid w:val="0015450D"/>
    <w:rsid w:val="0015506F"/>
    <w:rsid w:val="0015745A"/>
    <w:rsid w:val="00161D34"/>
    <w:rsid w:val="00163738"/>
    <w:rsid w:val="001637D5"/>
    <w:rsid w:val="00166189"/>
    <w:rsid w:val="00166A27"/>
    <w:rsid w:val="00167A34"/>
    <w:rsid w:val="001717AA"/>
    <w:rsid w:val="00172269"/>
    <w:rsid w:val="0017516C"/>
    <w:rsid w:val="00176661"/>
    <w:rsid w:val="00177554"/>
    <w:rsid w:val="001779F7"/>
    <w:rsid w:val="00181F34"/>
    <w:rsid w:val="00182629"/>
    <w:rsid w:val="001837F6"/>
    <w:rsid w:val="00185943"/>
    <w:rsid w:val="001870AC"/>
    <w:rsid w:val="0018759D"/>
    <w:rsid w:val="0019004C"/>
    <w:rsid w:val="0019031D"/>
    <w:rsid w:val="00193FA7"/>
    <w:rsid w:val="00194CB3"/>
    <w:rsid w:val="0019710F"/>
    <w:rsid w:val="001979E1"/>
    <w:rsid w:val="001A1ABC"/>
    <w:rsid w:val="001A1C4F"/>
    <w:rsid w:val="001A371E"/>
    <w:rsid w:val="001A4946"/>
    <w:rsid w:val="001A4D23"/>
    <w:rsid w:val="001A63F5"/>
    <w:rsid w:val="001A65D0"/>
    <w:rsid w:val="001A6A8C"/>
    <w:rsid w:val="001A7870"/>
    <w:rsid w:val="001B155A"/>
    <w:rsid w:val="001B48A4"/>
    <w:rsid w:val="001B62CA"/>
    <w:rsid w:val="001B687B"/>
    <w:rsid w:val="001B7B90"/>
    <w:rsid w:val="001C0474"/>
    <w:rsid w:val="001C103F"/>
    <w:rsid w:val="001C1B41"/>
    <w:rsid w:val="001C2292"/>
    <w:rsid w:val="001C34F5"/>
    <w:rsid w:val="001C3B8D"/>
    <w:rsid w:val="001C57C0"/>
    <w:rsid w:val="001C6298"/>
    <w:rsid w:val="001C6BDA"/>
    <w:rsid w:val="001D18C7"/>
    <w:rsid w:val="001D1A27"/>
    <w:rsid w:val="001D1FB7"/>
    <w:rsid w:val="001D2AA1"/>
    <w:rsid w:val="001D2DFB"/>
    <w:rsid w:val="001D54FC"/>
    <w:rsid w:val="001D65EF"/>
    <w:rsid w:val="001E030C"/>
    <w:rsid w:val="001E0F77"/>
    <w:rsid w:val="001E15B6"/>
    <w:rsid w:val="001E3EB2"/>
    <w:rsid w:val="001F2806"/>
    <w:rsid w:val="001F4541"/>
    <w:rsid w:val="001F4798"/>
    <w:rsid w:val="001F555A"/>
    <w:rsid w:val="001F615D"/>
    <w:rsid w:val="001F62E6"/>
    <w:rsid w:val="001F6AA5"/>
    <w:rsid w:val="001F6C08"/>
    <w:rsid w:val="001F6D23"/>
    <w:rsid w:val="001F7227"/>
    <w:rsid w:val="002003FC"/>
    <w:rsid w:val="00202249"/>
    <w:rsid w:val="0020255C"/>
    <w:rsid w:val="00202589"/>
    <w:rsid w:val="00202948"/>
    <w:rsid w:val="00203A0C"/>
    <w:rsid w:val="00204B61"/>
    <w:rsid w:val="0020582B"/>
    <w:rsid w:val="00212BA5"/>
    <w:rsid w:val="002151D1"/>
    <w:rsid w:val="00217671"/>
    <w:rsid w:val="00217CB3"/>
    <w:rsid w:val="00220230"/>
    <w:rsid w:val="002203BC"/>
    <w:rsid w:val="002210A1"/>
    <w:rsid w:val="0022273F"/>
    <w:rsid w:val="00222A60"/>
    <w:rsid w:val="00223BB3"/>
    <w:rsid w:val="00223D07"/>
    <w:rsid w:val="002250A3"/>
    <w:rsid w:val="00225359"/>
    <w:rsid w:val="002265EE"/>
    <w:rsid w:val="00227728"/>
    <w:rsid w:val="002301FC"/>
    <w:rsid w:val="002322EC"/>
    <w:rsid w:val="0023296B"/>
    <w:rsid w:val="00232B98"/>
    <w:rsid w:val="00235217"/>
    <w:rsid w:val="002364DE"/>
    <w:rsid w:val="00236DFA"/>
    <w:rsid w:val="00237A7D"/>
    <w:rsid w:val="002417D9"/>
    <w:rsid w:val="00241F22"/>
    <w:rsid w:val="0024360F"/>
    <w:rsid w:val="00243A03"/>
    <w:rsid w:val="00243FA3"/>
    <w:rsid w:val="002458D7"/>
    <w:rsid w:val="002463A2"/>
    <w:rsid w:val="00246D1F"/>
    <w:rsid w:val="00247403"/>
    <w:rsid w:val="00247542"/>
    <w:rsid w:val="002479DE"/>
    <w:rsid w:val="00252189"/>
    <w:rsid w:val="00252DDB"/>
    <w:rsid w:val="002540CB"/>
    <w:rsid w:val="00254436"/>
    <w:rsid w:val="002549E0"/>
    <w:rsid w:val="00256A83"/>
    <w:rsid w:val="00261A07"/>
    <w:rsid w:val="002629D7"/>
    <w:rsid w:val="00263F38"/>
    <w:rsid w:val="0026417B"/>
    <w:rsid w:val="00264C12"/>
    <w:rsid w:val="00264F55"/>
    <w:rsid w:val="002658FC"/>
    <w:rsid w:val="002667A1"/>
    <w:rsid w:val="00266B61"/>
    <w:rsid w:val="0026712A"/>
    <w:rsid w:val="002704DB"/>
    <w:rsid w:val="00272E8A"/>
    <w:rsid w:val="00273F92"/>
    <w:rsid w:val="002752EC"/>
    <w:rsid w:val="00276DF8"/>
    <w:rsid w:val="00277213"/>
    <w:rsid w:val="002778BE"/>
    <w:rsid w:val="00277EF9"/>
    <w:rsid w:val="0028058C"/>
    <w:rsid w:val="002819B5"/>
    <w:rsid w:val="0028217C"/>
    <w:rsid w:val="002827DD"/>
    <w:rsid w:val="00282DA2"/>
    <w:rsid w:val="0028389F"/>
    <w:rsid w:val="002842C4"/>
    <w:rsid w:val="00284F8B"/>
    <w:rsid w:val="0028658A"/>
    <w:rsid w:val="00290C8F"/>
    <w:rsid w:val="0029172D"/>
    <w:rsid w:val="00293057"/>
    <w:rsid w:val="00293BD9"/>
    <w:rsid w:val="0029599A"/>
    <w:rsid w:val="002A0AAE"/>
    <w:rsid w:val="002A106A"/>
    <w:rsid w:val="002A194E"/>
    <w:rsid w:val="002A290C"/>
    <w:rsid w:val="002A2E14"/>
    <w:rsid w:val="002A5150"/>
    <w:rsid w:val="002A519E"/>
    <w:rsid w:val="002A5820"/>
    <w:rsid w:val="002B0ED6"/>
    <w:rsid w:val="002B0EF7"/>
    <w:rsid w:val="002B1B28"/>
    <w:rsid w:val="002B3157"/>
    <w:rsid w:val="002B3576"/>
    <w:rsid w:val="002B4EE2"/>
    <w:rsid w:val="002B68F7"/>
    <w:rsid w:val="002B725D"/>
    <w:rsid w:val="002C01D0"/>
    <w:rsid w:val="002C5F84"/>
    <w:rsid w:val="002C6E7E"/>
    <w:rsid w:val="002D1665"/>
    <w:rsid w:val="002D2A2C"/>
    <w:rsid w:val="002D2B26"/>
    <w:rsid w:val="002D3E47"/>
    <w:rsid w:val="002D4676"/>
    <w:rsid w:val="002D497C"/>
    <w:rsid w:val="002D6082"/>
    <w:rsid w:val="002D6ACD"/>
    <w:rsid w:val="002D7EA2"/>
    <w:rsid w:val="002D7F53"/>
    <w:rsid w:val="002E04D6"/>
    <w:rsid w:val="002E06DA"/>
    <w:rsid w:val="002E187C"/>
    <w:rsid w:val="002E3F06"/>
    <w:rsid w:val="002E4AEA"/>
    <w:rsid w:val="002E653D"/>
    <w:rsid w:val="002E72CD"/>
    <w:rsid w:val="002E788D"/>
    <w:rsid w:val="002E7F18"/>
    <w:rsid w:val="002F1D88"/>
    <w:rsid w:val="002F385D"/>
    <w:rsid w:val="002F3F0E"/>
    <w:rsid w:val="002F41FC"/>
    <w:rsid w:val="002F4A06"/>
    <w:rsid w:val="002F6AA8"/>
    <w:rsid w:val="002F7DE9"/>
    <w:rsid w:val="00300469"/>
    <w:rsid w:val="00302262"/>
    <w:rsid w:val="00302733"/>
    <w:rsid w:val="00303D52"/>
    <w:rsid w:val="0030516D"/>
    <w:rsid w:val="00306442"/>
    <w:rsid w:val="00307ABC"/>
    <w:rsid w:val="003111DF"/>
    <w:rsid w:val="0031160D"/>
    <w:rsid w:val="00312877"/>
    <w:rsid w:val="00314078"/>
    <w:rsid w:val="00314D80"/>
    <w:rsid w:val="0031535D"/>
    <w:rsid w:val="003167E6"/>
    <w:rsid w:val="00317776"/>
    <w:rsid w:val="00317E19"/>
    <w:rsid w:val="00317F81"/>
    <w:rsid w:val="003202C7"/>
    <w:rsid w:val="00320FFA"/>
    <w:rsid w:val="003217AC"/>
    <w:rsid w:val="00322358"/>
    <w:rsid w:val="00322B86"/>
    <w:rsid w:val="00325075"/>
    <w:rsid w:val="0032742E"/>
    <w:rsid w:val="00327627"/>
    <w:rsid w:val="00327DFE"/>
    <w:rsid w:val="00327EF9"/>
    <w:rsid w:val="0033024F"/>
    <w:rsid w:val="0033028D"/>
    <w:rsid w:val="00330DA4"/>
    <w:rsid w:val="0033169F"/>
    <w:rsid w:val="0033197D"/>
    <w:rsid w:val="00332388"/>
    <w:rsid w:val="003414C2"/>
    <w:rsid w:val="00342265"/>
    <w:rsid w:val="00343691"/>
    <w:rsid w:val="00346C95"/>
    <w:rsid w:val="0034773F"/>
    <w:rsid w:val="0035007E"/>
    <w:rsid w:val="003516EE"/>
    <w:rsid w:val="00351F10"/>
    <w:rsid w:val="00354FF9"/>
    <w:rsid w:val="00355732"/>
    <w:rsid w:val="00355C8A"/>
    <w:rsid w:val="00356185"/>
    <w:rsid w:val="00356254"/>
    <w:rsid w:val="00356516"/>
    <w:rsid w:val="00360380"/>
    <w:rsid w:val="00361415"/>
    <w:rsid w:val="0036232B"/>
    <w:rsid w:val="00363743"/>
    <w:rsid w:val="00365872"/>
    <w:rsid w:val="00366509"/>
    <w:rsid w:val="00366D64"/>
    <w:rsid w:val="003670C9"/>
    <w:rsid w:val="003678A5"/>
    <w:rsid w:val="003679FF"/>
    <w:rsid w:val="00367DBC"/>
    <w:rsid w:val="0037519E"/>
    <w:rsid w:val="003754FE"/>
    <w:rsid w:val="00375D85"/>
    <w:rsid w:val="00376661"/>
    <w:rsid w:val="003768EF"/>
    <w:rsid w:val="003776FA"/>
    <w:rsid w:val="00381E16"/>
    <w:rsid w:val="00383317"/>
    <w:rsid w:val="0038492F"/>
    <w:rsid w:val="003857B0"/>
    <w:rsid w:val="00385BB8"/>
    <w:rsid w:val="00386CF0"/>
    <w:rsid w:val="00387114"/>
    <w:rsid w:val="0038763F"/>
    <w:rsid w:val="00392DC7"/>
    <w:rsid w:val="003A0460"/>
    <w:rsid w:val="003A0CC3"/>
    <w:rsid w:val="003A16B1"/>
    <w:rsid w:val="003A2516"/>
    <w:rsid w:val="003A2ED5"/>
    <w:rsid w:val="003A32B9"/>
    <w:rsid w:val="003A332D"/>
    <w:rsid w:val="003A3F4C"/>
    <w:rsid w:val="003A4C90"/>
    <w:rsid w:val="003B08F2"/>
    <w:rsid w:val="003B1D16"/>
    <w:rsid w:val="003B3517"/>
    <w:rsid w:val="003B44F2"/>
    <w:rsid w:val="003B487D"/>
    <w:rsid w:val="003B7945"/>
    <w:rsid w:val="003C053F"/>
    <w:rsid w:val="003C0742"/>
    <w:rsid w:val="003C0DBB"/>
    <w:rsid w:val="003C1981"/>
    <w:rsid w:val="003C22B2"/>
    <w:rsid w:val="003C582B"/>
    <w:rsid w:val="003C655B"/>
    <w:rsid w:val="003C66D4"/>
    <w:rsid w:val="003C676B"/>
    <w:rsid w:val="003C77C0"/>
    <w:rsid w:val="003D1575"/>
    <w:rsid w:val="003D3BC2"/>
    <w:rsid w:val="003D4367"/>
    <w:rsid w:val="003D4A94"/>
    <w:rsid w:val="003D4D60"/>
    <w:rsid w:val="003D5242"/>
    <w:rsid w:val="003D529A"/>
    <w:rsid w:val="003D67C7"/>
    <w:rsid w:val="003D739C"/>
    <w:rsid w:val="003D7B0A"/>
    <w:rsid w:val="003D7C03"/>
    <w:rsid w:val="003E339F"/>
    <w:rsid w:val="003E40FE"/>
    <w:rsid w:val="003E42CA"/>
    <w:rsid w:val="003E432F"/>
    <w:rsid w:val="003E5E7D"/>
    <w:rsid w:val="003E6CA1"/>
    <w:rsid w:val="003E6D12"/>
    <w:rsid w:val="003E717D"/>
    <w:rsid w:val="003E7272"/>
    <w:rsid w:val="003F1717"/>
    <w:rsid w:val="003F7F64"/>
    <w:rsid w:val="00402F1D"/>
    <w:rsid w:val="0040372E"/>
    <w:rsid w:val="00403AD2"/>
    <w:rsid w:val="00403C18"/>
    <w:rsid w:val="0040655B"/>
    <w:rsid w:val="004072F3"/>
    <w:rsid w:val="0040775D"/>
    <w:rsid w:val="00410C2B"/>
    <w:rsid w:val="004165C2"/>
    <w:rsid w:val="00416B7D"/>
    <w:rsid w:val="0042188D"/>
    <w:rsid w:val="004227A5"/>
    <w:rsid w:val="00422BA0"/>
    <w:rsid w:val="004235E5"/>
    <w:rsid w:val="00423CEB"/>
    <w:rsid w:val="00425A08"/>
    <w:rsid w:val="00426114"/>
    <w:rsid w:val="0042614C"/>
    <w:rsid w:val="004262DD"/>
    <w:rsid w:val="0042675D"/>
    <w:rsid w:val="00430F6C"/>
    <w:rsid w:val="0043188E"/>
    <w:rsid w:val="004326C4"/>
    <w:rsid w:val="00434158"/>
    <w:rsid w:val="00434DA4"/>
    <w:rsid w:val="0043565F"/>
    <w:rsid w:val="0043581E"/>
    <w:rsid w:val="00435F4F"/>
    <w:rsid w:val="00435F70"/>
    <w:rsid w:val="004364F6"/>
    <w:rsid w:val="0043699F"/>
    <w:rsid w:val="00436B84"/>
    <w:rsid w:val="00437655"/>
    <w:rsid w:val="00440EE5"/>
    <w:rsid w:val="00441ECB"/>
    <w:rsid w:val="00442BCB"/>
    <w:rsid w:val="00442FC0"/>
    <w:rsid w:val="00443A4E"/>
    <w:rsid w:val="00443A51"/>
    <w:rsid w:val="00443CAB"/>
    <w:rsid w:val="004453E3"/>
    <w:rsid w:val="0044669D"/>
    <w:rsid w:val="004474C0"/>
    <w:rsid w:val="00447791"/>
    <w:rsid w:val="00451485"/>
    <w:rsid w:val="00452781"/>
    <w:rsid w:val="004533CD"/>
    <w:rsid w:val="00453638"/>
    <w:rsid w:val="00454B5B"/>
    <w:rsid w:val="0045598B"/>
    <w:rsid w:val="00456B8E"/>
    <w:rsid w:val="004602C1"/>
    <w:rsid w:val="00460D53"/>
    <w:rsid w:val="00461461"/>
    <w:rsid w:val="00462834"/>
    <w:rsid w:val="00462C70"/>
    <w:rsid w:val="0046344A"/>
    <w:rsid w:val="00463A23"/>
    <w:rsid w:val="004652AC"/>
    <w:rsid w:val="0046645F"/>
    <w:rsid w:val="0046799D"/>
    <w:rsid w:val="00467B7E"/>
    <w:rsid w:val="00470F36"/>
    <w:rsid w:val="0047476C"/>
    <w:rsid w:val="00474FDB"/>
    <w:rsid w:val="00477592"/>
    <w:rsid w:val="0048127D"/>
    <w:rsid w:val="004819DD"/>
    <w:rsid w:val="0048202A"/>
    <w:rsid w:val="00482D24"/>
    <w:rsid w:val="00482EC8"/>
    <w:rsid w:val="00486F1C"/>
    <w:rsid w:val="00486FF1"/>
    <w:rsid w:val="00487515"/>
    <w:rsid w:val="0049419D"/>
    <w:rsid w:val="004946D6"/>
    <w:rsid w:val="0049471D"/>
    <w:rsid w:val="00494806"/>
    <w:rsid w:val="00494DB2"/>
    <w:rsid w:val="004A329A"/>
    <w:rsid w:val="004A4159"/>
    <w:rsid w:val="004A4CB0"/>
    <w:rsid w:val="004A684C"/>
    <w:rsid w:val="004A75CE"/>
    <w:rsid w:val="004A7C07"/>
    <w:rsid w:val="004B09AF"/>
    <w:rsid w:val="004B2271"/>
    <w:rsid w:val="004B2441"/>
    <w:rsid w:val="004B3744"/>
    <w:rsid w:val="004B4247"/>
    <w:rsid w:val="004B53E4"/>
    <w:rsid w:val="004B7513"/>
    <w:rsid w:val="004B7863"/>
    <w:rsid w:val="004C13B1"/>
    <w:rsid w:val="004C1FDE"/>
    <w:rsid w:val="004C20D2"/>
    <w:rsid w:val="004C338D"/>
    <w:rsid w:val="004C3B75"/>
    <w:rsid w:val="004C436D"/>
    <w:rsid w:val="004C4B62"/>
    <w:rsid w:val="004C4DBD"/>
    <w:rsid w:val="004C54C9"/>
    <w:rsid w:val="004C790D"/>
    <w:rsid w:val="004C7F8C"/>
    <w:rsid w:val="004D03A1"/>
    <w:rsid w:val="004D0C38"/>
    <w:rsid w:val="004D149E"/>
    <w:rsid w:val="004D195F"/>
    <w:rsid w:val="004D2720"/>
    <w:rsid w:val="004D4AC8"/>
    <w:rsid w:val="004D4C0E"/>
    <w:rsid w:val="004D5616"/>
    <w:rsid w:val="004D6025"/>
    <w:rsid w:val="004D6618"/>
    <w:rsid w:val="004D6C3B"/>
    <w:rsid w:val="004E077F"/>
    <w:rsid w:val="004E23D7"/>
    <w:rsid w:val="004E2649"/>
    <w:rsid w:val="004E3752"/>
    <w:rsid w:val="004E4B3F"/>
    <w:rsid w:val="004E6A68"/>
    <w:rsid w:val="004E7856"/>
    <w:rsid w:val="004E7CDC"/>
    <w:rsid w:val="004E7FBA"/>
    <w:rsid w:val="004F18E7"/>
    <w:rsid w:val="004F1D71"/>
    <w:rsid w:val="004F3BCB"/>
    <w:rsid w:val="004F3F25"/>
    <w:rsid w:val="004F452E"/>
    <w:rsid w:val="004F47A6"/>
    <w:rsid w:val="004F4E58"/>
    <w:rsid w:val="004F500A"/>
    <w:rsid w:val="004F5C27"/>
    <w:rsid w:val="004F627D"/>
    <w:rsid w:val="004F7756"/>
    <w:rsid w:val="005002D9"/>
    <w:rsid w:val="00500322"/>
    <w:rsid w:val="00500774"/>
    <w:rsid w:val="00501399"/>
    <w:rsid w:val="00501B18"/>
    <w:rsid w:val="00501B2D"/>
    <w:rsid w:val="0050348F"/>
    <w:rsid w:val="005048A4"/>
    <w:rsid w:val="005050C2"/>
    <w:rsid w:val="00505385"/>
    <w:rsid w:val="005056C0"/>
    <w:rsid w:val="0050633D"/>
    <w:rsid w:val="00506BBE"/>
    <w:rsid w:val="0050707D"/>
    <w:rsid w:val="00507BC4"/>
    <w:rsid w:val="005101D5"/>
    <w:rsid w:val="005118A4"/>
    <w:rsid w:val="005128E4"/>
    <w:rsid w:val="005133DB"/>
    <w:rsid w:val="00516623"/>
    <w:rsid w:val="005169FA"/>
    <w:rsid w:val="005178C9"/>
    <w:rsid w:val="00517D0F"/>
    <w:rsid w:val="005226CD"/>
    <w:rsid w:val="00524F60"/>
    <w:rsid w:val="00525560"/>
    <w:rsid w:val="00526998"/>
    <w:rsid w:val="00526A05"/>
    <w:rsid w:val="00526D4B"/>
    <w:rsid w:val="00530558"/>
    <w:rsid w:val="0053058A"/>
    <w:rsid w:val="00530E14"/>
    <w:rsid w:val="00532042"/>
    <w:rsid w:val="00532DA2"/>
    <w:rsid w:val="0053468C"/>
    <w:rsid w:val="00534CF6"/>
    <w:rsid w:val="005354F3"/>
    <w:rsid w:val="005359FB"/>
    <w:rsid w:val="00535CFE"/>
    <w:rsid w:val="00536923"/>
    <w:rsid w:val="00541766"/>
    <w:rsid w:val="00542232"/>
    <w:rsid w:val="005430CE"/>
    <w:rsid w:val="00543624"/>
    <w:rsid w:val="00544C49"/>
    <w:rsid w:val="00547826"/>
    <w:rsid w:val="0055013C"/>
    <w:rsid w:val="005516A1"/>
    <w:rsid w:val="00552273"/>
    <w:rsid w:val="005545F1"/>
    <w:rsid w:val="00555BA2"/>
    <w:rsid w:val="00557131"/>
    <w:rsid w:val="005572EF"/>
    <w:rsid w:val="00561A19"/>
    <w:rsid w:val="00562DB7"/>
    <w:rsid w:val="00563BDB"/>
    <w:rsid w:val="00565744"/>
    <w:rsid w:val="0056783C"/>
    <w:rsid w:val="0057105D"/>
    <w:rsid w:val="005714F9"/>
    <w:rsid w:val="0057402A"/>
    <w:rsid w:val="0057476F"/>
    <w:rsid w:val="00575C4D"/>
    <w:rsid w:val="00575E22"/>
    <w:rsid w:val="005771D0"/>
    <w:rsid w:val="005813A6"/>
    <w:rsid w:val="00587E98"/>
    <w:rsid w:val="005901CC"/>
    <w:rsid w:val="0059191A"/>
    <w:rsid w:val="005921FF"/>
    <w:rsid w:val="005933FB"/>
    <w:rsid w:val="005937F1"/>
    <w:rsid w:val="00594620"/>
    <w:rsid w:val="00595C1D"/>
    <w:rsid w:val="00597152"/>
    <w:rsid w:val="005A067A"/>
    <w:rsid w:val="005A231B"/>
    <w:rsid w:val="005A2D06"/>
    <w:rsid w:val="005A59E9"/>
    <w:rsid w:val="005A6D0E"/>
    <w:rsid w:val="005A7904"/>
    <w:rsid w:val="005B2258"/>
    <w:rsid w:val="005B24C5"/>
    <w:rsid w:val="005B37AD"/>
    <w:rsid w:val="005B52B0"/>
    <w:rsid w:val="005B53B7"/>
    <w:rsid w:val="005B5D18"/>
    <w:rsid w:val="005B6744"/>
    <w:rsid w:val="005B6806"/>
    <w:rsid w:val="005B6ED8"/>
    <w:rsid w:val="005C0AA9"/>
    <w:rsid w:val="005C0B6F"/>
    <w:rsid w:val="005C38B0"/>
    <w:rsid w:val="005C4225"/>
    <w:rsid w:val="005C4CA5"/>
    <w:rsid w:val="005C67E8"/>
    <w:rsid w:val="005C6BC1"/>
    <w:rsid w:val="005D0DB1"/>
    <w:rsid w:val="005D4302"/>
    <w:rsid w:val="005E009F"/>
    <w:rsid w:val="005E21B4"/>
    <w:rsid w:val="005E28AB"/>
    <w:rsid w:val="005E6185"/>
    <w:rsid w:val="005E6C17"/>
    <w:rsid w:val="005F0DAD"/>
    <w:rsid w:val="005F0F33"/>
    <w:rsid w:val="005F2711"/>
    <w:rsid w:val="005F309E"/>
    <w:rsid w:val="005F47BB"/>
    <w:rsid w:val="005F49CF"/>
    <w:rsid w:val="005F6347"/>
    <w:rsid w:val="005F7E06"/>
    <w:rsid w:val="00600DEB"/>
    <w:rsid w:val="006015A1"/>
    <w:rsid w:val="00602386"/>
    <w:rsid w:val="00602EEC"/>
    <w:rsid w:val="00604C10"/>
    <w:rsid w:val="006050B8"/>
    <w:rsid w:val="006062BC"/>
    <w:rsid w:val="006063B9"/>
    <w:rsid w:val="006068BB"/>
    <w:rsid w:val="006072EB"/>
    <w:rsid w:val="00607617"/>
    <w:rsid w:val="006107C1"/>
    <w:rsid w:val="0061101D"/>
    <w:rsid w:val="0061166C"/>
    <w:rsid w:val="006125C3"/>
    <w:rsid w:val="00612C26"/>
    <w:rsid w:val="00613471"/>
    <w:rsid w:val="00613A93"/>
    <w:rsid w:val="006144B1"/>
    <w:rsid w:val="006150D8"/>
    <w:rsid w:val="006165F6"/>
    <w:rsid w:val="006171B2"/>
    <w:rsid w:val="0061787D"/>
    <w:rsid w:val="00617A3B"/>
    <w:rsid w:val="00620898"/>
    <w:rsid w:val="00620FD0"/>
    <w:rsid w:val="0062143D"/>
    <w:rsid w:val="00624B56"/>
    <w:rsid w:val="00624C20"/>
    <w:rsid w:val="006268A1"/>
    <w:rsid w:val="00627AAC"/>
    <w:rsid w:val="00627C9F"/>
    <w:rsid w:val="006311E9"/>
    <w:rsid w:val="00632354"/>
    <w:rsid w:val="00633AD9"/>
    <w:rsid w:val="00636D38"/>
    <w:rsid w:val="00636DE6"/>
    <w:rsid w:val="00637638"/>
    <w:rsid w:val="0063794A"/>
    <w:rsid w:val="00640C93"/>
    <w:rsid w:val="00642261"/>
    <w:rsid w:val="00642810"/>
    <w:rsid w:val="00645038"/>
    <w:rsid w:val="0064531A"/>
    <w:rsid w:val="00645348"/>
    <w:rsid w:val="00645549"/>
    <w:rsid w:val="006466DC"/>
    <w:rsid w:val="00647FCE"/>
    <w:rsid w:val="006502E7"/>
    <w:rsid w:val="006515B7"/>
    <w:rsid w:val="00652333"/>
    <w:rsid w:val="006524BC"/>
    <w:rsid w:val="0065294D"/>
    <w:rsid w:val="0065297D"/>
    <w:rsid w:val="00655B8E"/>
    <w:rsid w:val="0065610A"/>
    <w:rsid w:val="0065633F"/>
    <w:rsid w:val="006577EE"/>
    <w:rsid w:val="00660147"/>
    <w:rsid w:val="006610CA"/>
    <w:rsid w:val="00661EDB"/>
    <w:rsid w:val="00662261"/>
    <w:rsid w:val="00663805"/>
    <w:rsid w:val="00664107"/>
    <w:rsid w:val="006645DF"/>
    <w:rsid w:val="00671809"/>
    <w:rsid w:val="00673379"/>
    <w:rsid w:val="006759E7"/>
    <w:rsid w:val="006763BA"/>
    <w:rsid w:val="006768BB"/>
    <w:rsid w:val="0068009E"/>
    <w:rsid w:val="0068062A"/>
    <w:rsid w:val="00682923"/>
    <w:rsid w:val="00685C9A"/>
    <w:rsid w:val="00686752"/>
    <w:rsid w:val="00686A57"/>
    <w:rsid w:val="00692219"/>
    <w:rsid w:val="00692EC0"/>
    <w:rsid w:val="006934DD"/>
    <w:rsid w:val="00693DF1"/>
    <w:rsid w:val="00696C50"/>
    <w:rsid w:val="0069719D"/>
    <w:rsid w:val="00697383"/>
    <w:rsid w:val="006A17D2"/>
    <w:rsid w:val="006A28B4"/>
    <w:rsid w:val="006A3FD3"/>
    <w:rsid w:val="006A4802"/>
    <w:rsid w:val="006A4B39"/>
    <w:rsid w:val="006A540D"/>
    <w:rsid w:val="006A6626"/>
    <w:rsid w:val="006A6894"/>
    <w:rsid w:val="006A73E6"/>
    <w:rsid w:val="006B0CE6"/>
    <w:rsid w:val="006B2D5C"/>
    <w:rsid w:val="006B30F0"/>
    <w:rsid w:val="006B4D40"/>
    <w:rsid w:val="006C1A20"/>
    <w:rsid w:val="006C4EB1"/>
    <w:rsid w:val="006C4EFF"/>
    <w:rsid w:val="006C5E67"/>
    <w:rsid w:val="006C6E3A"/>
    <w:rsid w:val="006D3180"/>
    <w:rsid w:val="006D6B43"/>
    <w:rsid w:val="006D7223"/>
    <w:rsid w:val="006E0166"/>
    <w:rsid w:val="006E59D1"/>
    <w:rsid w:val="006E73FA"/>
    <w:rsid w:val="006E78A8"/>
    <w:rsid w:val="006E7B34"/>
    <w:rsid w:val="006F0B0F"/>
    <w:rsid w:val="006F161B"/>
    <w:rsid w:val="006F2116"/>
    <w:rsid w:val="006F2251"/>
    <w:rsid w:val="006F3D5A"/>
    <w:rsid w:val="006F3F02"/>
    <w:rsid w:val="006F5FCE"/>
    <w:rsid w:val="006F5FDB"/>
    <w:rsid w:val="006F5FF2"/>
    <w:rsid w:val="006F78C1"/>
    <w:rsid w:val="006F7B53"/>
    <w:rsid w:val="0070066F"/>
    <w:rsid w:val="007013A1"/>
    <w:rsid w:val="00701D80"/>
    <w:rsid w:val="00704025"/>
    <w:rsid w:val="00706180"/>
    <w:rsid w:val="0070697F"/>
    <w:rsid w:val="007147D3"/>
    <w:rsid w:val="00714BB2"/>
    <w:rsid w:val="007171B3"/>
    <w:rsid w:val="00717C0D"/>
    <w:rsid w:val="00720C7E"/>
    <w:rsid w:val="00721193"/>
    <w:rsid w:val="0072199C"/>
    <w:rsid w:val="00722487"/>
    <w:rsid w:val="00722C9F"/>
    <w:rsid w:val="007230AB"/>
    <w:rsid w:val="007235FC"/>
    <w:rsid w:val="007253B8"/>
    <w:rsid w:val="00727475"/>
    <w:rsid w:val="00730283"/>
    <w:rsid w:val="00730685"/>
    <w:rsid w:val="00730ACE"/>
    <w:rsid w:val="00730AE4"/>
    <w:rsid w:val="00731F82"/>
    <w:rsid w:val="00732789"/>
    <w:rsid w:val="0073631B"/>
    <w:rsid w:val="00736D5A"/>
    <w:rsid w:val="0073741F"/>
    <w:rsid w:val="00737A26"/>
    <w:rsid w:val="00737E32"/>
    <w:rsid w:val="007418AF"/>
    <w:rsid w:val="007431D3"/>
    <w:rsid w:val="00744F9C"/>
    <w:rsid w:val="00753B66"/>
    <w:rsid w:val="00754FE8"/>
    <w:rsid w:val="00755999"/>
    <w:rsid w:val="0075684A"/>
    <w:rsid w:val="00756FE5"/>
    <w:rsid w:val="007570A0"/>
    <w:rsid w:val="007634E3"/>
    <w:rsid w:val="007650BC"/>
    <w:rsid w:val="007657E5"/>
    <w:rsid w:val="0076643F"/>
    <w:rsid w:val="00767A79"/>
    <w:rsid w:val="0077538F"/>
    <w:rsid w:val="00776228"/>
    <w:rsid w:val="0077659E"/>
    <w:rsid w:val="00777B47"/>
    <w:rsid w:val="00777F63"/>
    <w:rsid w:val="007802C6"/>
    <w:rsid w:val="007836DA"/>
    <w:rsid w:val="007906BB"/>
    <w:rsid w:val="00795D6C"/>
    <w:rsid w:val="00796A08"/>
    <w:rsid w:val="007978FA"/>
    <w:rsid w:val="007A0322"/>
    <w:rsid w:val="007A0E2F"/>
    <w:rsid w:val="007A194B"/>
    <w:rsid w:val="007A2E01"/>
    <w:rsid w:val="007A3AC5"/>
    <w:rsid w:val="007A5817"/>
    <w:rsid w:val="007A74EA"/>
    <w:rsid w:val="007B0547"/>
    <w:rsid w:val="007B061A"/>
    <w:rsid w:val="007B11D8"/>
    <w:rsid w:val="007B157E"/>
    <w:rsid w:val="007B4C27"/>
    <w:rsid w:val="007B60D0"/>
    <w:rsid w:val="007B60E9"/>
    <w:rsid w:val="007B64AF"/>
    <w:rsid w:val="007B6CC3"/>
    <w:rsid w:val="007C085B"/>
    <w:rsid w:val="007C21CE"/>
    <w:rsid w:val="007C3334"/>
    <w:rsid w:val="007C5657"/>
    <w:rsid w:val="007C7129"/>
    <w:rsid w:val="007C71E1"/>
    <w:rsid w:val="007C756A"/>
    <w:rsid w:val="007D07DB"/>
    <w:rsid w:val="007D1F49"/>
    <w:rsid w:val="007D2B98"/>
    <w:rsid w:val="007D503A"/>
    <w:rsid w:val="007E1B1A"/>
    <w:rsid w:val="007E1B22"/>
    <w:rsid w:val="007E21BC"/>
    <w:rsid w:val="007E2723"/>
    <w:rsid w:val="007E4A3A"/>
    <w:rsid w:val="007E547C"/>
    <w:rsid w:val="007E68A6"/>
    <w:rsid w:val="007E74D9"/>
    <w:rsid w:val="007F041F"/>
    <w:rsid w:val="007F105A"/>
    <w:rsid w:val="007F114F"/>
    <w:rsid w:val="007F1320"/>
    <w:rsid w:val="007F1A4D"/>
    <w:rsid w:val="007F253A"/>
    <w:rsid w:val="007F3415"/>
    <w:rsid w:val="007F54F4"/>
    <w:rsid w:val="007F66A7"/>
    <w:rsid w:val="007F6D92"/>
    <w:rsid w:val="007F7483"/>
    <w:rsid w:val="007F7E9A"/>
    <w:rsid w:val="007F7F7F"/>
    <w:rsid w:val="008029F0"/>
    <w:rsid w:val="0080332F"/>
    <w:rsid w:val="00803E44"/>
    <w:rsid w:val="00803F1C"/>
    <w:rsid w:val="00804207"/>
    <w:rsid w:val="00805284"/>
    <w:rsid w:val="0080600E"/>
    <w:rsid w:val="008073B2"/>
    <w:rsid w:val="00807C25"/>
    <w:rsid w:val="00807F46"/>
    <w:rsid w:val="00813005"/>
    <w:rsid w:val="00815021"/>
    <w:rsid w:val="008165F4"/>
    <w:rsid w:val="00816AC6"/>
    <w:rsid w:val="00817612"/>
    <w:rsid w:val="00820481"/>
    <w:rsid w:val="00820D55"/>
    <w:rsid w:val="008217E6"/>
    <w:rsid w:val="00824620"/>
    <w:rsid w:val="00824ED1"/>
    <w:rsid w:val="00825431"/>
    <w:rsid w:val="008266A7"/>
    <w:rsid w:val="0083131B"/>
    <w:rsid w:val="00831B46"/>
    <w:rsid w:val="0083237C"/>
    <w:rsid w:val="008337DB"/>
    <w:rsid w:val="008338A4"/>
    <w:rsid w:val="00835116"/>
    <w:rsid w:val="00836584"/>
    <w:rsid w:val="00837C45"/>
    <w:rsid w:val="00843076"/>
    <w:rsid w:val="008434B1"/>
    <w:rsid w:val="00844730"/>
    <w:rsid w:val="00844E42"/>
    <w:rsid w:val="00844EE6"/>
    <w:rsid w:val="008457C2"/>
    <w:rsid w:val="00845DB1"/>
    <w:rsid w:val="00850117"/>
    <w:rsid w:val="008514D6"/>
    <w:rsid w:val="00853E3C"/>
    <w:rsid w:val="00853E9D"/>
    <w:rsid w:val="008548A2"/>
    <w:rsid w:val="008566AF"/>
    <w:rsid w:val="00857098"/>
    <w:rsid w:val="00857A82"/>
    <w:rsid w:val="00860323"/>
    <w:rsid w:val="0086286E"/>
    <w:rsid w:val="00864E77"/>
    <w:rsid w:val="00865597"/>
    <w:rsid w:val="008708DF"/>
    <w:rsid w:val="008712EB"/>
    <w:rsid w:val="00873836"/>
    <w:rsid w:val="0087417B"/>
    <w:rsid w:val="00874D49"/>
    <w:rsid w:val="008756EC"/>
    <w:rsid w:val="00881A6B"/>
    <w:rsid w:val="00881EC4"/>
    <w:rsid w:val="00882525"/>
    <w:rsid w:val="008830A3"/>
    <w:rsid w:val="00885737"/>
    <w:rsid w:val="00886488"/>
    <w:rsid w:val="00886FCD"/>
    <w:rsid w:val="0089048F"/>
    <w:rsid w:val="00890558"/>
    <w:rsid w:val="00890650"/>
    <w:rsid w:val="00890DB9"/>
    <w:rsid w:val="00892619"/>
    <w:rsid w:val="0089696E"/>
    <w:rsid w:val="00897E12"/>
    <w:rsid w:val="008A0167"/>
    <w:rsid w:val="008A078F"/>
    <w:rsid w:val="008A716C"/>
    <w:rsid w:val="008A721F"/>
    <w:rsid w:val="008A7E0F"/>
    <w:rsid w:val="008B12F5"/>
    <w:rsid w:val="008B275E"/>
    <w:rsid w:val="008B2CA3"/>
    <w:rsid w:val="008B43DE"/>
    <w:rsid w:val="008B4502"/>
    <w:rsid w:val="008B4867"/>
    <w:rsid w:val="008B7FAE"/>
    <w:rsid w:val="008C20C6"/>
    <w:rsid w:val="008C2CB8"/>
    <w:rsid w:val="008C3098"/>
    <w:rsid w:val="008C51CC"/>
    <w:rsid w:val="008C7015"/>
    <w:rsid w:val="008D1414"/>
    <w:rsid w:val="008D334A"/>
    <w:rsid w:val="008D34EB"/>
    <w:rsid w:val="008D5C71"/>
    <w:rsid w:val="008D691A"/>
    <w:rsid w:val="008D768D"/>
    <w:rsid w:val="008D7DA4"/>
    <w:rsid w:val="008D7E51"/>
    <w:rsid w:val="008E127F"/>
    <w:rsid w:val="008E2E59"/>
    <w:rsid w:val="008E3759"/>
    <w:rsid w:val="008E3A32"/>
    <w:rsid w:val="008E4B39"/>
    <w:rsid w:val="008E7BC1"/>
    <w:rsid w:val="008E7D01"/>
    <w:rsid w:val="008F1912"/>
    <w:rsid w:val="008F1B28"/>
    <w:rsid w:val="008F2A2C"/>
    <w:rsid w:val="008F2C7A"/>
    <w:rsid w:val="008F3ABC"/>
    <w:rsid w:val="008F492E"/>
    <w:rsid w:val="008F4E25"/>
    <w:rsid w:val="008F604B"/>
    <w:rsid w:val="008F68F1"/>
    <w:rsid w:val="008F78B7"/>
    <w:rsid w:val="008F7FD4"/>
    <w:rsid w:val="00900928"/>
    <w:rsid w:val="009014A4"/>
    <w:rsid w:val="00902273"/>
    <w:rsid w:val="0090270B"/>
    <w:rsid w:val="009041DC"/>
    <w:rsid w:val="0090463E"/>
    <w:rsid w:val="00904F5A"/>
    <w:rsid w:val="00905430"/>
    <w:rsid w:val="00910791"/>
    <w:rsid w:val="009113FE"/>
    <w:rsid w:val="00911557"/>
    <w:rsid w:val="0091226E"/>
    <w:rsid w:val="00912A3C"/>
    <w:rsid w:val="00912DFA"/>
    <w:rsid w:val="0091352B"/>
    <w:rsid w:val="00913F58"/>
    <w:rsid w:val="00914740"/>
    <w:rsid w:val="0091485C"/>
    <w:rsid w:val="009149C0"/>
    <w:rsid w:val="00915ACE"/>
    <w:rsid w:val="00917B5A"/>
    <w:rsid w:val="009205C3"/>
    <w:rsid w:val="00920A58"/>
    <w:rsid w:val="00920A8C"/>
    <w:rsid w:val="00920B29"/>
    <w:rsid w:val="0092111F"/>
    <w:rsid w:val="009228C4"/>
    <w:rsid w:val="00927548"/>
    <w:rsid w:val="00930CAF"/>
    <w:rsid w:val="00934A2C"/>
    <w:rsid w:val="00937F66"/>
    <w:rsid w:val="00941C6B"/>
    <w:rsid w:val="00943D16"/>
    <w:rsid w:val="00944C08"/>
    <w:rsid w:val="0094623F"/>
    <w:rsid w:val="00951CBC"/>
    <w:rsid w:val="009531E1"/>
    <w:rsid w:val="009532E9"/>
    <w:rsid w:val="00957407"/>
    <w:rsid w:val="009609E8"/>
    <w:rsid w:val="009628FA"/>
    <w:rsid w:val="00963293"/>
    <w:rsid w:val="00963CA1"/>
    <w:rsid w:val="009656B2"/>
    <w:rsid w:val="0096706E"/>
    <w:rsid w:val="0097051C"/>
    <w:rsid w:val="0097052B"/>
    <w:rsid w:val="00972120"/>
    <w:rsid w:val="00972B66"/>
    <w:rsid w:val="00972D2B"/>
    <w:rsid w:val="00974457"/>
    <w:rsid w:val="00975075"/>
    <w:rsid w:val="0097538C"/>
    <w:rsid w:val="00975C4E"/>
    <w:rsid w:val="00977D66"/>
    <w:rsid w:val="00981DF1"/>
    <w:rsid w:val="00981FBA"/>
    <w:rsid w:val="00982B62"/>
    <w:rsid w:val="00986BBD"/>
    <w:rsid w:val="009874BF"/>
    <w:rsid w:val="00987E51"/>
    <w:rsid w:val="00990FA8"/>
    <w:rsid w:val="009915E2"/>
    <w:rsid w:val="00991866"/>
    <w:rsid w:val="0099330D"/>
    <w:rsid w:val="00993B82"/>
    <w:rsid w:val="00997305"/>
    <w:rsid w:val="00997BC5"/>
    <w:rsid w:val="009A0BE3"/>
    <w:rsid w:val="009A15C4"/>
    <w:rsid w:val="009A170C"/>
    <w:rsid w:val="009A27FA"/>
    <w:rsid w:val="009A2E75"/>
    <w:rsid w:val="009A3018"/>
    <w:rsid w:val="009A3303"/>
    <w:rsid w:val="009A4F41"/>
    <w:rsid w:val="009A55CB"/>
    <w:rsid w:val="009A594A"/>
    <w:rsid w:val="009A63B3"/>
    <w:rsid w:val="009A6983"/>
    <w:rsid w:val="009B0D9E"/>
    <w:rsid w:val="009B22FC"/>
    <w:rsid w:val="009B381B"/>
    <w:rsid w:val="009C0924"/>
    <w:rsid w:val="009C1564"/>
    <w:rsid w:val="009C4821"/>
    <w:rsid w:val="009C4EAA"/>
    <w:rsid w:val="009C58B5"/>
    <w:rsid w:val="009D0B28"/>
    <w:rsid w:val="009D0CF0"/>
    <w:rsid w:val="009D15F3"/>
    <w:rsid w:val="009D1753"/>
    <w:rsid w:val="009D2301"/>
    <w:rsid w:val="009D2DEB"/>
    <w:rsid w:val="009D4B37"/>
    <w:rsid w:val="009D5F80"/>
    <w:rsid w:val="009D6225"/>
    <w:rsid w:val="009D67A8"/>
    <w:rsid w:val="009D6EDA"/>
    <w:rsid w:val="009D7611"/>
    <w:rsid w:val="009D7E71"/>
    <w:rsid w:val="009E07F5"/>
    <w:rsid w:val="009E0A54"/>
    <w:rsid w:val="009E0B61"/>
    <w:rsid w:val="009E0D39"/>
    <w:rsid w:val="009E100F"/>
    <w:rsid w:val="009E1012"/>
    <w:rsid w:val="009E30FC"/>
    <w:rsid w:val="009E50DC"/>
    <w:rsid w:val="009E53DE"/>
    <w:rsid w:val="009E59F8"/>
    <w:rsid w:val="009E634C"/>
    <w:rsid w:val="009F0218"/>
    <w:rsid w:val="009F08E2"/>
    <w:rsid w:val="009F14EE"/>
    <w:rsid w:val="009F2E83"/>
    <w:rsid w:val="009F35F5"/>
    <w:rsid w:val="009F7F70"/>
    <w:rsid w:val="00A0090B"/>
    <w:rsid w:val="00A026C0"/>
    <w:rsid w:val="00A03A30"/>
    <w:rsid w:val="00A043CF"/>
    <w:rsid w:val="00A066C9"/>
    <w:rsid w:val="00A0696E"/>
    <w:rsid w:val="00A06B62"/>
    <w:rsid w:val="00A06E53"/>
    <w:rsid w:val="00A1083A"/>
    <w:rsid w:val="00A10EEE"/>
    <w:rsid w:val="00A121C8"/>
    <w:rsid w:val="00A1259A"/>
    <w:rsid w:val="00A1359B"/>
    <w:rsid w:val="00A13972"/>
    <w:rsid w:val="00A13C72"/>
    <w:rsid w:val="00A20731"/>
    <w:rsid w:val="00A21A1D"/>
    <w:rsid w:val="00A22DC8"/>
    <w:rsid w:val="00A23EA9"/>
    <w:rsid w:val="00A25601"/>
    <w:rsid w:val="00A2598E"/>
    <w:rsid w:val="00A328B3"/>
    <w:rsid w:val="00A32EA9"/>
    <w:rsid w:val="00A33B1E"/>
    <w:rsid w:val="00A33BCF"/>
    <w:rsid w:val="00A3485F"/>
    <w:rsid w:val="00A40137"/>
    <w:rsid w:val="00A404C4"/>
    <w:rsid w:val="00A40E16"/>
    <w:rsid w:val="00A44053"/>
    <w:rsid w:val="00A45378"/>
    <w:rsid w:val="00A45A55"/>
    <w:rsid w:val="00A46D7B"/>
    <w:rsid w:val="00A47966"/>
    <w:rsid w:val="00A47F90"/>
    <w:rsid w:val="00A50833"/>
    <w:rsid w:val="00A50FCF"/>
    <w:rsid w:val="00A50FE0"/>
    <w:rsid w:val="00A512C6"/>
    <w:rsid w:val="00A51418"/>
    <w:rsid w:val="00A51A01"/>
    <w:rsid w:val="00A528D1"/>
    <w:rsid w:val="00A5363A"/>
    <w:rsid w:val="00A5499E"/>
    <w:rsid w:val="00A610CD"/>
    <w:rsid w:val="00A6133B"/>
    <w:rsid w:val="00A61D7A"/>
    <w:rsid w:val="00A6238C"/>
    <w:rsid w:val="00A62EB6"/>
    <w:rsid w:val="00A63465"/>
    <w:rsid w:val="00A64807"/>
    <w:rsid w:val="00A65208"/>
    <w:rsid w:val="00A66149"/>
    <w:rsid w:val="00A66E7F"/>
    <w:rsid w:val="00A672A3"/>
    <w:rsid w:val="00A707FD"/>
    <w:rsid w:val="00A72BA7"/>
    <w:rsid w:val="00A73574"/>
    <w:rsid w:val="00A755CB"/>
    <w:rsid w:val="00A7585A"/>
    <w:rsid w:val="00A75E63"/>
    <w:rsid w:val="00A76444"/>
    <w:rsid w:val="00A76D96"/>
    <w:rsid w:val="00A77C9D"/>
    <w:rsid w:val="00A814FA"/>
    <w:rsid w:val="00A815DF"/>
    <w:rsid w:val="00A82922"/>
    <w:rsid w:val="00A855D3"/>
    <w:rsid w:val="00A856CA"/>
    <w:rsid w:val="00A87427"/>
    <w:rsid w:val="00A906C9"/>
    <w:rsid w:val="00A911E4"/>
    <w:rsid w:val="00A9420F"/>
    <w:rsid w:val="00A94A96"/>
    <w:rsid w:val="00A955FC"/>
    <w:rsid w:val="00A95C54"/>
    <w:rsid w:val="00AA0548"/>
    <w:rsid w:val="00AA09A2"/>
    <w:rsid w:val="00AA384A"/>
    <w:rsid w:val="00AA531D"/>
    <w:rsid w:val="00AA53A2"/>
    <w:rsid w:val="00AA575F"/>
    <w:rsid w:val="00AA6A72"/>
    <w:rsid w:val="00AA7996"/>
    <w:rsid w:val="00AB008B"/>
    <w:rsid w:val="00AB2181"/>
    <w:rsid w:val="00AB2DE7"/>
    <w:rsid w:val="00AB43A8"/>
    <w:rsid w:val="00AB5165"/>
    <w:rsid w:val="00AB6298"/>
    <w:rsid w:val="00AC19CB"/>
    <w:rsid w:val="00AC4320"/>
    <w:rsid w:val="00AC4747"/>
    <w:rsid w:val="00AC55D4"/>
    <w:rsid w:val="00AC6F9D"/>
    <w:rsid w:val="00AD03DA"/>
    <w:rsid w:val="00AD26B5"/>
    <w:rsid w:val="00AD39AB"/>
    <w:rsid w:val="00AD3B6D"/>
    <w:rsid w:val="00AD4C5F"/>
    <w:rsid w:val="00AD535C"/>
    <w:rsid w:val="00AD584E"/>
    <w:rsid w:val="00AD658E"/>
    <w:rsid w:val="00AE0015"/>
    <w:rsid w:val="00AE004C"/>
    <w:rsid w:val="00AE0A7F"/>
    <w:rsid w:val="00AE5488"/>
    <w:rsid w:val="00AE5F09"/>
    <w:rsid w:val="00AE6F91"/>
    <w:rsid w:val="00AF1279"/>
    <w:rsid w:val="00AF40E9"/>
    <w:rsid w:val="00AF4275"/>
    <w:rsid w:val="00AF5571"/>
    <w:rsid w:val="00AF5978"/>
    <w:rsid w:val="00AF5CD3"/>
    <w:rsid w:val="00AF5DEC"/>
    <w:rsid w:val="00AF5DF2"/>
    <w:rsid w:val="00AF60F4"/>
    <w:rsid w:val="00AF625C"/>
    <w:rsid w:val="00AF7988"/>
    <w:rsid w:val="00AF7E92"/>
    <w:rsid w:val="00B00486"/>
    <w:rsid w:val="00B00A18"/>
    <w:rsid w:val="00B00C75"/>
    <w:rsid w:val="00B0387A"/>
    <w:rsid w:val="00B03E03"/>
    <w:rsid w:val="00B03E9C"/>
    <w:rsid w:val="00B05C67"/>
    <w:rsid w:val="00B05E92"/>
    <w:rsid w:val="00B07184"/>
    <w:rsid w:val="00B071B4"/>
    <w:rsid w:val="00B07341"/>
    <w:rsid w:val="00B10CCB"/>
    <w:rsid w:val="00B10F71"/>
    <w:rsid w:val="00B12297"/>
    <w:rsid w:val="00B12D52"/>
    <w:rsid w:val="00B12F22"/>
    <w:rsid w:val="00B155D2"/>
    <w:rsid w:val="00B15CC9"/>
    <w:rsid w:val="00B16A1D"/>
    <w:rsid w:val="00B16D62"/>
    <w:rsid w:val="00B176DE"/>
    <w:rsid w:val="00B203C0"/>
    <w:rsid w:val="00B21C52"/>
    <w:rsid w:val="00B22BA6"/>
    <w:rsid w:val="00B24CDA"/>
    <w:rsid w:val="00B250AE"/>
    <w:rsid w:val="00B26344"/>
    <w:rsid w:val="00B26FF7"/>
    <w:rsid w:val="00B27F0C"/>
    <w:rsid w:val="00B30539"/>
    <w:rsid w:val="00B314DB"/>
    <w:rsid w:val="00B32E95"/>
    <w:rsid w:val="00B33369"/>
    <w:rsid w:val="00B34CE7"/>
    <w:rsid w:val="00B35B23"/>
    <w:rsid w:val="00B361F2"/>
    <w:rsid w:val="00B3718B"/>
    <w:rsid w:val="00B37A34"/>
    <w:rsid w:val="00B405AB"/>
    <w:rsid w:val="00B418DC"/>
    <w:rsid w:val="00B4632A"/>
    <w:rsid w:val="00B502B4"/>
    <w:rsid w:val="00B5107C"/>
    <w:rsid w:val="00B513B1"/>
    <w:rsid w:val="00B530F1"/>
    <w:rsid w:val="00B54A0C"/>
    <w:rsid w:val="00B56145"/>
    <w:rsid w:val="00B563D2"/>
    <w:rsid w:val="00B570E5"/>
    <w:rsid w:val="00B60AA6"/>
    <w:rsid w:val="00B621A4"/>
    <w:rsid w:val="00B632D6"/>
    <w:rsid w:val="00B66455"/>
    <w:rsid w:val="00B67051"/>
    <w:rsid w:val="00B67999"/>
    <w:rsid w:val="00B706C8"/>
    <w:rsid w:val="00B708AB"/>
    <w:rsid w:val="00B70A49"/>
    <w:rsid w:val="00B71565"/>
    <w:rsid w:val="00B7198A"/>
    <w:rsid w:val="00B723A5"/>
    <w:rsid w:val="00B7243B"/>
    <w:rsid w:val="00B73C8D"/>
    <w:rsid w:val="00B7454D"/>
    <w:rsid w:val="00B77ED2"/>
    <w:rsid w:val="00B8126D"/>
    <w:rsid w:val="00B8149F"/>
    <w:rsid w:val="00B82CBB"/>
    <w:rsid w:val="00B834AD"/>
    <w:rsid w:val="00B84026"/>
    <w:rsid w:val="00B84E7B"/>
    <w:rsid w:val="00B8558C"/>
    <w:rsid w:val="00B9167E"/>
    <w:rsid w:val="00B91C1B"/>
    <w:rsid w:val="00B91E25"/>
    <w:rsid w:val="00B93D91"/>
    <w:rsid w:val="00B95413"/>
    <w:rsid w:val="00B95E54"/>
    <w:rsid w:val="00B95F19"/>
    <w:rsid w:val="00B97D87"/>
    <w:rsid w:val="00B97FBC"/>
    <w:rsid w:val="00BA0FF1"/>
    <w:rsid w:val="00BA130F"/>
    <w:rsid w:val="00BA1E05"/>
    <w:rsid w:val="00BA2342"/>
    <w:rsid w:val="00BA276C"/>
    <w:rsid w:val="00BA461E"/>
    <w:rsid w:val="00BA5273"/>
    <w:rsid w:val="00BA591B"/>
    <w:rsid w:val="00BA5F49"/>
    <w:rsid w:val="00BA75DC"/>
    <w:rsid w:val="00BB306F"/>
    <w:rsid w:val="00BB3678"/>
    <w:rsid w:val="00BB5D01"/>
    <w:rsid w:val="00BC1180"/>
    <w:rsid w:val="00BC14D2"/>
    <w:rsid w:val="00BC1C89"/>
    <w:rsid w:val="00BC2408"/>
    <w:rsid w:val="00BC30A1"/>
    <w:rsid w:val="00BC3375"/>
    <w:rsid w:val="00BC37AF"/>
    <w:rsid w:val="00BC4528"/>
    <w:rsid w:val="00BC4B20"/>
    <w:rsid w:val="00BC4F2C"/>
    <w:rsid w:val="00BC7112"/>
    <w:rsid w:val="00BD045D"/>
    <w:rsid w:val="00BD0850"/>
    <w:rsid w:val="00BD1731"/>
    <w:rsid w:val="00BD1A28"/>
    <w:rsid w:val="00BD1B14"/>
    <w:rsid w:val="00BD4B2E"/>
    <w:rsid w:val="00BD4B89"/>
    <w:rsid w:val="00BD5D29"/>
    <w:rsid w:val="00BD62CA"/>
    <w:rsid w:val="00BD73C1"/>
    <w:rsid w:val="00BD7A65"/>
    <w:rsid w:val="00BE1304"/>
    <w:rsid w:val="00BE286A"/>
    <w:rsid w:val="00BE4EC9"/>
    <w:rsid w:val="00BE51A6"/>
    <w:rsid w:val="00BE7BE9"/>
    <w:rsid w:val="00BF02CB"/>
    <w:rsid w:val="00BF11D3"/>
    <w:rsid w:val="00BF1664"/>
    <w:rsid w:val="00BF27EB"/>
    <w:rsid w:val="00BF5DA2"/>
    <w:rsid w:val="00BF6CF0"/>
    <w:rsid w:val="00BF6FD8"/>
    <w:rsid w:val="00C01EE4"/>
    <w:rsid w:val="00C028BD"/>
    <w:rsid w:val="00C03680"/>
    <w:rsid w:val="00C03940"/>
    <w:rsid w:val="00C0486E"/>
    <w:rsid w:val="00C054DF"/>
    <w:rsid w:val="00C06FBF"/>
    <w:rsid w:val="00C07247"/>
    <w:rsid w:val="00C0726D"/>
    <w:rsid w:val="00C072E1"/>
    <w:rsid w:val="00C07EF3"/>
    <w:rsid w:val="00C13B32"/>
    <w:rsid w:val="00C14A21"/>
    <w:rsid w:val="00C151C5"/>
    <w:rsid w:val="00C1792C"/>
    <w:rsid w:val="00C20C06"/>
    <w:rsid w:val="00C21762"/>
    <w:rsid w:val="00C219E1"/>
    <w:rsid w:val="00C23623"/>
    <w:rsid w:val="00C23842"/>
    <w:rsid w:val="00C24543"/>
    <w:rsid w:val="00C245FE"/>
    <w:rsid w:val="00C256A2"/>
    <w:rsid w:val="00C25D2C"/>
    <w:rsid w:val="00C27314"/>
    <w:rsid w:val="00C27802"/>
    <w:rsid w:val="00C328F6"/>
    <w:rsid w:val="00C32A40"/>
    <w:rsid w:val="00C32D97"/>
    <w:rsid w:val="00C360CB"/>
    <w:rsid w:val="00C36454"/>
    <w:rsid w:val="00C36A50"/>
    <w:rsid w:val="00C40789"/>
    <w:rsid w:val="00C420A5"/>
    <w:rsid w:val="00C459CB"/>
    <w:rsid w:val="00C46471"/>
    <w:rsid w:val="00C46EE5"/>
    <w:rsid w:val="00C5104C"/>
    <w:rsid w:val="00C51404"/>
    <w:rsid w:val="00C51515"/>
    <w:rsid w:val="00C53659"/>
    <w:rsid w:val="00C5660B"/>
    <w:rsid w:val="00C60D6A"/>
    <w:rsid w:val="00C616B7"/>
    <w:rsid w:val="00C62A75"/>
    <w:rsid w:val="00C6400A"/>
    <w:rsid w:val="00C658D0"/>
    <w:rsid w:val="00C66519"/>
    <w:rsid w:val="00C66B72"/>
    <w:rsid w:val="00C673BB"/>
    <w:rsid w:val="00C71089"/>
    <w:rsid w:val="00C72217"/>
    <w:rsid w:val="00C7386E"/>
    <w:rsid w:val="00C75282"/>
    <w:rsid w:val="00C76A31"/>
    <w:rsid w:val="00C76F21"/>
    <w:rsid w:val="00C77F0B"/>
    <w:rsid w:val="00C80D16"/>
    <w:rsid w:val="00C810D8"/>
    <w:rsid w:val="00C83714"/>
    <w:rsid w:val="00C83B0E"/>
    <w:rsid w:val="00C85372"/>
    <w:rsid w:val="00C86045"/>
    <w:rsid w:val="00C86C69"/>
    <w:rsid w:val="00C872EE"/>
    <w:rsid w:val="00C87EDA"/>
    <w:rsid w:val="00C90A5D"/>
    <w:rsid w:val="00C9311C"/>
    <w:rsid w:val="00C93177"/>
    <w:rsid w:val="00C9435B"/>
    <w:rsid w:val="00C952F4"/>
    <w:rsid w:val="00C9567A"/>
    <w:rsid w:val="00C96276"/>
    <w:rsid w:val="00C963EE"/>
    <w:rsid w:val="00C97129"/>
    <w:rsid w:val="00C976D6"/>
    <w:rsid w:val="00C978DF"/>
    <w:rsid w:val="00C97EDB"/>
    <w:rsid w:val="00CA0A54"/>
    <w:rsid w:val="00CA3B6A"/>
    <w:rsid w:val="00CA3C2F"/>
    <w:rsid w:val="00CA3CFF"/>
    <w:rsid w:val="00CA5622"/>
    <w:rsid w:val="00CB04C7"/>
    <w:rsid w:val="00CB212D"/>
    <w:rsid w:val="00CB2583"/>
    <w:rsid w:val="00CB2660"/>
    <w:rsid w:val="00CB3B46"/>
    <w:rsid w:val="00CB4C1B"/>
    <w:rsid w:val="00CB56EE"/>
    <w:rsid w:val="00CB6106"/>
    <w:rsid w:val="00CB7A57"/>
    <w:rsid w:val="00CB7ACE"/>
    <w:rsid w:val="00CC07F2"/>
    <w:rsid w:val="00CC0C82"/>
    <w:rsid w:val="00CC15F6"/>
    <w:rsid w:val="00CC1F21"/>
    <w:rsid w:val="00CC2839"/>
    <w:rsid w:val="00CC3245"/>
    <w:rsid w:val="00CC468C"/>
    <w:rsid w:val="00CC4A33"/>
    <w:rsid w:val="00CC58D3"/>
    <w:rsid w:val="00CC5E90"/>
    <w:rsid w:val="00CC63CF"/>
    <w:rsid w:val="00CD046C"/>
    <w:rsid w:val="00CD0815"/>
    <w:rsid w:val="00CD1614"/>
    <w:rsid w:val="00CD3E13"/>
    <w:rsid w:val="00CD490D"/>
    <w:rsid w:val="00CD66DD"/>
    <w:rsid w:val="00CD6BCC"/>
    <w:rsid w:val="00CD79E1"/>
    <w:rsid w:val="00CE0098"/>
    <w:rsid w:val="00CE076C"/>
    <w:rsid w:val="00CE0D42"/>
    <w:rsid w:val="00CE2F00"/>
    <w:rsid w:val="00CE35F8"/>
    <w:rsid w:val="00CE5199"/>
    <w:rsid w:val="00CE5D25"/>
    <w:rsid w:val="00CE661F"/>
    <w:rsid w:val="00CE66D5"/>
    <w:rsid w:val="00CF04AA"/>
    <w:rsid w:val="00CF0CCE"/>
    <w:rsid w:val="00CF502F"/>
    <w:rsid w:val="00CF522D"/>
    <w:rsid w:val="00CF53F7"/>
    <w:rsid w:val="00CF637A"/>
    <w:rsid w:val="00CF63A3"/>
    <w:rsid w:val="00CF6937"/>
    <w:rsid w:val="00D002ED"/>
    <w:rsid w:val="00D00C0F"/>
    <w:rsid w:val="00D036B1"/>
    <w:rsid w:val="00D054C6"/>
    <w:rsid w:val="00D059DE"/>
    <w:rsid w:val="00D07E05"/>
    <w:rsid w:val="00D12193"/>
    <w:rsid w:val="00D13FCE"/>
    <w:rsid w:val="00D14DCA"/>
    <w:rsid w:val="00D17134"/>
    <w:rsid w:val="00D1786F"/>
    <w:rsid w:val="00D2081A"/>
    <w:rsid w:val="00D248DD"/>
    <w:rsid w:val="00D306D1"/>
    <w:rsid w:val="00D313F8"/>
    <w:rsid w:val="00D31923"/>
    <w:rsid w:val="00D31B58"/>
    <w:rsid w:val="00D3223D"/>
    <w:rsid w:val="00D34786"/>
    <w:rsid w:val="00D37BFC"/>
    <w:rsid w:val="00D41F9A"/>
    <w:rsid w:val="00D44196"/>
    <w:rsid w:val="00D4653C"/>
    <w:rsid w:val="00D47A8E"/>
    <w:rsid w:val="00D50517"/>
    <w:rsid w:val="00D510AE"/>
    <w:rsid w:val="00D515D5"/>
    <w:rsid w:val="00D52D0C"/>
    <w:rsid w:val="00D52D14"/>
    <w:rsid w:val="00D54849"/>
    <w:rsid w:val="00D54AB2"/>
    <w:rsid w:val="00D558AB"/>
    <w:rsid w:val="00D56E36"/>
    <w:rsid w:val="00D57A26"/>
    <w:rsid w:val="00D651D1"/>
    <w:rsid w:val="00D65476"/>
    <w:rsid w:val="00D65AD8"/>
    <w:rsid w:val="00D66C31"/>
    <w:rsid w:val="00D676F5"/>
    <w:rsid w:val="00D712D3"/>
    <w:rsid w:val="00D71422"/>
    <w:rsid w:val="00D71859"/>
    <w:rsid w:val="00D72DC6"/>
    <w:rsid w:val="00D73C55"/>
    <w:rsid w:val="00D7415D"/>
    <w:rsid w:val="00D744C5"/>
    <w:rsid w:val="00D7558D"/>
    <w:rsid w:val="00D81C50"/>
    <w:rsid w:val="00D81D92"/>
    <w:rsid w:val="00D83D73"/>
    <w:rsid w:val="00D84858"/>
    <w:rsid w:val="00D8609E"/>
    <w:rsid w:val="00D86336"/>
    <w:rsid w:val="00D901B4"/>
    <w:rsid w:val="00D904A8"/>
    <w:rsid w:val="00D90DF3"/>
    <w:rsid w:val="00D9541E"/>
    <w:rsid w:val="00D95C34"/>
    <w:rsid w:val="00D96E66"/>
    <w:rsid w:val="00D97283"/>
    <w:rsid w:val="00D9784D"/>
    <w:rsid w:val="00D97BA4"/>
    <w:rsid w:val="00D97E2A"/>
    <w:rsid w:val="00D97FA6"/>
    <w:rsid w:val="00D97FFD"/>
    <w:rsid w:val="00DA3B54"/>
    <w:rsid w:val="00DA4A95"/>
    <w:rsid w:val="00DA77D1"/>
    <w:rsid w:val="00DA7B5F"/>
    <w:rsid w:val="00DA7E89"/>
    <w:rsid w:val="00DB202C"/>
    <w:rsid w:val="00DB3790"/>
    <w:rsid w:val="00DB3B80"/>
    <w:rsid w:val="00DB3E7D"/>
    <w:rsid w:val="00DB4271"/>
    <w:rsid w:val="00DC11E7"/>
    <w:rsid w:val="00DC3E10"/>
    <w:rsid w:val="00DC4215"/>
    <w:rsid w:val="00DC432C"/>
    <w:rsid w:val="00DC7023"/>
    <w:rsid w:val="00DC769A"/>
    <w:rsid w:val="00DD00F3"/>
    <w:rsid w:val="00DD309E"/>
    <w:rsid w:val="00DD3218"/>
    <w:rsid w:val="00DD3D86"/>
    <w:rsid w:val="00DD5319"/>
    <w:rsid w:val="00DD7FC8"/>
    <w:rsid w:val="00DE1E63"/>
    <w:rsid w:val="00DE22AD"/>
    <w:rsid w:val="00DE37C8"/>
    <w:rsid w:val="00DE792E"/>
    <w:rsid w:val="00DF095A"/>
    <w:rsid w:val="00DF1EC4"/>
    <w:rsid w:val="00DF1FFE"/>
    <w:rsid w:val="00DF2709"/>
    <w:rsid w:val="00DF7EE6"/>
    <w:rsid w:val="00E00BF6"/>
    <w:rsid w:val="00E02550"/>
    <w:rsid w:val="00E0340B"/>
    <w:rsid w:val="00E03D1A"/>
    <w:rsid w:val="00E04A90"/>
    <w:rsid w:val="00E05607"/>
    <w:rsid w:val="00E121B4"/>
    <w:rsid w:val="00E133AF"/>
    <w:rsid w:val="00E13816"/>
    <w:rsid w:val="00E15029"/>
    <w:rsid w:val="00E17D18"/>
    <w:rsid w:val="00E219C7"/>
    <w:rsid w:val="00E21E2F"/>
    <w:rsid w:val="00E2262C"/>
    <w:rsid w:val="00E229CF"/>
    <w:rsid w:val="00E22BFB"/>
    <w:rsid w:val="00E268C7"/>
    <w:rsid w:val="00E31CDE"/>
    <w:rsid w:val="00E32067"/>
    <w:rsid w:val="00E33C53"/>
    <w:rsid w:val="00E3679E"/>
    <w:rsid w:val="00E40327"/>
    <w:rsid w:val="00E41912"/>
    <w:rsid w:val="00E43157"/>
    <w:rsid w:val="00E43566"/>
    <w:rsid w:val="00E43AFB"/>
    <w:rsid w:val="00E461CE"/>
    <w:rsid w:val="00E462EA"/>
    <w:rsid w:val="00E47F86"/>
    <w:rsid w:val="00E50AEE"/>
    <w:rsid w:val="00E54995"/>
    <w:rsid w:val="00E55B9E"/>
    <w:rsid w:val="00E55C3E"/>
    <w:rsid w:val="00E56870"/>
    <w:rsid w:val="00E56F45"/>
    <w:rsid w:val="00E61913"/>
    <w:rsid w:val="00E6393B"/>
    <w:rsid w:val="00E652C2"/>
    <w:rsid w:val="00E666BA"/>
    <w:rsid w:val="00E67440"/>
    <w:rsid w:val="00E70CE3"/>
    <w:rsid w:val="00E717B7"/>
    <w:rsid w:val="00E71D79"/>
    <w:rsid w:val="00E720CA"/>
    <w:rsid w:val="00E72A61"/>
    <w:rsid w:val="00E73201"/>
    <w:rsid w:val="00E75EA4"/>
    <w:rsid w:val="00E77E39"/>
    <w:rsid w:val="00E802E1"/>
    <w:rsid w:val="00E81005"/>
    <w:rsid w:val="00E810C3"/>
    <w:rsid w:val="00E8126B"/>
    <w:rsid w:val="00E82359"/>
    <w:rsid w:val="00E824BE"/>
    <w:rsid w:val="00E84698"/>
    <w:rsid w:val="00E8474C"/>
    <w:rsid w:val="00E84994"/>
    <w:rsid w:val="00E84EB5"/>
    <w:rsid w:val="00E85662"/>
    <w:rsid w:val="00E874A8"/>
    <w:rsid w:val="00E87582"/>
    <w:rsid w:val="00E8789F"/>
    <w:rsid w:val="00E87A12"/>
    <w:rsid w:val="00E87D07"/>
    <w:rsid w:val="00E909AA"/>
    <w:rsid w:val="00E91175"/>
    <w:rsid w:val="00E91AB8"/>
    <w:rsid w:val="00E939D1"/>
    <w:rsid w:val="00E9406B"/>
    <w:rsid w:val="00E94F44"/>
    <w:rsid w:val="00E966D8"/>
    <w:rsid w:val="00E96FF9"/>
    <w:rsid w:val="00E9787C"/>
    <w:rsid w:val="00E97B71"/>
    <w:rsid w:val="00EA04F0"/>
    <w:rsid w:val="00EA222C"/>
    <w:rsid w:val="00EA2401"/>
    <w:rsid w:val="00EA32B0"/>
    <w:rsid w:val="00EA3D34"/>
    <w:rsid w:val="00EA3DAE"/>
    <w:rsid w:val="00EA63CA"/>
    <w:rsid w:val="00EB0C55"/>
    <w:rsid w:val="00EB108A"/>
    <w:rsid w:val="00EB19D1"/>
    <w:rsid w:val="00EB1D78"/>
    <w:rsid w:val="00EB284C"/>
    <w:rsid w:val="00EB40FB"/>
    <w:rsid w:val="00EB454D"/>
    <w:rsid w:val="00EB57FD"/>
    <w:rsid w:val="00EB632B"/>
    <w:rsid w:val="00EB7121"/>
    <w:rsid w:val="00EC2D45"/>
    <w:rsid w:val="00EC2E9E"/>
    <w:rsid w:val="00EC6201"/>
    <w:rsid w:val="00ED088C"/>
    <w:rsid w:val="00ED10FD"/>
    <w:rsid w:val="00ED20B0"/>
    <w:rsid w:val="00ED30D6"/>
    <w:rsid w:val="00ED415B"/>
    <w:rsid w:val="00ED4D45"/>
    <w:rsid w:val="00ED76BE"/>
    <w:rsid w:val="00ED7A26"/>
    <w:rsid w:val="00EE08C2"/>
    <w:rsid w:val="00EE0BF8"/>
    <w:rsid w:val="00EE156A"/>
    <w:rsid w:val="00EE1CC0"/>
    <w:rsid w:val="00EE2BFF"/>
    <w:rsid w:val="00EE3DB2"/>
    <w:rsid w:val="00EE5C0E"/>
    <w:rsid w:val="00EE6859"/>
    <w:rsid w:val="00EF0005"/>
    <w:rsid w:val="00EF4D1D"/>
    <w:rsid w:val="00EF4E54"/>
    <w:rsid w:val="00EF557B"/>
    <w:rsid w:val="00EF6086"/>
    <w:rsid w:val="00EF619B"/>
    <w:rsid w:val="00F00B55"/>
    <w:rsid w:val="00F01C3F"/>
    <w:rsid w:val="00F02AD1"/>
    <w:rsid w:val="00F066D0"/>
    <w:rsid w:val="00F069EB"/>
    <w:rsid w:val="00F164B9"/>
    <w:rsid w:val="00F2030E"/>
    <w:rsid w:val="00F231B4"/>
    <w:rsid w:val="00F2387D"/>
    <w:rsid w:val="00F253CC"/>
    <w:rsid w:val="00F2640E"/>
    <w:rsid w:val="00F30947"/>
    <w:rsid w:val="00F3137E"/>
    <w:rsid w:val="00F3645F"/>
    <w:rsid w:val="00F37106"/>
    <w:rsid w:val="00F453FE"/>
    <w:rsid w:val="00F4670D"/>
    <w:rsid w:val="00F4709E"/>
    <w:rsid w:val="00F519CF"/>
    <w:rsid w:val="00F542FF"/>
    <w:rsid w:val="00F5455A"/>
    <w:rsid w:val="00F551E4"/>
    <w:rsid w:val="00F56BA5"/>
    <w:rsid w:val="00F57356"/>
    <w:rsid w:val="00F57453"/>
    <w:rsid w:val="00F575CB"/>
    <w:rsid w:val="00F60E22"/>
    <w:rsid w:val="00F621FD"/>
    <w:rsid w:val="00F62242"/>
    <w:rsid w:val="00F62EDD"/>
    <w:rsid w:val="00F634E4"/>
    <w:rsid w:val="00F65CC4"/>
    <w:rsid w:val="00F65FF3"/>
    <w:rsid w:val="00F67E1A"/>
    <w:rsid w:val="00F7088F"/>
    <w:rsid w:val="00F71A46"/>
    <w:rsid w:val="00F72110"/>
    <w:rsid w:val="00F722C0"/>
    <w:rsid w:val="00F73104"/>
    <w:rsid w:val="00F73B54"/>
    <w:rsid w:val="00F74F76"/>
    <w:rsid w:val="00F76767"/>
    <w:rsid w:val="00F805FB"/>
    <w:rsid w:val="00F80A26"/>
    <w:rsid w:val="00F81395"/>
    <w:rsid w:val="00F8152D"/>
    <w:rsid w:val="00F81851"/>
    <w:rsid w:val="00F829FB"/>
    <w:rsid w:val="00F82AC9"/>
    <w:rsid w:val="00F82C81"/>
    <w:rsid w:val="00F84BAA"/>
    <w:rsid w:val="00F87794"/>
    <w:rsid w:val="00F902EB"/>
    <w:rsid w:val="00F90597"/>
    <w:rsid w:val="00F917D1"/>
    <w:rsid w:val="00F954FD"/>
    <w:rsid w:val="00F9653B"/>
    <w:rsid w:val="00F96848"/>
    <w:rsid w:val="00FA0166"/>
    <w:rsid w:val="00FA0A4C"/>
    <w:rsid w:val="00FA29CF"/>
    <w:rsid w:val="00FA3953"/>
    <w:rsid w:val="00FA3F78"/>
    <w:rsid w:val="00FA56F4"/>
    <w:rsid w:val="00FB00BB"/>
    <w:rsid w:val="00FB1110"/>
    <w:rsid w:val="00FB2E01"/>
    <w:rsid w:val="00FB3B84"/>
    <w:rsid w:val="00FB3F3E"/>
    <w:rsid w:val="00FB62CF"/>
    <w:rsid w:val="00FB6642"/>
    <w:rsid w:val="00FC09AD"/>
    <w:rsid w:val="00FC4F9A"/>
    <w:rsid w:val="00FC5099"/>
    <w:rsid w:val="00FC5EF2"/>
    <w:rsid w:val="00FC6D5C"/>
    <w:rsid w:val="00FC7CC1"/>
    <w:rsid w:val="00FD1157"/>
    <w:rsid w:val="00FD217B"/>
    <w:rsid w:val="00FD2DC8"/>
    <w:rsid w:val="00FD3279"/>
    <w:rsid w:val="00FD3C3B"/>
    <w:rsid w:val="00FD4742"/>
    <w:rsid w:val="00FD5A99"/>
    <w:rsid w:val="00FD6747"/>
    <w:rsid w:val="00FD6AC9"/>
    <w:rsid w:val="00FD6B05"/>
    <w:rsid w:val="00FD6BAE"/>
    <w:rsid w:val="00FD79D5"/>
    <w:rsid w:val="00FE07DD"/>
    <w:rsid w:val="00FE2368"/>
    <w:rsid w:val="00FE5CA4"/>
    <w:rsid w:val="00FE6B45"/>
    <w:rsid w:val="00FF19DD"/>
    <w:rsid w:val="00FF1C11"/>
    <w:rsid w:val="00FF293F"/>
    <w:rsid w:val="00FF2D19"/>
    <w:rsid w:val="00FF55F3"/>
    <w:rsid w:val="00FF5851"/>
    <w:rsid w:val="00FF6E6C"/>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EE3B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sz w:val="24"/>
        <w:szCs w:val="24"/>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94B"/>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lang w:val="es-ES_tradnl" w:eastAsia="es-ES_tradnl"/>
    </w:rPr>
  </w:style>
  <w:style w:type="paragraph" w:styleId="Heading1">
    <w:name w:val="heading 1"/>
    <w:basedOn w:val="ListParagraph"/>
    <w:next w:val="Normal"/>
    <w:link w:val="Heading1Char"/>
    <w:autoRedefine/>
    <w:uiPriority w:val="9"/>
    <w:qFormat/>
    <w:rsid w:val="00B8126D"/>
    <w:pPr>
      <w:numPr>
        <w:numId w:val="54"/>
      </w:numPr>
      <w:tabs>
        <w:tab w:val="left" w:pos="360"/>
      </w:tabs>
      <w:suppressAutoHyphens/>
      <w:ind w:left="0" w:firstLine="0"/>
      <w:outlineLvl w:val="0"/>
    </w:pPr>
    <w:rPr>
      <w:b/>
      <w:bCs/>
      <w:lang w:val="es-ES_tradnl"/>
    </w:rPr>
  </w:style>
  <w:style w:type="paragraph" w:styleId="Heading2">
    <w:name w:val="heading 2"/>
    <w:basedOn w:val="Normal"/>
    <w:next w:val="Normal"/>
    <w:link w:val="Heading2Char"/>
    <w:autoRedefine/>
    <w:qFormat/>
    <w:rsid w:val="007F6D92"/>
    <w:pPr>
      <w:keepNext/>
      <w:numPr>
        <w:numId w:val="62"/>
      </w:numPr>
      <w:tabs>
        <w:tab w:val="left" w:pos="360"/>
      </w:tabs>
      <w:jc w:val="both"/>
      <w:outlineLvl w:val="1"/>
    </w:pPr>
    <w:rPr>
      <w:rFonts w:asciiTheme="majorHAnsi" w:eastAsia="Times New Roman" w:hAnsiTheme="majorHAnsi" w:cs="Arial"/>
      <w:b/>
      <w:iCs/>
      <w:sz w:val="20"/>
      <w:szCs w:val="20"/>
      <w:lang w:val="es-ES" w:eastAsia="en-US"/>
    </w:rPr>
  </w:style>
  <w:style w:type="paragraph" w:styleId="Heading3">
    <w:name w:val="heading 3"/>
    <w:basedOn w:val="Normal"/>
    <w:next w:val="Normal"/>
    <w:link w:val="Heading3Char"/>
    <w:qFormat/>
    <w:rsid w:val="007D1F49"/>
    <w:pPr>
      <w:keepNext/>
      <w:numPr>
        <w:numId w:val="61"/>
      </w:numPr>
      <w:outlineLvl w:val="2"/>
    </w:pPr>
    <w:rPr>
      <w:rFonts w:asciiTheme="majorHAnsi" w:eastAsia="Times New Roman" w:hAnsiTheme="majorHAnsi" w:cs="Arial"/>
      <w:b/>
      <w:bCs/>
      <w:sz w:val="20"/>
      <w:szCs w:val="26"/>
      <w:lang w:val="en-US" w:eastAsia="en-US"/>
    </w:rPr>
  </w:style>
  <w:style w:type="paragraph" w:styleId="Heading4">
    <w:name w:val="heading 4"/>
    <w:basedOn w:val="Normal"/>
    <w:next w:val="Normal"/>
    <w:link w:val="Heading4Char"/>
    <w:uiPriority w:val="9"/>
    <w:unhideWhenUsed/>
    <w:qFormat/>
    <w:rsid w:val="008029F0"/>
    <w:pPr>
      <w:keepNext/>
      <w:keepLines/>
      <w:numPr>
        <w:ilvl w:val="1"/>
        <w:numId w:val="61"/>
      </w:numPr>
      <w:spacing w:before="40"/>
      <w:outlineLvl w:val="3"/>
    </w:pPr>
    <w:rPr>
      <w:rFonts w:asciiTheme="majorHAnsi" w:eastAsiaTheme="majorEastAsia" w:hAnsiTheme="majorHAnsi" w:cstheme="majorBidi"/>
      <w:b/>
      <w:iC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rPr>
  </w:style>
  <w:style w:type="paragraph" w:styleId="Footer">
    <w:name w:val="footer"/>
    <w:link w:val="FooterChar"/>
    <w:uiPriority w:val="99"/>
    <w:pPr>
      <w:tabs>
        <w:tab w:val="center" w:pos="4513"/>
        <w:tab w:val="right" w:pos="9026"/>
      </w:tabs>
    </w:pPr>
    <w:rPr>
      <w:rFonts w:ascii="Cambria" w:eastAsia="Cambria" w:hAnsi="Cambria" w:cs="Cambria"/>
      <w:color w:val="000000"/>
      <w:u w:color="000000"/>
      <w:lang w:val="en-US"/>
    </w:rPr>
  </w:style>
  <w:style w:type="paragraph" w:customStyle="1" w:styleId="Cuerpo">
    <w:name w:val="Cuerpo"/>
    <w:rPr>
      <w:rFonts w:ascii="Cambria" w:eastAsia="Cambria" w:hAnsi="Cambria" w:cs="Cambria"/>
      <w:color w:val="000000"/>
      <w:u w:color="000000"/>
    </w:rPr>
  </w:style>
  <w:style w:type="paragraph" w:styleId="BodyTextIndent">
    <w:name w:val="Body Text Indent"/>
    <w:pPr>
      <w:ind w:left="2160" w:hanging="720"/>
    </w:pPr>
    <w:rPr>
      <w:rFonts w:eastAsia="Times New Roman"/>
      <w:color w:val="000000"/>
      <w:u w:color="000000"/>
      <w:lang w:val="es-ES_tradnl"/>
    </w:rPr>
  </w:style>
  <w:style w:type="paragraph" w:styleId="ListParagraph">
    <w:name w:val="List Paragraph"/>
    <w:aliases w:val="Párrafo de lista1,List Paragraph1,Colorful List - Accent 11,List Paragraph11,List Paragraph2,Lista vistosa - Énfasis 11"/>
    <w:link w:val="ListParagraphChar"/>
    <w:autoRedefine/>
    <w:uiPriority w:val="34"/>
    <w:qFormat/>
    <w:rsid w:val="00563BDB"/>
    <w:pPr>
      <w:ind w:left="720" w:right="571"/>
      <w:jc w:val="both"/>
    </w:pPr>
    <w:rPr>
      <w:rFonts w:asciiTheme="majorHAnsi" w:eastAsia="Times New Roman" w:hAnsiTheme="majorHAnsi"/>
      <w:color w:val="000000" w:themeColor="text1"/>
      <w:sz w:val="20"/>
      <w:szCs w:val="20"/>
      <w:u w:color="000000"/>
      <w:lang w:val="es-VE" w:eastAsia="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sid w:val="00A03A30"/>
    <w:pPr>
      <w:jc w:val="both"/>
    </w:pPr>
    <w:rPr>
      <w:rFonts w:asciiTheme="majorHAnsi" w:eastAsia="Calibri" w:hAnsiTheme="majorHAnsi" w:cs="Calibri"/>
      <w:color w:val="000000"/>
      <w:sz w:val="16"/>
      <w:szCs w:val="16"/>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eastAsia="Times New Roman" w:hAnsi="Univers" w:cs="Univers"/>
      <w:lang w:val="en-US" w:eastAsia="en-U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B8126D"/>
    <w:rPr>
      <w:rFonts w:asciiTheme="majorHAnsi" w:eastAsia="Times New Roman" w:hAnsiTheme="majorHAnsi"/>
      <w:b/>
      <w:bCs/>
      <w:color w:val="000000" w:themeColor="text1"/>
      <w:sz w:val="20"/>
      <w:szCs w:val="20"/>
      <w:u w:color="000000"/>
      <w:lang w:val="es-ES_tradnl"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B723A5"/>
    <w:pPr>
      <w:tabs>
        <w:tab w:val="left" w:pos="720"/>
        <w:tab w:val="right" w:leader="dot" w:pos="9350"/>
      </w:tabs>
      <w:ind w:left="240"/>
      <w:jc w:val="both"/>
    </w:pPr>
    <w:rPr>
      <w:rFonts w:asciiTheme="majorHAnsi" w:hAnsiTheme="majorHAnsi"/>
      <w:noProof/>
      <w:sz w:val="20"/>
      <w:szCs w:val="20"/>
    </w:rPr>
  </w:style>
  <w:style w:type="paragraph" w:styleId="TOC1">
    <w:name w:val="toc 1"/>
    <w:basedOn w:val="Normal"/>
    <w:next w:val="Normal"/>
    <w:autoRedefine/>
    <w:uiPriority w:val="39"/>
    <w:unhideWhenUsed/>
    <w:rsid w:val="00B00C75"/>
    <w:pPr>
      <w:tabs>
        <w:tab w:val="left" w:pos="480"/>
        <w:tab w:val="right" w:leader="dot" w:pos="9350"/>
      </w:tabs>
      <w:spacing w:line="276" w:lineRule="auto"/>
    </w:pPr>
    <w:rPr>
      <w:rFonts w:asciiTheme="majorHAnsi" w:hAnsiTheme="majorHAnsi"/>
      <w:b/>
      <w:noProof/>
      <w:sz w:val="20"/>
      <w:szCs w:val="20"/>
    </w:rPr>
  </w:style>
  <w:style w:type="paragraph" w:styleId="TOC3">
    <w:name w:val="toc 3"/>
    <w:basedOn w:val="Normal"/>
    <w:next w:val="Normal"/>
    <w:autoRedefine/>
    <w:uiPriority w:val="39"/>
    <w:unhideWhenUsed/>
    <w:rsid w:val="005C4225"/>
    <w:pPr>
      <w:ind w:left="480"/>
    </w:pPr>
    <w:rPr>
      <w:rFonts w:asciiTheme="minorHAnsi" w:hAnsiTheme="minorHAnsi"/>
      <w:sz w:val="22"/>
      <w:szCs w:val="22"/>
    </w:rPr>
  </w:style>
  <w:style w:type="paragraph" w:styleId="TOC4">
    <w:name w:val="toc 4"/>
    <w:basedOn w:val="Normal"/>
    <w:next w:val="Normal"/>
    <w:autoRedefine/>
    <w:uiPriority w:val="39"/>
    <w:unhideWhenUsed/>
    <w:rsid w:val="005C4225"/>
    <w:pPr>
      <w:ind w:left="720"/>
    </w:pPr>
    <w:rPr>
      <w:rFonts w:asciiTheme="minorHAnsi" w:hAnsiTheme="minorHAnsi"/>
      <w:sz w:val="20"/>
      <w:szCs w:val="20"/>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pBdr>
        <w:top w:val="nil"/>
        <w:left w:val="nil"/>
        <w:bottom w:val="nil"/>
        <w:right w:val="nil"/>
        <w:between w:val="nil"/>
        <w:bar w:val="nil"/>
      </w:pBdr>
      <w:spacing w:after="120"/>
    </w:pPr>
    <w:rPr>
      <w:bdr w:val="nil"/>
      <w:lang w:val="en-US" w:eastAsia="en-US"/>
    </w:r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A03A30"/>
    <w:rPr>
      <w:rFonts w:asciiTheme="majorHAnsi" w:eastAsia="Calibri" w:hAnsiTheme="majorHAnsi" w:cs="Calibri"/>
      <w:color w:val="000000"/>
      <w:sz w:val="16"/>
      <w:szCs w:val="16"/>
      <w:u w:color="000000"/>
      <w:lang w:val="en-US"/>
    </w:rPr>
  </w:style>
  <w:style w:type="character" w:customStyle="1" w:styleId="Heading2Char">
    <w:name w:val="Heading 2 Char"/>
    <w:basedOn w:val="DefaultParagraphFont"/>
    <w:link w:val="Heading2"/>
    <w:rsid w:val="007F6D92"/>
    <w:rPr>
      <w:rFonts w:asciiTheme="majorHAnsi" w:eastAsia="Times New Roman" w:hAnsiTheme="majorHAnsi" w:cs="Arial"/>
      <w:b/>
      <w:iCs/>
      <w:sz w:val="20"/>
      <w:szCs w:val="20"/>
      <w:bdr w:val="none" w:sz="0" w:space="0" w:color="auto"/>
      <w:lang w:eastAsia="en-US"/>
    </w:rPr>
  </w:style>
  <w:style w:type="character" w:customStyle="1" w:styleId="Heading3Char">
    <w:name w:val="Heading 3 Char"/>
    <w:basedOn w:val="DefaultParagraphFont"/>
    <w:link w:val="Heading3"/>
    <w:rsid w:val="007D1F49"/>
    <w:rPr>
      <w:rFonts w:asciiTheme="majorHAnsi" w:eastAsia="Times New Roman" w:hAnsiTheme="majorHAnsi" w:cs="Arial"/>
      <w:b/>
      <w:bCs/>
      <w:sz w:val="20"/>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rPr>
      <w:rFonts w:eastAsia="Times New Roman"/>
      <w:lang w:val="en-US" w:eastAsia="en-US"/>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9014A4"/>
    <w:pPr>
      <w:spacing w:after="160" w:line="240" w:lineRule="exact"/>
    </w:pPr>
    <w:rPr>
      <w:sz w:val="20"/>
      <w:szCs w:val="20"/>
      <w:bdr w:val="nil"/>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4D6618"/>
    <w:pPr>
      <w:spacing w:before="200" w:after="160" w:line="240" w:lineRule="exact"/>
    </w:pPr>
    <w:rPr>
      <w:rFonts w:ascii="Verdana" w:hAnsi="Verdana"/>
      <w:sz w:val="22"/>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563BDB"/>
    <w:rPr>
      <w:rFonts w:asciiTheme="majorHAnsi" w:eastAsia="Times New Roman" w:hAnsiTheme="majorHAnsi"/>
      <w:color w:val="000000" w:themeColor="text1"/>
      <w:sz w:val="20"/>
      <w:szCs w:val="20"/>
      <w:u w:color="000000"/>
      <w:lang w:val="es-VE" w:eastAsia="en-US"/>
    </w:rPr>
  </w:style>
  <w:style w:type="paragraph" w:styleId="NoSpacing">
    <w:name w:val="No Spacing"/>
    <w:uiPriority w:val="1"/>
    <w:qFormat/>
    <w:rsid w:val="00161D34"/>
    <w:rPr>
      <w:lang w:val="en-US" w:eastAsia="en-US"/>
    </w:rPr>
  </w:style>
  <w:style w:type="paragraph" w:customStyle="1" w:styleId="parrafos">
    <w:name w:val="parrafos"/>
    <w:basedOn w:val="Normal"/>
    <w:link w:val="parrafosChar"/>
    <w:qFormat/>
    <w:rsid w:val="00914740"/>
    <w:pPr>
      <w:numPr>
        <w:numId w:val="55"/>
      </w:numPr>
      <w:tabs>
        <w:tab w:val="left" w:pos="360"/>
      </w:tabs>
      <w:jc w:val="both"/>
    </w:pPr>
    <w:rPr>
      <w:rFonts w:asciiTheme="majorHAnsi" w:hAnsiTheme="majorHAnsi"/>
      <w:color w:val="000000" w:themeColor="text1"/>
      <w:sz w:val="20"/>
      <w:szCs w:val="20"/>
      <w:bdr w:val="nil"/>
      <w:lang w:val="es-VE" w:eastAsia="en-US"/>
    </w:rPr>
  </w:style>
  <w:style w:type="paragraph" w:customStyle="1" w:styleId="citas">
    <w:name w:val="citas"/>
    <w:basedOn w:val="ListParagraph"/>
    <w:link w:val="citasChar"/>
    <w:qFormat/>
    <w:rsid w:val="00914740"/>
    <w:pPr>
      <w:ind w:hanging="360"/>
    </w:pPr>
  </w:style>
  <w:style w:type="character" w:customStyle="1" w:styleId="parrafosChar">
    <w:name w:val="parrafos Char"/>
    <w:basedOn w:val="DefaultParagraphFont"/>
    <w:link w:val="parrafos"/>
    <w:rsid w:val="00914740"/>
    <w:rPr>
      <w:rFonts w:asciiTheme="majorHAnsi" w:hAnsiTheme="majorHAnsi"/>
      <w:color w:val="000000" w:themeColor="text1"/>
      <w:sz w:val="20"/>
      <w:szCs w:val="20"/>
      <w:lang w:val="es-VE" w:eastAsia="en-US"/>
    </w:rPr>
  </w:style>
  <w:style w:type="character" w:customStyle="1" w:styleId="citasChar">
    <w:name w:val="citas Char"/>
    <w:basedOn w:val="ListParagraphChar"/>
    <w:link w:val="citas"/>
    <w:rsid w:val="00914740"/>
    <w:rPr>
      <w:rFonts w:ascii="Cambria" w:eastAsia="Times New Roman" w:hAnsi="Cambria" w:cs="Cambria"/>
      <w:b w:val="0"/>
      <w:color w:val="000000"/>
      <w:sz w:val="20"/>
      <w:szCs w:val="20"/>
      <w:u w:color="000000"/>
      <w:lang w:val="es-VE" w:eastAsia="en-US"/>
    </w:rPr>
  </w:style>
  <w:style w:type="paragraph" w:styleId="NormalWeb">
    <w:name w:val="Normal (Web)"/>
    <w:basedOn w:val="Normal"/>
    <w:uiPriority w:val="99"/>
    <w:unhideWhenUsed/>
    <w:rsid w:val="00121714"/>
    <w:pPr>
      <w:spacing w:before="100" w:beforeAutospacing="1" w:after="100" w:afterAutospacing="1"/>
    </w:pPr>
  </w:style>
  <w:style w:type="paragraph" w:styleId="TOCHeading">
    <w:name w:val="TOC Heading"/>
    <w:basedOn w:val="Heading1"/>
    <w:next w:val="Normal"/>
    <w:uiPriority w:val="39"/>
    <w:unhideWhenUsed/>
    <w:qFormat/>
    <w:rsid w:val="003C582B"/>
    <w:pPr>
      <w:keepNext/>
      <w:keepLines/>
      <w:numPr>
        <w:numId w:val="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480" w:line="276" w:lineRule="auto"/>
      <w:ind w:right="0"/>
      <w:jc w:val="left"/>
      <w:outlineLvl w:val="9"/>
    </w:pPr>
    <w:rPr>
      <w:rFonts w:eastAsiaTheme="majorEastAsia" w:cstheme="majorBidi"/>
      <w:bCs w:val="0"/>
      <w:color w:val="365F91" w:themeColor="accent1" w:themeShade="BF"/>
      <w:sz w:val="28"/>
      <w:szCs w:val="28"/>
      <w:bdr w:val="none" w:sz="0" w:space="0" w:color="auto"/>
      <w:lang w:eastAsia="es-ES_tradnl"/>
    </w:rPr>
  </w:style>
  <w:style w:type="paragraph" w:styleId="TOC5">
    <w:name w:val="toc 5"/>
    <w:basedOn w:val="Normal"/>
    <w:next w:val="Normal"/>
    <w:autoRedefine/>
    <w:uiPriority w:val="39"/>
    <w:semiHidden/>
    <w:unhideWhenUsed/>
    <w:rsid w:val="003C582B"/>
    <w:pPr>
      <w:ind w:left="960"/>
    </w:pPr>
    <w:rPr>
      <w:rFonts w:asciiTheme="minorHAnsi" w:hAnsiTheme="minorHAnsi"/>
      <w:sz w:val="20"/>
      <w:szCs w:val="20"/>
    </w:rPr>
  </w:style>
  <w:style w:type="paragraph" w:styleId="TOC6">
    <w:name w:val="toc 6"/>
    <w:basedOn w:val="Normal"/>
    <w:next w:val="Normal"/>
    <w:autoRedefine/>
    <w:uiPriority w:val="39"/>
    <w:semiHidden/>
    <w:unhideWhenUsed/>
    <w:rsid w:val="003C582B"/>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3C582B"/>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3C582B"/>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3C582B"/>
    <w:pPr>
      <w:ind w:left="1920"/>
    </w:pPr>
    <w:rPr>
      <w:rFonts w:asciiTheme="minorHAnsi" w:hAnsiTheme="minorHAnsi"/>
      <w:sz w:val="20"/>
      <w:szCs w:val="20"/>
    </w:rPr>
  </w:style>
  <w:style w:type="character" w:customStyle="1" w:styleId="Heading4Char">
    <w:name w:val="Heading 4 Char"/>
    <w:basedOn w:val="DefaultParagraphFont"/>
    <w:link w:val="Heading4"/>
    <w:uiPriority w:val="9"/>
    <w:rsid w:val="008029F0"/>
    <w:rPr>
      <w:rFonts w:asciiTheme="majorHAnsi" w:eastAsiaTheme="majorEastAsia" w:hAnsiTheme="majorHAnsi" w:cstheme="majorBidi"/>
      <w:b/>
      <w:iCs/>
      <w:color w:val="000000" w:themeColor="text1"/>
      <w:sz w:val="20"/>
      <w:szCs w:val="20"/>
      <w:bdr w:val="none" w:sz="0" w:space="0" w:color="auto"/>
      <w:lang w:val="es-ES_tradnl" w:eastAsia="es-ES_tradnl"/>
    </w:rPr>
  </w:style>
  <w:style w:type="character" w:customStyle="1" w:styleId="apple-converted-space">
    <w:name w:val="apple-converted-space"/>
    <w:basedOn w:val="DefaultParagraphFont"/>
    <w:rsid w:val="00A94A96"/>
  </w:style>
  <w:style w:type="character" w:customStyle="1" w:styleId="Mencinsinresolver1">
    <w:name w:val="Mención sin resolver1"/>
    <w:basedOn w:val="DefaultParagraphFont"/>
    <w:uiPriority w:val="99"/>
    <w:semiHidden/>
    <w:unhideWhenUsed/>
    <w:rsid w:val="00466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108">
      <w:bodyDiv w:val="1"/>
      <w:marLeft w:val="0"/>
      <w:marRight w:val="0"/>
      <w:marTop w:val="0"/>
      <w:marBottom w:val="0"/>
      <w:divBdr>
        <w:top w:val="none" w:sz="0" w:space="0" w:color="auto"/>
        <w:left w:val="none" w:sz="0" w:space="0" w:color="auto"/>
        <w:bottom w:val="none" w:sz="0" w:space="0" w:color="auto"/>
        <w:right w:val="none" w:sz="0" w:space="0" w:color="auto"/>
      </w:divBdr>
    </w:div>
    <w:div w:id="39524358">
      <w:bodyDiv w:val="1"/>
      <w:marLeft w:val="0"/>
      <w:marRight w:val="0"/>
      <w:marTop w:val="0"/>
      <w:marBottom w:val="0"/>
      <w:divBdr>
        <w:top w:val="none" w:sz="0" w:space="0" w:color="auto"/>
        <w:left w:val="none" w:sz="0" w:space="0" w:color="auto"/>
        <w:bottom w:val="none" w:sz="0" w:space="0" w:color="auto"/>
        <w:right w:val="none" w:sz="0" w:space="0" w:color="auto"/>
      </w:divBdr>
    </w:div>
    <w:div w:id="42489415">
      <w:bodyDiv w:val="1"/>
      <w:marLeft w:val="0"/>
      <w:marRight w:val="0"/>
      <w:marTop w:val="0"/>
      <w:marBottom w:val="0"/>
      <w:divBdr>
        <w:top w:val="none" w:sz="0" w:space="0" w:color="auto"/>
        <w:left w:val="none" w:sz="0" w:space="0" w:color="auto"/>
        <w:bottom w:val="none" w:sz="0" w:space="0" w:color="auto"/>
        <w:right w:val="none" w:sz="0" w:space="0" w:color="auto"/>
      </w:divBdr>
    </w:div>
    <w:div w:id="71126607">
      <w:bodyDiv w:val="1"/>
      <w:marLeft w:val="0"/>
      <w:marRight w:val="0"/>
      <w:marTop w:val="0"/>
      <w:marBottom w:val="0"/>
      <w:divBdr>
        <w:top w:val="none" w:sz="0" w:space="0" w:color="auto"/>
        <w:left w:val="none" w:sz="0" w:space="0" w:color="auto"/>
        <w:bottom w:val="none" w:sz="0" w:space="0" w:color="auto"/>
        <w:right w:val="none" w:sz="0" w:space="0" w:color="auto"/>
      </w:divBdr>
    </w:div>
    <w:div w:id="94374902">
      <w:bodyDiv w:val="1"/>
      <w:marLeft w:val="0"/>
      <w:marRight w:val="0"/>
      <w:marTop w:val="0"/>
      <w:marBottom w:val="0"/>
      <w:divBdr>
        <w:top w:val="none" w:sz="0" w:space="0" w:color="auto"/>
        <w:left w:val="none" w:sz="0" w:space="0" w:color="auto"/>
        <w:bottom w:val="none" w:sz="0" w:space="0" w:color="auto"/>
        <w:right w:val="none" w:sz="0" w:space="0" w:color="auto"/>
      </w:divBdr>
    </w:div>
    <w:div w:id="134491608">
      <w:bodyDiv w:val="1"/>
      <w:marLeft w:val="0"/>
      <w:marRight w:val="0"/>
      <w:marTop w:val="0"/>
      <w:marBottom w:val="0"/>
      <w:divBdr>
        <w:top w:val="none" w:sz="0" w:space="0" w:color="auto"/>
        <w:left w:val="none" w:sz="0" w:space="0" w:color="auto"/>
        <w:bottom w:val="none" w:sz="0" w:space="0" w:color="auto"/>
        <w:right w:val="none" w:sz="0" w:space="0" w:color="auto"/>
      </w:divBdr>
    </w:div>
    <w:div w:id="141628401">
      <w:bodyDiv w:val="1"/>
      <w:marLeft w:val="0"/>
      <w:marRight w:val="0"/>
      <w:marTop w:val="0"/>
      <w:marBottom w:val="0"/>
      <w:divBdr>
        <w:top w:val="none" w:sz="0" w:space="0" w:color="auto"/>
        <w:left w:val="none" w:sz="0" w:space="0" w:color="auto"/>
        <w:bottom w:val="none" w:sz="0" w:space="0" w:color="auto"/>
        <w:right w:val="none" w:sz="0" w:space="0" w:color="auto"/>
      </w:divBdr>
    </w:div>
    <w:div w:id="172307363">
      <w:bodyDiv w:val="1"/>
      <w:marLeft w:val="0"/>
      <w:marRight w:val="0"/>
      <w:marTop w:val="0"/>
      <w:marBottom w:val="0"/>
      <w:divBdr>
        <w:top w:val="none" w:sz="0" w:space="0" w:color="auto"/>
        <w:left w:val="none" w:sz="0" w:space="0" w:color="auto"/>
        <w:bottom w:val="none" w:sz="0" w:space="0" w:color="auto"/>
        <w:right w:val="none" w:sz="0" w:space="0" w:color="auto"/>
      </w:divBdr>
    </w:div>
    <w:div w:id="208156290">
      <w:bodyDiv w:val="1"/>
      <w:marLeft w:val="0"/>
      <w:marRight w:val="0"/>
      <w:marTop w:val="0"/>
      <w:marBottom w:val="0"/>
      <w:divBdr>
        <w:top w:val="none" w:sz="0" w:space="0" w:color="auto"/>
        <w:left w:val="none" w:sz="0" w:space="0" w:color="auto"/>
        <w:bottom w:val="none" w:sz="0" w:space="0" w:color="auto"/>
        <w:right w:val="none" w:sz="0" w:space="0" w:color="auto"/>
      </w:divBdr>
    </w:div>
    <w:div w:id="221212764">
      <w:bodyDiv w:val="1"/>
      <w:marLeft w:val="0"/>
      <w:marRight w:val="0"/>
      <w:marTop w:val="0"/>
      <w:marBottom w:val="0"/>
      <w:divBdr>
        <w:top w:val="none" w:sz="0" w:space="0" w:color="auto"/>
        <w:left w:val="none" w:sz="0" w:space="0" w:color="auto"/>
        <w:bottom w:val="none" w:sz="0" w:space="0" w:color="auto"/>
        <w:right w:val="none" w:sz="0" w:space="0" w:color="auto"/>
      </w:divBdr>
    </w:div>
    <w:div w:id="240025116">
      <w:bodyDiv w:val="1"/>
      <w:marLeft w:val="0"/>
      <w:marRight w:val="0"/>
      <w:marTop w:val="0"/>
      <w:marBottom w:val="0"/>
      <w:divBdr>
        <w:top w:val="none" w:sz="0" w:space="0" w:color="auto"/>
        <w:left w:val="none" w:sz="0" w:space="0" w:color="auto"/>
        <w:bottom w:val="none" w:sz="0" w:space="0" w:color="auto"/>
        <w:right w:val="none" w:sz="0" w:space="0" w:color="auto"/>
      </w:divBdr>
    </w:div>
    <w:div w:id="297731534">
      <w:bodyDiv w:val="1"/>
      <w:marLeft w:val="0"/>
      <w:marRight w:val="0"/>
      <w:marTop w:val="0"/>
      <w:marBottom w:val="0"/>
      <w:divBdr>
        <w:top w:val="none" w:sz="0" w:space="0" w:color="auto"/>
        <w:left w:val="none" w:sz="0" w:space="0" w:color="auto"/>
        <w:bottom w:val="none" w:sz="0" w:space="0" w:color="auto"/>
        <w:right w:val="none" w:sz="0" w:space="0" w:color="auto"/>
      </w:divBdr>
    </w:div>
    <w:div w:id="303314492">
      <w:bodyDiv w:val="1"/>
      <w:marLeft w:val="0"/>
      <w:marRight w:val="0"/>
      <w:marTop w:val="0"/>
      <w:marBottom w:val="0"/>
      <w:divBdr>
        <w:top w:val="none" w:sz="0" w:space="0" w:color="auto"/>
        <w:left w:val="none" w:sz="0" w:space="0" w:color="auto"/>
        <w:bottom w:val="none" w:sz="0" w:space="0" w:color="auto"/>
        <w:right w:val="none" w:sz="0" w:space="0" w:color="auto"/>
      </w:divBdr>
    </w:div>
    <w:div w:id="321855318">
      <w:bodyDiv w:val="1"/>
      <w:marLeft w:val="0"/>
      <w:marRight w:val="0"/>
      <w:marTop w:val="0"/>
      <w:marBottom w:val="0"/>
      <w:divBdr>
        <w:top w:val="none" w:sz="0" w:space="0" w:color="auto"/>
        <w:left w:val="none" w:sz="0" w:space="0" w:color="auto"/>
        <w:bottom w:val="none" w:sz="0" w:space="0" w:color="auto"/>
        <w:right w:val="none" w:sz="0" w:space="0" w:color="auto"/>
      </w:divBdr>
    </w:div>
    <w:div w:id="338430033">
      <w:bodyDiv w:val="1"/>
      <w:marLeft w:val="0"/>
      <w:marRight w:val="0"/>
      <w:marTop w:val="0"/>
      <w:marBottom w:val="0"/>
      <w:divBdr>
        <w:top w:val="none" w:sz="0" w:space="0" w:color="auto"/>
        <w:left w:val="none" w:sz="0" w:space="0" w:color="auto"/>
        <w:bottom w:val="none" w:sz="0" w:space="0" w:color="auto"/>
        <w:right w:val="none" w:sz="0" w:space="0" w:color="auto"/>
      </w:divBdr>
    </w:div>
    <w:div w:id="394200431">
      <w:bodyDiv w:val="1"/>
      <w:marLeft w:val="0"/>
      <w:marRight w:val="0"/>
      <w:marTop w:val="0"/>
      <w:marBottom w:val="0"/>
      <w:divBdr>
        <w:top w:val="none" w:sz="0" w:space="0" w:color="auto"/>
        <w:left w:val="none" w:sz="0" w:space="0" w:color="auto"/>
        <w:bottom w:val="none" w:sz="0" w:space="0" w:color="auto"/>
        <w:right w:val="none" w:sz="0" w:space="0" w:color="auto"/>
      </w:divBdr>
    </w:div>
    <w:div w:id="407271996">
      <w:bodyDiv w:val="1"/>
      <w:marLeft w:val="0"/>
      <w:marRight w:val="0"/>
      <w:marTop w:val="0"/>
      <w:marBottom w:val="0"/>
      <w:divBdr>
        <w:top w:val="none" w:sz="0" w:space="0" w:color="auto"/>
        <w:left w:val="none" w:sz="0" w:space="0" w:color="auto"/>
        <w:bottom w:val="none" w:sz="0" w:space="0" w:color="auto"/>
        <w:right w:val="none" w:sz="0" w:space="0" w:color="auto"/>
      </w:divBdr>
    </w:div>
    <w:div w:id="444271842">
      <w:bodyDiv w:val="1"/>
      <w:marLeft w:val="0"/>
      <w:marRight w:val="0"/>
      <w:marTop w:val="0"/>
      <w:marBottom w:val="0"/>
      <w:divBdr>
        <w:top w:val="none" w:sz="0" w:space="0" w:color="auto"/>
        <w:left w:val="none" w:sz="0" w:space="0" w:color="auto"/>
        <w:bottom w:val="none" w:sz="0" w:space="0" w:color="auto"/>
        <w:right w:val="none" w:sz="0" w:space="0" w:color="auto"/>
      </w:divBdr>
    </w:div>
    <w:div w:id="515925262">
      <w:bodyDiv w:val="1"/>
      <w:marLeft w:val="0"/>
      <w:marRight w:val="0"/>
      <w:marTop w:val="0"/>
      <w:marBottom w:val="0"/>
      <w:divBdr>
        <w:top w:val="none" w:sz="0" w:space="0" w:color="auto"/>
        <w:left w:val="none" w:sz="0" w:space="0" w:color="auto"/>
        <w:bottom w:val="none" w:sz="0" w:space="0" w:color="auto"/>
        <w:right w:val="none" w:sz="0" w:space="0" w:color="auto"/>
      </w:divBdr>
    </w:div>
    <w:div w:id="608656954">
      <w:bodyDiv w:val="1"/>
      <w:marLeft w:val="0"/>
      <w:marRight w:val="0"/>
      <w:marTop w:val="0"/>
      <w:marBottom w:val="0"/>
      <w:divBdr>
        <w:top w:val="none" w:sz="0" w:space="0" w:color="auto"/>
        <w:left w:val="none" w:sz="0" w:space="0" w:color="auto"/>
        <w:bottom w:val="none" w:sz="0" w:space="0" w:color="auto"/>
        <w:right w:val="none" w:sz="0" w:space="0" w:color="auto"/>
      </w:divBdr>
    </w:div>
    <w:div w:id="641350875">
      <w:bodyDiv w:val="1"/>
      <w:marLeft w:val="0"/>
      <w:marRight w:val="0"/>
      <w:marTop w:val="0"/>
      <w:marBottom w:val="0"/>
      <w:divBdr>
        <w:top w:val="none" w:sz="0" w:space="0" w:color="auto"/>
        <w:left w:val="none" w:sz="0" w:space="0" w:color="auto"/>
        <w:bottom w:val="none" w:sz="0" w:space="0" w:color="auto"/>
        <w:right w:val="none" w:sz="0" w:space="0" w:color="auto"/>
      </w:divBdr>
    </w:div>
    <w:div w:id="717972839">
      <w:bodyDiv w:val="1"/>
      <w:marLeft w:val="0"/>
      <w:marRight w:val="0"/>
      <w:marTop w:val="0"/>
      <w:marBottom w:val="0"/>
      <w:divBdr>
        <w:top w:val="none" w:sz="0" w:space="0" w:color="auto"/>
        <w:left w:val="none" w:sz="0" w:space="0" w:color="auto"/>
        <w:bottom w:val="none" w:sz="0" w:space="0" w:color="auto"/>
        <w:right w:val="none" w:sz="0" w:space="0" w:color="auto"/>
      </w:divBdr>
    </w:div>
    <w:div w:id="728381384">
      <w:bodyDiv w:val="1"/>
      <w:marLeft w:val="0"/>
      <w:marRight w:val="0"/>
      <w:marTop w:val="0"/>
      <w:marBottom w:val="0"/>
      <w:divBdr>
        <w:top w:val="none" w:sz="0" w:space="0" w:color="auto"/>
        <w:left w:val="none" w:sz="0" w:space="0" w:color="auto"/>
        <w:bottom w:val="none" w:sz="0" w:space="0" w:color="auto"/>
        <w:right w:val="none" w:sz="0" w:space="0" w:color="auto"/>
      </w:divBdr>
    </w:div>
    <w:div w:id="735512262">
      <w:bodyDiv w:val="1"/>
      <w:marLeft w:val="0"/>
      <w:marRight w:val="0"/>
      <w:marTop w:val="0"/>
      <w:marBottom w:val="0"/>
      <w:divBdr>
        <w:top w:val="none" w:sz="0" w:space="0" w:color="auto"/>
        <w:left w:val="none" w:sz="0" w:space="0" w:color="auto"/>
        <w:bottom w:val="none" w:sz="0" w:space="0" w:color="auto"/>
        <w:right w:val="none" w:sz="0" w:space="0" w:color="auto"/>
      </w:divBdr>
    </w:div>
    <w:div w:id="790444746">
      <w:bodyDiv w:val="1"/>
      <w:marLeft w:val="0"/>
      <w:marRight w:val="0"/>
      <w:marTop w:val="0"/>
      <w:marBottom w:val="0"/>
      <w:divBdr>
        <w:top w:val="none" w:sz="0" w:space="0" w:color="auto"/>
        <w:left w:val="none" w:sz="0" w:space="0" w:color="auto"/>
        <w:bottom w:val="none" w:sz="0" w:space="0" w:color="auto"/>
        <w:right w:val="none" w:sz="0" w:space="0" w:color="auto"/>
      </w:divBdr>
    </w:div>
    <w:div w:id="801001336">
      <w:bodyDiv w:val="1"/>
      <w:marLeft w:val="0"/>
      <w:marRight w:val="0"/>
      <w:marTop w:val="0"/>
      <w:marBottom w:val="0"/>
      <w:divBdr>
        <w:top w:val="none" w:sz="0" w:space="0" w:color="auto"/>
        <w:left w:val="none" w:sz="0" w:space="0" w:color="auto"/>
        <w:bottom w:val="none" w:sz="0" w:space="0" w:color="auto"/>
        <w:right w:val="none" w:sz="0" w:space="0" w:color="auto"/>
      </w:divBdr>
    </w:div>
    <w:div w:id="849489320">
      <w:bodyDiv w:val="1"/>
      <w:marLeft w:val="0"/>
      <w:marRight w:val="0"/>
      <w:marTop w:val="0"/>
      <w:marBottom w:val="0"/>
      <w:divBdr>
        <w:top w:val="none" w:sz="0" w:space="0" w:color="auto"/>
        <w:left w:val="none" w:sz="0" w:space="0" w:color="auto"/>
        <w:bottom w:val="none" w:sz="0" w:space="0" w:color="auto"/>
        <w:right w:val="none" w:sz="0" w:space="0" w:color="auto"/>
      </w:divBdr>
    </w:div>
    <w:div w:id="860507180">
      <w:bodyDiv w:val="1"/>
      <w:marLeft w:val="0"/>
      <w:marRight w:val="0"/>
      <w:marTop w:val="0"/>
      <w:marBottom w:val="0"/>
      <w:divBdr>
        <w:top w:val="none" w:sz="0" w:space="0" w:color="auto"/>
        <w:left w:val="none" w:sz="0" w:space="0" w:color="auto"/>
        <w:bottom w:val="none" w:sz="0" w:space="0" w:color="auto"/>
        <w:right w:val="none" w:sz="0" w:space="0" w:color="auto"/>
      </w:divBdr>
    </w:div>
    <w:div w:id="866521969">
      <w:bodyDiv w:val="1"/>
      <w:marLeft w:val="0"/>
      <w:marRight w:val="0"/>
      <w:marTop w:val="0"/>
      <w:marBottom w:val="0"/>
      <w:divBdr>
        <w:top w:val="none" w:sz="0" w:space="0" w:color="auto"/>
        <w:left w:val="none" w:sz="0" w:space="0" w:color="auto"/>
        <w:bottom w:val="none" w:sz="0" w:space="0" w:color="auto"/>
        <w:right w:val="none" w:sz="0" w:space="0" w:color="auto"/>
      </w:divBdr>
    </w:div>
    <w:div w:id="874199338">
      <w:bodyDiv w:val="1"/>
      <w:marLeft w:val="0"/>
      <w:marRight w:val="0"/>
      <w:marTop w:val="0"/>
      <w:marBottom w:val="0"/>
      <w:divBdr>
        <w:top w:val="none" w:sz="0" w:space="0" w:color="auto"/>
        <w:left w:val="none" w:sz="0" w:space="0" w:color="auto"/>
        <w:bottom w:val="none" w:sz="0" w:space="0" w:color="auto"/>
        <w:right w:val="none" w:sz="0" w:space="0" w:color="auto"/>
      </w:divBdr>
    </w:div>
    <w:div w:id="877162496">
      <w:bodyDiv w:val="1"/>
      <w:marLeft w:val="0"/>
      <w:marRight w:val="0"/>
      <w:marTop w:val="0"/>
      <w:marBottom w:val="0"/>
      <w:divBdr>
        <w:top w:val="none" w:sz="0" w:space="0" w:color="auto"/>
        <w:left w:val="none" w:sz="0" w:space="0" w:color="auto"/>
        <w:bottom w:val="none" w:sz="0" w:space="0" w:color="auto"/>
        <w:right w:val="none" w:sz="0" w:space="0" w:color="auto"/>
      </w:divBdr>
    </w:div>
    <w:div w:id="880174076">
      <w:bodyDiv w:val="1"/>
      <w:marLeft w:val="0"/>
      <w:marRight w:val="0"/>
      <w:marTop w:val="0"/>
      <w:marBottom w:val="0"/>
      <w:divBdr>
        <w:top w:val="none" w:sz="0" w:space="0" w:color="auto"/>
        <w:left w:val="none" w:sz="0" w:space="0" w:color="auto"/>
        <w:bottom w:val="none" w:sz="0" w:space="0" w:color="auto"/>
        <w:right w:val="none" w:sz="0" w:space="0" w:color="auto"/>
      </w:divBdr>
    </w:div>
    <w:div w:id="916204911">
      <w:bodyDiv w:val="1"/>
      <w:marLeft w:val="0"/>
      <w:marRight w:val="0"/>
      <w:marTop w:val="0"/>
      <w:marBottom w:val="0"/>
      <w:divBdr>
        <w:top w:val="none" w:sz="0" w:space="0" w:color="auto"/>
        <w:left w:val="none" w:sz="0" w:space="0" w:color="auto"/>
        <w:bottom w:val="none" w:sz="0" w:space="0" w:color="auto"/>
        <w:right w:val="none" w:sz="0" w:space="0" w:color="auto"/>
      </w:divBdr>
    </w:div>
    <w:div w:id="986981170">
      <w:bodyDiv w:val="1"/>
      <w:marLeft w:val="0"/>
      <w:marRight w:val="0"/>
      <w:marTop w:val="0"/>
      <w:marBottom w:val="0"/>
      <w:divBdr>
        <w:top w:val="none" w:sz="0" w:space="0" w:color="auto"/>
        <w:left w:val="none" w:sz="0" w:space="0" w:color="auto"/>
        <w:bottom w:val="none" w:sz="0" w:space="0" w:color="auto"/>
        <w:right w:val="none" w:sz="0" w:space="0" w:color="auto"/>
      </w:divBdr>
    </w:div>
    <w:div w:id="988023740">
      <w:bodyDiv w:val="1"/>
      <w:marLeft w:val="0"/>
      <w:marRight w:val="0"/>
      <w:marTop w:val="0"/>
      <w:marBottom w:val="0"/>
      <w:divBdr>
        <w:top w:val="none" w:sz="0" w:space="0" w:color="auto"/>
        <w:left w:val="none" w:sz="0" w:space="0" w:color="auto"/>
        <w:bottom w:val="none" w:sz="0" w:space="0" w:color="auto"/>
        <w:right w:val="none" w:sz="0" w:space="0" w:color="auto"/>
      </w:divBdr>
    </w:div>
    <w:div w:id="1001733964">
      <w:bodyDiv w:val="1"/>
      <w:marLeft w:val="0"/>
      <w:marRight w:val="0"/>
      <w:marTop w:val="0"/>
      <w:marBottom w:val="0"/>
      <w:divBdr>
        <w:top w:val="none" w:sz="0" w:space="0" w:color="auto"/>
        <w:left w:val="none" w:sz="0" w:space="0" w:color="auto"/>
        <w:bottom w:val="none" w:sz="0" w:space="0" w:color="auto"/>
        <w:right w:val="none" w:sz="0" w:space="0" w:color="auto"/>
      </w:divBdr>
    </w:div>
    <w:div w:id="1019740361">
      <w:bodyDiv w:val="1"/>
      <w:marLeft w:val="0"/>
      <w:marRight w:val="0"/>
      <w:marTop w:val="0"/>
      <w:marBottom w:val="0"/>
      <w:divBdr>
        <w:top w:val="none" w:sz="0" w:space="0" w:color="auto"/>
        <w:left w:val="none" w:sz="0" w:space="0" w:color="auto"/>
        <w:bottom w:val="none" w:sz="0" w:space="0" w:color="auto"/>
        <w:right w:val="none" w:sz="0" w:space="0" w:color="auto"/>
      </w:divBdr>
    </w:div>
    <w:div w:id="1082337173">
      <w:bodyDiv w:val="1"/>
      <w:marLeft w:val="0"/>
      <w:marRight w:val="0"/>
      <w:marTop w:val="0"/>
      <w:marBottom w:val="0"/>
      <w:divBdr>
        <w:top w:val="none" w:sz="0" w:space="0" w:color="auto"/>
        <w:left w:val="none" w:sz="0" w:space="0" w:color="auto"/>
        <w:bottom w:val="none" w:sz="0" w:space="0" w:color="auto"/>
        <w:right w:val="none" w:sz="0" w:space="0" w:color="auto"/>
      </w:divBdr>
    </w:div>
    <w:div w:id="1101678840">
      <w:bodyDiv w:val="1"/>
      <w:marLeft w:val="0"/>
      <w:marRight w:val="0"/>
      <w:marTop w:val="0"/>
      <w:marBottom w:val="0"/>
      <w:divBdr>
        <w:top w:val="none" w:sz="0" w:space="0" w:color="auto"/>
        <w:left w:val="none" w:sz="0" w:space="0" w:color="auto"/>
        <w:bottom w:val="none" w:sz="0" w:space="0" w:color="auto"/>
        <w:right w:val="none" w:sz="0" w:space="0" w:color="auto"/>
      </w:divBdr>
    </w:div>
    <w:div w:id="1138575709">
      <w:bodyDiv w:val="1"/>
      <w:marLeft w:val="0"/>
      <w:marRight w:val="0"/>
      <w:marTop w:val="0"/>
      <w:marBottom w:val="0"/>
      <w:divBdr>
        <w:top w:val="none" w:sz="0" w:space="0" w:color="auto"/>
        <w:left w:val="none" w:sz="0" w:space="0" w:color="auto"/>
        <w:bottom w:val="none" w:sz="0" w:space="0" w:color="auto"/>
        <w:right w:val="none" w:sz="0" w:space="0" w:color="auto"/>
      </w:divBdr>
    </w:div>
    <w:div w:id="1155611117">
      <w:bodyDiv w:val="1"/>
      <w:marLeft w:val="0"/>
      <w:marRight w:val="0"/>
      <w:marTop w:val="0"/>
      <w:marBottom w:val="0"/>
      <w:divBdr>
        <w:top w:val="none" w:sz="0" w:space="0" w:color="auto"/>
        <w:left w:val="none" w:sz="0" w:space="0" w:color="auto"/>
        <w:bottom w:val="none" w:sz="0" w:space="0" w:color="auto"/>
        <w:right w:val="none" w:sz="0" w:space="0" w:color="auto"/>
      </w:divBdr>
    </w:div>
    <w:div w:id="1166627428">
      <w:bodyDiv w:val="1"/>
      <w:marLeft w:val="0"/>
      <w:marRight w:val="0"/>
      <w:marTop w:val="0"/>
      <w:marBottom w:val="0"/>
      <w:divBdr>
        <w:top w:val="none" w:sz="0" w:space="0" w:color="auto"/>
        <w:left w:val="none" w:sz="0" w:space="0" w:color="auto"/>
        <w:bottom w:val="none" w:sz="0" w:space="0" w:color="auto"/>
        <w:right w:val="none" w:sz="0" w:space="0" w:color="auto"/>
      </w:divBdr>
    </w:div>
    <w:div w:id="1251042574">
      <w:bodyDiv w:val="1"/>
      <w:marLeft w:val="0"/>
      <w:marRight w:val="0"/>
      <w:marTop w:val="0"/>
      <w:marBottom w:val="0"/>
      <w:divBdr>
        <w:top w:val="none" w:sz="0" w:space="0" w:color="auto"/>
        <w:left w:val="none" w:sz="0" w:space="0" w:color="auto"/>
        <w:bottom w:val="none" w:sz="0" w:space="0" w:color="auto"/>
        <w:right w:val="none" w:sz="0" w:space="0" w:color="auto"/>
      </w:divBdr>
    </w:div>
    <w:div w:id="1264535033">
      <w:bodyDiv w:val="1"/>
      <w:marLeft w:val="0"/>
      <w:marRight w:val="0"/>
      <w:marTop w:val="0"/>
      <w:marBottom w:val="0"/>
      <w:divBdr>
        <w:top w:val="none" w:sz="0" w:space="0" w:color="auto"/>
        <w:left w:val="none" w:sz="0" w:space="0" w:color="auto"/>
        <w:bottom w:val="none" w:sz="0" w:space="0" w:color="auto"/>
        <w:right w:val="none" w:sz="0" w:space="0" w:color="auto"/>
      </w:divBdr>
    </w:div>
    <w:div w:id="1310359400">
      <w:bodyDiv w:val="1"/>
      <w:marLeft w:val="0"/>
      <w:marRight w:val="0"/>
      <w:marTop w:val="0"/>
      <w:marBottom w:val="0"/>
      <w:divBdr>
        <w:top w:val="none" w:sz="0" w:space="0" w:color="auto"/>
        <w:left w:val="none" w:sz="0" w:space="0" w:color="auto"/>
        <w:bottom w:val="none" w:sz="0" w:space="0" w:color="auto"/>
        <w:right w:val="none" w:sz="0" w:space="0" w:color="auto"/>
      </w:divBdr>
    </w:div>
    <w:div w:id="1322808624">
      <w:bodyDiv w:val="1"/>
      <w:marLeft w:val="0"/>
      <w:marRight w:val="0"/>
      <w:marTop w:val="0"/>
      <w:marBottom w:val="0"/>
      <w:divBdr>
        <w:top w:val="none" w:sz="0" w:space="0" w:color="auto"/>
        <w:left w:val="none" w:sz="0" w:space="0" w:color="auto"/>
        <w:bottom w:val="none" w:sz="0" w:space="0" w:color="auto"/>
        <w:right w:val="none" w:sz="0" w:space="0" w:color="auto"/>
      </w:divBdr>
    </w:div>
    <w:div w:id="1367219765">
      <w:bodyDiv w:val="1"/>
      <w:marLeft w:val="0"/>
      <w:marRight w:val="0"/>
      <w:marTop w:val="0"/>
      <w:marBottom w:val="0"/>
      <w:divBdr>
        <w:top w:val="none" w:sz="0" w:space="0" w:color="auto"/>
        <w:left w:val="none" w:sz="0" w:space="0" w:color="auto"/>
        <w:bottom w:val="none" w:sz="0" w:space="0" w:color="auto"/>
        <w:right w:val="none" w:sz="0" w:space="0" w:color="auto"/>
      </w:divBdr>
    </w:div>
    <w:div w:id="1454206798">
      <w:bodyDiv w:val="1"/>
      <w:marLeft w:val="0"/>
      <w:marRight w:val="0"/>
      <w:marTop w:val="0"/>
      <w:marBottom w:val="0"/>
      <w:divBdr>
        <w:top w:val="none" w:sz="0" w:space="0" w:color="auto"/>
        <w:left w:val="none" w:sz="0" w:space="0" w:color="auto"/>
        <w:bottom w:val="none" w:sz="0" w:space="0" w:color="auto"/>
        <w:right w:val="none" w:sz="0" w:space="0" w:color="auto"/>
      </w:divBdr>
    </w:div>
    <w:div w:id="1455489279">
      <w:bodyDiv w:val="1"/>
      <w:marLeft w:val="0"/>
      <w:marRight w:val="0"/>
      <w:marTop w:val="0"/>
      <w:marBottom w:val="0"/>
      <w:divBdr>
        <w:top w:val="none" w:sz="0" w:space="0" w:color="auto"/>
        <w:left w:val="none" w:sz="0" w:space="0" w:color="auto"/>
        <w:bottom w:val="none" w:sz="0" w:space="0" w:color="auto"/>
        <w:right w:val="none" w:sz="0" w:space="0" w:color="auto"/>
      </w:divBdr>
    </w:div>
    <w:div w:id="1476095560">
      <w:bodyDiv w:val="1"/>
      <w:marLeft w:val="0"/>
      <w:marRight w:val="0"/>
      <w:marTop w:val="0"/>
      <w:marBottom w:val="0"/>
      <w:divBdr>
        <w:top w:val="none" w:sz="0" w:space="0" w:color="auto"/>
        <w:left w:val="none" w:sz="0" w:space="0" w:color="auto"/>
        <w:bottom w:val="none" w:sz="0" w:space="0" w:color="auto"/>
        <w:right w:val="none" w:sz="0" w:space="0" w:color="auto"/>
      </w:divBdr>
    </w:div>
    <w:div w:id="1522161691">
      <w:bodyDiv w:val="1"/>
      <w:marLeft w:val="0"/>
      <w:marRight w:val="0"/>
      <w:marTop w:val="0"/>
      <w:marBottom w:val="0"/>
      <w:divBdr>
        <w:top w:val="none" w:sz="0" w:space="0" w:color="auto"/>
        <w:left w:val="none" w:sz="0" w:space="0" w:color="auto"/>
        <w:bottom w:val="none" w:sz="0" w:space="0" w:color="auto"/>
        <w:right w:val="none" w:sz="0" w:space="0" w:color="auto"/>
      </w:divBdr>
    </w:div>
    <w:div w:id="1556550742">
      <w:bodyDiv w:val="1"/>
      <w:marLeft w:val="0"/>
      <w:marRight w:val="0"/>
      <w:marTop w:val="0"/>
      <w:marBottom w:val="0"/>
      <w:divBdr>
        <w:top w:val="none" w:sz="0" w:space="0" w:color="auto"/>
        <w:left w:val="none" w:sz="0" w:space="0" w:color="auto"/>
        <w:bottom w:val="none" w:sz="0" w:space="0" w:color="auto"/>
        <w:right w:val="none" w:sz="0" w:space="0" w:color="auto"/>
      </w:divBdr>
    </w:div>
    <w:div w:id="1576208198">
      <w:bodyDiv w:val="1"/>
      <w:marLeft w:val="0"/>
      <w:marRight w:val="0"/>
      <w:marTop w:val="0"/>
      <w:marBottom w:val="0"/>
      <w:divBdr>
        <w:top w:val="none" w:sz="0" w:space="0" w:color="auto"/>
        <w:left w:val="none" w:sz="0" w:space="0" w:color="auto"/>
        <w:bottom w:val="none" w:sz="0" w:space="0" w:color="auto"/>
        <w:right w:val="none" w:sz="0" w:space="0" w:color="auto"/>
      </w:divBdr>
    </w:div>
    <w:div w:id="1580481755">
      <w:bodyDiv w:val="1"/>
      <w:marLeft w:val="0"/>
      <w:marRight w:val="0"/>
      <w:marTop w:val="0"/>
      <w:marBottom w:val="0"/>
      <w:divBdr>
        <w:top w:val="none" w:sz="0" w:space="0" w:color="auto"/>
        <w:left w:val="none" w:sz="0" w:space="0" w:color="auto"/>
        <w:bottom w:val="none" w:sz="0" w:space="0" w:color="auto"/>
        <w:right w:val="none" w:sz="0" w:space="0" w:color="auto"/>
      </w:divBdr>
    </w:div>
    <w:div w:id="1633289435">
      <w:bodyDiv w:val="1"/>
      <w:marLeft w:val="0"/>
      <w:marRight w:val="0"/>
      <w:marTop w:val="0"/>
      <w:marBottom w:val="0"/>
      <w:divBdr>
        <w:top w:val="none" w:sz="0" w:space="0" w:color="auto"/>
        <w:left w:val="none" w:sz="0" w:space="0" w:color="auto"/>
        <w:bottom w:val="none" w:sz="0" w:space="0" w:color="auto"/>
        <w:right w:val="none" w:sz="0" w:space="0" w:color="auto"/>
      </w:divBdr>
    </w:div>
    <w:div w:id="1636830610">
      <w:bodyDiv w:val="1"/>
      <w:marLeft w:val="0"/>
      <w:marRight w:val="0"/>
      <w:marTop w:val="0"/>
      <w:marBottom w:val="0"/>
      <w:divBdr>
        <w:top w:val="none" w:sz="0" w:space="0" w:color="auto"/>
        <w:left w:val="none" w:sz="0" w:space="0" w:color="auto"/>
        <w:bottom w:val="none" w:sz="0" w:space="0" w:color="auto"/>
        <w:right w:val="none" w:sz="0" w:space="0" w:color="auto"/>
      </w:divBdr>
    </w:div>
    <w:div w:id="1649818607">
      <w:bodyDiv w:val="1"/>
      <w:marLeft w:val="0"/>
      <w:marRight w:val="0"/>
      <w:marTop w:val="0"/>
      <w:marBottom w:val="0"/>
      <w:divBdr>
        <w:top w:val="none" w:sz="0" w:space="0" w:color="auto"/>
        <w:left w:val="none" w:sz="0" w:space="0" w:color="auto"/>
        <w:bottom w:val="none" w:sz="0" w:space="0" w:color="auto"/>
        <w:right w:val="none" w:sz="0" w:space="0" w:color="auto"/>
      </w:divBdr>
    </w:div>
    <w:div w:id="1656374767">
      <w:bodyDiv w:val="1"/>
      <w:marLeft w:val="0"/>
      <w:marRight w:val="0"/>
      <w:marTop w:val="0"/>
      <w:marBottom w:val="0"/>
      <w:divBdr>
        <w:top w:val="none" w:sz="0" w:space="0" w:color="auto"/>
        <w:left w:val="none" w:sz="0" w:space="0" w:color="auto"/>
        <w:bottom w:val="none" w:sz="0" w:space="0" w:color="auto"/>
        <w:right w:val="none" w:sz="0" w:space="0" w:color="auto"/>
      </w:divBdr>
    </w:div>
    <w:div w:id="1668247391">
      <w:bodyDiv w:val="1"/>
      <w:marLeft w:val="0"/>
      <w:marRight w:val="0"/>
      <w:marTop w:val="0"/>
      <w:marBottom w:val="0"/>
      <w:divBdr>
        <w:top w:val="none" w:sz="0" w:space="0" w:color="auto"/>
        <w:left w:val="none" w:sz="0" w:space="0" w:color="auto"/>
        <w:bottom w:val="none" w:sz="0" w:space="0" w:color="auto"/>
        <w:right w:val="none" w:sz="0" w:space="0" w:color="auto"/>
      </w:divBdr>
    </w:div>
    <w:div w:id="170867587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89932599">
      <w:bodyDiv w:val="1"/>
      <w:marLeft w:val="0"/>
      <w:marRight w:val="0"/>
      <w:marTop w:val="0"/>
      <w:marBottom w:val="0"/>
      <w:divBdr>
        <w:top w:val="none" w:sz="0" w:space="0" w:color="auto"/>
        <w:left w:val="none" w:sz="0" w:space="0" w:color="auto"/>
        <w:bottom w:val="none" w:sz="0" w:space="0" w:color="auto"/>
        <w:right w:val="none" w:sz="0" w:space="0" w:color="auto"/>
      </w:divBdr>
    </w:div>
    <w:div w:id="1803110035">
      <w:bodyDiv w:val="1"/>
      <w:marLeft w:val="0"/>
      <w:marRight w:val="0"/>
      <w:marTop w:val="0"/>
      <w:marBottom w:val="0"/>
      <w:divBdr>
        <w:top w:val="none" w:sz="0" w:space="0" w:color="auto"/>
        <w:left w:val="none" w:sz="0" w:space="0" w:color="auto"/>
        <w:bottom w:val="none" w:sz="0" w:space="0" w:color="auto"/>
        <w:right w:val="none" w:sz="0" w:space="0" w:color="auto"/>
      </w:divBdr>
    </w:div>
    <w:div w:id="1835409828">
      <w:bodyDiv w:val="1"/>
      <w:marLeft w:val="0"/>
      <w:marRight w:val="0"/>
      <w:marTop w:val="0"/>
      <w:marBottom w:val="0"/>
      <w:divBdr>
        <w:top w:val="none" w:sz="0" w:space="0" w:color="auto"/>
        <w:left w:val="none" w:sz="0" w:space="0" w:color="auto"/>
        <w:bottom w:val="none" w:sz="0" w:space="0" w:color="auto"/>
        <w:right w:val="none" w:sz="0" w:space="0" w:color="auto"/>
      </w:divBdr>
    </w:div>
    <w:div w:id="1905406281">
      <w:bodyDiv w:val="1"/>
      <w:marLeft w:val="0"/>
      <w:marRight w:val="0"/>
      <w:marTop w:val="0"/>
      <w:marBottom w:val="0"/>
      <w:divBdr>
        <w:top w:val="none" w:sz="0" w:space="0" w:color="auto"/>
        <w:left w:val="none" w:sz="0" w:space="0" w:color="auto"/>
        <w:bottom w:val="none" w:sz="0" w:space="0" w:color="auto"/>
        <w:right w:val="none" w:sz="0" w:space="0" w:color="auto"/>
      </w:divBdr>
    </w:div>
    <w:div w:id="1936554153">
      <w:bodyDiv w:val="1"/>
      <w:marLeft w:val="0"/>
      <w:marRight w:val="0"/>
      <w:marTop w:val="0"/>
      <w:marBottom w:val="0"/>
      <w:divBdr>
        <w:top w:val="none" w:sz="0" w:space="0" w:color="auto"/>
        <w:left w:val="none" w:sz="0" w:space="0" w:color="auto"/>
        <w:bottom w:val="none" w:sz="0" w:space="0" w:color="auto"/>
        <w:right w:val="none" w:sz="0" w:space="0" w:color="auto"/>
      </w:divBdr>
    </w:div>
    <w:div w:id="1976594324">
      <w:bodyDiv w:val="1"/>
      <w:marLeft w:val="0"/>
      <w:marRight w:val="0"/>
      <w:marTop w:val="0"/>
      <w:marBottom w:val="0"/>
      <w:divBdr>
        <w:top w:val="none" w:sz="0" w:space="0" w:color="auto"/>
        <w:left w:val="none" w:sz="0" w:space="0" w:color="auto"/>
        <w:bottom w:val="none" w:sz="0" w:space="0" w:color="auto"/>
        <w:right w:val="none" w:sz="0" w:space="0" w:color="auto"/>
      </w:divBdr>
    </w:div>
    <w:div w:id="2003504659">
      <w:bodyDiv w:val="1"/>
      <w:marLeft w:val="0"/>
      <w:marRight w:val="0"/>
      <w:marTop w:val="0"/>
      <w:marBottom w:val="0"/>
      <w:divBdr>
        <w:top w:val="none" w:sz="0" w:space="0" w:color="auto"/>
        <w:left w:val="none" w:sz="0" w:space="0" w:color="auto"/>
        <w:bottom w:val="none" w:sz="0" w:space="0" w:color="auto"/>
        <w:right w:val="none" w:sz="0" w:space="0" w:color="auto"/>
      </w:divBdr>
    </w:div>
    <w:div w:id="2015302351">
      <w:bodyDiv w:val="1"/>
      <w:marLeft w:val="0"/>
      <w:marRight w:val="0"/>
      <w:marTop w:val="0"/>
      <w:marBottom w:val="0"/>
      <w:divBdr>
        <w:top w:val="none" w:sz="0" w:space="0" w:color="auto"/>
        <w:left w:val="none" w:sz="0" w:space="0" w:color="auto"/>
        <w:bottom w:val="none" w:sz="0" w:space="0" w:color="auto"/>
        <w:right w:val="none" w:sz="0" w:space="0" w:color="auto"/>
      </w:divBdr>
    </w:div>
    <w:div w:id="2066290163">
      <w:bodyDiv w:val="1"/>
      <w:marLeft w:val="0"/>
      <w:marRight w:val="0"/>
      <w:marTop w:val="0"/>
      <w:marBottom w:val="0"/>
      <w:divBdr>
        <w:top w:val="none" w:sz="0" w:space="0" w:color="auto"/>
        <w:left w:val="none" w:sz="0" w:space="0" w:color="auto"/>
        <w:bottom w:val="none" w:sz="0" w:space="0" w:color="auto"/>
        <w:right w:val="none" w:sz="0" w:space="0" w:color="auto"/>
      </w:divBdr>
    </w:div>
    <w:div w:id="2085755786">
      <w:bodyDiv w:val="1"/>
      <w:marLeft w:val="0"/>
      <w:marRight w:val="0"/>
      <w:marTop w:val="0"/>
      <w:marBottom w:val="0"/>
      <w:divBdr>
        <w:top w:val="none" w:sz="0" w:space="0" w:color="auto"/>
        <w:left w:val="none" w:sz="0" w:space="0" w:color="auto"/>
        <w:bottom w:val="none" w:sz="0" w:space="0" w:color="auto"/>
        <w:right w:val="none" w:sz="0" w:space="0" w:color="auto"/>
      </w:divBdr>
    </w:div>
    <w:div w:id="2107538699">
      <w:bodyDiv w:val="1"/>
      <w:marLeft w:val="0"/>
      <w:marRight w:val="0"/>
      <w:marTop w:val="0"/>
      <w:marBottom w:val="0"/>
      <w:divBdr>
        <w:top w:val="none" w:sz="0" w:space="0" w:color="auto"/>
        <w:left w:val="none" w:sz="0" w:space="0" w:color="auto"/>
        <w:bottom w:val="none" w:sz="0" w:space="0" w:color="auto"/>
        <w:right w:val="none" w:sz="0" w:space="0" w:color="auto"/>
      </w:divBdr>
    </w:div>
    <w:div w:id="2117672563">
      <w:bodyDiv w:val="1"/>
      <w:marLeft w:val="0"/>
      <w:marRight w:val="0"/>
      <w:marTop w:val="0"/>
      <w:marBottom w:val="0"/>
      <w:divBdr>
        <w:top w:val="none" w:sz="0" w:space="0" w:color="auto"/>
        <w:left w:val="none" w:sz="0" w:space="0" w:color="auto"/>
        <w:bottom w:val="none" w:sz="0" w:space="0" w:color="auto"/>
        <w:right w:val="none" w:sz="0" w:space="0" w:color="auto"/>
      </w:divBdr>
    </w:div>
    <w:div w:id="2130932623">
      <w:bodyDiv w:val="1"/>
      <w:marLeft w:val="0"/>
      <w:marRight w:val="0"/>
      <w:marTop w:val="0"/>
      <w:marBottom w:val="0"/>
      <w:divBdr>
        <w:top w:val="none" w:sz="0" w:space="0" w:color="auto"/>
        <w:left w:val="none" w:sz="0" w:space="0" w:color="auto"/>
        <w:bottom w:val="none" w:sz="0" w:space="0" w:color="auto"/>
        <w:right w:val="none" w:sz="0" w:space="0" w:color="auto"/>
      </w:divBdr>
    </w:div>
    <w:div w:id="2146115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s>
</file>

<file path=word/_rels/footnotes.xml.rels><?xml version="1.0" encoding="UTF-8" standalone="yes"?>
<Relationships xmlns="http://schemas.openxmlformats.org/package/2006/relationships"><Relationship Id="rId1" Type="http://schemas.openxmlformats.org/officeDocument/2006/relationships/hyperlink" Target="https://www.oas.org/es/cidh/informes/pdfs/Principios%20DDHH%20migrantes%20-%20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6F01F-16CF-4D88-9A9C-93BC075AA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11164</Words>
  <Characters>63640</Characters>
  <Application>Microsoft Office Word</Application>
  <DocSecurity>0</DocSecurity>
  <Lines>530</Lines>
  <Paragraphs>149</Paragraphs>
  <ScaleCrop>false</ScaleCrop>
  <Company/>
  <LinksUpToDate>false</LinksUpToDate>
  <CharactersWithSpaces>74655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2024-06-25T13:50:00Z</dcterms:created>
  <dcterms:modified xsi:type="dcterms:W3CDTF">2024-06-25T13:50:00Z</dcterms:modified>
</cp:coreProperties>
</file>